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C6" w:rsidRPr="00710DFD" w:rsidRDefault="001F47E8"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cs="Univers"/>
          <w:b/>
          <w:bCs/>
          <w:sz w:val="22"/>
          <w:szCs w:val="22"/>
          <w:lang w:val="es-ES_tradnl"/>
        </w:rPr>
      </w:pPr>
      <w:r w:rsidRPr="00710DFD">
        <w:rPr>
          <w:noProof/>
        </w:rPr>
        <mc:AlternateContent>
          <mc:Choice Requires="wps">
            <w:drawing>
              <wp:anchor distT="0" distB="0" distL="114300" distR="114300" simplePos="0" relativeHeight="251654144" behindDoc="0" locked="0" layoutInCell="1" allowOverlap="1" wp14:anchorId="42682D7C" wp14:editId="31A5CA49">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710DFD">
        <w:rPr>
          <w:noProof/>
        </w:rPr>
        <mc:AlternateContent>
          <mc:Choice Requires="wps">
            <w:drawing>
              <wp:anchor distT="0" distB="0" distL="114300" distR="114300" simplePos="0" relativeHeight="251658240" behindDoc="0" locked="0" layoutInCell="1" allowOverlap="1" wp14:anchorId="597A11AA" wp14:editId="3B048D8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1C6" w:rsidRDefault="001F47E8"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6096A929" wp14:editId="0EE47C9D">
                                  <wp:extent cx="2629535" cy="498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9535" cy="498475"/>
                                          </a:xfrm>
                                          <a:prstGeom prst="rect">
                                            <a:avLst/>
                                          </a:prstGeom>
                                          <a:noFill/>
                                          <a:ln>
                                            <a:noFill/>
                                          </a:ln>
                                        </pic:spPr>
                                      </pic:pic>
                                    </a:graphicData>
                                  </a:graphic>
                                </wp:inline>
                              </w:drawing>
                            </w:r>
                            <w:r w:rsidR="009E61C6">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9E61C6" w:rsidRDefault="001F47E8"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16CF12F9" wp14:editId="211788EA">
                            <wp:extent cx="2629535" cy="49847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9535" cy="498475"/>
                                    </a:xfrm>
                                    <a:prstGeom prst="rect">
                                      <a:avLst/>
                                    </a:prstGeom>
                                    <a:noFill/>
                                    <a:ln>
                                      <a:noFill/>
                                    </a:ln>
                                  </pic:spPr>
                                </pic:pic>
                              </a:graphicData>
                            </a:graphic>
                          </wp:inline>
                        </w:drawing>
                      </w:r>
                      <w:r w:rsidR="009E61C6">
                        <w:tab/>
                        <w:t xml:space="preserve">                              </w:t>
                      </w:r>
                    </w:p>
                  </w:txbxContent>
                </v:textbox>
              </v:shape>
            </w:pict>
          </mc:Fallback>
        </mc:AlternateContent>
      </w:r>
      <w:r w:rsidR="009E61C6" w:rsidRPr="00710DFD">
        <w:rPr>
          <w:rFonts w:ascii="Cambria" w:hAnsi="Cambria" w:cs="Univers"/>
          <w:b/>
          <w:bCs/>
          <w:sz w:val="22"/>
          <w:szCs w:val="22"/>
          <w:lang w:val="es-ES_tradnl"/>
        </w:rPr>
        <w:t xml:space="preserve">         </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4E2D93"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r w:rsidRPr="00710DFD">
        <w:rPr>
          <w:noProof/>
        </w:rPr>
        <mc:AlternateContent>
          <mc:Choice Requires="wps">
            <w:drawing>
              <wp:anchor distT="0" distB="0" distL="114300" distR="114300" simplePos="0" relativeHeight="251655168" behindDoc="0" locked="0" layoutInCell="1" allowOverlap="1" wp14:anchorId="5B2B0194" wp14:editId="1BE86A74">
                <wp:simplePos x="0" y="0"/>
                <wp:positionH relativeFrom="column">
                  <wp:posOffset>1376045</wp:posOffset>
                </wp:positionH>
                <wp:positionV relativeFrom="paragraph">
                  <wp:posOffset>20955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D908E5">
                              <w:rPr>
                                <w:rFonts w:ascii="Cambria" w:hAnsi="Cambria" w:cs="Arial"/>
                                <w:b/>
                                <w:bCs/>
                                <w:color w:val="0D0D0D"/>
                                <w:sz w:val="36"/>
                                <w:szCs w:val="22"/>
                                <w:lang w:val="es-ES_tradnl"/>
                              </w:rPr>
                              <w:t xml:space="preserve">INFORME </w:t>
                            </w:r>
                            <w:r w:rsidRPr="00D908E5">
                              <w:rPr>
                                <w:rFonts w:ascii="Cambria" w:hAnsi="Cambria" w:cs="Arial"/>
                                <w:b/>
                                <w:bCs/>
                                <w:color w:val="0D0D0D"/>
                                <w:sz w:val="36"/>
                                <w:szCs w:val="40"/>
                                <w:lang w:val="es-ES_tradnl"/>
                              </w:rPr>
                              <w:t>No.</w:t>
                            </w:r>
                            <w:r w:rsidRPr="00D908E5">
                              <w:rPr>
                                <w:rFonts w:ascii="Cambria" w:hAnsi="Cambria" w:cs="Arial"/>
                                <w:b/>
                                <w:bCs/>
                                <w:color w:val="0D0D0D"/>
                                <w:sz w:val="36"/>
                                <w:szCs w:val="22"/>
                                <w:lang w:val="es-ES_tradnl"/>
                              </w:rPr>
                              <w:t xml:space="preserve"> </w:t>
                            </w:r>
                            <w:r w:rsidR="00417A1E">
                              <w:rPr>
                                <w:rFonts w:ascii="Cambria" w:hAnsi="Cambria" w:cs="Arial"/>
                                <w:b/>
                                <w:bCs/>
                                <w:color w:val="0D0D0D"/>
                                <w:sz w:val="36"/>
                                <w:szCs w:val="22"/>
                                <w:lang w:val="es-ES_tradnl"/>
                              </w:rPr>
                              <w:t>19</w:t>
                            </w:r>
                            <w:r w:rsidRPr="00D908E5">
                              <w:rPr>
                                <w:rFonts w:ascii="Cambria" w:hAnsi="Cambria" w:cs="Arial"/>
                                <w:b/>
                                <w:bCs/>
                                <w:color w:val="0D0D0D"/>
                                <w:sz w:val="36"/>
                                <w:szCs w:val="22"/>
                                <w:lang w:val="es-ES_tradnl"/>
                              </w:rPr>
                              <w:t>/</w:t>
                            </w:r>
                            <w:r w:rsidR="005469F0">
                              <w:rPr>
                                <w:rFonts w:ascii="Cambria" w:hAnsi="Cambria" w:cs="Arial"/>
                                <w:b/>
                                <w:bCs/>
                                <w:color w:val="0D0D0D"/>
                                <w:sz w:val="36"/>
                                <w:szCs w:val="22"/>
                                <w:lang w:val="es-ES_tradnl"/>
                              </w:rPr>
                              <w:t>16</w:t>
                            </w:r>
                          </w:p>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908E5">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3546-02</w:t>
                            </w:r>
                            <w:r w:rsidRPr="00D908E5">
                              <w:rPr>
                                <w:rFonts w:ascii="Cambria" w:hAnsi="Cambria" w:cs="Arial"/>
                                <w:b/>
                                <w:color w:val="0D0D0D"/>
                                <w:sz w:val="36"/>
                                <w:szCs w:val="22"/>
                                <w:lang w:val="es-ES_tradnl"/>
                              </w:rPr>
                              <w:t xml:space="preserve"> </w:t>
                            </w:r>
                          </w:p>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908E5">
                              <w:rPr>
                                <w:rFonts w:ascii="Cambria" w:hAnsi="Cambria" w:cs="Arial"/>
                                <w:color w:val="0D0D0D"/>
                                <w:szCs w:val="22"/>
                                <w:lang w:val="es-ES_tradnl"/>
                              </w:rPr>
                              <w:t xml:space="preserve">INFORME DE ADMISIBILIDAD </w:t>
                            </w:r>
                          </w:p>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GALO ROBERTO MATUTE ROBLES</w:t>
                            </w:r>
                            <w:r w:rsidR="00DF2D97">
                              <w:rPr>
                                <w:rFonts w:ascii="Cambria" w:hAnsi="Cambria" w:cs="Arial"/>
                                <w:color w:val="0D0D0D"/>
                                <w:szCs w:val="22"/>
                                <w:lang w:val="es-ES_tradnl"/>
                              </w:rPr>
                              <w:t xml:space="preserve"> Y FAMILIA</w:t>
                            </w:r>
                          </w:p>
                          <w:bookmarkEnd w:id="0"/>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ECUADOR</w:t>
                            </w:r>
                          </w:p>
                          <w:p w:rsidR="009E61C6" w:rsidRPr="00D908E5" w:rsidRDefault="009E61C6"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8.35pt;margin-top:1.6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" filled="f" stroked="f" strokeweight=".5pt">
                <v:path arrowok="t"/>
                <v:textbox>
                  <w:txbxContent>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D908E5">
                        <w:rPr>
                          <w:rFonts w:ascii="Cambria" w:hAnsi="Cambria" w:cs="Arial"/>
                          <w:b/>
                          <w:bCs/>
                          <w:color w:val="0D0D0D"/>
                          <w:sz w:val="36"/>
                          <w:szCs w:val="22"/>
                          <w:lang w:val="es-ES_tradnl"/>
                        </w:rPr>
                        <w:t xml:space="preserve">INFORME </w:t>
                      </w:r>
                      <w:r w:rsidRPr="00D908E5">
                        <w:rPr>
                          <w:rFonts w:ascii="Cambria" w:hAnsi="Cambria" w:cs="Arial"/>
                          <w:b/>
                          <w:bCs/>
                          <w:color w:val="0D0D0D"/>
                          <w:sz w:val="36"/>
                          <w:szCs w:val="40"/>
                          <w:lang w:val="es-ES_tradnl"/>
                        </w:rPr>
                        <w:t>No.</w:t>
                      </w:r>
                      <w:r w:rsidRPr="00D908E5">
                        <w:rPr>
                          <w:rFonts w:ascii="Cambria" w:hAnsi="Cambria" w:cs="Arial"/>
                          <w:b/>
                          <w:bCs/>
                          <w:color w:val="0D0D0D"/>
                          <w:sz w:val="36"/>
                          <w:szCs w:val="22"/>
                          <w:lang w:val="es-ES_tradnl"/>
                        </w:rPr>
                        <w:t xml:space="preserve"> </w:t>
                      </w:r>
                      <w:r w:rsidR="00417A1E">
                        <w:rPr>
                          <w:rFonts w:ascii="Cambria" w:hAnsi="Cambria" w:cs="Arial"/>
                          <w:b/>
                          <w:bCs/>
                          <w:color w:val="0D0D0D"/>
                          <w:sz w:val="36"/>
                          <w:szCs w:val="22"/>
                          <w:lang w:val="es-ES_tradnl"/>
                        </w:rPr>
                        <w:t>19</w:t>
                      </w:r>
                      <w:r w:rsidRPr="00D908E5">
                        <w:rPr>
                          <w:rFonts w:ascii="Cambria" w:hAnsi="Cambria" w:cs="Arial"/>
                          <w:b/>
                          <w:bCs/>
                          <w:color w:val="0D0D0D"/>
                          <w:sz w:val="36"/>
                          <w:szCs w:val="22"/>
                          <w:lang w:val="es-ES_tradnl"/>
                        </w:rPr>
                        <w:t>/</w:t>
                      </w:r>
                      <w:r w:rsidR="005469F0">
                        <w:rPr>
                          <w:rFonts w:ascii="Cambria" w:hAnsi="Cambria" w:cs="Arial"/>
                          <w:b/>
                          <w:bCs/>
                          <w:color w:val="0D0D0D"/>
                          <w:sz w:val="36"/>
                          <w:szCs w:val="22"/>
                          <w:lang w:val="es-ES_tradnl"/>
                        </w:rPr>
                        <w:t>16</w:t>
                      </w:r>
                    </w:p>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908E5">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3546-02</w:t>
                      </w:r>
                      <w:r w:rsidRPr="00D908E5">
                        <w:rPr>
                          <w:rFonts w:ascii="Cambria" w:hAnsi="Cambria" w:cs="Arial"/>
                          <w:b/>
                          <w:color w:val="0D0D0D"/>
                          <w:sz w:val="36"/>
                          <w:szCs w:val="22"/>
                          <w:lang w:val="es-ES_tradnl"/>
                        </w:rPr>
                        <w:t xml:space="preserve"> </w:t>
                      </w:r>
                    </w:p>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908E5">
                        <w:rPr>
                          <w:rFonts w:ascii="Cambria" w:hAnsi="Cambria" w:cs="Arial"/>
                          <w:color w:val="0D0D0D"/>
                          <w:szCs w:val="22"/>
                          <w:lang w:val="es-ES_tradnl"/>
                        </w:rPr>
                        <w:t xml:space="preserve">INFORME DE ADMISIBILIDAD </w:t>
                      </w:r>
                    </w:p>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GALO ROBERTO MATUTE ROBLES</w:t>
                      </w:r>
                      <w:r w:rsidR="00DF2D97">
                        <w:rPr>
                          <w:rFonts w:ascii="Cambria" w:hAnsi="Cambria" w:cs="Arial"/>
                          <w:color w:val="0D0D0D"/>
                          <w:szCs w:val="22"/>
                          <w:lang w:val="es-ES_tradnl"/>
                        </w:rPr>
                        <w:t xml:space="preserve"> Y FAMILIA</w:t>
                      </w:r>
                    </w:p>
                    <w:bookmarkEnd w:id="1"/>
                    <w:p w:rsidR="009E61C6" w:rsidRPr="00D908E5" w:rsidRDefault="009E61C6"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ECUADOR</w:t>
                      </w:r>
                    </w:p>
                    <w:p w:rsidR="009E61C6" w:rsidRPr="00D908E5" w:rsidRDefault="009E61C6"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710DFD">
        <w:rPr>
          <w:noProof/>
        </w:rPr>
        <mc:AlternateContent>
          <mc:Choice Requires="wps">
            <w:drawing>
              <wp:anchor distT="0" distB="0" distL="114300" distR="114300" simplePos="0" relativeHeight="251657216" behindDoc="0" locked="0" layoutInCell="1" allowOverlap="1" wp14:anchorId="0BBD3CDA" wp14:editId="75D41CE2">
                <wp:simplePos x="0" y="0"/>
                <wp:positionH relativeFrom="column">
                  <wp:posOffset>-332105</wp:posOffset>
                </wp:positionH>
                <wp:positionV relativeFrom="paragraph">
                  <wp:posOffset>14605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1C6" w:rsidRPr="00417A1E" w:rsidRDefault="009E61C6" w:rsidP="00417A1E">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417A1E">
                              <w:rPr>
                                <w:rFonts w:ascii="Calibri" w:hAnsi="Calibri"/>
                                <w:color w:val="FFFFFF" w:themeColor="background1"/>
                                <w:sz w:val="22"/>
                                <w:lang w:val="pt-BR"/>
                              </w:rPr>
                              <w:t>OEA/Ser.L/V/II.15</w:t>
                            </w:r>
                            <w:r w:rsidR="005469F0" w:rsidRPr="00417A1E">
                              <w:rPr>
                                <w:rFonts w:ascii="Calibri" w:hAnsi="Calibri"/>
                                <w:color w:val="FFFFFF" w:themeColor="background1"/>
                                <w:sz w:val="22"/>
                                <w:lang w:val="pt-BR"/>
                              </w:rPr>
                              <w:t>7</w:t>
                            </w:r>
                          </w:p>
                          <w:p w:rsidR="009E61C6" w:rsidRPr="00417A1E" w:rsidRDefault="009E61C6" w:rsidP="00417A1E">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417A1E">
                              <w:rPr>
                                <w:rFonts w:ascii="Calibri" w:hAnsi="Calibri"/>
                                <w:color w:val="FFFFFF" w:themeColor="background1"/>
                                <w:sz w:val="22"/>
                                <w:lang w:val="pt-BR"/>
                              </w:rPr>
                              <w:t xml:space="preserve">Doc. </w:t>
                            </w:r>
                            <w:r w:rsidR="00417A1E" w:rsidRPr="00417A1E">
                              <w:rPr>
                                <w:rFonts w:ascii="Calibri" w:hAnsi="Calibri"/>
                                <w:color w:val="FFFFFF" w:themeColor="background1"/>
                                <w:sz w:val="22"/>
                                <w:lang w:val="pt-BR"/>
                              </w:rPr>
                              <w:t>23</w:t>
                            </w:r>
                          </w:p>
                          <w:p w:rsidR="009E61C6" w:rsidRPr="00417A1E" w:rsidRDefault="00417A1E" w:rsidP="00417A1E">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417A1E">
                              <w:rPr>
                                <w:rFonts w:ascii="Calibri" w:hAnsi="Calibri"/>
                                <w:color w:val="FFFFFF" w:themeColor="background1"/>
                                <w:sz w:val="22"/>
                                <w:lang w:val="es-CL"/>
                              </w:rPr>
                              <w:t>15</w:t>
                            </w:r>
                            <w:r w:rsidR="009E61C6" w:rsidRPr="00417A1E">
                              <w:rPr>
                                <w:rFonts w:ascii="Calibri" w:hAnsi="Calibri"/>
                                <w:color w:val="FFFFFF" w:themeColor="background1"/>
                                <w:sz w:val="22"/>
                                <w:lang w:val="es-CL"/>
                              </w:rPr>
                              <w:t xml:space="preserve"> </w:t>
                            </w:r>
                            <w:r w:rsidRPr="00417A1E">
                              <w:rPr>
                                <w:rFonts w:ascii="Calibri" w:hAnsi="Calibri"/>
                                <w:color w:val="FFFFFF" w:themeColor="background1"/>
                                <w:sz w:val="22"/>
                                <w:lang w:val="es-CL"/>
                              </w:rPr>
                              <w:t>abril</w:t>
                            </w:r>
                            <w:r w:rsidR="009E61C6" w:rsidRPr="00417A1E">
                              <w:rPr>
                                <w:rFonts w:ascii="Calibri" w:hAnsi="Calibri"/>
                                <w:color w:val="FFFFFF" w:themeColor="background1"/>
                                <w:sz w:val="22"/>
                                <w:lang w:val="es-CL"/>
                              </w:rPr>
                              <w:t xml:space="preserve"> 201</w:t>
                            </w:r>
                            <w:r w:rsidRPr="00417A1E">
                              <w:rPr>
                                <w:rFonts w:ascii="Calibri" w:hAnsi="Calibri"/>
                                <w:color w:val="FFFFFF" w:themeColor="background1"/>
                                <w:sz w:val="22"/>
                                <w:lang w:val="es-CL"/>
                              </w:rPr>
                              <w:t>6</w:t>
                            </w:r>
                          </w:p>
                          <w:p w:rsidR="009E61C6" w:rsidRPr="00417A1E" w:rsidRDefault="009E61C6" w:rsidP="00417A1E">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417A1E">
                              <w:rPr>
                                <w:rFonts w:ascii="Calibri" w:hAnsi="Calibr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6.15pt;margin-top:1.1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" filled="f" stroked="f" strokeweight=".5pt">
                <v:path arrowok="t"/>
                <v:textbox>
                  <w:txbxContent>
                    <w:p w:rsidR="009E61C6" w:rsidRPr="00417A1E" w:rsidRDefault="009E61C6" w:rsidP="00417A1E">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417A1E">
                        <w:rPr>
                          <w:rFonts w:ascii="Calibri" w:hAnsi="Calibri"/>
                          <w:color w:val="FFFFFF" w:themeColor="background1"/>
                          <w:sz w:val="22"/>
                          <w:lang w:val="pt-BR"/>
                        </w:rPr>
                        <w:t>OEA/Ser.L/V/II.15</w:t>
                      </w:r>
                      <w:r w:rsidR="005469F0" w:rsidRPr="00417A1E">
                        <w:rPr>
                          <w:rFonts w:ascii="Calibri" w:hAnsi="Calibri"/>
                          <w:color w:val="FFFFFF" w:themeColor="background1"/>
                          <w:sz w:val="22"/>
                          <w:lang w:val="pt-BR"/>
                        </w:rPr>
                        <w:t>7</w:t>
                      </w:r>
                    </w:p>
                    <w:p w:rsidR="009E61C6" w:rsidRPr="00417A1E" w:rsidRDefault="009E61C6" w:rsidP="00417A1E">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417A1E">
                        <w:rPr>
                          <w:rFonts w:ascii="Calibri" w:hAnsi="Calibri"/>
                          <w:color w:val="FFFFFF" w:themeColor="background1"/>
                          <w:sz w:val="22"/>
                          <w:lang w:val="pt-BR"/>
                        </w:rPr>
                        <w:t xml:space="preserve">Doc. </w:t>
                      </w:r>
                      <w:r w:rsidR="00417A1E" w:rsidRPr="00417A1E">
                        <w:rPr>
                          <w:rFonts w:ascii="Calibri" w:hAnsi="Calibri"/>
                          <w:color w:val="FFFFFF" w:themeColor="background1"/>
                          <w:sz w:val="22"/>
                          <w:lang w:val="pt-BR"/>
                        </w:rPr>
                        <w:t>23</w:t>
                      </w:r>
                    </w:p>
                    <w:p w:rsidR="009E61C6" w:rsidRPr="00417A1E" w:rsidRDefault="00417A1E" w:rsidP="00417A1E">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417A1E">
                        <w:rPr>
                          <w:rFonts w:ascii="Calibri" w:hAnsi="Calibri"/>
                          <w:color w:val="FFFFFF" w:themeColor="background1"/>
                          <w:sz w:val="22"/>
                          <w:lang w:val="es-CL"/>
                        </w:rPr>
                        <w:t>15</w:t>
                      </w:r>
                      <w:r w:rsidR="009E61C6" w:rsidRPr="00417A1E">
                        <w:rPr>
                          <w:rFonts w:ascii="Calibri" w:hAnsi="Calibri"/>
                          <w:color w:val="FFFFFF" w:themeColor="background1"/>
                          <w:sz w:val="22"/>
                          <w:lang w:val="es-CL"/>
                        </w:rPr>
                        <w:t xml:space="preserve"> </w:t>
                      </w:r>
                      <w:r w:rsidRPr="00417A1E">
                        <w:rPr>
                          <w:rFonts w:ascii="Calibri" w:hAnsi="Calibri"/>
                          <w:color w:val="FFFFFF" w:themeColor="background1"/>
                          <w:sz w:val="22"/>
                          <w:lang w:val="es-CL"/>
                        </w:rPr>
                        <w:t>abril</w:t>
                      </w:r>
                      <w:r w:rsidR="009E61C6" w:rsidRPr="00417A1E">
                        <w:rPr>
                          <w:rFonts w:ascii="Calibri" w:hAnsi="Calibri"/>
                          <w:color w:val="FFFFFF" w:themeColor="background1"/>
                          <w:sz w:val="22"/>
                          <w:lang w:val="es-CL"/>
                        </w:rPr>
                        <w:t xml:space="preserve"> 201</w:t>
                      </w:r>
                      <w:r w:rsidRPr="00417A1E">
                        <w:rPr>
                          <w:rFonts w:ascii="Calibri" w:hAnsi="Calibri"/>
                          <w:color w:val="FFFFFF" w:themeColor="background1"/>
                          <w:sz w:val="22"/>
                          <w:lang w:val="es-CL"/>
                        </w:rPr>
                        <w:t>6</w:t>
                      </w:r>
                    </w:p>
                    <w:p w:rsidR="009E61C6" w:rsidRPr="00417A1E" w:rsidRDefault="009E61C6" w:rsidP="00417A1E">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417A1E">
                        <w:rPr>
                          <w:rFonts w:ascii="Calibri" w:hAnsi="Calibri"/>
                          <w:color w:val="FFFFFF" w:themeColor="background1"/>
                          <w:sz w:val="22"/>
                          <w:lang w:val="es-CL"/>
                        </w:rPr>
                        <w:t>Original: español</w:t>
                      </w:r>
                    </w:p>
                  </w:txbxContent>
                </v:textbox>
              </v:shape>
            </w:pict>
          </mc:Fallback>
        </mc:AlternateConten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cs="Arial"/>
          <w:sz w:val="22"/>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jc w:val="both"/>
        <w:rPr>
          <w:rFonts w:ascii="Cambria" w:hAnsi="Cambria"/>
          <w:sz w:val="18"/>
          <w:szCs w:val="22"/>
          <w:lang w:val="es-ES_tradnl"/>
        </w:rPr>
      </w:pPr>
    </w:p>
    <w:p w:rsidR="009E61C6" w:rsidRPr="00710DFD" w:rsidRDefault="001F47E8"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18"/>
          <w:szCs w:val="22"/>
          <w:lang w:val="es-ES_tradnl"/>
        </w:rPr>
      </w:pPr>
      <w:r w:rsidRPr="00710DFD">
        <w:rPr>
          <w:noProof/>
        </w:rPr>
        <mc:AlternateContent>
          <mc:Choice Requires="wps">
            <w:drawing>
              <wp:anchor distT="0" distB="0" distL="114300" distR="114300" simplePos="0" relativeHeight="251656192" behindDoc="0" locked="0" layoutInCell="1" allowOverlap="1" wp14:anchorId="0B7CB709" wp14:editId="4A869CB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1C6" w:rsidRPr="00D908E5" w:rsidRDefault="009E61C6"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D908E5">
                              <w:rPr>
                                <w:rFonts w:ascii="Cambria" w:hAnsi="Cambria"/>
                                <w:color w:val="0D0D0D"/>
                                <w:sz w:val="18"/>
                                <w:szCs w:val="20"/>
                                <w:lang w:val="es-ES"/>
                              </w:rPr>
                              <w:t xml:space="preserve">Aprobado por la Comisión en su sesión No. </w:t>
                            </w:r>
                            <w:r w:rsidR="00417A1E">
                              <w:rPr>
                                <w:rFonts w:ascii="Cambria" w:hAnsi="Cambria"/>
                                <w:color w:val="0D0D0D"/>
                                <w:sz w:val="18"/>
                                <w:szCs w:val="20"/>
                                <w:lang w:val="es-ES"/>
                              </w:rPr>
                              <w:t>2065</w:t>
                            </w:r>
                            <w:r w:rsidRPr="00D908E5">
                              <w:rPr>
                                <w:rFonts w:ascii="Cambria" w:hAnsi="Cambria"/>
                                <w:color w:val="0D0D0D"/>
                                <w:sz w:val="18"/>
                                <w:szCs w:val="20"/>
                                <w:lang w:val="es-ES"/>
                              </w:rPr>
                              <w:t xml:space="preserve"> celebrada el </w:t>
                            </w:r>
                            <w:r w:rsidR="00417A1E">
                              <w:rPr>
                                <w:rFonts w:ascii="Cambria" w:hAnsi="Cambria"/>
                                <w:color w:val="0D0D0D"/>
                                <w:sz w:val="18"/>
                                <w:szCs w:val="20"/>
                                <w:lang w:val="es-ES"/>
                              </w:rPr>
                              <w:t>15</w:t>
                            </w:r>
                            <w:r w:rsidRPr="00D908E5">
                              <w:rPr>
                                <w:rFonts w:ascii="Cambria" w:hAnsi="Cambria"/>
                                <w:color w:val="0D0D0D"/>
                                <w:sz w:val="18"/>
                                <w:szCs w:val="20"/>
                                <w:lang w:val="es-ES"/>
                              </w:rPr>
                              <w:t xml:space="preserve"> de </w:t>
                            </w:r>
                            <w:r w:rsidR="00417A1E">
                              <w:rPr>
                                <w:rFonts w:ascii="Cambria" w:hAnsi="Cambria"/>
                                <w:color w:val="0D0D0D"/>
                                <w:sz w:val="18"/>
                                <w:szCs w:val="20"/>
                                <w:lang w:val="es-ES"/>
                              </w:rPr>
                              <w:t>abril de 2016</w:t>
                            </w:r>
                            <w:r w:rsidRPr="00D908E5">
                              <w:rPr>
                                <w:rFonts w:ascii="Cambria" w:hAnsi="Cambria"/>
                                <w:color w:val="0D0D0D"/>
                                <w:sz w:val="18"/>
                                <w:szCs w:val="20"/>
                                <w:lang w:val="es-ES"/>
                              </w:rPr>
                              <w:br/>
                            </w:r>
                            <w:r w:rsidR="00417A1E">
                              <w:rPr>
                                <w:rFonts w:ascii="Cambria" w:hAnsi="Cambria" w:cs="Univers"/>
                                <w:color w:val="0D0D0D"/>
                                <w:sz w:val="18"/>
                                <w:szCs w:val="20"/>
                                <w:lang w:val="es-ES_tradnl"/>
                              </w:rPr>
                              <w:t>157º</w:t>
                            </w:r>
                            <w:r w:rsidRPr="00D908E5">
                              <w:rPr>
                                <w:rFonts w:ascii="Cambria" w:hAnsi="Cambria" w:cs="Univers"/>
                                <w:color w:val="0D0D0D"/>
                                <w:sz w:val="18"/>
                                <w:szCs w:val="20"/>
                                <w:lang w:val="es-ES_tradnl"/>
                              </w:rPr>
                              <w:t xml:space="preserve"> período ordinario de sesiones</w:t>
                            </w:r>
                            <w:r w:rsidR="00417A1E">
                              <w:rPr>
                                <w:rFonts w:ascii="Cambria" w:hAnsi="Cambria" w:cs="Univers"/>
                                <w:color w:val="0D0D0D"/>
                                <w:sz w:val="18"/>
                                <w:szCs w:val="20"/>
                                <w:lang w:val="es-ES_tradnl"/>
                              </w:rPr>
                              <w:t>.</w:t>
                            </w:r>
                          </w:p>
                          <w:p w:rsidR="009E61C6" w:rsidRPr="00D908E5" w:rsidRDefault="009E61C6"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9E61C6" w:rsidRPr="00D908E5" w:rsidRDefault="009E61C6"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9E61C6" w:rsidRPr="00D908E5" w:rsidRDefault="009E61C6"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D908E5">
                        <w:rPr>
                          <w:rFonts w:ascii="Cambria" w:hAnsi="Cambria"/>
                          <w:color w:val="0D0D0D"/>
                          <w:sz w:val="18"/>
                          <w:szCs w:val="20"/>
                          <w:lang w:val="es-ES"/>
                        </w:rPr>
                        <w:t xml:space="preserve">Aprobado por la Comisión en su sesión No. </w:t>
                      </w:r>
                      <w:r w:rsidR="00417A1E">
                        <w:rPr>
                          <w:rFonts w:ascii="Cambria" w:hAnsi="Cambria"/>
                          <w:color w:val="0D0D0D"/>
                          <w:sz w:val="18"/>
                          <w:szCs w:val="20"/>
                          <w:lang w:val="es-ES"/>
                        </w:rPr>
                        <w:t>2065</w:t>
                      </w:r>
                      <w:r w:rsidRPr="00D908E5">
                        <w:rPr>
                          <w:rFonts w:ascii="Cambria" w:hAnsi="Cambria"/>
                          <w:color w:val="0D0D0D"/>
                          <w:sz w:val="18"/>
                          <w:szCs w:val="20"/>
                          <w:lang w:val="es-ES"/>
                        </w:rPr>
                        <w:t xml:space="preserve"> celebrada el </w:t>
                      </w:r>
                      <w:r w:rsidR="00417A1E">
                        <w:rPr>
                          <w:rFonts w:ascii="Cambria" w:hAnsi="Cambria"/>
                          <w:color w:val="0D0D0D"/>
                          <w:sz w:val="18"/>
                          <w:szCs w:val="20"/>
                          <w:lang w:val="es-ES"/>
                        </w:rPr>
                        <w:t>15</w:t>
                      </w:r>
                      <w:r w:rsidRPr="00D908E5">
                        <w:rPr>
                          <w:rFonts w:ascii="Cambria" w:hAnsi="Cambria"/>
                          <w:color w:val="0D0D0D"/>
                          <w:sz w:val="18"/>
                          <w:szCs w:val="20"/>
                          <w:lang w:val="es-ES"/>
                        </w:rPr>
                        <w:t xml:space="preserve"> de </w:t>
                      </w:r>
                      <w:r w:rsidR="00417A1E">
                        <w:rPr>
                          <w:rFonts w:ascii="Cambria" w:hAnsi="Cambria"/>
                          <w:color w:val="0D0D0D"/>
                          <w:sz w:val="18"/>
                          <w:szCs w:val="20"/>
                          <w:lang w:val="es-ES"/>
                        </w:rPr>
                        <w:t>abril de 2016</w:t>
                      </w:r>
                      <w:r w:rsidRPr="00D908E5">
                        <w:rPr>
                          <w:rFonts w:ascii="Cambria" w:hAnsi="Cambria"/>
                          <w:color w:val="0D0D0D"/>
                          <w:sz w:val="18"/>
                          <w:szCs w:val="20"/>
                          <w:lang w:val="es-ES"/>
                        </w:rPr>
                        <w:br/>
                      </w:r>
                      <w:r w:rsidR="00417A1E">
                        <w:rPr>
                          <w:rFonts w:ascii="Cambria" w:hAnsi="Cambria" w:cs="Univers"/>
                          <w:color w:val="0D0D0D"/>
                          <w:sz w:val="18"/>
                          <w:szCs w:val="20"/>
                          <w:lang w:val="es-ES_tradnl"/>
                        </w:rPr>
                        <w:t>157º</w:t>
                      </w:r>
                      <w:r w:rsidRPr="00D908E5">
                        <w:rPr>
                          <w:rFonts w:ascii="Cambria" w:hAnsi="Cambria" w:cs="Univers"/>
                          <w:color w:val="0D0D0D"/>
                          <w:sz w:val="18"/>
                          <w:szCs w:val="20"/>
                          <w:lang w:val="es-ES_tradnl"/>
                        </w:rPr>
                        <w:t xml:space="preserve"> período ordinario de sesiones</w:t>
                      </w:r>
                      <w:r w:rsidR="00417A1E">
                        <w:rPr>
                          <w:rFonts w:ascii="Cambria" w:hAnsi="Cambria" w:cs="Univers"/>
                          <w:color w:val="0D0D0D"/>
                          <w:sz w:val="18"/>
                          <w:szCs w:val="20"/>
                          <w:lang w:val="es-ES_tradnl"/>
                        </w:rPr>
                        <w:t>.</w:t>
                      </w:r>
                    </w:p>
                    <w:p w:rsidR="009E61C6" w:rsidRPr="00D908E5" w:rsidRDefault="009E61C6"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9E61C6" w:rsidRPr="00D908E5" w:rsidRDefault="009E61C6"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18"/>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18"/>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18"/>
          <w:szCs w:val="22"/>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18"/>
          <w:szCs w:val="22"/>
          <w:lang w:val="es-ES_tradnl"/>
        </w:rPr>
      </w:pPr>
    </w:p>
    <w:p w:rsidR="009E61C6" w:rsidRPr="00710DFD" w:rsidRDefault="001F47E8"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18"/>
          <w:szCs w:val="22"/>
          <w:lang w:val="es-ES_tradnl"/>
        </w:rPr>
      </w:pPr>
      <w:r w:rsidRPr="00710DFD">
        <w:rPr>
          <w:noProof/>
        </w:rPr>
        <mc:AlternateContent>
          <mc:Choice Requires="wps">
            <w:drawing>
              <wp:anchor distT="0" distB="0" distL="114300" distR="114300" simplePos="0" relativeHeight="251659264" behindDoc="0" locked="0" layoutInCell="1" allowOverlap="1" wp14:anchorId="293757D9" wp14:editId="4B31F63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1C6" w:rsidRPr="00D908E5" w:rsidRDefault="009E61C6"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417A1E">
                              <w:rPr>
                                <w:rFonts w:ascii="Cambria" w:hAnsi="Cambria"/>
                                <w:b/>
                                <w:color w:val="595959"/>
                                <w:sz w:val="18"/>
                                <w:szCs w:val="18"/>
                                <w:lang w:val="es-ES"/>
                              </w:rPr>
                              <w:t>Citar como:</w:t>
                            </w:r>
                            <w:r w:rsidRPr="00417A1E">
                              <w:rPr>
                                <w:rFonts w:ascii="Cambria" w:hAnsi="Cambria"/>
                                <w:color w:val="595959"/>
                                <w:sz w:val="18"/>
                                <w:szCs w:val="18"/>
                                <w:lang w:val="es-ES"/>
                              </w:rPr>
                              <w:t xml:space="preserve"> CIDH, Informe No. </w:t>
                            </w:r>
                            <w:r w:rsidR="00417A1E">
                              <w:rPr>
                                <w:rFonts w:ascii="Cambria" w:hAnsi="Cambria"/>
                                <w:color w:val="595959"/>
                                <w:sz w:val="18"/>
                                <w:szCs w:val="18"/>
                                <w:lang w:val="es-ES_tradnl"/>
                              </w:rPr>
                              <w:t>19/16, Petición 3546-02</w:t>
                            </w:r>
                            <w:r w:rsidRPr="00D908E5">
                              <w:rPr>
                                <w:rFonts w:ascii="Cambria" w:hAnsi="Cambria"/>
                                <w:color w:val="595959"/>
                                <w:sz w:val="18"/>
                                <w:szCs w:val="18"/>
                                <w:lang w:val="es-ES_tradnl"/>
                              </w:rPr>
                              <w:t>.</w:t>
                            </w:r>
                            <w:r w:rsidR="00417A1E">
                              <w:rPr>
                                <w:rFonts w:ascii="Cambria" w:hAnsi="Cambria"/>
                                <w:color w:val="595959"/>
                                <w:sz w:val="18"/>
                                <w:szCs w:val="18"/>
                                <w:lang w:val="es-ES_tradnl"/>
                              </w:rPr>
                              <w:t xml:space="preserve"> Admisibilidad. Galo Roberto Matute Robles y familia. Ecuador</w:t>
                            </w:r>
                            <w:r w:rsidRPr="00D908E5">
                              <w:rPr>
                                <w:rFonts w:ascii="Cambria" w:hAnsi="Cambria"/>
                                <w:color w:val="595959"/>
                                <w:sz w:val="18"/>
                                <w:szCs w:val="18"/>
                                <w:lang w:val="es-ES_tradnl"/>
                              </w:rPr>
                              <w:t xml:space="preserve">. </w:t>
                            </w:r>
                            <w:r w:rsidR="00417A1E">
                              <w:rPr>
                                <w:rFonts w:ascii="Cambria" w:hAnsi="Cambria"/>
                                <w:color w:val="595959"/>
                                <w:sz w:val="18"/>
                                <w:szCs w:val="18"/>
                                <w:lang w:val="es-ES"/>
                              </w:rPr>
                              <w:t>15 de abril de 2016</w:t>
                            </w:r>
                            <w:r w:rsidRPr="00D908E5">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9E61C6" w:rsidRPr="00D908E5" w:rsidRDefault="009E61C6"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417A1E">
                        <w:rPr>
                          <w:rFonts w:ascii="Cambria" w:hAnsi="Cambria"/>
                          <w:b/>
                          <w:color w:val="595959"/>
                          <w:sz w:val="18"/>
                          <w:szCs w:val="18"/>
                          <w:lang w:val="es-ES"/>
                        </w:rPr>
                        <w:t>Citar como:</w:t>
                      </w:r>
                      <w:r w:rsidRPr="00417A1E">
                        <w:rPr>
                          <w:rFonts w:ascii="Cambria" w:hAnsi="Cambria"/>
                          <w:color w:val="595959"/>
                          <w:sz w:val="18"/>
                          <w:szCs w:val="18"/>
                          <w:lang w:val="es-ES"/>
                        </w:rPr>
                        <w:t xml:space="preserve"> CIDH, Informe No. </w:t>
                      </w:r>
                      <w:r w:rsidR="00417A1E">
                        <w:rPr>
                          <w:rFonts w:ascii="Cambria" w:hAnsi="Cambria"/>
                          <w:color w:val="595959"/>
                          <w:sz w:val="18"/>
                          <w:szCs w:val="18"/>
                          <w:lang w:val="es-ES_tradnl"/>
                        </w:rPr>
                        <w:t>19/16, Petición 3546-02</w:t>
                      </w:r>
                      <w:r w:rsidRPr="00D908E5">
                        <w:rPr>
                          <w:rFonts w:ascii="Cambria" w:hAnsi="Cambria"/>
                          <w:color w:val="595959"/>
                          <w:sz w:val="18"/>
                          <w:szCs w:val="18"/>
                          <w:lang w:val="es-ES_tradnl"/>
                        </w:rPr>
                        <w:t>.</w:t>
                      </w:r>
                      <w:r w:rsidR="00417A1E">
                        <w:rPr>
                          <w:rFonts w:ascii="Cambria" w:hAnsi="Cambria"/>
                          <w:color w:val="595959"/>
                          <w:sz w:val="18"/>
                          <w:szCs w:val="18"/>
                          <w:lang w:val="es-ES_tradnl"/>
                        </w:rPr>
                        <w:t xml:space="preserve"> Admisibilidad. Galo Roberto Matute Robles y familia. Ecuador</w:t>
                      </w:r>
                      <w:r w:rsidRPr="00D908E5">
                        <w:rPr>
                          <w:rFonts w:ascii="Cambria" w:hAnsi="Cambria"/>
                          <w:color w:val="595959"/>
                          <w:sz w:val="18"/>
                          <w:szCs w:val="18"/>
                          <w:lang w:val="es-ES_tradnl"/>
                        </w:rPr>
                        <w:t xml:space="preserve">. </w:t>
                      </w:r>
                      <w:r w:rsidR="00417A1E">
                        <w:rPr>
                          <w:rFonts w:ascii="Cambria" w:hAnsi="Cambria"/>
                          <w:color w:val="595959"/>
                          <w:sz w:val="18"/>
                          <w:szCs w:val="18"/>
                          <w:lang w:val="es-ES"/>
                        </w:rPr>
                        <w:t>15 de abril de 2016</w:t>
                      </w:r>
                      <w:r w:rsidRPr="00D908E5">
                        <w:rPr>
                          <w:rFonts w:ascii="Cambria" w:hAnsi="Cambria"/>
                          <w:color w:val="595959"/>
                          <w:sz w:val="18"/>
                          <w:szCs w:val="18"/>
                          <w:lang w:val="es-ES"/>
                        </w:rPr>
                        <w:t>.</w:t>
                      </w:r>
                    </w:p>
                  </w:txbxContent>
                </v:textbox>
              </v:shape>
            </w:pict>
          </mc:Fallback>
        </mc:AlternateConten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sz w:val="18"/>
          <w:szCs w:val="22"/>
          <w:lang w:val="es-ES_tradnl"/>
        </w:rPr>
      </w:pPr>
    </w:p>
    <w:p w:rsidR="009E61C6" w:rsidRPr="00710DFD" w:rsidRDefault="001F47E8"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b/>
          <w:sz w:val="20"/>
          <w:lang w:val="es-ES_tradnl"/>
        </w:rPr>
      </w:pPr>
      <w:r w:rsidRPr="00710DFD">
        <w:rPr>
          <w:noProof/>
        </w:rPr>
        <mc:AlternateContent>
          <mc:Choice Requires="wps">
            <w:drawing>
              <wp:anchor distT="0" distB="0" distL="114300" distR="114300" simplePos="0" relativeHeight="251660288" behindDoc="0" locked="0" layoutInCell="1" allowOverlap="1" wp14:anchorId="56BFD31B" wp14:editId="181289F4">
                <wp:simplePos x="0" y="0"/>
                <wp:positionH relativeFrom="column">
                  <wp:posOffset>1329690</wp:posOffset>
                </wp:positionH>
                <wp:positionV relativeFrom="paragraph">
                  <wp:posOffset>638810</wp:posOffset>
                </wp:positionV>
                <wp:extent cx="4096385" cy="567055"/>
                <wp:effectExtent l="0" t="635" r="3175"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E61C6" w:rsidRPr="00D908E5" w:rsidRDefault="001F47E8"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43810984" wp14:editId="4856E212">
                                  <wp:extent cx="1322705" cy="354965"/>
                                  <wp:effectExtent l="0" t="0" r="0" b="698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2705" cy="3549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9E61C6" w:rsidRPr="00D908E5" w:rsidRDefault="001F47E8"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43810984" wp14:editId="4856E212">
                            <wp:extent cx="1322705" cy="354965"/>
                            <wp:effectExtent l="0" t="0" r="0" b="698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2705" cy="354965"/>
                                    </a:xfrm>
                                    <a:prstGeom prst="rect">
                                      <a:avLst/>
                                    </a:prstGeom>
                                    <a:noFill/>
                                    <a:ln>
                                      <a:noFill/>
                                    </a:ln>
                                  </pic:spPr>
                                </pic:pic>
                              </a:graphicData>
                            </a:graphic>
                          </wp:inline>
                        </w:drawing>
                      </w:r>
                    </w:p>
                  </w:txbxContent>
                </v:textbox>
              </v:shape>
            </w:pict>
          </mc:Fallback>
        </mc:AlternateContent>
      </w:r>
      <w:r w:rsidRPr="00710DFD">
        <w:rPr>
          <w:noProof/>
        </w:rPr>
        <mc:AlternateContent>
          <mc:Choice Requires="wps">
            <w:drawing>
              <wp:anchor distT="0" distB="0" distL="114300" distR="114300" simplePos="0" relativeHeight="251661312" behindDoc="0" locked="0" layoutInCell="1" allowOverlap="1" wp14:anchorId="1A4312A3" wp14:editId="1A2EA526">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1C6" w:rsidRPr="00D908E5" w:rsidRDefault="009E61C6"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D908E5">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9E61C6" w:rsidRPr="00D908E5" w:rsidRDefault="009E61C6"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D908E5">
                        <w:rPr>
                          <w:rFonts w:ascii="Calibri" w:hAnsi="Calibri"/>
                          <w:b/>
                          <w:color w:val="FFFFFF"/>
                          <w:lang w:val="pt-BR"/>
                        </w:rPr>
                        <w:t>www.cidh.org</w:t>
                      </w:r>
                    </w:p>
                  </w:txbxContent>
                </v:textbox>
              </v:shape>
            </w:pict>
          </mc:Fallback>
        </mc:AlternateConten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ind w:firstLine="720"/>
        <w:jc w:val="both"/>
        <w:rPr>
          <w:rFonts w:ascii="Cambria" w:hAnsi="Cambria"/>
          <w:b/>
          <w:sz w:val="20"/>
          <w:lang w:val="es-ES_tradnl"/>
        </w:rPr>
        <w:sectPr w:rsidR="009E61C6" w:rsidRPr="00710DFD" w:rsidSect="007C2A30">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440" w:right="1440" w:bottom="1440" w:left="1440" w:header="720" w:footer="720" w:gutter="0"/>
          <w:pgNumType w:start="0"/>
          <w:cols w:space="720"/>
          <w:titlePg/>
          <w:docGrid w:linePitch="326"/>
        </w:sectPr>
      </w:pPr>
    </w:p>
    <w:p w:rsidR="009E61C6" w:rsidRPr="00821716"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18"/>
          <w:lang w:val="es-ES_tradnl"/>
        </w:rPr>
      </w:pPr>
      <w:r w:rsidRPr="00821716">
        <w:rPr>
          <w:rFonts w:ascii="Cambria" w:hAnsi="Cambria"/>
          <w:b/>
          <w:sz w:val="18"/>
          <w:szCs w:val="18"/>
          <w:lang w:val="es-ES_tradnl"/>
        </w:rPr>
        <w:lastRenderedPageBreak/>
        <w:t xml:space="preserve">INFORME No. </w:t>
      </w:r>
      <w:r w:rsidR="00417A1E" w:rsidRPr="00821716">
        <w:rPr>
          <w:rFonts w:ascii="Cambria" w:hAnsi="Cambria"/>
          <w:b/>
          <w:sz w:val="18"/>
          <w:szCs w:val="18"/>
          <w:lang w:val="es-ES_tradnl"/>
        </w:rPr>
        <w:t>19</w:t>
      </w:r>
      <w:r w:rsidRPr="00821716">
        <w:rPr>
          <w:rFonts w:ascii="Cambria" w:hAnsi="Cambria"/>
          <w:b/>
          <w:sz w:val="18"/>
          <w:szCs w:val="18"/>
          <w:lang w:val="es-ES_tradnl"/>
        </w:rPr>
        <w:t>/</w:t>
      </w:r>
      <w:r w:rsidR="005469F0" w:rsidRPr="00821716">
        <w:rPr>
          <w:rFonts w:ascii="Cambria" w:hAnsi="Cambria"/>
          <w:b/>
          <w:sz w:val="18"/>
          <w:szCs w:val="18"/>
          <w:lang w:val="es-ES_tradnl"/>
        </w:rPr>
        <w:t>16</w:t>
      </w:r>
    </w:p>
    <w:p w:rsidR="009E61C6" w:rsidRPr="00821716"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18"/>
          <w:lang w:val="es-ES_tradnl"/>
        </w:rPr>
      </w:pPr>
      <w:r w:rsidRPr="00821716">
        <w:rPr>
          <w:rFonts w:ascii="Cambria" w:hAnsi="Cambria"/>
          <w:b/>
          <w:sz w:val="18"/>
          <w:szCs w:val="18"/>
          <w:lang w:val="es-ES_tradnl"/>
        </w:rPr>
        <w:t>PETICIÓN 3546-02</w:t>
      </w:r>
    </w:p>
    <w:p w:rsidR="009E61C6" w:rsidRPr="00821716"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18"/>
          <w:lang w:val="es-ES_tradnl"/>
        </w:rPr>
      </w:pPr>
      <w:r w:rsidRPr="00821716">
        <w:rPr>
          <w:rFonts w:ascii="Cambria" w:hAnsi="Cambria"/>
          <w:sz w:val="18"/>
          <w:szCs w:val="18"/>
          <w:lang w:val="es-ES_tradnl"/>
        </w:rPr>
        <w:t>INFORME DE ADMISIBILIDAD</w:t>
      </w:r>
    </w:p>
    <w:p w:rsidR="009E61C6" w:rsidRPr="00821716"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18"/>
          <w:lang w:val="es-ES_tradnl"/>
        </w:rPr>
      </w:pPr>
      <w:r w:rsidRPr="00821716">
        <w:rPr>
          <w:rFonts w:ascii="Cambria" w:hAnsi="Cambria"/>
          <w:sz w:val="18"/>
          <w:szCs w:val="18"/>
          <w:lang w:val="es-ES_tradnl"/>
        </w:rPr>
        <w:t>GALO ROBERTO MATUTE ROBLES</w:t>
      </w:r>
      <w:r w:rsidR="00DF2D97" w:rsidRPr="00821716">
        <w:rPr>
          <w:rFonts w:ascii="Cambria" w:hAnsi="Cambria"/>
          <w:sz w:val="18"/>
          <w:szCs w:val="18"/>
          <w:lang w:val="es-ES_tradnl"/>
        </w:rPr>
        <w:t xml:space="preserve"> Y FAMILIA</w:t>
      </w:r>
    </w:p>
    <w:p w:rsidR="009E61C6" w:rsidRPr="00821716"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18"/>
          <w:lang w:val="es-ES_tradnl"/>
        </w:rPr>
      </w:pPr>
      <w:r w:rsidRPr="00821716">
        <w:rPr>
          <w:rFonts w:ascii="Cambria" w:hAnsi="Cambria"/>
          <w:sz w:val="18"/>
          <w:szCs w:val="18"/>
          <w:lang w:val="es-ES_tradnl"/>
        </w:rPr>
        <w:t>ECUADOR</w:t>
      </w:r>
    </w:p>
    <w:p w:rsidR="009E61C6" w:rsidRPr="00821716" w:rsidRDefault="00417A1E"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18"/>
          <w:lang w:val="es-ES_tradnl"/>
        </w:rPr>
      </w:pPr>
      <w:r w:rsidRPr="00821716">
        <w:rPr>
          <w:rFonts w:ascii="Cambria" w:hAnsi="Cambria"/>
          <w:sz w:val="18"/>
          <w:szCs w:val="18"/>
          <w:lang w:val="es-ES_tradnl"/>
        </w:rPr>
        <w:t>15 DE ABRIL DE 2016</w:t>
      </w:r>
    </w:p>
    <w:p w:rsidR="009E61C6"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20"/>
          <w:szCs w:val="20"/>
          <w:lang w:val="es-ES_tradnl"/>
        </w:rPr>
      </w:pPr>
    </w:p>
    <w:p w:rsidR="00417A1E" w:rsidRPr="00710DFD" w:rsidRDefault="00417A1E"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20"/>
          <w:szCs w:val="20"/>
          <w:lang w:val="es-ES_tradnl"/>
        </w:rPr>
      </w:pP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710DFD">
        <w:rPr>
          <w:rFonts w:ascii="Cambria" w:hAnsi="Cambria"/>
          <w:b/>
          <w:bCs/>
          <w:sz w:val="20"/>
          <w:szCs w:val="20"/>
          <w:lang w:val="es-UY"/>
        </w:rPr>
        <w:t>I.</w:t>
      </w:r>
      <w:r w:rsidRPr="00710DFD">
        <w:rPr>
          <w:rFonts w:ascii="Cambria" w:hAnsi="Cambria"/>
          <w:b/>
          <w:bCs/>
          <w:sz w:val="20"/>
          <w:szCs w:val="20"/>
          <w:lang w:val="es-UY"/>
        </w:rPr>
        <w:tab/>
        <w:t>RESUMEN</w:t>
      </w:r>
    </w:p>
    <w:p w:rsidR="009E61C6" w:rsidRPr="00710DFD" w:rsidRDefault="00547888"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sz w:val="20"/>
          <w:szCs w:val="20"/>
          <w:lang w:val="es-UY"/>
        </w:rPr>
        <w:t>El 16</w:t>
      </w:r>
      <w:r w:rsidR="009E61C6" w:rsidRPr="00710DFD">
        <w:rPr>
          <w:rFonts w:ascii="Cambria" w:hAnsi="Cambria"/>
          <w:sz w:val="20"/>
          <w:szCs w:val="20"/>
          <w:lang w:val="es-UY"/>
        </w:rPr>
        <w:t xml:space="preserve"> de </w:t>
      </w:r>
      <w:r w:rsidRPr="00710DFD">
        <w:rPr>
          <w:rFonts w:ascii="Cambria" w:hAnsi="Cambria"/>
          <w:sz w:val="20"/>
          <w:szCs w:val="20"/>
          <w:lang w:val="es-UY"/>
        </w:rPr>
        <w:t>agosto</w:t>
      </w:r>
      <w:r w:rsidR="009E61C6" w:rsidRPr="00710DFD">
        <w:rPr>
          <w:rFonts w:ascii="Cambria" w:hAnsi="Cambria"/>
          <w:sz w:val="20"/>
          <w:szCs w:val="20"/>
          <w:lang w:val="es-UY"/>
        </w:rPr>
        <w:t xml:space="preserve"> de 2002  la Comisión Interamericana de Derechos Humanos (en adelante, “la Comisión Interamericana”, “la Comisión” o “la CIDH”) recibió una petición presentada por Enry Salin Alcívar Zambrano (en adelante, “el peticionario”) contra </w:t>
      </w:r>
      <w:r w:rsidR="00C02F3D" w:rsidRPr="00710DFD">
        <w:rPr>
          <w:rFonts w:ascii="Cambria" w:hAnsi="Cambria"/>
          <w:sz w:val="20"/>
          <w:szCs w:val="20"/>
          <w:lang w:val="es-UY"/>
        </w:rPr>
        <w:t xml:space="preserve">la </w:t>
      </w:r>
      <w:r w:rsidR="009E61C6" w:rsidRPr="00710DFD">
        <w:rPr>
          <w:rFonts w:ascii="Cambria" w:hAnsi="Cambria"/>
          <w:sz w:val="20"/>
          <w:szCs w:val="20"/>
          <w:lang w:val="es-UY"/>
        </w:rPr>
        <w:t xml:space="preserve">República del Ecuador (en adelante, “Ecuador” o “el Estado”), en representación de Galo Roberto Matute Robles (en adelante, “la presunta víctima” o “el Sr. Matute Robles”). El peticionario aduce la responsabilidad internacional del Estado en atención a que el 28 de febrero de 1990 la presunta </w:t>
      </w:r>
      <w:r w:rsidR="00BC79AF" w:rsidRPr="00710DFD">
        <w:rPr>
          <w:rFonts w:ascii="Cambria" w:hAnsi="Cambria"/>
          <w:sz w:val="20"/>
          <w:szCs w:val="20"/>
          <w:lang w:val="es-UY"/>
        </w:rPr>
        <w:t>víctima</w:t>
      </w:r>
      <w:r w:rsidR="00790142" w:rsidRPr="00710DFD">
        <w:rPr>
          <w:rFonts w:ascii="Cambria" w:hAnsi="Cambria"/>
          <w:sz w:val="20"/>
          <w:szCs w:val="20"/>
          <w:lang w:val="es-UY"/>
        </w:rPr>
        <w:t xml:space="preserve"> quedó</w:t>
      </w:r>
      <w:r w:rsidR="009E61C6" w:rsidRPr="00710DFD">
        <w:rPr>
          <w:rFonts w:ascii="Cambria" w:hAnsi="Cambria"/>
          <w:sz w:val="20"/>
          <w:szCs w:val="20"/>
          <w:lang w:val="es-UY"/>
        </w:rPr>
        <w:t xml:space="preserve"> parapléjica a raíz de dos impactos de bala presuntamente propinados por un agente de la policía en el contexto de una manifestación social. El peticionario alega además que las autoridades competentes </w:t>
      </w:r>
      <w:r w:rsidR="00790142" w:rsidRPr="00710DFD">
        <w:rPr>
          <w:rFonts w:ascii="Cambria" w:hAnsi="Cambria"/>
          <w:sz w:val="20"/>
          <w:szCs w:val="20"/>
          <w:lang w:val="es-UY"/>
        </w:rPr>
        <w:t>no investigaron</w:t>
      </w:r>
      <w:r w:rsidR="009E61C6" w:rsidRPr="00710DFD">
        <w:rPr>
          <w:rFonts w:ascii="Cambria" w:hAnsi="Cambria"/>
          <w:sz w:val="20"/>
          <w:szCs w:val="20"/>
          <w:lang w:val="es-UY"/>
        </w:rPr>
        <w:t xml:space="preserve"> de oficio estos hechos ni </w:t>
      </w:r>
      <w:r w:rsidR="00790142" w:rsidRPr="00710DFD">
        <w:rPr>
          <w:rFonts w:ascii="Cambria" w:hAnsi="Cambria"/>
          <w:sz w:val="20"/>
          <w:szCs w:val="20"/>
          <w:lang w:val="es-UY"/>
        </w:rPr>
        <w:t>repararon</w:t>
      </w:r>
      <w:r w:rsidR="009E61C6" w:rsidRPr="00710DFD">
        <w:rPr>
          <w:rFonts w:ascii="Cambria" w:hAnsi="Cambria"/>
          <w:sz w:val="20"/>
          <w:szCs w:val="20"/>
          <w:lang w:val="es-UY"/>
        </w:rPr>
        <w:t xml:space="preserve"> al Sr. Matute Robles.</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Cambria" w:eastAsia="SimSun" w:hAnsi="Cambria"/>
          <w:sz w:val="20"/>
          <w:szCs w:val="20"/>
          <w:lang w:val="es-UY"/>
        </w:rPr>
        <w:t xml:space="preserve">El peticionario alega la violación por parte del Estado de los derechos consagrados en los artículos 4 (derecho a la vida), 5 </w:t>
      </w:r>
      <w:r w:rsidRPr="00710DFD">
        <w:rPr>
          <w:rFonts w:ascii="Cambria" w:hAnsi="Cambria"/>
          <w:sz w:val="20"/>
          <w:szCs w:val="20"/>
          <w:lang w:val="es-UY"/>
        </w:rPr>
        <w:t>(derecho a la integridad personal)</w:t>
      </w:r>
      <w:r w:rsidRPr="00710DFD">
        <w:rPr>
          <w:rFonts w:ascii="Cambria" w:eastAsia="SimSun" w:hAnsi="Cambria"/>
          <w:sz w:val="20"/>
          <w:szCs w:val="20"/>
          <w:lang w:val="es-UY"/>
        </w:rPr>
        <w:t xml:space="preserve">, 8 </w:t>
      </w:r>
      <w:r w:rsidRPr="00710DFD">
        <w:rPr>
          <w:rFonts w:ascii="Cambria" w:hAnsi="Cambria"/>
          <w:sz w:val="20"/>
          <w:szCs w:val="20"/>
          <w:lang w:val="es-UY"/>
        </w:rPr>
        <w:t xml:space="preserve">(garantías judiciales) </w:t>
      </w:r>
      <w:r w:rsidRPr="00710DFD">
        <w:rPr>
          <w:rFonts w:ascii="Cambria" w:eastAsia="SimSun" w:hAnsi="Cambria"/>
          <w:sz w:val="20"/>
          <w:szCs w:val="20"/>
          <w:lang w:val="es-UY"/>
        </w:rPr>
        <w:t xml:space="preserve">y 25 </w:t>
      </w:r>
      <w:r w:rsidRPr="00710DFD">
        <w:rPr>
          <w:rFonts w:ascii="Cambria" w:hAnsi="Cambria"/>
          <w:sz w:val="20"/>
          <w:szCs w:val="20"/>
          <w:lang w:val="es-UY"/>
        </w:rPr>
        <w:t>(protección judicial)</w:t>
      </w:r>
      <w:r w:rsidRPr="00710DFD">
        <w:rPr>
          <w:rFonts w:ascii="Cambria" w:eastAsia="SimSun" w:hAnsi="Cambria"/>
          <w:sz w:val="20"/>
          <w:szCs w:val="20"/>
          <w:lang w:val="es-UY"/>
        </w:rPr>
        <w:t xml:space="preserve"> de la Convención Americana de Derechos Humanos </w:t>
      </w:r>
      <w:r w:rsidRPr="00710DFD">
        <w:rPr>
          <w:rFonts w:ascii="Cambria" w:hAnsi="Cambria"/>
          <w:sz w:val="20"/>
          <w:szCs w:val="20"/>
          <w:lang w:val="es-UY"/>
        </w:rPr>
        <w:t xml:space="preserve">(en adelante, “la Convención Americana” o </w:t>
      </w:r>
      <w:r w:rsidRPr="00710DFD">
        <w:rPr>
          <w:rFonts w:ascii="Cambria" w:hAnsi="Cambria"/>
          <w:color w:val="000000"/>
          <w:sz w:val="20"/>
          <w:szCs w:val="20"/>
          <w:lang w:val="es-UY"/>
        </w:rPr>
        <w:t>“la Convención”), por los daños alegadamente sufridos por la presunta víctima y por la supuesta impunidad en la cual habrían quedado estos hechos</w:t>
      </w:r>
      <w:r w:rsidRPr="00710DFD">
        <w:rPr>
          <w:rFonts w:ascii="Cambria" w:eastAsia="SimSun" w:hAnsi="Cambria"/>
          <w:sz w:val="20"/>
          <w:szCs w:val="20"/>
          <w:lang w:val="es-UY"/>
        </w:rPr>
        <w:t xml:space="preserve">. Por su parte, el Estado aduce que la petición </w:t>
      </w:r>
      <w:r w:rsidRPr="00710DFD">
        <w:rPr>
          <w:rFonts w:ascii="Cambria" w:hAnsi="Cambria"/>
          <w:sz w:val="20"/>
          <w:szCs w:val="20"/>
          <w:lang w:val="es-UY"/>
        </w:rPr>
        <w:t>no contiene hechos que constituyan violaciones a derechos establecidos en la Convención Americana; que los peticionarios pretenden que la CIDH actúe como una cuarta instancia; y que la petición no fue presentada dentro del plazo de seis meses establecido por la Convención</w:t>
      </w:r>
      <w:r w:rsidRPr="00710DFD">
        <w:rPr>
          <w:rFonts w:ascii="Cambria" w:eastAsia="SimSun" w:hAnsi="Cambria"/>
          <w:sz w:val="20"/>
          <w:szCs w:val="20"/>
          <w:lang w:val="es-UY"/>
        </w:rPr>
        <w:t>. En suma, considera que la petición no cumple con los</w:t>
      </w:r>
      <w:r w:rsidRPr="00710DFD">
        <w:rPr>
          <w:rFonts w:ascii="Cambria" w:hAnsi="Cambria"/>
          <w:sz w:val="20"/>
          <w:szCs w:val="20"/>
          <w:lang w:val="es-UY"/>
        </w:rPr>
        <w:t xml:space="preserve"> artículos 46 y 47 de la Convención Americana y solicita a la Comisión que la declare inadmisible.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ES"/>
        </w:rPr>
      </w:pPr>
      <w:r w:rsidRPr="00710DFD">
        <w:rPr>
          <w:rFonts w:ascii="Cambria" w:hAnsi="Cambria"/>
          <w:sz w:val="20"/>
          <w:szCs w:val="20"/>
          <w:lang w:val="es-UY"/>
        </w:rPr>
        <w:t xml:space="preserve">Sin prejuzgar sobre el fondo de la denuncia, tras analizar las posiciones de las partes y en cumplimiento de los requisitos previstos en los artículos 46 y 47 de la Convención Americana, la Comisión decide declarar el caso admisible a efectos del examen de los alegatos relativos a la presunta violación </w:t>
      </w:r>
      <w:r w:rsidR="009D450B" w:rsidRPr="00710DFD">
        <w:rPr>
          <w:rFonts w:ascii="Cambria" w:hAnsi="Cambria"/>
          <w:sz w:val="20"/>
          <w:szCs w:val="20"/>
          <w:lang w:val="es-UY"/>
        </w:rPr>
        <w:t xml:space="preserve">de </w:t>
      </w:r>
      <w:r w:rsidRPr="00710DFD">
        <w:rPr>
          <w:rFonts w:ascii="Cambria" w:hAnsi="Cambria"/>
          <w:sz w:val="20"/>
          <w:szCs w:val="20"/>
          <w:lang w:val="es-UY"/>
        </w:rPr>
        <w:t xml:space="preserve">los derechos consagrados en los artículos </w:t>
      </w:r>
      <w:r w:rsidR="00367B83" w:rsidRPr="00710DFD">
        <w:rPr>
          <w:rFonts w:ascii="Cambria" w:hAnsi="Cambria"/>
          <w:sz w:val="20"/>
          <w:szCs w:val="20"/>
          <w:lang w:val="es-UY"/>
        </w:rPr>
        <w:t>4</w:t>
      </w:r>
      <w:r w:rsidR="00306A62">
        <w:rPr>
          <w:rFonts w:ascii="Cambria" w:hAnsi="Cambria"/>
          <w:sz w:val="20"/>
          <w:szCs w:val="20"/>
          <w:lang w:val="es-UY"/>
        </w:rPr>
        <w:t xml:space="preserve"> (a la vida)</w:t>
      </w:r>
      <w:r w:rsidR="00367B83" w:rsidRPr="00710DFD">
        <w:rPr>
          <w:rFonts w:ascii="Cambria" w:hAnsi="Cambria"/>
          <w:sz w:val="20"/>
          <w:szCs w:val="20"/>
          <w:lang w:val="es-UY"/>
        </w:rPr>
        <w:t xml:space="preserve">, </w:t>
      </w:r>
      <w:r w:rsidRPr="00710DFD">
        <w:rPr>
          <w:rFonts w:ascii="Cambria" w:hAnsi="Cambria"/>
          <w:sz w:val="20"/>
          <w:szCs w:val="20"/>
          <w:lang w:val="es-UY"/>
        </w:rPr>
        <w:t>5</w:t>
      </w:r>
      <w:r w:rsidR="00306A62">
        <w:rPr>
          <w:rFonts w:ascii="Cambria" w:hAnsi="Cambria"/>
          <w:sz w:val="20"/>
          <w:szCs w:val="20"/>
          <w:lang w:val="es-UY"/>
        </w:rPr>
        <w:t xml:space="preserve"> (a la integridad personal)</w:t>
      </w:r>
      <w:r w:rsidRPr="00710DFD">
        <w:rPr>
          <w:rFonts w:ascii="Cambria" w:hAnsi="Cambria"/>
          <w:sz w:val="20"/>
          <w:szCs w:val="20"/>
          <w:lang w:val="es-UY"/>
        </w:rPr>
        <w:t xml:space="preserve">, 8 </w:t>
      </w:r>
      <w:r w:rsidR="00306A62">
        <w:rPr>
          <w:rFonts w:ascii="Cambria" w:hAnsi="Cambria"/>
          <w:sz w:val="20"/>
          <w:szCs w:val="20"/>
          <w:lang w:val="es-UY"/>
        </w:rPr>
        <w:t xml:space="preserve">(garantías judiciales) </w:t>
      </w:r>
      <w:r w:rsidRPr="00710DFD">
        <w:rPr>
          <w:rFonts w:ascii="Cambria" w:hAnsi="Cambria"/>
          <w:sz w:val="20"/>
          <w:szCs w:val="20"/>
          <w:lang w:val="es-UY"/>
        </w:rPr>
        <w:t xml:space="preserve">y 25 </w:t>
      </w:r>
      <w:r w:rsidR="00306A62">
        <w:rPr>
          <w:rFonts w:ascii="Cambria" w:hAnsi="Cambria"/>
          <w:sz w:val="20"/>
          <w:szCs w:val="20"/>
          <w:lang w:val="es-UY"/>
        </w:rPr>
        <w:t xml:space="preserve">(protección judicial) </w:t>
      </w:r>
      <w:r w:rsidRPr="00710DFD">
        <w:rPr>
          <w:rFonts w:ascii="Cambria" w:hAnsi="Cambria"/>
          <w:sz w:val="20"/>
          <w:szCs w:val="20"/>
          <w:lang w:val="es-UY"/>
        </w:rPr>
        <w:t>de la Convención Americana sobre Derechos Humanos en relación con el artículo 1.1 de dicho tratado. L</w:t>
      </w:r>
      <w:r w:rsidRPr="00710DFD">
        <w:rPr>
          <w:rFonts w:ascii="Cambria" w:hAnsi="Cambria"/>
          <w:sz w:val="20"/>
          <w:szCs w:val="20"/>
          <w:lang w:val="es-ES"/>
        </w:rPr>
        <w:t>a Comisión decide además notificar esta decisión a las partes, publicarla e incluirla en su Informe Anual para la Asamblea General de la OEA.</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710DFD">
        <w:rPr>
          <w:rFonts w:ascii="Cambria" w:hAnsi="Cambria"/>
          <w:b/>
          <w:bCs/>
          <w:sz w:val="20"/>
          <w:szCs w:val="20"/>
          <w:lang w:val="es-UY"/>
        </w:rPr>
        <w:t>II.</w:t>
      </w:r>
      <w:r w:rsidRPr="00710DFD">
        <w:rPr>
          <w:rFonts w:ascii="Cambria" w:hAnsi="Cambria"/>
          <w:b/>
          <w:bCs/>
          <w:sz w:val="20"/>
          <w:szCs w:val="20"/>
          <w:lang w:val="es-UY"/>
        </w:rPr>
        <w:tab/>
        <w:t>TRÁMITE ANTE LA CIDH</w:t>
      </w:r>
    </w:p>
    <w:p w:rsidR="00547888"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sz w:val="20"/>
          <w:szCs w:val="20"/>
          <w:lang w:val="es-UY"/>
        </w:rPr>
        <w:t xml:space="preserve">La CIDH recibió la petición el </w:t>
      </w:r>
      <w:r w:rsidR="00547888" w:rsidRPr="00710DFD">
        <w:rPr>
          <w:rFonts w:ascii="Cambria" w:hAnsi="Cambria"/>
          <w:sz w:val="20"/>
          <w:szCs w:val="20"/>
          <w:lang w:val="es-UY"/>
        </w:rPr>
        <w:t>16</w:t>
      </w:r>
      <w:r w:rsidRPr="00710DFD">
        <w:rPr>
          <w:rFonts w:ascii="Cambria" w:hAnsi="Cambria"/>
          <w:sz w:val="20"/>
          <w:szCs w:val="20"/>
          <w:lang w:val="es-UY"/>
        </w:rPr>
        <w:t xml:space="preserve"> de </w:t>
      </w:r>
      <w:r w:rsidR="00547888" w:rsidRPr="00710DFD">
        <w:rPr>
          <w:rFonts w:ascii="Cambria" w:hAnsi="Cambria"/>
          <w:sz w:val="20"/>
          <w:szCs w:val="20"/>
          <w:lang w:val="es-UY"/>
        </w:rPr>
        <w:t>agosto</w:t>
      </w:r>
      <w:r w:rsidRPr="00710DFD">
        <w:rPr>
          <w:rFonts w:ascii="Cambria" w:hAnsi="Cambria"/>
          <w:sz w:val="20"/>
          <w:szCs w:val="20"/>
          <w:lang w:val="es-UY"/>
        </w:rPr>
        <w:t xml:space="preserve"> de 2002</w:t>
      </w:r>
      <w:r w:rsidR="00547888" w:rsidRPr="00710DFD">
        <w:rPr>
          <w:rFonts w:ascii="Cambria" w:hAnsi="Cambria"/>
          <w:sz w:val="20"/>
          <w:szCs w:val="20"/>
          <w:lang w:val="es-UY"/>
        </w:rPr>
        <w:t>,</w:t>
      </w:r>
      <w:r w:rsidRPr="00710DFD">
        <w:rPr>
          <w:rFonts w:ascii="Cambria" w:hAnsi="Cambria"/>
          <w:sz w:val="20"/>
          <w:szCs w:val="20"/>
          <w:lang w:val="es-UY"/>
        </w:rPr>
        <w:t xml:space="preserve"> y</w:t>
      </w:r>
      <w:r w:rsidR="00547888" w:rsidRPr="00710DFD">
        <w:rPr>
          <w:rFonts w:ascii="Cambria" w:hAnsi="Cambria"/>
          <w:sz w:val="20"/>
          <w:szCs w:val="20"/>
          <w:lang w:val="es-UY"/>
        </w:rPr>
        <w:t xml:space="preserve"> transmitió las partes pertinentes al Estado el 24 de abril de 2003, otorgándole un plazo de dos meses para someter sus observaciones, con base en el artículo 30.3 de su Reglamento entonces en vigor. </w:t>
      </w:r>
      <w:r w:rsidR="00547888" w:rsidRPr="00710DFD">
        <w:rPr>
          <w:rFonts w:ascii="Cambria" w:hAnsi="Cambria"/>
          <w:bCs/>
          <w:sz w:val="20"/>
          <w:szCs w:val="20"/>
          <w:lang w:val="es-PE"/>
        </w:rPr>
        <w:t xml:space="preserve">El </w:t>
      </w:r>
      <w:r w:rsidR="00547888" w:rsidRPr="00710DFD">
        <w:rPr>
          <w:rFonts w:ascii="Cambria" w:hAnsi="Cambria"/>
          <w:sz w:val="20"/>
          <w:szCs w:val="20"/>
          <w:lang w:val="es-UY"/>
        </w:rPr>
        <w:t>17 de junio de 2003</w:t>
      </w:r>
      <w:r w:rsidR="00547888" w:rsidRPr="00710DFD">
        <w:rPr>
          <w:rFonts w:ascii="Cambria" w:hAnsi="Cambria"/>
          <w:bCs/>
          <w:sz w:val="20"/>
          <w:szCs w:val="20"/>
          <w:lang w:val="es-PE"/>
        </w:rPr>
        <w:t xml:space="preserve"> se recibió la respuesta del Estado.</w:t>
      </w:r>
    </w:p>
    <w:p w:rsidR="00A579B3"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color w:val="000000"/>
          <w:sz w:val="20"/>
          <w:szCs w:val="20"/>
          <w:lang w:val="es-UY"/>
        </w:rPr>
        <w:t>El</w:t>
      </w:r>
      <w:r w:rsidRPr="00710DFD">
        <w:rPr>
          <w:rFonts w:ascii="Cambria" w:hAnsi="Cambria"/>
          <w:color w:val="FF0000"/>
          <w:sz w:val="20"/>
          <w:szCs w:val="20"/>
          <w:lang w:val="es-ES"/>
        </w:rPr>
        <w:t xml:space="preserve"> </w:t>
      </w:r>
      <w:r w:rsidRPr="00710DFD">
        <w:rPr>
          <w:rFonts w:ascii="Cambria" w:hAnsi="Cambria"/>
          <w:color w:val="000000"/>
          <w:sz w:val="20"/>
          <w:szCs w:val="20"/>
          <w:lang w:val="es-ES"/>
        </w:rPr>
        <w:t>peticionario</w:t>
      </w:r>
      <w:r w:rsidRPr="00710DFD">
        <w:rPr>
          <w:rFonts w:ascii="Cambria" w:hAnsi="Cambria"/>
          <w:color w:val="FF0000"/>
          <w:sz w:val="20"/>
          <w:szCs w:val="20"/>
          <w:lang w:val="es-ES"/>
        </w:rPr>
        <w:t xml:space="preserve"> </w:t>
      </w:r>
      <w:r w:rsidRPr="00710DFD">
        <w:rPr>
          <w:rFonts w:ascii="Cambria" w:hAnsi="Cambria"/>
          <w:color w:val="000000"/>
          <w:sz w:val="20"/>
          <w:szCs w:val="20"/>
          <w:lang w:val="es-ES"/>
        </w:rPr>
        <w:t>presentó</w:t>
      </w:r>
      <w:r w:rsidRPr="00710DFD">
        <w:rPr>
          <w:rFonts w:ascii="Cambria" w:hAnsi="Cambria"/>
          <w:color w:val="FF0000"/>
          <w:sz w:val="20"/>
          <w:szCs w:val="20"/>
          <w:lang w:val="es-ES"/>
        </w:rPr>
        <w:t xml:space="preserve"> </w:t>
      </w:r>
      <w:r w:rsidRPr="00710DFD">
        <w:rPr>
          <w:rFonts w:ascii="Cambria" w:hAnsi="Cambria"/>
          <w:color w:val="000000"/>
          <w:sz w:val="20"/>
          <w:szCs w:val="20"/>
          <w:lang w:val="es-ES"/>
        </w:rPr>
        <w:t xml:space="preserve">observaciones adicionales el </w:t>
      </w:r>
      <w:r w:rsidR="00547888" w:rsidRPr="00710DFD">
        <w:rPr>
          <w:rFonts w:ascii="Cambria" w:hAnsi="Cambria"/>
          <w:color w:val="000000"/>
          <w:sz w:val="20"/>
          <w:szCs w:val="20"/>
          <w:lang w:val="es-ES"/>
        </w:rPr>
        <w:t>8 de septiem</w:t>
      </w:r>
      <w:r w:rsidR="004E6374" w:rsidRPr="00710DFD">
        <w:rPr>
          <w:rFonts w:ascii="Cambria" w:hAnsi="Cambria"/>
          <w:color w:val="000000"/>
          <w:sz w:val="20"/>
          <w:szCs w:val="20"/>
          <w:lang w:val="es-ES"/>
        </w:rPr>
        <w:t>bre de 2005 y</w:t>
      </w:r>
      <w:r w:rsidR="00547888" w:rsidRPr="00710DFD">
        <w:rPr>
          <w:rFonts w:ascii="Cambria" w:hAnsi="Cambria"/>
          <w:color w:val="000000"/>
          <w:sz w:val="20"/>
          <w:szCs w:val="20"/>
          <w:lang w:val="es-ES"/>
        </w:rPr>
        <w:t xml:space="preserve"> </w:t>
      </w:r>
      <w:r w:rsidR="004E6374" w:rsidRPr="00710DFD">
        <w:rPr>
          <w:rFonts w:ascii="Cambria" w:hAnsi="Cambria"/>
          <w:color w:val="000000"/>
          <w:sz w:val="20"/>
          <w:szCs w:val="20"/>
          <w:lang w:val="es-ES"/>
        </w:rPr>
        <w:t>el 3 de abril de 2006</w:t>
      </w:r>
      <w:r w:rsidR="00A579B3" w:rsidRPr="00710DFD">
        <w:rPr>
          <w:rFonts w:ascii="Cambria" w:hAnsi="Cambria"/>
          <w:color w:val="000000"/>
          <w:sz w:val="20"/>
          <w:szCs w:val="20"/>
          <w:lang w:val="es-ES"/>
        </w:rPr>
        <w:t>, las cuales fueron debidamente trasladadas al Estado</w:t>
      </w:r>
      <w:r w:rsidRPr="00710DFD">
        <w:rPr>
          <w:rFonts w:ascii="Cambria" w:hAnsi="Cambria"/>
          <w:bCs/>
          <w:sz w:val="20"/>
          <w:szCs w:val="20"/>
          <w:lang w:val="es-PE"/>
        </w:rPr>
        <w:t xml:space="preserve">. </w:t>
      </w:r>
      <w:r w:rsidR="00A579B3" w:rsidRPr="00710DFD">
        <w:rPr>
          <w:rFonts w:ascii="Cambria" w:hAnsi="Cambria"/>
          <w:bCs/>
          <w:sz w:val="20"/>
          <w:szCs w:val="20"/>
          <w:lang w:val="es-PE"/>
        </w:rPr>
        <w:t>El 29 de noviembre de 2010 la CIDH solicitó informac</w:t>
      </w:r>
      <w:r w:rsidR="006D6DAD" w:rsidRPr="00710DFD">
        <w:rPr>
          <w:rFonts w:ascii="Cambria" w:hAnsi="Cambria"/>
          <w:bCs/>
          <w:sz w:val="20"/>
          <w:szCs w:val="20"/>
          <w:lang w:val="es-PE"/>
        </w:rPr>
        <w:t>ión actualizada al peticionario. E</w:t>
      </w:r>
      <w:r w:rsidR="00A579B3" w:rsidRPr="00710DFD">
        <w:rPr>
          <w:rFonts w:ascii="Cambria" w:hAnsi="Cambria"/>
          <w:bCs/>
          <w:sz w:val="20"/>
          <w:szCs w:val="20"/>
          <w:lang w:val="es-PE"/>
        </w:rPr>
        <w:t xml:space="preserve">l 19 de enero de 2011 el peticionario envió una comunicación indicando que toda la información que pudo recopilar respecto de los hechos denunciados fue enviada con la petición original.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bCs/>
          <w:sz w:val="20"/>
          <w:szCs w:val="20"/>
          <w:lang w:val="es-PE"/>
        </w:rPr>
        <w:t xml:space="preserve">Por su parte, el Estado remitió observaciones adicionales el </w:t>
      </w:r>
      <w:r w:rsidR="004E6374" w:rsidRPr="00710DFD">
        <w:rPr>
          <w:rFonts w:ascii="Cambria" w:hAnsi="Cambria"/>
          <w:bCs/>
          <w:sz w:val="20"/>
          <w:szCs w:val="20"/>
          <w:lang w:val="es-PE"/>
        </w:rPr>
        <w:t xml:space="preserve">24 de enero de 2006 y el 8 de abril de 2015 (el 4 de septiembre de 2009 y el 12 de septiembre de 2014 la CIDH envió al Estado </w:t>
      </w:r>
      <w:r w:rsidR="004E6374" w:rsidRPr="00710DFD">
        <w:rPr>
          <w:rFonts w:ascii="Cambria" w:hAnsi="Cambria"/>
          <w:bCs/>
          <w:sz w:val="20"/>
          <w:szCs w:val="20"/>
          <w:lang w:val="es-PE"/>
        </w:rPr>
        <w:lastRenderedPageBreak/>
        <w:t>reiteraciones de solicitud de información)</w:t>
      </w:r>
      <w:r w:rsidRPr="00710DFD">
        <w:rPr>
          <w:rFonts w:ascii="Cambria" w:hAnsi="Cambria"/>
          <w:bCs/>
          <w:sz w:val="20"/>
          <w:szCs w:val="20"/>
          <w:lang w:val="es-PE"/>
        </w:rPr>
        <w:t xml:space="preserve">. Estas comunicaciones fueron debidamente trasladadas </w:t>
      </w:r>
      <w:r w:rsidR="00EE2446" w:rsidRPr="00710DFD">
        <w:rPr>
          <w:rFonts w:ascii="Cambria" w:hAnsi="Cambria"/>
          <w:bCs/>
          <w:sz w:val="20"/>
          <w:szCs w:val="20"/>
          <w:lang w:val="es-PE"/>
        </w:rPr>
        <w:t>al peticionario.</w:t>
      </w:r>
    </w:p>
    <w:p w:rsidR="001239A7" w:rsidRPr="00710DFD" w:rsidRDefault="001239A7"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Cambria" w:eastAsia="SimSun" w:hAnsi="Cambria"/>
          <w:sz w:val="20"/>
          <w:szCs w:val="20"/>
          <w:lang w:val="es-UY"/>
        </w:rPr>
        <w:t>En su comunicación del 15 de abril de 2015 el Estado solicita el archivo de la petición porque, a su entender</w:t>
      </w:r>
      <w:r w:rsidR="006D6DAD" w:rsidRPr="00710DFD">
        <w:rPr>
          <w:rFonts w:ascii="Cambria" w:eastAsia="SimSun" w:hAnsi="Cambria"/>
          <w:sz w:val="20"/>
          <w:szCs w:val="20"/>
          <w:lang w:val="es-UY"/>
        </w:rPr>
        <w:t>,</w:t>
      </w:r>
      <w:r w:rsidRPr="00710DFD">
        <w:rPr>
          <w:rFonts w:ascii="Cambria" w:eastAsia="SimSun" w:hAnsi="Cambria"/>
          <w:sz w:val="20"/>
          <w:szCs w:val="20"/>
          <w:lang w:val="es-UY"/>
        </w:rPr>
        <w:t xml:space="preserve"> el peticionario no había presentado información desde abril de 2006. A este respecto, la Comisión observa que</w:t>
      </w:r>
      <w:r w:rsidR="00822F87" w:rsidRPr="00710DFD">
        <w:rPr>
          <w:rFonts w:ascii="Cambria" w:eastAsia="SimSun" w:hAnsi="Cambria"/>
          <w:sz w:val="20"/>
          <w:szCs w:val="20"/>
          <w:lang w:val="es-UY"/>
        </w:rPr>
        <w:t>,</w:t>
      </w:r>
      <w:r w:rsidRPr="00710DFD">
        <w:rPr>
          <w:rFonts w:ascii="Cambria" w:eastAsia="SimSun" w:hAnsi="Cambria"/>
          <w:sz w:val="20"/>
          <w:szCs w:val="20"/>
          <w:lang w:val="es-UY"/>
        </w:rPr>
        <w:t xml:space="preserve"> </w:t>
      </w:r>
      <w:r w:rsidR="008501A0" w:rsidRPr="00710DFD">
        <w:rPr>
          <w:rFonts w:ascii="Cambria" w:eastAsia="SimSun" w:hAnsi="Cambria"/>
          <w:sz w:val="20"/>
          <w:szCs w:val="20"/>
          <w:lang w:val="es-UY"/>
        </w:rPr>
        <w:t>mientras que el Reglamento actual implica que la inactividad procesal del peticionario que indica desinterés en el proceso puede ser una causal para el archivo, en el presente asunto el peticionario ha presentado varias comunicaciones confirmando su interés en el proceso</w:t>
      </w:r>
      <w:r w:rsidRPr="00710DFD">
        <w:rPr>
          <w:rFonts w:ascii="Cambria" w:eastAsia="SimSun" w:hAnsi="Cambria"/>
          <w:sz w:val="20"/>
          <w:szCs w:val="20"/>
          <w:lang w:val="es-UY"/>
        </w:rPr>
        <w:t>.</w:t>
      </w:r>
    </w:p>
    <w:p w:rsidR="001239A7" w:rsidRPr="00710DFD" w:rsidRDefault="000B42F1"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Cambria" w:eastAsia="SimSun" w:hAnsi="Cambria"/>
          <w:sz w:val="20"/>
          <w:szCs w:val="20"/>
          <w:lang w:val="es-UY"/>
        </w:rPr>
        <w:t>C</w:t>
      </w:r>
      <w:r w:rsidR="001239A7" w:rsidRPr="00710DFD">
        <w:rPr>
          <w:rFonts w:ascii="Cambria" w:eastAsia="SimSun" w:hAnsi="Cambria"/>
          <w:sz w:val="20"/>
          <w:szCs w:val="20"/>
          <w:lang w:val="es-UY"/>
        </w:rPr>
        <w:t>omo ya se anotó, la CIDH envío al peticionario una solicitud de información actualizada el 29 de noviembre del 2010</w:t>
      </w:r>
      <w:r w:rsidR="00F337E5">
        <w:rPr>
          <w:rFonts w:ascii="Cambria" w:eastAsia="SimSun" w:hAnsi="Cambria"/>
          <w:sz w:val="20"/>
          <w:szCs w:val="20"/>
          <w:lang w:val="es-UY"/>
        </w:rPr>
        <w:t>,</w:t>
      </w:r>
      <w:r w:rsidR="001239A7" w:rsidRPr="00710DFD">
        <w:rPr>
          <w:rFonts w:ascii="Cambria" w:eastAsia="SimSun" w:hAnsi="Cambria"/>
          <w:sz w:val="20"/>
          <w:szCs w:val="20"/>
          <w:lang w:val="es-UY"/>
        </w:rPr>
        <w:t xml:space="preserve"> </w:t>
      </w:r>
      <w:r w:rsidR="00F337E5">
        <w:rPr>
          <w:rFonts w:ascii="Cambria" w:eastAsia="SimSun" w:hAnsi="Cambria"/>
          <w:sz w:val="20"/>
          <w:szCs w:val="20"/>
          <w:lang w:val="es-UY"/>
        </w:rPr>
        <w:t xml:space="preserve">a la que </w:t>
      </w:r>
      <w:r w:rsidR="001239A7" w:rsidRPr="00710DFD">
        <w:rPr>
          <w:rFonts w:ascii="Cambria" w:eastAsia="SimSun" w:hAnsi="Cambria"/>
          <w:sz w:val="20"/>
          <w:szCs w:val="20"/>
          <w:lang w:val="es-UY"/>
        </w:rPr>
        <w:t xml:space="preserve">éste respondió el 19 de enero del 2011 refiriendo que no habían cambios relevantes en los hechos planteados y solicitando una pronta resolución del caso por parte de la CIDH. Cumpliéndose así con los preceptos arriba citados. Asimismo, la Comisión recuerda que en la tramitación de casos individuales, no existe el concepto de caducidad de instancia como una medida </w:t>
      </w:r>
      <w:r w:rsidR="001239A7" w:rsidRPr="00710DFD">
        <w:rPr>
          <w:rFonts w:ascii="Cambria" w:eastAsia="SimSun" w:hAnsi="Cambria"/>
          <w:i/>
          <w:sz w:val="20"/>
          <w:szCs w:val="20"/>
          <w:lang w:val="es-UY"/>
        </w:rPr>
        <w:t>ipso jure</w:t>
      </w:r>
      <w:r w:rsidR="001239A7" w:rsidRPr="00710DFD">
        <w:rPr>
          <w:rFonts w:ascii="Cambria" w:eastAsia="SimSun" w:hAnsi="Cambria"/>
          <w:sz w:val="20"/>
          <w:szCs w:val="20"/>
          <w:lang w:val="es-UY"/>
        </w:rPr>
        <w:t>, por el mero transcurso del tiempo</w:t>
      </w:r>
      <w:r w:rsidR="001239A7" w:rsidRPr="00710DFD">
        <w:rPr>
          <w:rStyle w:val="FootnoteReference"/>
          <w:rFonts w:ascii="Cambria" w:eastAsia="SimSun" w:hAnsi="Cambria"/>
          <w:sz w:val="20"/>
          <w:szCs w:val="20"/>
          <w:lang w:val="es-UY"/>
        </w:rPr>
        <w:footnoteReference w:id="2"/>
      </w:r>
      <w:r w:rsidR="001239A7" w:rsidRPr="00710DFD">
        <w:rPr>
          <w:rFonts w:ascii="Cambria" w:eastAsia="SimSun" w:hAnsi="Cambria"/>
          <w:sz w:val="20"/>
          <w:szCs w:val="20"/>
          <w:lang w:val="es-UY"/>
        </w:rPr>
        <w:t>.</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710DFD">
        <w:rPr>
          <w:rFonts w:ascii="Cambria" w:hAnsi="Cambria"/>
          <w:b/>
          <w:bCs/>
          <w:sz w:val="20"/>
          <w:szCs w:val="20"/>
          <w:lang w:val="es-UY"/>
        </w:rPr>
        <w:t>III.</w:t>
      </w:r>
      <w:r w:rsidRPr="00710DFD">
        <w:rPr>
          <w:rFonts w:ascii="Cambria" w:hAnsi="Cambria"/>
          <w:b/>
          <w:bCs/>
          <w:sz w:val="20"/>
          <w:szCs w:val="20"/>
          <w:lang w:val="es-UY"/>
        </w:rPr>
        <w:tab/>
        <w:t>POSICIÓN DE LAS PARTES</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b/>
          <w:bCs/>
          <w:color w:val="FF0000"/>
          <w:sz w:val="20"/>
          <w:szCs w:val="20"/>
          <w:lang w:val="es-UY"/>
        </w:rPr>
      </w:pPr>
      <w:r w:rsidRPr="00710DFD">
        <w:rPr>
          <w:rFonts w:ascii="Cambria" w:hAnsi="Cambria"/>
          <w:b/>
          <w:bCs/>
          <w:sz w:val="20"/>
          <w:szCs w:val="20"/>
          <w:lang w:val="es-UY"/>
        </w:rPr>
        <w:t>A.</w:t>
      </w:r>
      <w:r w:rsidRPr="00710DFD">
        <w:rPr>
          <w:rFonts w:ascii="Cambria" w:hAnsi="Cambria"/>
          <w:b/>
          <w:bCs/>
          <w:sz w:val="20"/>
          <w:szCs w:val="20"/>
          <w:lang w:val="es-UY"/>
        </w:rPr>
        <w:tab/>
        <w:t>Posición del</w:t>
      </w:r>
      <w:r w:rsidRPr="00710DFD">
        <w:rPr>
          <w:rFonts w:ascii="Cambria" w:hAnsi="Cambria"/>
          <w:b/>
          <w:bCs/>
          <w:color w:val="FF0000"/>
          <w:sz w:val="20"/>
          <w:szCs w:val="20"/>
          <w:lang w:val="es-UY"/>
        </w:rPr>
        <w:t xml:space="preserve"> </w:t>
      </w:r>
      <w:r w:rsidRPr="00710DFD">
        <w:rPr>
          <w:rFonts w:ascii="Cambria" w:hAnsi="Cambria"/>
          <w:b/>
          <w:bCs/>
          <w:sz w:val="20"/>
          <w:szCs w:val="20"/>
          <w:lang w:val="es-UY"/>
        </w:rPr>
        <w:t>peticionario</w:t>
      </w:r>
      <w:r w:rsidRPr="00710DFD">
        <w:rPr>
          <w:rFonts w:ascii="Cambria" w:hAnsi="Cambria"/>
          <w:b/>
          <w:bCs/>
          <w:color w:val="FF0000"/>
          <w:sz w:val="20"/>
          <w:szCs w:val="20"/>
          <w:lang w:val="es-UY"/>
        </w:rPr>
        <w:t xml:space="preserve">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cs="Arial"/>
          <w:color w:val="000000"/>
          <w:sz w:val="20"/>
          <w:szCs w:val="20"/>
          <w:lang w:val="es-UY"/>
        </w:rPr>
      </w:pPr>
      <w:r w:rsidRPr="00710DFD">
        <w:rPr>
          <w:rFonts w:ascii="Cambria" w:hAnsi="Cambria"/>
          <w:sz w:val="20"/>
          <w:szCs w:val="20"/>
          <w:lang w:val="es-UY"/>
        </w:rPr>
        <w:t>El peticionario denuncia que el 28 de febrero de 1990, en el contexto de un paro general de actividades en la ciudad de Jipijapa, se produjo una manifestación social en la que participó el Sr. Galo Roberto Matute Robles. En el curso de estos hechos, un grupo de personas, entre los que se encontraban el Sr. Matute Robles, se encontró frente a un grupo de policías, qu</w:t>
      </w:r>
      <w:r w:rsidR="008E0312" w:rsidRPr="00710DFD">
        <w:rPr>
          <w:rFonts w:ascii="Cambria" w:hAnsi="Cambria"/>
          <w:sz w:val="20"/>
          <w:szCs w:val="20"/>
          <w:lang w:val="es-UY"/>
        </w:rPr>
        <w:t>ienes luego de un intento de diá</w:t>
      </w:r>
      <w:r w:rsidRPr="00710DFD">
        <w:rPr>
          <w:rFonts w:ascii="Cambria" w:hAnsi="Cambria"/>
          <w:sz w:val="20"/>
          <w:szCs w:val="20"/>
          <w:lang w:val="es-UY"/>
        </w:rPr>
        <w:t xml:space="preserve">logo, habrían comenzado a disparar y lanzar bombas lacrimógenas contra los manifestantes. El Sr. Matute Robles señala que mientras corría para refugiarse fue alcanzado por dos proyectiles de bala, cayendo al suelo sin poder volver a levantarse, al mismo tiempo que se asfixiaba por los gases lacrimógenos. En ese momento fue auxiliado y trasladado a un centro </w:t>
      </w:r>
      <w:r w:rsidR="00BC79AF" w:rsidRPr="00710DFD">
        <w:rPr>
          <w:rFonts w:ascii="Cambria" w:hAnsi="Cambria"/>
          <w:sz w:val="20"/>
          <w:szCs w:val="20"/>
          <w:lang w:val="es-UY"/>
        </w:rPr>
        <w:t>médico</w:t>
      </w:r>
      <w:r w:rsidRPr="00710DFD">
        <w:rPr>
          <w:rFonts w:ascii="Cambria" w:hAnsi="Cambria"/>
          <w:sz w:val="20"/>
          <w:szCs w:val="20"/>
          <w:lang w:val="es-UY"/>
        </w:rPr>
        <w:t xml:space="preserve"> de la localidad por personas particulares que se encontraban en el lugar de los hechos.</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cs="Arial"/>
          <w:color w:val="000000"/>
          <w:sz w:val="20"/>
          <w:szCs w:val="20"/>
          <w:lang w:val="es-UY"/>
        </w:rPr>
      </w:pPr>
      <w:r w:rsidRPr="00710DFD">
        <w:rPr>
          <w:rFonts w:ascii="Cambria" w:hAnsi="Cambria" w:cs="Arial"/>
          <w:color w:val="000000"/>
          <w:sz w:val="20"/>
          <w:szCs w:val="20"/>
          <w:lang w:val="es-UY"/>
        </w:rPr>
        <w:t xml:space="preserve">Posteriormente, el Sr. Matute Robles fue trasladado al Hospital “Luis Vernaza” de la ciudad de Guayaquil, donde habría sido dado de alta con el diagnóstico de “parálisis de las extremidades inferiores, con invalidez definitiva”, producto de los dos disparos de arma de fuego que habría recibido durante los incidentes. El Sr. Matute Robles aduce que esto le produjo daños graves a nivel personal y familiar, dado que sus padres sufrieron una severa afectación moral producto de la discapacidad que adquirió; y una importante afectación económica, debido a que tuvieron que </w:t>
      </w:r>
      <w:r w:rsidR="00750C17" w:rsidRPr="00710DFD">
        <w:rPr>
          <w:rFonts w:ascii="Cambria" w:hAnsi="Cambria" w:cs="Arial"/>
          <w:color w:val="000000"/>
          <w:sz w:val="20"/>
          <w:szCs w:val="20"/>
          <w:lang w:val="es-UY"/>
        </w:rPr>
        <w:t xml:space="preserve">hacerse cargo de </w:t>
      </w:r>
      <w:r w:rsidRPr="00710DFD">
        <w:rPr>
          <w:rFonts w:ascii="Cambria" w:hAnsi="Cambria" w:cs="Arial"/>
          <w:color w:val="000000"/>
          <w:sz w:val="20"/>
          <w:szCs w:val="20"/>
          <w:lang w:val="es-UY"/>
        </w:rPr>
        <w:t xml:space="preserve">todos los gastos asociados a su hospitalización y rehabilitación, y además, porque su futuro matrimonio se vio frustrado por su nueva condición. </w:t>
      </w:r>
      <w:r w:rsidR="00911F79" w:rsidRPr="00710DFD">
        <w:rPr>
          <w:rFonts w:ascii="Cambria" w:hAnsi="Cambria" w:cs="Arial"/>
          <w:color w:val="000000"/>
          <w:sz w:val="20"/>
          <w:szCs w:val="20"/>
          <w:lang w:val="es-UY"/>
        </w:rPr>
        <w:t>Al momento de la p</w:t>
      </w:r>
      <w:r w:rsidR="009A4564" w:rsidRPr="00710DFD">
        <w:rPr>
          <w:rFonts w:ascii="Cambria" w:hAnsi="Cambria" w:cs="Arial"/>
          <w:color w:val="000000"/>
          <w:sz w:val="20"/>
          <w:szCs w:val="20"/>
          <w:lang w:val="es-UY"/>
        </w:rPr>
        <w:t>rotesta el Sr. Matute Robles tenía 31 años de edad y estaba comenzando su vida profesional como ingeniero mecánico</w:t>
      </w:r>
      <w:r w:rsidR="00BB78FF" w:rsidRPr="00710DFD">
        <w:rPr>
          <w:rFonts w:ascii="Cambria" w:hAnsi="Cambria" w:cs="Arial"/>
          <w:color w:val="000000"/>
          <w:sz w:val="20"/>
          <w:szCs w:val="20"/>
          <w:lang w:val="es-UY"/>
        </w:rPr>
        <w:t>, quien a partir del daño sufrido ha tenido que vivir bajo el cuidado de sus padres</w:t>
      </w:r>
      <w:r w:rsidRPr="00710DFD">
        <w:rPr>
          <w:rFonts w:ascii="Cambria" w:hAnsi="Cambria" w:cs="Arial"/>
          <w:color w:val="000000"/>
          <w:sz w:val="20"/>
          <w:szCs w:val="20"/>
          <w:lang w:val="es-UY"/>
        </w:rPr>
        <w:t>.</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cs="Arial"/>
          <w:color w:val="000000"/>
          <w:sz w:val="20"/>
          <w:szCs w:val="20"/>
          <w:lang w:val="es-UY"/>
        </w:rPr>
      </w:pPr>
      <w:r w:rsidRPr="00710DFD">
        <w:rPr>
          <w:rFonts w:ascii="Cambria" w:hAnsi="Cambria" w:cs="Arial"/>
          <w:color w:val="000000"/>
          <w:sz w:val="20"/>
          <w:szCs w:val="20"/>
          <w:lang w:val="es-UY"/>
        </w:rPr>
        <w:t xml:space="preserve">A su vez, indica que su situación se vio agravada debido a que, no obstante el delito era perseguible de oficio, el Estado ecuatoriano no inició ninguna acción tendiente a individualizar y sancionar a los responsables. El peticionario alega que un parte o informe policial referente a este incidente, emitido por la policía local, </w:t>
      </w:r>
      <w:r w:rsidR="009B0F10" w:rsidRPr="00710DFD">
        <w:rPr>
          <w:rFonts w:ascii="Cambria" w:hAnsi="Cambria" w:cs="Arial"/>
          <w:color w:val="000000"/>
          <w:sz w:val="20"/>
          <w:szCs w:val="20"/>
          <w:lang w:val="es-UY"/>
        </w:rPr>
        <w:t>desapareció</w:t>
      </w:r>
      <w:r w:rsidRPr="00710DFD">
        <w:rPr>
          <w:rFonts w:ascii="Cambria" w:hAnsi="Cambria" w:cs="Arial"/>
          <w:color w:val="000000"/>
          <w:sz w:val="20"/>
          <w:szCs w:val="20"/>
          <w:lang w:val="es-UY"/>
        </w:rPr>
        <w:t xml:space="preserve"> de los archivos policiales y de la Comisaría Nacional de Policía del Cantón de Jipijapa, </w:t>
      </w:r>
      <w:r w:rsidR="009B0F10" w:rsidRPr="00710DFD">
        <w:rPr>
          <w:rFonts w:ascii="Cambria" w:hAnsi="Cambria" w:cs="Arial"/>
          <w:color w:val="000000"/>
          <w:sz w:val="20"/>
          <w:szCs w:val="20"/>
          <w:lang w:val="es-UY"/>
        </w:rPr>
        <w:t>sin que se iniciara</w:t>
      </w:r>
      <w:r w:rsidRPr="00710DFD">
        <w:rPr>
          <w:rFonts w:ascii="Cambria" w:hAnsi="Cambria" w:cs="Arial"/>
          <w:color w:val="000000"/>
          <w:sz w:val="20"/>
          <w:szCs w:val="20"/>
          <w:lang w:val="es-UY"/>
        </w:rPr>
        <w:t xml:space="preserve"> el correspondiente proceso penal. En atención a estos hechos el peticionario considera que se han vulnerado al Sr. Matute Robles las garantías al debido proceso, especialmente el derecho a </w:t>
      </w:r>
      <w:r w:rsidR="008B1FED" w:rsidRPr="00710DFD">
        <w:rPr>
          <w:rFonts w:ascii="Cambria" w:hAnsi="Cambria" w:cs="Arial"/>
          <w:color w:val="000000"/>
          <w:sz w:val="20"/>
          <w:szCs w:val="20"/>
          <w:lang w:val="es-UY"/>
        </w:rPr>
        <w:t xml:space="preserve">tener el caso investigado y </w:t>
      </w:r>
      <w:r w:rsidRPr="00710DFD">
        <w:rPr>
          <w:rFonts w:ascii="Cambria" w:hAnsi="Cambria" w:cs="Arial"/>
          <w:color w:val="000000"/>
          <w:sz w:val="20"/>
          <w:szCs w:val="20"/>
          <w:lang w:val="es-UY"/>
        </w:rPr>
        <w:t xml:space="preserve"> juzgado dentro de un plazo razonable, lo que a su juicio configura un cuadro de denegación de justicia.</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cs="Arial"/>
          <w:color w:val="000000"/>
          <w:sz w:val="20"/>
          <w:szCs w:val="20"/>
          <w:lang w:val="es-UY"/>
        </w:rPr>
      </w:pPr>
      <w:r w:rsidRPr="00710DFD">
        <w:rPr>
          <w:rFonts w:ascii="Cambria" w:hAnsi="Cambria" w:cs="Arial"/>
          <w:color w:val="000000"/>
          <w:sz w:val="20"/>
          <w:szCs w:val="20"/>
          <w:lang w:val="es-UY"/>
        </w:rPr>
        <w:lastRenderedPageBreak/>
        <w:t xml:space="preserve">El peticionario considera que el Estado ecuatoriano tenía la obligación de iniciar de oficio la investigación penal de los hechos y concluirla en el plazo de 60 días, según el </w:t>
      </w:r>
      <w:r w:rsidR="00BC79AF" w:rsidRPr="00710DFD">
        <w:rPr>
          <w:rFonts w:ascii="Cambria" w:hAnsi="Cambria" w:cs="Arial"/>
          <w:color w:val="000000"/>
          <w:sz w:val="20"/>
          <w:szCs w:val="20"/>
          <w:lang w:val="es-UY"/>
        </w:rPr>
        <w:t>artículo</w:t>
      </w:r>
      <w:r w:rsidRPr="00710DFD">
        <w:rPr>
          <w:rFonts w:ascii="Cambria" w:hAnsi="Cambria" w:cs="Arial"/>
          <w:color w:val="000000"/>
          <w:sz w:val="20"/>
          <w:szCs w:val="20"/>
          <w:lang w:val="es-UY"/>
        </w:rPr>
        <w:t xml:space="preserve"> 231 del Código Penal; y que determinados los presuntos autores, cómplices y encubridores, se le daba la oportunidad de presentarse como parte procesal a través de la correspondiente acusación particular. Señala que fue un hecho público y notorio que el Sr. Matute Robles fue la víctima de mayor gravedad </w:t>
      </w:r>
      <w:r w:rsidR="002905D5" w:rsidRPr="00710DFD">
        <w:rPr>
          <w:rFonts w:ascii="Cambria" w:hAnsi="Cambria" w:cs="Arial"/>
          <w:color w:val="000000"/>
          <w:sz w:val="20"/>
          <w:szCs w:val="20"/>
          <w:lang w:val="es-UY"/>
        </w:rPr>
        <w:t>producto</w:t>
      </w:r>
      <w:r w:rsidRPr="00710DFD">
        <w:rPr>
          <w:rFonts w:ascii="Cambria" w:hAnsi="Cambria" w:cs="Arial"/>
          <w:color w:val="000000"/>
          <w:sz w:val="20"/>
          <w:szCs w:val="20"/>
          <w:lang w:val="es-UY"/>
        </w:rPr>
        <w:t xml:space="preserve"> de la represión policial durante las manifestaciones, y que este hecho fue dado a conocer por los medios de co</w:t>
      </w:r>
      <w:r w:rsidR="00822F87" w:rsidRPr="00710DFD">
        <w:rPr>
          <w:rFonts w:ascii="Cambria" w:hAnsi="Cambria" w:cs="Arial"/>
          <w:color w:val="000000"/>
          <w:sz w:val="20"/>
          <w:szCs w:val="20"/>
          <w:lang w:val="es-UY"/>
        </w:rPr>
        <w:t xml:space="preserve">municación, como por ejemplo </w:t>
      </w:r>
      <w:r w:rsidRPr="00710DFD">
        <w:rPr>
          <w:rFonts w:ascii="Cambria" w:hAnsi="Cambria" w:cs="Arial"/>
          <w:color w:val="000000"/>
          <w:sz w:val="20"/>
          <w:szCs w:val="20"/>
          <w:lang w:val="es-UY"/>
        </w:rPr>
        <w:t xml:space="preserve">“El Diario de Manabita”, del 1 de marzo de 1990, que en su primera </w:t>
      </w:r>
      <w:r w:rsidR="00BC79AF" w:rsidRPr="00710DFD">
        <w:rPr>
          <w:rFonts w:ascii="Cambria" w:hAnsi="Cambria" w:cs="Arial"/>
          <w:color w:val="000000"/>
          <w:sz w:val="20"/>
          <w:szCs w:val="20"/>
          <w:lang w:val="es-UY"/>
        </w:rPr>
        <w:t>página</w:t>
      </w:r>
      <w:r w:rsidRPr="00710DFD">
        <w:rPr>
          <w:rFonts w:ascii="Cambria" w:hAnsi="Cambria" w:cs="Arial"/>
          <w:color w:val="000000"/>
          <w:sz w:val="20"/>
          <w:szCs w:val="20"/>
          <w:lang w:val="es-UY"/>
        </w:rPr>
        <w:t xml:space="preserve"> se refirió al caso del Sr. Matute Robles. Asimismo </w:t>
      </w:r>
      <w:r w:rsidRPr="00710DFD">
        <w:rPr>
          <w:rFonts w:ascii="Cambria" w:hAnsi="Cambria"/>
          <w:sz w:val="20"/>
          <w:szCs w:val="20"/>
          <w:lang w:val="es-UY"/>
        </w:rPr>
        <w:t xml:space="preserve">acompaña distintos recortes de prensa donde se relatan los hechos acontecidos durante ese día, y las </w:t>
      </w:r>
      <w:r w:rsidR="00F337E5">
        <w:rPr>
          <w:rFonts w:ascii="Cambria" w:hAnsi="Cambria"/>
          <w:sz w:val="20"/>
          <w:szCs w:val="20"/>
          <w:lang w:val="es-UY"/>
        </w:rPr>
        <w:t>lesiones</w:t>
      </w:r>
      <w:r w:rsidRPr="00710DFD">
        <w:rPr>
          <w:rFonts w:ascii="Cambria" w:hAnsi="Cambria"/>
          <w:sz w:val="20"/>
          <w:szCs w:val="20"/>
          <w:lang w:val="es-UY"/>
        </w:rPr>
        <w:t xml:space="preserve"> sufridas por la presunta víctima y otros manifestantes</w:t>
      </w:r>
      <w:r w:rsidR="00046113" w:rsidRPr="00710DFD">
        <w:rPr>
          <w:rFonts w:ascii="Cambria" w:hAnsi="Cambria"/>
          <w:sz w:val="20"/>
          <w:szCs w:val="20"/>
          <w:lang w:val="es-UY"/>
        </w:rPr>
        <w:t>.</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cs="Arial"/>
          <w:color w:val="000000"/>
          <w:sz w:val="20"/>
          <w:szCs w:val="20"/>
          <w:lang w:val="es-UY"/>
        </w:rPr>
      </w:pPr>
      <w:r w:rsidRPr="00710DFD">
        <w:rPr>
          <w:rFonts w:ascii="Cambria" w:hAnsi="Cambria" w:cs="Arial"/>
          <w:color w:val="000000"/>
          <w:sz w:val="20"/>
          <w:szCs w:val="20"/>
          <w:lang w:val="es-UY"/>
        </w:rPr>
        <w:t>Posteriormente, el 25 de octubre de 2000 el Sr. Matute Robles presentó una denuncia relativa a los hechos que lo damnificaron ante el  Juzgado Quinto de lo Penal de Manabí, con sede en Jipijapa. Este juzgado mediante resolución del 16 de enero del 2001 consideró que la acción por el delito denunciado se encontraba prescrita de acuerdo al artículo 348 del Código de Procedimiento Penal vigente a la fecha. Dicha sentencia fue apelada ante la Cuarta Sala de la Corte Superior de Justicia de Portoviejo</w:t>
      </w:r>
      <w:r w:rsidR="00BD532C" w:rsidRPr="00710DFD">
        <w:rPr>
          <w:rFonts w:ascii="Cambria" w:hAnsi="Cambria" w:cs="Arial"/>
          <w:color w:val="000000"/>
          <w:sz w:val="20"/>
          <w:szCs w:val="20"/>
          <w:lang w:val="es-UY"/>
        </w:rPr>
        <w:t>.</w:t>
      </w:r>
      <w:r w:rsidRPr="00710DFD">
        <w:rPr>
          <w:rFonts w:ascii="Cambria" w:hAnsi="Cambria" w:cs="Arial"/>
          <w:color w:val="000000"/>
          <w:sz w:val="20"/>
          <w:szCs w:val="20"/>
          <w:lang w:val="es-UY"/>
        </w:rPr>
        <w:t xml:space="preserve"> </w:t>
      </w:r>
      <w:r w:rsidR="00BD532C" w:rsidRPr="00710DFD">
        <w:rPr>
          <w:rFonts w:ascii="Cambria" w:hAnsi="Cambria" w:cs="Arial"/>
          <w:color w:val="000000"/>
          <w:sz w:val="20"/>
          <w:szCs w:val="20"/>
          <w:lang w:val="es-UY"/>
        </w:rPr>
        <w:t>M</w:t>
      </w:r>
      <w:r w:rsidRPr="00710DFD">
        <w:rPr>
          <w:rFonts w:ascii="Cambria" w:hAnsi="Cambria" w:cs="Arial"/>
          <w:color w:val="000000"/>
          <w:sz w:val="20"/>
          <w:szCs w:val="20"/>
          <w:lang w:val="es-UY"/>
        </w:rPr>
        <w:t xml:space="preserve">ediante resolución </w:t>
      </w:r>
      <w:r w:rsidRPr="00710DFD">
        <w:rPr>
          <w:rFonts w:ascii="Cambria" w:hAnsi="Cambria"/>
          <w:sz w:val="20"/>
          <w:szCs w:val="20"/>
          <w:lang w:val="es-UY"/>
        </w:rPr>
        <w:t>dictada el 5 de abril de 2001,</w:t>
      </w:r>
      <w:r w:rsidRPr="00710DFD">
        <w:rPr>
          <w:rFonts w:ascii="Cambria" w:hAnsi="Cambria" w:cs="Arial"/>
          <w:color w:val="000000"/>
          <w:sz w:val="20"/>
          <w:szCs w:val="20"/>
          <w:lang w:val="es-UY"/>
        </w:rPr>
        <w:t xml:space="preserve"> la </w:t>
      </w:r>
      <w:r w:rsidR="008E0312" w:rsidRPr="00710DFD">
        <w:rPr>
          <w:rFonts w:ascii="Cambria" w:hAnsi="Cambria" w:cs="Arial"/>
          <w:color w:val="000000"/>
          <w:sz w:val="20"/>
          <w:szCs w:val="20"/>
          <w:lang w:val="es-UY"/>
        </w:rPr>
        <w:t>Cuarta Sala</w:t>
      </w:r>
      <w:r w:rsidRPr="00710DFD">
        <w:rPr>
          <w:rFonts w:ascii="Cambria" w:hAnsi="Cambria" w:cs="Arial"/>
          <w:color w:val="000000"/>
          <w:sz w:val="20"/>
          <w:szCs w:val="20"/>
          <w:lang w:val="es-UY"/>
        </w:rPr>
        <w:t xml:space="preserve"> rechazó el recurso por considerar que el recurrente </w:t>
      </w:r>
      <w:r w:rsidR="008E0312" w:rsidRPr="00710DFD">
        <w:rPr>
          <w:rFonts w:ascii="Cambria" w:hAnsi="Cambria" w:cs="Arial"/>
          <w:color w:val="000000"/>
          <w:sz w:val="20"/>
          <w:szCs w:val="20"/>
          <w:lang w:val="es-UY"/>
        </w:rPr>
        <w:t>“</w:t>
      </w:r>
      <w:r w:rsidRPr="00710DFD">
        <w:rPr>
          <w:rFonts w:ascii="Cambria" w:hAnsi="Cambria" w:cs="Arial"/>
          <w:color w:val="000000"/>
          <w:sz w:val="20"/>
          <w:szCs w:val="20"/>
          <w:lang w:val="es-UY"/>
        </w:rPr>
        <w:t xml:space="preserve">no </w:t>
      </w:r>
      <w:r w:rsidR="008E0312" w:rsidRPr="00710DFD">
        <w:rPr>
          <w:rFonts w:ascii="Cambria" w:hAnsi="Cambria" w:cs="Arial"/>
          <w:color w:val="000000"/>
          <w:sz w:val="20"/>
          <w:szCs w:val="20"/>
          <w:lang w:val="es-UY"/>
        </w:rPr>
        <w:t>[</w:t>
      </w:r>
      <w:r w:rsidRPr="00710DFD">
        <w:rPr>
          <w:rFonts w:ascii="Cambria" w:hAnsi="Cambria" w:cs="Arial"/>
          <w:color w:val="000000"/>
          <w:sz w:val="20"/>
          <w:szCs w:val="20"/>
          <w:lang w:val="es-UY"/>
        </w:rPr>
        <w:t>era</w:t>
      </w:r>
      <w:r w:rsidR="008E0312" w:rsidRPr="00710DFD">
        <w:rPr>
          <w:rFonts w:ascii="Cambria" w:hAnsi="Cambria" w:cs="Arial"/>
          <w:color w:val="000000"/>
          <w:sz w:val="20"/>
          <w:szCs w:val="20"/>
          <w:lang w:val="es-UY"/>
        </w:rPr>
        <w:t>]</w:t>
      </w:r>
      <w:r w:rsidRPr="00710DFD">
        <w:rPr>
          <w:rFonts w:ascii="Cambria" w:hAnsi="Cambria" w:cs="Arial"/>
          <w:color w:val="000000"/>
          <w:sz w:val="20"/>
          <w:szCs w:val="20"/>
          <w:lang w:val="es-UY"/>
        </w:rPr>
        <w:t xml:space="preserve"> parte procesal en es</w:t>
      </w:r>
      <w:r w:rsidR="008E0312" w:rsidRPr="00710DFD">
        <w:rPr>
          <w:rFonts w:ascii="Cambria" w:hAnsi="Cambria" w:cs="Arial"/>
          <w:color w:val="000000"/>
          <w:sz w:val="20"/>
          <w:szCs w:val="20"/>
          <w:lang w:val="es-UY"/>
        </w:rPr>
        <w:t>t</w:t>
      </w:r>
      <w:r w:rsidRPr="00710DFD">
        <w:rPr>
          <w:rFonts w:ascii="Cambria" w:hAnsi="Cambria" w:cs="Arial"/>
          <w:color w:val="000000"/>
          <w:sz w:val="20"/>
          <w:szCs w:val="20"/>
          <w:lang w:val="es-UY"/>
        </w:rPr>
        <w:t>a causa</w:t>
      </w:r>
      <w:r w:rsidR="008E0312" w:rsidRPr="00710DFD">
        <w:rPr>
          <w:rFonts w:ascii="Cambria" w:hAnsi="Cambria" w:cs="Arial"/>
          <w:color w:val="000000"/>
          <w:sz w:val="20"/>
          <w:szCs w:val="20"/>
          <w:lang w:val="es-UY"/>
        </w:rPr>
        <w:t>”</w:t>
      </w:r>
      <w:r w:rsidRPr="00710DFD">
        <w:rPr>
          <w:rFonts w:ascii="Cambria" w:hAnsi="Cambria" w:cs="Arial"/>
          <w:color w:val="000000"/>
          <w:sz w:val="20"/>
          <w:szCs w:val="20"/>
          <w:lang w:val="es-UY"/>
        </w:rPr>
        <w:t xml:space="preserve">, concluyendo que el juez de primera instancia no debió </w:t>
      </w:r>
      <w:r w:rsidR="00B6064E" w:rsidRPr="00710DFD">
        <w:rPr>
          <w:rFonts w:ascii="Cambria" w:hAnsi="Cambria" w:cs="Arial"/>
          <w:color w:val="000000"/>
          <w:sz w:val="20"/>
          <w:szCs w:val="20"/>
          <w:lang w:val="es-UY"/>
        </w:rPr>
        <w:t>haber admitido</w:t>
      </w:r>
      <w:r w:rsidRPr="00710DFD">
        <w:rPr>
          <w:rFonts w:ascii="Cambria" w:hAnsi="Cambria" w:cs="Arial"/>
          <w:color w:val="000000"/>
          <w:sz w:val="20"/>
          <w:szCs w:val="20"/>
          <w:lang w:val="es-UY"/>
        </w:rPr>
        <w:t xml:space="preserve"> el recurso de apelación interpuesto.</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cs="Arial"/>
          <w:color w:val="000000"/>
          <w:sz w:val="20"/>
          <w:szCs w:val="20"/>
          <w:lang w:val="es-UY"/>
        </w:rPr>
      </w:pPr>
      <w:r w:rsidRPr="00710DFD">
        <w:rPr>
          <w:rFonts w:ascii="Cambria" w:hAnsi="Cambria" w:cs="Arial"/>
          <w:color w:val="000000"/>
          <w:sz w:val="20"/>
          <w:szCs w:val="20"/>
          <w:lang w:val="es-UY"/>
        </w:rPr>
        <w:t xml:space="preserve">El peticionario señala que la presunta víctima interpuso posteriormente un recurso de amparo constitucional ante el Tribunal Distrital Contencioso Administrativo de Portoviejo, </w:t>
      </w:r>
      <w:r w:rsidR="001B1063" w:rsidRPr="00710DFD">
        <w:rPr>
          <w:rFonts w:ascii="Cambria" w:hAnsi="Cambria" w:cs="Arial"/>
          <w:color w:val="000000"/>
          <w:sz w:val="20"/>
          <w:szCs w:val="20"/>
          <w:lang w:val="es-UY"/>
        </w:rPr>
        <w:t xml:space="preserve">el cual fue rechazado. El tribunal consideró que el recurso idóneo no era el amparo, sino el recurso de casación y/o el recurso de hecho ante la Corte Suprema de Justicia, dado que </w:t>
      </w:r>
      <w:r w:rsidRPr="00710DFD">
        <w:rPr>
          <w:rFonts w:ascii="Cambria" w:hAnsi="Cambria" w:cs="Arial"/>
          <w:color w:val="000000"/>
          <w:sz w:val="20"/>
          <w:szCs w:val="20"/>
          <w:lang w:val="es-UY"/>
        </w:rPr>
        <w:t>no existió acto administrativo que impugnar por inconstitucional</w:t>
      </w:r>
      <w:r w:rsidR="00A85261" w:rsidRPr="00710DFD">
        <w:rPr>
          <w:rFonts w:ascii="Cambria" w:hAnsi="Cambria" w:cs="Arial"/>
          <w:color w:val="000000"/>
          <w:sz w:val="20"/>
          <w:szCs w:val="20"/>
          <w:lang w:val="es-UY"/>
        </w:rPr>
        <w:t>. El tribunal indicó asimismo que</w:t>
      </w:r>
      <w:r w:rsidRPr="00710DFD">
        <w:rPr>
          <w:rFonts w:ascii="Cambria" w:hAnsi="Cambria" w:cs="Arial"/>
          <w:color w:val="000000"/>
          <w:sz w:val="20"/>
          <w:szCs w:val="20"/>
          <w:lang w:val="es-UY"/>
        </w:rPr>
        <w:t xml:space="preserve"> según la legislación vigente al momento de interponer el recurso</w:t>
      </w:r>
      <w:r w:rsidR="00431C9E" w:rsidRPr="00710DFD">
        <w:rPr>
          <w:rFonts w:ascii="Cambria" w:hAnsi="Cambria" w:cs="Arial"/>
          <w:color w:val="000000"/>
          <w:sz w:val="20"/>
          <w:szCs w:val="20"/>
          <w:lang w:val="es-UY"/>
        </w:rPr>
        <w:t>,</w:t>
      </w:r>
      <w:r w:rsidRPr="00710DFD">
        <w:rPr>
          <w:rFonts w:ascii="Cambria" w:hAnsi="Cambria" w:cs="Arial"/>
          <w:color w:val="000000"/>
          <w:sz w:val="20"/>
          <w:szCs w:val="20"/>
          <w:lang w:val="es-UY"/>
        </w:rPr>
        <w:t xml:space="preserve"> no eran susceptibles de acción de amparo las decisiones judiciales adoptada</w:t>
      </w:r>
      <w:r w:rsidR="00431C9E" w:rsidRPr="00710DFD">
        <w:rPr>
          <w:rFonts w:ascii="Cambria" w:hAnsi="Cambria" w:cs="Arial"/>
          <w:color w:val="000000"/>
          <w:sz w:val="20"/>
          <w:szCs w:val="20"/>
          <w:lang w:val="es-UY"/>
        </w:rPr>
        <w:t>s en un proceso</w:t>
      </w:r>
      <w:r w:rsidRPr="00710DFD">
        <w:rPr>
          <w:rFonts w:ascii="Cambria" w:hAnsi="Cambria" w:cs="Arial"/>
          <w:color w:val="000000"/>
          <w:sz w:val="20"/>
          <w:szCs w:val="20"/>
          <w:lang w:val="es-UY"/>
        </w:rPr>
        <w:t xml:space="preserve">.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cs="Arial"/>
          <w:color w:val="000000"/>
          <w:sz w:val="20"/>
          <w:szCs w:val="20"/>
          <w:lang w:val="es-UY"/>
        </w:rPr>
      </w:pPr>
      <w:r w:rsidRPr="00710DFD">
        <w:rPr>
          <w:rFonts w:ascii="Cambria" w:hAnsi="Cambria" w:cs="Arial"/>
          <w:color w:val="000000"/>
          <w:sz w:val="20"/>
          <w:szCs w:val="20"/>
          <w:lang w:val="es-UY"/>
        </w:rPr>
        <w:t xml:space="preserve">Esta resolución fue apelada ante la Primera Sala del Tribunal Constitucional, </w:t>
      </w:r>
      <w:r w:rsidR="005C3979" w:rsidRPr="00710DFD">
        <w:rPr>
          <w:rFonts w:ascii="Cambria" w:hAnsi="Cambria" w:cs="Arial"/>
          <w:color w:val="000000"/>
          <w:sz w:val="20"/>
          <w:szCs w:val="20"/>
          <w:lang w:val="es-UY"/>
        </w:rPr>
        <w:t>la cual</w:t>
      </w:r>
      <w:r w:rsidRPr="00710DFD">
        <w:rPr>
          <w:rFonts w:ascii="Cambria" w:hAnsi="Cambria" w:cs="Arial"/>
          <w:color w:val="000000"/>
          <w:sz w:val="20"/>
          <w:szCs w:val="20"/>
          <w:lang w:val="es-UY"/>
        </w:rPr>
        <w:t xml:space="preserve"> rechazó</w:t>
      </w:r>
      <w:r w:rsidR="005C3979" w:rsidRPr="00710DFD">
        <w:rPr>
          <w:rFonts w:ascii="Cambria" w:hAnsi="Cambria" w:cs="Arial"/>
          <w:color w:val="000000"/>
          <w:sz w:val="20"/>
          <w:szCs w:val="20"/>
          <w:lang w:val="es-UY"/>
        </w:rPr>
        <w:t xml:space="preserve"> l</w:t>
      </w:r>
      <w:r w:rsidRPr="00710DFD">
        <w:rPr>
          <w:rFonts w:ascii="Cambria" w:hAnsi="Cambria" w:cs="Arial"/>
          <w:color w:val="000000"/>
          <w:sz w:val="20"/>
          <w:szCs w:val="20"/>
          <w:lang w:val="es-UY"/>
        </w:rPr>
        <w:t xml:space="preserve">a apelación por considerar que “no se ha omitido solemnidad sustancial alguna que pueda incidir en la resolución de la causa”; y que “el accionante no interpuso a tiempo su acción”, </w:t>
      </w:r>
      <w:r w:rsidR="00BC79AF" w:rsidRPr="00710DFD">
        <w:rPr>
          <w:rFonts w:ascii="Cambria" w:hAnsi="Cambria" w:cs="Arial"/>
          <w:color w:val="000000"/>
          <w:sz w:val="20"/>
          <w:szCs w:val="20"/>
          <w:lang w:val="es-UY"/>
        </w:rPr>
        <w:t>sino</w:t>
      </w:r>
      <w:r w:rsidRPr="00710DFD">
        <w:rPr>
          <w:rFonts w:ascii="Cambria" w:hAnsi="Cambria" w:cs="Arial"/>
          <w:color w:val="000000"/>
          <w:sz w:val="20"/>
          <w:szCs w:val="20"/>
          <w:lang w:val="es-UY"/>
        </w:rPr>
        <w:t xml:space="preserve"> luego de diez años de ocurridos los hechos, lo que según el </w:t>
      </w:r>
      <w:r w:rsidR="00BC79AF" w:rsidRPr="00710DFD">
        <w:rPr>
          <w:rFonts w:ascii="Cambria" w:hAnsi="Cambria" w:cs="Arial"/>
          <w:color w:val="000000"/>
          <w:sz w:val="20"/>
          <w:szCs w:val="20"/>
          <w:lang w:val="es-UY"/>
        </w:rPr>
        <w:t>artículo</w:t>
      </w:r>
      <w:r w:rsidRPr="00710DFD">
        <w:rPr>
          <w:rFonts w:ascii="Cambria" w:hAnsi="Cambria" w:cs="Arial"/>
          <w:color w:val="000000"/>
          <w:sz w:val="20"/>
          <w:szCs w:val="20"/>
          <w:lang w:val="es-UY"/>
        </w:rPr>
        <w:t xml:space="preserve"> 348 del Código de Procedimiento Penal implicaba la prescripción de</w:t>
      </w:r>
      <w:r w:rsidR="009C051D" w:rsidRPr="00710DFD">
        <w:rPr>
          <w:rFonts w:ascii="Cambria" w:hAnsi="Cambria" w:cs="Arial"/>
          <w:color w:val="000000"/>
          <w:sz w:val="20"/>
          <w:szCs w:val="20"/>
          <w:lang w:val="es-UY"/>
        </w:rPr>
        <w:t xml:space="preserve"> la acción penal. A su vez, el T</w:t>
      </w:r>
      <w:r w:rsidRPr="00710DFD">
        <w:rPr>
          <w:rFonts w:ascii="Cambria" w:hAnsi="Cambria" w:cs="Arial"/>
          <w:color w:val="000000"/>
          <w:sz w:val="20"/>
          <w:szCs w:val="20"/>
          <w:lang w:val="es-UY"/>
        </w:rPr>
        <w:t xml:space="preserve">ribunal Constitucional también señaló que si bien la acción penal se podía iniciar de oficio, una de las formas de iniciarla según el artículo 15 del Código de Procedimiento Penal era la denuncia del ofendido.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cs="Arial"/>
          <w:color w:val="000000"/>
          <w:sz w:val="20"/>
          <w:szCs w:val="20"/>
          <w:lang w:val="es-UY"/>
        </w:rPr>
      </w:pPr>
      <w:r w:rsidRPr="00710DFD">
        <w:rPr>
          <w:rFonts w:ascii="Cambria" w:hAnsi="Cambria" w:cs="Arial"/>
          <w:color w:val="000000"/>
          <w:sz w:val="20"/>
          <w:szCs w:val="20"/>
          <w:lang w:val="es-UY"/>
        </w:rPr>
        <w:t xml:space="preserve">De acuerdo con el peticionario, esta falta de actividad de los organismos de investigación </w:t>
      </w:r>
      <w:r w:rsidR="00DB6F9E" w:rsidRPr="00710DFD">
        <w:rPr>
          <w:rFonts w:ascii="Cambria" w:hAnsi="Cambria" w:cs="Arial"/>
          <w:color w:val="000000"/>
          <w:sz w:val="20"/>
          <w:szCs w:val="20"/>
          <w:lang w:val="es-UY"/>
        </w:rPr>
        <w:t>demuestra</w:t>
      </w:r>
      <w:r w:rsidRPr="00710DFD">
        <w:rPr>
          <w:rFonts w:ascii="Cambria" w:hAnsi="Cambria" w:cs="Arial"/>
          <w:color w:val="000000"/>
          <w:sz w:val="20"/>
          <w:szCs w:val="20"/>
          <w:lang w:val="es-UY"/>
        </w:rPr>
        <w:t xml:space="preserve"> que no </w:t>
      </w:r>
      <w:r w:rsidR="00033A8E" w:rsidRPr="00710DFD">
        <w:rPr>
          <w:rFonts w:ascii="Cambria" w:hAnsi="Cambria" w:cs="Arial"/>
          <w:color w:val="000000"/>
          <w:sz w:val="20"/>
          <w:szCs w:val="20"/>
          <w:lang w:val="es-UY"/>
        </w:rPr>
        <w:t xml:space="preserve">se </w:t>
      </w:r>
      <w:r w:rsidR="00DB6F9E" w:rsidRPr="00710DFD">
        <w:rPr>
          <w:rFonts w:ascii="Cambria" w:hAnsi="Cambria" w:cs="Arial"/>
          <w:color w:val="000000"/>
          <w:sz w:val="20"/>
          <w:szCs w:val="20"/>
          <w:lang w:val="es-UY"/>
        </w:rPr>
        <w:t>investigaron</w:t>
      </w:r>
      <w:r w:rsidRPr="00710DFD">
        <w:rPr>
          <w:rFonts w:ascii="Cambria" w:hAnsi="Cambria" w:cs="Arial"/>
          <w:color w:val="000000"/>
          <w:sz w:val="20"/>
          <w:szCs w:val="20"/>
          <w:lang w:val="es-UY"/>
        </w:rPr>
        <w:t xml:space="preserve"> los hechos ocurridos el 28 de febrero de 1990 en perjuicio de la presunta </w:t>
      </w:r>
      <w:r w:rsidR="00BC79AF" w:rsidRPr="00710DFD">
        <w:rPr>
          <w:rFonts w:ascii="Cambria" w:hAnsi="Cambria" w:cs="Arial"/>
          <w:color w:val="000000"/>
          <w:sz w:val="20"/>
          <w:szCs w:val="20"/>
          <w:lang w:val="es-UY"/>
        </w:rPr>
        <w:t>víctima</w:t>
      </w:r>
      <w:r w:rsidR="00F337E5">
        <w:rPr>
          <w:rFonts w:ascii="Cambria" w:hAnsi="Cambria" w:cs="Arial"/>
          <w:color w:val="000000"/>
          <w:sz w:val="20"/>
          <w:szCs w:val="20"/>
          <w:lang w:val="es-UY"/>
        </w:rPr>
        <w:t>,</w:t>
      </w:r>
      <w:r w:rsidRPr="00710DFD">
        <w:rPr>
          <w:rFonts w:ascii="Cambria" w:hAnsi="Cambria" w:cs="Arial"/>
          <w:color w:val="000000"/>
          <w:sz w:val="20"/>
          <w:szCs w:val="20"/>
          <w:lang w:val="es-UY"/>
        </w:rPr>
        <w:t xml:space="preserve"> y por tanto se configura la excepción establecida en el </w:t>
      </w:r>
      <w:r w:rsidR="00BC79AF" w:rsidRPr="00710DFD">
        <w:rPr>
          <w:rFonts w:ascii="Cambria" w:hAnsi="Cambria" w:cs="Arial"/>
          <w:color w:val="000000"/>
          <w:sz w:val="20"/>
          <w:szCs w:val="20"/>
          <w:lang w:val="es-UY"/>
        </w:rPr>
        <w:t>artículo</w:t>
      </w:r>
      <w:r w:rsidR="00DB6F9E" w:rsidRPr="00710DFD">
        <w:rPr>
          <w:rFonts w:ascii="Cambria" w:hAnsi="Cambria" w:cs="Arial"/>
          <w:color w:val="000000"/>
          <w:sz w:val="20"/>
          <w:szCs w:val="20"/>
          <w:lang w:val="es-UY"/>
        </w:rPr>
        <w:t xml:space="preserve"> 46.2.c de la Convención</w:t>
      </w:r>
      <w:r w:rsidR="00033A8E" w:rsidRPr="00710DFD">
        <w:rPr>
          <w:rFonts w:ascii="Cambria" w:hAnsi="Cambria" w:cs="Arial"/>
          <w:color w:val="000000"/>
          <w:sz w:val="20"/>
          <w:szCs w:val="20"/>
          <w:lang w:val="es-UY"/>
        </w:rPr>
        <w:t>. S</w:t>
      </w:r>
      <w:r w:rsidR="00DB6F9E" w:rsidRPr="00710DFD">
        <w:rPr>
          <w:rFonts w:ascii="Cambria" w:hAnsi="Cambria" w:cs="Arial"/>
          <w:color w:val="000000"/>
          <w:sz w:val="20"/>
          <w:szCs w:val="20"/>
          <w:lang w:val="es-UY"/>
        </w:rPr>
        <w:t xml:space="preserve">in embargo, por otra parte, </w:t>
      </w:r>
      <w:r w:rsidRPr="00710DFD">
        <w:rPr>
          <w:rFonts w:ascii="Cambria" w:hAnsi="Cambria" w:cs="Arial"/>
          <w:color w:val="000000"/>
          <w:sz w:val="20"/>
          <w:szCs w:val="20"/>
          <w:lang w:val="es-UY"/>
        </w:rPr>
        <w:t xml:space="preserve">el peticionario considera que la decisión que agota los recursos internos es </w:t>
      </w:r>
      <w:r w:rsidR="00DB6F9E" w:rsidRPr="00710DFD">
        <w:rPr>
          <w:rFonts w:ascii="Cambria" w:hAnsi="Cambria" w:cs="Arial"/>
          <w:color w:val="000000"/>
          <w:sz w:val="20"/>
          <w:szCs w:val="20"/>
          <w:lang w:val="es-UY"/>
        </w:rPr>
        <w:t>la</w:t>
      </w:r>
      <w:r w:rsidRPr="00710DFD">
        <w:rPr>
          <w:rFonts w:ascii="Cambria" w:hAnsi="Cambria" w:cs="Arial"/>
          <w:color w:val="000000"/>
          <w:sz w:val="20"/>
          <w:szCs w:val="20"/>
          <w:lang w:val="es-UY"/>
        </w:rPr>
        <w:t xml:space="preserve"> dictada por el Tribunal Constitucional que se ejecutorió el 1 de marzo del 2002.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cs="Arial"/>
          <w:sz w:val="20"/>
          <w:szCs w:val="20"/>
          <w:lang w:val="es-UY"/>
        </w:rPr>
      </w:pPr>
      <w:r w:rsidRPr="00710DFD">
        <w:rPr>
          <w:rFonts w:ascii="Cambria" w:hAnsi="Cambria" w:cs="Arial"/>
          <w:sz w:val="20"/>
          <w:szCs w:val="20"/>
          <w:lang w:val="es-UY"/>
        </w:rPr>
        <w:t xml:space="preserve">En atención a estas consideraciones, el peticionario alega que el Estado violó los derechos reconocidos en los artículos </w:t>
      </w:r>
      <w:r w:rsidRPr="00710DFD">
        <w:rPr>
          <w:rFonts w:ascii="Cambria" w:hAnsi="Cambria"/>
          <w:sz w:val="20"/>
          <w:szCs w:val="20"/>
          <w:lang w:val="es-UY"/>
        </w:rPr>
        <w:t>4, 5, 8 y 25</w:t>
      </w:r>
      <w:r w:rsidRPr="00710DFD">
        <w:rPr>
          <w:rFonts w:ascii="Cambria" w:hAnsi="Cambria" w:cs="Arial"/>
          <w:sz w:val="20"/>
          <w:szCs w:val="20"/>
          <w:lang w:val="es-UY"/>
        </w:rPr>
        <w:t xml:space="preserve"> de la Convención Americana</w:t>
      </w:r>
      <w:r w:rsidR="00795344" w:rsidRPr="00710DFD">
        <w:rPr>
          <w:rFonts w:ascii="Cambria" w:hAnsi="Cambria" w:cs="Arial"/>
          <w:sz w:val="20"/>
          <w:szCs w:val="20"/>
          <w:lang w:val="es-UY"/>
        </w:rPr>
        <w:t>,</w:t>
      </w:r>
      <w:r w:rsidRPr="00710DFD">
        <w:rPr>
          <w:rFonts w:ascii="Cambria" w:hAnsi="Cambria" w:cs="Arial"/>
          <w:color w:val="FF0000"/>
          <w:sz w:val="20"/>
          <w:szCs w:val="20"/>
          <w:lang w:val="es-UY"/>
        </w:rPr>
        <w:t xml:space="preserve"> </w:t>
      </w:r>
      <w:r w:rsidRPr="00710DFD">
        <w:rPr>
          <w:rFonts w:ascii="Cambria" w:hAnsi="Cambria" w:cs="Arial"/>
          <w:sz w:val="20"/>
          <w:szCs w:val="20"/>
          <w:lang w:val="es-UY"/>
        </w:rPr>
        <w:t xml:space="preserve">en relación al artículo 1.1 del mismo instrumento; y solicita que se indemnice por concepto de </w:t>
      </w:r>
      <w:r w:rsidR="00853B4A" w:rsidRPr="00710DFD">
        <w:rPr>
          <w:rFonts w:ascii="Cambria" w:hAnsi="Cambria" w:cs="Arial"/>
          <w:sz w:val="20"/>
          <w:szCs w:val="20"/>
          <w:lang w:val="es-UY"/>
        </w:rPr>
        <w:t xml:space="preserve">daño moral </w:t>
      </w:r>
      <w:r w:rsidR="00BB3FF8" w:rsidRPr="00710DFD">
        <w:rPr>
          <w:rFonts w:ascii="Cambria" w:hAnsi="Cambria" w:cs="Arial"/>
          <w:sz w:val="20"/>
          <w:szCs w:val="20"/>
          <w:lang w:val="es-UY"/>
        </w:rPr>
        <w:t>y perjuicios patrimoniales</w:t>
      </w:r>
      <w:r w:rsidRPr="00710DFD">
        <w:rPr>
          <w:rFonts w:ascii="Cambria" w:hAnsi="Cambria" w:cs="Arial"/>
          <w:sz w:val="20"/>
          <w:szCs w:val="20"/>
          <w:lang w:val="es-UY"/>
        </w:rPr>
        <w:t xml:space="preserve"> al Sr. Matute Robles y a sus padres.</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710DFD">
        <w:rPr>
          <w:rFonts w:ascii="Cambria" w:hAnsi="Cambria"/>
          <w:b/>
          <w:bCs/>
          <w:sz w:val="20"/>
          <w:szCs w:val="20"/>
          <w:lang w:val="es-UY"/>
        </w:rPr>
        <w:t>B.</w:t>
      </w:r>
      <w:r w:rsidRPr="00710DFD">
        <w:rPr>
          <w:rFonts w:ascii="Cambria" w:hAnsi="Cambria"/>
          <w:b/>
          <w:bCs/>
          <w:sz w:val="20"/>
          <w:szCs w:val="20"/>
          <w:lang w:val="es-UY"/>
        </w:rPr>
        <w:tab/>
        <w:t xml:space="preserve">Posición del Estado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sz w:val="20"/>
          <w:szCs w:val="20"/>
          <w:lang w:val="es-UY"/>
        </w:rPr>
      </w:pPr>
      <w:r w:rsidRPr="00710DFD">
        <w:rPr>
          <w:rFonts w:ascii="Cambria" w:hAnsi="Cambria"/>
          <w:sz w:val="20"/>
          <w:szCs w:val="20"/>
          <w:lang w:val="es-UY"/>
        </w:rPr>
        <w:t>Ecuador aduce que existió un proceso conforme a derecho que cumplió con las debidas garantías procesales, resuelto en primera instancia por el Quinto Juzgado Penal de Manabí el 11 de diciembre de 2000, y luego apelado y confirmado ante la Corte Superior de Justicia de Portoviejo el 5 de abril de 2001. Alega que el hecho de emitirse una sentencia desfavorable a las pretensiones del peticionario no implica una violación a los derechos consagrados en la Convención Americana, si dicha sentencia se ha producido luego de un juicio justo. Agrega que la Comisión debe declarar inadmisible una petición cuando no exponga hechos que caractericen una violación de los derechos garantizados por la Convención Americana.</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sz w:val="20"/>
          <w:szCs w:val="20"/>
          <w:lang w:val="es-UY"/>
        </w:rPr>
      </w:pPr>
      <w:r w:rsidRPr="00710DFD">
        <w:rPr>
          <w:rFonts w:ascii="Cambria" w:hAnsi="Cambria"/>
          <w:sz w:val="20"/>
          <w:szCs w:val="20"/>
          <w:lang w:val="es-UY"/>
        </w:rPr>
        <w:lastRenderedPageBreak/>
        <w:t xml:space="preserve">El Estado señala que la Comisión, dada la naturaleza subsidiaria del Sistema Interamericano, y en virtud de la </w:t>
      </w:r>
      <w:r w:rsidR="00BC79AF" w:rsidRPr="00710DFD">
        <w:rPr>
          <w:rFonts w:ascii="Cambria" w:hAnsi="Cambria"/>
          <w:sz w:val="20"/>
          <w:szCs w:val="20"/>
          <w:lang w:val="es-UY"/>
        </w:rPr>
        <w:t>fórmula</w:t>
      </w:r>
      <w:r w:rsidRPr="00710DFD">
        <w:rPr>
          <w:rFonts w:ascii="Cambria" w:hAnsi="Cambria"/>
          <w:sz w:val="20"/>
          <w:szCs w:val="20"/>
          <w:lang w:val="es-UY"/>
        </w:rPr>
        <w:t xml:space="preserve"> de “cuarta instancia”, no puede revisar las decisiones de los tribunales nacionales que actúen en la esfera de su competencia aplicando las debidas garantías judiciales, a menos que se haya cometido una violación de los derechos consagradas en la Convención Americana. Adicionalmente indica, citando los precedentes de la propia CIDH, que ésta no está llamada a determinar si el Estado cumplió su propia legislación, es decir la ley nacional, sino si el Estado cumplió las normas de derecho internacional, es decir sus obligaciones en el marco de la Convención Americana.</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sz w:val="20"/>
          <w:szCs w:val="20"/>
          <w:lang w:val="es-UY"/>
        </w:rPr>
      </w:pPr>
      <w:r w:rsidRPr="00710DFD">
        <w:rPr>
          <w:rFonts w:ascii="Cambria" w:hAnsi="Cambria"/>
          <w:sz w:val="20"/>
          <w:szCs w:val="20"/>
          <w:lang w:val="es-UY"/>
        </w:rPr>
        <w:t xml:space="preserve">En este sentido, alega que el auto de prescripción emitido en el proceso promovido por el Sr. Matute Robles fue dictado conforme a derecho, ya que de acuerdo con lo establecido en el </w:t>
      </w:r>
      <w:r w:rsidR="00BC79AF" w:rsidRPr="00710DFD">
        <w:rPr>
          <w:rFonts w:ascii="Cambria" w:hAnsi="Cambria"/>
          <w:sz w:val="20"/>
          <w:szCs w:val="20"/>
          <w:lang w:val="es-UY"/>
        </w:rPr>
        <w:t>artículo</w:t>
      </w:r>
      <w:r w:rsidRPr="00710DFD">
        <w:rPr>
          <w:rFonts w:ascii="Cambria" w:hAnsi="Cambria"/>
          <w:sz w:val="20"/>
          <w:szCs w:val="20"/>
          <w:lang w:val="es-UY"/>
        </w:rPr>
        <w:t xml:space="preserve"> 101 del Código Penal el tiempo de prescripción para </w:t>
      </w:r>
      <w:r w:rsidR="003A4F24" w:rsidRPr="00710DFD">
        <w:rPr>
          <w:rFonts w:ascii="Cambria" w:hAnsi="Cambria"/>
          <w:sz w:val="20"/>
          <w:szCs w:val="20"/>
          <w:lang w:val="es-UY"/>
        </w:rPr>
        <w:t xml:space="preserve">los </w:t>
      </w:r>
      <w:r w:rsidR="00EA198F" w:rsidRPr="00710DFD">
        <w:rPr>
          <w:rFonts w:ascii="Cambria" w:hAnsi="Cambria"/>
          <w:sz w:val="20"/>
          <w:szCs w:val="20"/>
          <w:lang w:val="es-UY"/>
        </w:rPr>
        <w:t>delitos sancionados con reclusión</w:t>
      </w:r>
      <w:r w:rsidRPr="00710DFD">
        <w:rPr>
          <w:rFonts w:ascii="Cambria" w:hAnsi="Cambria"/>
          <w:sz w:val="20"/>
          <w:szCs w:val="20"/>
          <w:lang w:val="es-UY"/>
        </w:rPr>
        <w:t xml:space="preserve"> es de diez años. Alega que los hechos ocur</w:t>
      </w:r>
      <w:r w:rsidR="00033A8E" w:rsidRPr="00710DFD">
        <w:rPr>
          <w:rFonts w:ascii="Cambria" w:hAnsi="Cambria"/>
          <w:sz w:val="20"/>
          <w:szCs w:val="20"/>
          <w:lang w:val="es-UY"/>
        </w:rPr>
        <w:t>rieron el 28 de febrero de 1990</w:t>
      </w:r>
      <w:r w:rsidRPr="00710DFD">
        <w:rPr>
          <w:rFonts w:ascii="Cambria" w:hAnsi="Cambria"/>
          <w:sz w:val="20"/>
          <w:szCs w:val="20"/>
          <w:lang w:val="es-UY"/>
        </w:rPr>
        <w:t xml:space="preserve"> y los presuntos afectados presentaron la denuncia penal el 25 de octubre del 2000. Manifiesta que si no existe una denuncia o razón fundada, el Estado se ve impedido de cumplir con su obligación de prevenir, investigar y sancionar a los responsables de las alegadas violaciones.</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sz w:val="20"/>
          <w:szCs w:val="20"/>
          <w:lang w:val="es-UY"/>
        </w:rPr>
      </w:pPr>
      <w:r w:rsidRPr="00710DFD">
        <w:rPr>
          <w:rFonts w:ascii="Cambria" w:hAnsi="Cambria"/>
          <w:sz w:val="20"/>
          <w:szCs w:val="20"/>
          <w:lang w:val="es-UY"/>
        </w:rPr>
        <w:t xml:space="preserve">Por otro lado, el Estado considera que la petición fue presentada en exceso del plazo de seis meses establecido en el </w:t>
      </w:r>
      <w:r w:rsidR="00BC79AF" w:rsidRPr="00710DFD">
        <w:rPr>
          <w:rFonts w:ascii="Cambria" w:hAnsi="Cambria"/>
          <w:sz w:val="20"/>
          <w:szCs w:val="20"/>
          <w:lang w:val="es-UY"/>
        </w:rPr>
        <w:t>artículo</w:t>
      </w:r>
      <w:r w:rsidRPr="00710DFD">
        <w:rPr>
          <w:rFonts w:ascii="Cambria" w:hAnsi="Cambria"/>
          <w:sz w:val="20"/>
          <w:szCs w:val="20"/>
          <w:lang w:val="es-UY"/>
        </w:rPr>
        <w:t xml:space="preserve"> 46.1.b de la Convención Americana, toda vez que la resolución judicial definitiva, que a su juicio agota los recursos internos, </w:t>
      </w:r>
      <w:r w:rsidR="00A614F5" w:rsidRPr="00710DFD">
        <w:rPr>
          <w:rFonts w:ascii="Cambria" w:hAnsi="Cambria"/>
          <w:sz w:val="20"/>
          <w:szCs w:val="20"/>
          <w:lang w:val="es-UY"/>
        </w:rPr>
        <w:t>fue</w:t>
      </w:r>
      <w:r w:rsidRPr="00710DFD">
        <w:rPr>
          <w:rFonts w:ascii="Cambria" w:hAnsi="Cambria"/>
          <w:sz w:val="20"/>
          <w:szCs w:val="20"/>
          <w:lang w:val="es-UY"/>
        </w:rPr>
        <w:t xml:space="preserve"> dictada el 5 de abril del 2001 por </w:t>
      </w:r>
      <w:r w:rsidRPr="00710DFD">
        <w:rPr>
          <w:rFonts w:ascii="Cambria" w:hAnsi="Cambria" w:cs="Arial"/>
          <w:color w:val="000000"/>
          <w:sz w:val="20"/>
          <w:szCs w:val="20"/>
          <w:lang w:val="es-UY"/>
        </w:rPr>
        <w:t>la Cuarta Sala de la Corte Superior de Justicia de Portoviejo</w:t>
      </w:r>
      <w:r w:rsidRPr="00710DFD">
        <w:rPr>
          <w:rFonts w:ascii="Cambria" w:hAnsi="Cambria"/>
          <w:sz w:val="20"/>
          <w:szCs w:val="20"/>
          <w:lang w:val="es-UY"/>
        </w:rPr>
        <w:t xml:space="preserve">, y la denuncia ante la Comisión Interamericana fue notificada al Estado </w:t>
      </w:r>
      <w:r w:rsidRPr="00710DFD">
        <w:rPr>
          <w:rFonts w:ascii="Cambria" w:hAnsi="Cambria"/>
          <w:color w:val="000000"/>
          <w:sz w:val="20"/>
          <w:szCs w:val="20"/>
          <w:lang w:val="es-UY"/>
        </w:rPr>
        <w:t>el 24 de abril de 2003</w:t>
      </w:r>
      <w:r w:rsidRPr="00710DFD">
        <w:rPr>
          <w:rFonts w:ascii="Cambria" w:hAnsi="Cambria"/>
          <w:sz w:val="20"/>
          <w:szCs w:val="20"/>
          <w:lang w:val="es-UY"/>
        </w:rPr>
        <w:t xml:space="preserve">. Según el Estado, el recurso de amparo constitucional presentado ante el Tribunal Contencioso Administrativo de Portoviejo, rechazado el 25 de octubre de 2001, y la correspondiente apelación ante el Tribunal Constitucional, negativa que quedó ejecutoriada el 1 de marzo de 2002, se debió a que la acción carecía de fundamento jurídico, pues la norma constitucional de la época establecía que no </w:t>
      </w:r>
      <w:r w:rsidR="00A614F5" w:rsidRPr="00710DFD">
        <w:rPr>
          <w:rFonts w:ascii="Cambria" w:hAnsi="Cambria"/>
          <w:sz w:val="20"/>
          <w:szCs w:val="20"/>
          <w:lang w:val="es-UY"/>
        </w:rPr>
        <w:t>eran</w:t>
      </w:r>
      <w:r w:rsidRPr="00710DFD">
        <w:rPr>
          <w:rFonts w:ascii="Cambria" w:hAnsi="Cambria"/>
          <w:sz w:val="20"/>
          <w:szCs w:val="20"/>
          <w:lang w:val="es-UY"/>
        </w:rPr>
        <w:t xml:space="preserve"> susceptibles de acción de amparo las decisiones judiciales adoptadas en un proceso.</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sz w:val="20"/>
          <w:szCs w:val="20"/>
          <w:lang w:val="es-UY"/>
        </w:rPr>
      </w:pPr>
      <w:r w:rsidRPr="00710DFD">
        <w:rPr>
          <w:rFonts w:ascii="Cambria" w:hAnsi="Cambria"/>
          <w:sz w:val="20"/>
          <w:szCs w:val="20"/>
          <w:lang w:val="es-UY"/>
        </w:rPr>
        <w:t xml:space="preserve">En relación </w:t>
      </w:r>
      <w:r w:rsidR="00BB3FF8" w:rsidRPr="00710DFD">
        <w:rPr>
          <w:rFonts w:ascii="Cambria" w:hAnsi="Cambria"/>
          <w:sz w:val="20"/>
          <w:szCs w:val="20"/>
          <w:lang w:val="es-UY"/>
        </w:rPr>
        <w:t>con</w:t>
      </w:r>
      <w:r w:rsidRPr="00710DFD">
        <w:rPr>
          <w:rFonts w:ascii="Cambria" w:hAnsi="Cambria"/>
          <w:sz w:val="20"/>
          <w:szCs w:val="20"/>
          <w:lang w:val="es-UY"/>
        </w:rPr>
        <w:t xml:space="preserve"> la alegada violación al debido proceso </w:t>
      </w:r>
      <w:r w:rsidR="008F56B8" w:rsidRPr="00710DFD">
        <w:rPr>
          <w:rFonts w:ascii="Cambria" w:hAnsi="Cambria"/>
          <w:sz w:val="20"/>
          <w:szCs w:val="20"/>
          <w:lang w:val="es-UY"/>
        </w:rPr>
        <w:t>y</w:t>
      </w:r>
      <w:r w:rsidRPr="00710DFD">
        <w:rPr>
          <w:rFonts w:ascii="Cambria" w:hAnsi="Cambria"/>
          <w:sz w:val="20"/>
          <w:szCs w:val="20"/>
          <w:lang w:val="es-UY"/>
        </w:rPr>
        <w:t xml:space="preserve"> a la protección judicial, Ecuador indica que el peticionario </w:t>
      </w:r>
      <w:r w:rsidR="00173DFD" w:rsidRPr="00710DFD">
        <w:rPr>
          <w:rFonts w:ascii="Cambria" w:hAnsi="Cambria"/>
          <w:sz w:val="20"/>
          <w:szCs w:val="20"/>
          <w:lang w:val="es-UY"/>
        </w:rPr>
        <w:t>tuvo</w:t>
      </w:r>
      <w:r w:rsidRPr="00710DFD">
        <w:rPr>
          <w:rFonts w:ascii="Cambria" w:hAnsi="Cambria"/>
          <w:sz w:val="20"/>
          <w:szCs w:val="20"/>
          <w:lang w:val="es-UY"/>
        </w:rPr>
        <w:t xml:space="preserve"> a su disposición todos los recursos establecidos en la ley; que </w:t>
      </w:r>
      <w:r w:rsidR="00173DFD" w:rsidRPr="00710DFD">
        <w:rPr>
          <w:rFonts w:ascii="Cambria" w:hAnsi="Cambria"/>
          <w:sz w:val="20"/>
          <w:szCs w:val="20"/>
          <w:lang w:val="es-UY"/>
        </w:rPr>
        <w:t>tuvo</w:t>
      </w:r>
      <w:r w:rsidRPr="00710DFD">
        <w:rPr>
          <w:rFonts w:ascii="Cambria" w:hAnsi="Cambria"/>
          <w:sz w:val="20"/>
          <w:szCs w:val="20"/>
          <w:lang w:val="es-UY"/>
        </w:rPr>
        <w:t xml:space="preserve"> libre acceso al aparato jurisdiccional; y que en ningún momento se le </w:t>
      </w:r>
      <w:r w:rsidR="00173DFD" w:rsidRPr="00710DFD">
        <w:rPr>
          <w:rFonts w:ascii="Cambria" w:hAnsi="Cambria"/>
          <w:sz w:val="20"/>
          <w:szCs w:val="20"/>
          <w:lang w:val="es-UY"/>
        </w:rPr>
        <w:t>impidió ejercer</w:t>
      </w:r>
      <w:r w:rsidRPr="00710DFD">
        <w:rPr>
          <w:rFonts w:ascii="Cambria" w:hAnsi="Cambria"/>
          <w:sz w:val="20"/>
          <w:szCs w:val="20"/>
          <w:lang w:val="es-UY"/>
        </w:rPr>
        <w:t xml:space="preserve"> su derecho a ser escuchado en igualdad de condiciones frente a los órganos competentes. En relación con la supuesta vulneración al derecho a ser </w:t>
      </w:r>
      <w:r w:rsidR="008E7D5E" w:rsidRPr="00710DFD">
        <w:rPr>
          <w:rFonts w:ascii="Cambria" w:hAnsi="Cambria"/>
          <w:sz w:val="20"/>
          <w:szCs w:val="20"/>
          <w:lang w:val="es-UY"/>
        </w:rPr>
        <w:t>oído</w:t>
      </w:r>
      <w:r w:rsidRPr="00710DFD">
        <w:rPr>
          <w:rFonts w:ascii="Cambria" w:hAnsi="Cambria"/>
          <w:sz w:val="20"/>
          <w:szCs w:val="20"/>
          <w:lang w:val="es-UY"/>
        </w:rPr>
        <w:t xml:space="preserve"> dentro de un plazo razonable</w:t>
      </w:r>
      <w:r w:rsidR="005B6196" w:rsidRPr="00710DFD">
        <w:rPr>
          <w:rFonts w:ascii="Cambria" w:hAnsi="Cambria"/>
          <w:sz w:val="20"/>
          <w:szCs w:val="20"/>
          <w:lang w:val="es-UY"/>
        </w:rPr>
        <w:t>,</w:t>
      </w:r>
      <w:r w:rsidRPr="00710DFD">
        <w:rPr>
          <w:rFonts w:ascii="Cambria" w:hAnsi="Cambria"/>
          <w:sz w:val="20"/>
          <w:szCs w:val="20"/>
          <w:lang w:val="es-UY"/>
        </w:rPr>
        <w:t xml:space="preserve"> el Estado señala que los plazos en que se desarrollaron los procesos internos están dentro de los </w:t>
      </w:r>
      <w:r w:rsidR="00BC79AF" w:rsidRPr="00710DFD">
        <w:rPr>
          <w:rFonts w:ascii="Cambria" w:hAnsi="Cambria"/>
          <w:sz w:val="20"/>
          <w:szCs w:val="20"/>
          <w:lang w:val="es-UY"/>
        </w:rPr>
        <w:t>límites</w:t>
      </w:r>
      <w:r w:rsidRPr="00710DFD">
        <w:rPr>
          <w:rFonts w:ascii="Cambria" w:hAnsi="Cambria"/>
          <w:sz w:val="20"/>
          <w:szCs w:val="20"/>
          <w:lang w:val="es-UY"/>
        </w:rPr>
        <w:t xml:space="preserve"> de la razonabilidad establecidos por el Sistema Interamericano.</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sz w:val="20"/>
          <w:szCs w:val="20"/>
          <w:lang w:val="es-UY"/>
        </w:rPr>
        <w:t xml:space="preserve">En conclusión, el </w:t>
      </w:r>
      <w:r w:rsidR="005B6196" w:rsidRPr="00710DFD">
        <w:rPr>
          <w:rFonts w:ascii="Cambria" w:hAnsi="Cambria"/>
          <w:sz w:val="20"/>
          <w:szCs w:val="20"/>
          <w:lang w:val="es-UY"/>
        </w:rPr>
        <w:t>Estado</w:t>
      </w:r>
      <w:r w:rsidRPr="00710DFD">
        <w:rPr>
          <w:rFonts w:ascii="Cambria" w:hAnsi="Cambria"/>
          <w:sz w:val="20"/>
          <w:szCs w:val="20"/>
          <w:lang w:val="es-UY"/>
        </w:rPr>
        <w:t xml:space="preserve"> sostiene que la petición debería ser considerada inadmisible por no plantear hechos que constituyan una violación de derechos garantizados en la Convención Americana; ser una solicitud de cuarta instancia; y exceder el plazo reglamentario de presentación de una petición desde el agotamiento de los recursos internos, por lo que en función de los artículos 46 y 47 de la Convención Americana sobre Derechos Humanos  solicita a la CIDH que así lo declare.</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710DFD">
        <w:rPr>
          <w:rFonts w:ascii="Cambria" w:hAnsi="Cambria"/>
          <w:b/>
          <w:bCs/>
          <w:sz w:val="20"/>
          <w:szCs w:val="20"/>
          <w:lang w:val="es-UY"/>
        </w:rPr>
        <w:t>IV.</w:t>
      </w:r>
      <w:r w:rsidRPr="00710DFD">
        <w:rPr>
          <w:rFonts w:ascii="Cambria" w:hAnsi="Cambria"/>
          <w:b/>
          <w:bCs/>
          <w:sz w:val="20"/>
          <w:szCs w:val="20"/>
          <w:lang w:val="es-UY"/>
        </w:rPr>
        <w:tab/>
        <w:t>ANÁLISIS SOBRE COMPETENCIA Y ADMISIBILIDAD</w:t>
      </w:r>
    </w:p>
    <w:p w:rsidR="009E61C6" w:rsidRPr="00710DFD" w:rsidRDefault="009E61C6" w:rsidP="00C66738">
      <w:pPr>
        <w:pStyle w:val="ListParagraph"/>
        <w:numPr>
          <w:ilvl w:val="0"/>
          <w:numId w:val="52"/>
        </w:numPr>
        <w:pBdr>
          <w:top w:val="none" w:sz="0" w:space="0" w:color="auto"/>
          <w:left w:val="none" w:sz="0" w:space="0" w:color="auto"/>
          <w:bottom w:val="none" w:sz="0" w:space="0" w:color="auto"/>
          <w:right w:val="none" w:sz="0" w:space="0" w:color="auto"/>
          <w:bar w:val="none" w:sz="0" w:color="auto"/>
        </w:pBdr>
        <w:spacing w:after="240"/>
        <w:ind w:left="1440" w:hanging="720"/>
        <w:jc w:val="both"/>
        <w:rPr>
          <w:sz w:val="20"/>
          <w:szCs w:val="20"/>
          <w:lang w:val="es-UY"/>
        </w:rPr>
      </w:pPr>
      <w:r w:rsidRPr="00710DFD">
        <w:rPr>
          <w:b/>
          <w:bCs/>
          <w:sz w:val="20"/>
          <w:szCs w:val="20"/>
          <w:lang w:val="es-UY"/>
        </w:rPr>
        <w:t>Competencia</w:t>
      </w:r>
    </w:p>
    <w:p w:rsidR="009E61C6" w:rsidRPr="00710DFD" w:rsidRDefault="009E61C6"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Cambria" w:eastAsia="SimSun" w:hAnsi="Cambria"/>
          <w:sz w:val="20"/>
          <w:szCs w:val="20"/>
          <w:lang w:val="es-UY"/>
        </w:rPr>
        <w:t xml:space="preserve">El peticionario se encuentra facultado, en principio, por el artículo 44 de la Convención Americana para presentar peticiones ante la Comisión. La petición señala como presunta víctima a una persona individual, respecto de quien el Estado ecuatoriano se comprometió a respetar y garantizar los derechos consagrados en la Convención Americana. En lo concerniente al Estado, la Comisión señala que Ecuador es un Estado parte en la Convención Americana desde el 28 de diciembre de 1977, fecha en la que depositó su instrumento de ratificación. Por lo tanto, la Comisión tiene competencia </w:t>
      </w:r>
      <w:r w:rsidRPr="00710DFD">
        <w:rPr>
          <w:rFonts w:ascii="Cambria" w:eastAsia="SimSun" w:hAnsi="Cambria"/>
          <w:i/>
          <w:sz w:val="20"/>
          <w:szCs w:val="20"/>
          <w:lang w:val="es-UY"/>
        </w:rPr>
        <w:t>ratione personae</w:t>
      </w:r>
      <w:r w:rsidRPr="00710DFD">
        <w:rPr>
          <w:rFonts w:ascii="Cambria" w:eastAsia="SimSun" w:hAnsi="Cambria"/>
          <w:sz w:val="20"/>
          <w:szCs w:val="20"/>
          <w:lang w:val="es-UY"/>
        </w:rPr>
        <w:t xml:space="preserve"> para examinar la petición. Asimismo, la Comisión tiene competencia </w:t>
      </w:r>
      <w:r w:rsidRPr="00710DFD">
        <w:rPr>
          <w:rFonts w:ascii="Cambria" w:eastAsia="SimSun" w:hAnsi="Cambria"/>
          <w:i/>
          <w:sz w:val="20"/>
          <w:szCs w:val="20"/>
          <w:lang w:val="es-UY"/>
        </w:rPr>
        <w:t>ratione loci</w:t>
      </w:r>
      <w:r w:rsidRPr="00710DFD">
        <w:rPr>
          <w:rFonts w:ascii="Cambria" w:eastAsia="SimSun" w:hAnsi="Cambria"/>
          <w:sz w:val="20"/>
          <w:szCs w:val="20"/>
          <w:lang w:val="es-UY"/>
        </w:rPr>
        <w:t xml:space="preserve"> para conocer la petición, por cuanto en ella se alegan violaciones de derechos protegidos en la Convención Americana que habrían tenido lugar dentro del territorio de Ecuador, Estado Parte en dicho tratado. </w:t>
      </w:r>
    </w:p>
    <w:p w:rsidR="009E61C6" w:rsidRPr="00710DFD" w:rsidRDefault="009E61C6"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Cambria" w:eastAsia="SimSun" w:hAnsi="Cambria"/>
          <w:sz w:val="20"/>
          <w:szCs w:val="20"/>
          <w:lang w:val="es-UY"/>
        </w:rPr>
        <w:t xml:space="preserve">La Comisión tiene competencia </w:t>
      </w:r>
      <w:r w:rsidRPr="00710DFD">
        <w:rPr>
          <w:rFonts w:ascii="Cambria" w:eastAsia="SimSun" w:hAnsi="Cambria"/>
          <w:i/>
          <w:sz w:val="20"/>
          <w:szCs w:val="20"/>
          <w:lang w:val="es-UY"/>
        </w:rPr>
        <w:t>ratione temporis</w:t>
      </w:r>
      <w:r w:rsidRPr="00710DFD">
        <w:rPr>
          <w:rFonts w:ascii="Cambria" w:eastAsia="SimSun" w:hAnsi="Cambria"/>
          <w:sz w:val="20"/>
          <w:szCs w:val="20"/>
          <w:lang w:val="es-UY"/>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710DFD">
        <w:rPr>
          <w:rFonts w:ascii="Cambria" w:eastAsia="SimSun" w:hAnsi="Cambria"/>
          <w:i/>
          <w:sz w:val="20"/>
          <w:szCs w:val="20"/>
          <w:lang w:val="es-UY"/>
        </w:rPr>
        <w:lastRenderedPageBreak/>
        <w:t>ratione materiae</w:t>
      </w:r>
      <w:r w:rsidRPr="00710DFD">
        <w:rPr>
          <w:rFonts w:ascii="Cambria" w:eastAsia="SimSun" w:hAnsi="Cambria"/>
          <w:sz w:val="20"/>
          <w:szCs w:val="20"/>
          <w:lang w:val="es-UY"/>
        </w:rPr>
        <w:t>, dado que en la petición se denuncian posibles violaciones a derechos humanos protegidos por la Convención Americana.</w:t>
      </w:r>
    </w:p>
    <w:p w:rsidR="006D06A7" w:rsidRPr="00710DFD" w:rsidRDefault="008C26B7"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Theme="majorHAnsi" w:eastAsia="SimSun" w:hAnsiTheme="majorHAnsi"/>
          <w:sz w:val="20"/>
          <w:szCs w:val="20"/>
          <w:lang w:val="es-ES"/>
        </w:rPr>
        <w:t xml:space="preserve">Lo anterior sin perjuicio de que en la etapa de fondo del trámite de la presente petición, al momento de analizar las posibles violaciones a la Convención Americana, la CIDH tome en consideración otros instrumentos que hacen parte del </w:t>
      </w:r>
      <w:r w:rsidRPr="00710DFD">
        <w:rPr>
          <w:rFonts w:asciiTheme="majorHAnsi" w:eastAsia="SimSun" w:hAnsiTheme="majorHAnsi"/>
          <w:i/>
          <w:sz w:val="20"/>
          <w:szCs w:val="20"/>
          <w:lang w:val="es-ES"/>
        </w:rPr>
        <w:t>corpus juris</w:t>
      </w:r>
      <w:r w:rsidRPr="00710DFD">
        <w:rPr>
          <w:rFonts w:asciiTheme="majorHAnsi" w:eastAsia="SimSun" w:hAnsiTheme="majorHAnsi"/>
          <w:sz w:val="20"/>
          <w:szCs w:val="20"/>
          <w:lang w:val="es-ES"/>
        </w:rPr>
        <w:t xml:space="preserve"> en materia de derechos de las personas con discapacidad en la medida de lo pertinente.</w:t>
      </w:r>
    </w:p>
    <w:p w:rsidR="009E61C6" w:rsidRPr="00710DFD" w:rsidRDefault="009E61C6" w:rsidP="00C66738">
      <w:pPr>
        <w:pStyle w:val="ListParagraph"/>
        <w:numPr>
          <w:ilvl w:val="0"/>
          <w:numId w:val="52"/>
        </w:numPr>
        <w:pBdr>
          <w:top w:val="none" w:sz="0" w:space="0" w:color="auto"/>
          <w:left w:val="none" w:sz="0" w:space="0" w:color="auto"/>
          <w:bottom w:val="none" w:sz="0" w:space="0" w:color="auto"/>
          <w:right w:val="none" w:sz="0" w:space="0" w:color="auto"/>
          <w:bar w:val="none" w:sz="0" w:color="auto"/>
        </w:pBdr>
        <w:spacing w:after="240"/>
        <w:ind w:left="1440" w:hanging="720"/>
        <w:jc w:val="both"/>
        <w:rPr>
          <w:b/>
          <w:bCs/>
          <w:sz w:val="20"/>
          <w:szCs w:val="20"/>
          <w:lang w:val="es-UY"/>
        </w:rPr>
      </w:pPr>
      <w:r w:rsidRPr="00710DFD">
        <w:rPr>
          <w:b/>
          <w:bCs/>
          <w:sz w:val="20"/>
          <w:szCs w:val="20"/>
          <w:lang w:val="es-UY"/>
        </w:rPr>
        <w:t>Requisitos de Admisibilidad</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color w:val="FF0000"/>
          <w:sz w:val="20"/>
          <w:szCs w:val="20"/>
          <w:lang w:val="es-UY"/>
        </w:rPr>
      </w:pPr>
      <w:r w:rsidRPr="00710DFD">
        <w:rPr>
          <w:rFonts w:ascii="Cambria" w:hAnsi="Cambria"/>
          <w:b/>
          <w:sz w:val="20"/>
          <w:szCs w:val="20"/>
          <w:lang w:val="es-UY"/>
        </w:rPr>
        <w:t>1.</w:t>
      </w:r>
      <w:r w:rsidRPr="00710DFD">
        <w:rPr>
          <w:rFonts w:ascii="Cambria" w:hAnsi="Cambria"/>
          <w:b/>
          <w:sz w:val="20"/>
          <w:szCs w:val="20"/>
          <w:lang w:val="es-UY"/>
        </w:rPr>
        <w:tab/>
        <w:t xml:space="preserve">Agotamiento de los recursos internos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i/>
          <w:sz w:val="20"/>
          <w:szCs w:val="20"/>
          <w:lang w:val="es-UY"/>
        </w:rPr>
      </w:pPr>
      <w:r w:rsidRPr="00710DFD">
        <w:rPr>
          <w:rFonts w:ascii="Cambria" w:hAnsi="Cambria" w:cs="Arial"/>
          <w:sz w:val="20"/>
          <w:szCs w:val="20"/>
          <w:lang w:val="es-PE"/>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Pr="00710DFD">
        <w:rPr>
          <w:rFonts w:ascii="Cambria" w:hAnsi="Cambria"/>
          <w:sz w:val="20"/>
          <w:szCs w:val="20"/>
          <w:lang w:val="es-UY"/>
        </w:rPr>
        <w:t>Este requisito tiene como objeto permitir que las autoridades nacionales conozcan sobre la supuesta violación de un derecho protegido y, de ser apropiado, solucionen la situación antes de que sea conocida por una instancia internacional.</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i/>
          <w:sz w:val="20"/>
          <w:szCs w:val="20"/>
          <w:lang w:val="es-UY"/>
        </w:rPr>
      </w:pPr>
      <w:r w:rsidRPr="00710DFD">
        <w:rPr>
          <w:rFonts w:ascii="Cambria" w:hAnsi="Cambria" w:cs="Arial"/>
          <w:sz w:val="20"/>
          <w:szCs w:val="20"/>
          <w:lang w:val="es-PE"/>
        </w:rPr>
        <w:t>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i/>
          <w:sz w:val="20"/>
          <w:szCs w:val="20"/>
          <w:lang w:val="es-UY"/>
        </w:rPr>
      </w:pPr>
      <w:r w:rsidRPr="00710DFD">
        <w:rPr>
          <w:rFonts w:ascii="Cambria" w:hAnsi="Cambria"/>
          <w:sz w:val="20"/>
          <w:szCs w:val="20"/>
          <w:lang w:val="es-UY"/>
        </w:rPr>
        <w:t>E</w:t>
      </w:r>
      <w:r w:rsidRPr="00710DFD">
        <w:rPr>
          <w:rFonts w:ascii="Cambria" w:hAnsi="Cambria" w:cs="Arial"/>
          <w:sz w:val="20"/>
          <w:szCs w:val="20"/>
          <w:lang w:val="es-PE"/>
        </w:rPr>
        <w:t xml:space="preserve">n el presente caso, el Estado sostiene </w:t>
      </w:r>
      <w:r w:rsidR="00E433E7" w:rsidRPr="00710DFD">
        <w:rPr>
          <w:rFonts w:ascii="Cambria" w:hAnsi="Cambria" w:cs="Arial"/>
          <w:sz w:val="20"/>
          <w:szCs w:val="20"/>
          <w:lang w:val="es-PE"/>
        </w:rPr>
        <w:t xml:space="preserve">que </w:t>
      </w:r>
      <w:r w:rsidR="00C00E4F" w:rsidRPr="00710DFD">
        <w:rPr>
          <w:rFonts w:ascii="Cambria" w:hAnsi="Cambria" w:cs="Arial"/>
          <w:sz w:val="20"/>
          <w:szCs w:val="20"/>
          <w:lang w:val="es-PE"/>
        </w:rPr>
        <w:t>hubo</w:t>
      </w:r>
      <w:r w:rsidRPr="00710DFD">
        <w:rPr>
          <w:rFonts w:ascii="Cambria" w:hAnsi="Cambria" w:cs="Arial"/>
          <w:sz w:val="20"/>
          <w:szCs w:val="20"/>
          <w:lang w:val="es-PE"/>
        </w:rPr>
        <w:t xml:space="preserve"> agotamiento indebido de recursos ya que la denuncia </w:t>
      </w:r>
      <w:r w:rsidR="00C00E4F" w:rsidRPr="00710DFD">
        <w:rPr>
          <w:rFonts w:ascii="Cambria" w:hAnsi="Cambria" w:cs="Arial"/>
          <w:sz w:val="20"/>
          <w:szCs w:val="20"/>
          <w:lang w:val="es-PE"/>
        </w:rPr>
        <w:t>ante</w:t>
      </w:r>
      <w:r w:rsidRPr="00710DFD">
        <w:rPr>
          <w:rFonts w:ascii="Cambria" w:hAnsi="Cambria" w:cs="Arial"/>
          <w:color w:val="000000"/>
          <w:sz w:val="20"/>
          <w:szCs w:val="20"/>
          <w:lang w:val="es-UY"/>
        </w:rPr>
        <w:t xml:space="preserve"> el  Juzgado Quinto de lo Penal de Manabí </w:t>
      </w:r>
      <w:r w:rsidR="00C00E4F" w:rsidRPr="00710DFD">
        <w:rPr>
          <w:rFonts w:ascii="Cambria" w:hAnsi="Cambria" w:cs="Arial"/>
          <w:color w:val="000000"/>
          <w:sz w:val="20"/>
          <w:szCs w:val="20"/>
          <w:lang w:val="es-UY"/>
        </w:rPr>
        <w:t xml:space="preserve">fue presentada luego de la prescripción del delito denunciado. </w:t>
      </w:r>
      <w:r w:rsidR="005D5C79" w:rsidRPr="00710DFD">
        <w:rPr>
          <w:rFonts w:ascii="Cambria" w:hAnsi="Cambria" w:cs="Arial"/>
          <w:color w:val="000000"/>
          <w:sz w:val="20"/>
          <w:szCs w:val="20"/>
          <w:lang w:val="es-UY"/>
        </w:rPr>
        <w:t>Agrega</w:t>
      </w:r>
      <w:r w:rsidRPr="00710DFD">
        <w:rPr>
          <w:rFonts w:ascii="Cambria" w:hAnsi="Cambria" w:cs="Arial"/>
          <w:color w:val="000000"/>
          <w:sz w:val="20"/>
          <w:szCs w:val="20"/>
          <w:lang w:val="es-UY"/>
        </w:rPr>
        <w:t xml:space="preserve"> que una de las formas de iniciar el proceso penal era a través de una denuncia, y que los familiares de la presunta víctima se </w:t>
      </w:r>
      <w:r w:rsidR="00162927" w:rsidRPr="00710DFD">
        <w:rPr>
          <w:rFonts w:ascii="Cambria" w:hAnsi="Cambria" w:cs="Arial"/>
          <w:color w:val="000000"/>
          <w:sz w:val="20"/>
          <w:szCs w:val="20"/>
          <w:lang w:val="es-UY"/>
        </w:rPr>
        <w:t>abstuvieron</w:t>
      </w:r>
      <w:r w:rsidRPr="00710DFD">
        <w:rPr>
          <w:rFonts w:ascii="Cambria" w:hAnsi="Cambria" w:cs="Arial"/>
          <w:color w:val="000000"/>
          <w:sz w:val="20"/>
          <w:szCs w:val="20"/>
          <w:lang w:val="es-UY"/>
        </w:rPr>
        <w:t xml:space="preserve"> de poner en conocimiento de las autoridades judiciales los hechos </w:t>
      </w:r>
      <w:r w:rsidR="00162927" w:rsidRPr="00710DFD">
        <w:rPr>
          <w:rFonts w:ascii="Cambria" w:hAnsi="Cambria" w:cs="Arial"/>
          <w:color w:val="000000"/>
          <w:sz w:val="20"/>
          <w:szCs w:val="20"/>
          <w:lang w:val="es-UY"/>
        </w:rPr>
        <w:t>alegados</w:t>
      </w:r>
      <w:r w:rsidRPr="00710DFD">
        <w:rPr>
          <w:rFonts w:ascii="Cambria" w:hAnsi="Cambria" w:cs="Arial"/>
          <w:color w:val="000000"/>
          <w:sz w:val="20"/>
          <w:szCs w:val="20"/>
          <w:lang w:val="es-UY"/>
        </w:rPr>
        <w:t xml:space="preserve">, lo que </w:t>
      </w:r>
      <w:r w:rsidR="00162927" w:rsidRPr="00710DFD">
        <w:rPr>
          <w:rFonts w:ascii="Cambria" w:hAnsi="Cambria" w:cs="Arial"/>
          <w:color w:val="000000"/>
          <w:sz w:val="20"/>
          <w:szCs w:val="20"/>
          <w:lang w:val="es-UY"/>
        </w:rPr>
        <w:t>impidió</w:t>
      </w:r>
      <w:r w:rsidRPr="00710DFD">
        <w:rPr>
          <w:rFonts w:ascii="Cambria" w:hAnsi="Cambria" w:cs="Arial"/>
          <w:color w:val="000000"/>
          <w:sz w:val="20"/>
          <w:szCs w:val="20"/>
          <w:lang w:val="es-UY"/>
        </w:rPr>
        <w:t xml:space="preserve"> que el Estado cumpliera con su obligación de investigar y sancionar a los responsables de la violación alegada.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i/>
          <w:sz w:val="20"/>
          <w:szCs w:val="20"/>
          <w:lang w:val="es-UY"/>
        </w:rPr>
      </w:pPr>
      <w:r w:rsidRPr="00710DFD">
        <w:rPr>
          <w:rFonts w:ascii="Cambria" w:hAnsi="Cambria"/>
          <w:sz w:val="20"/>
          <w:szCs w:val="20"/>
          <w:lang w:val="es-UY"/>
        </w:rPr>
        <w:t>Por su parte, el peticionario indica que</w:t>
      </w:r>
      <w:r w:rsidRPr="00710DFD">
        <w:rPr>
          <w:rFonts w:ascii="Cambria" w:hAnsi="Cambria" w:cs="Arial"/>
          <w:color w:val="000000"/>
          <w:sz w:val="20"/>
          <w:szCs w:val="20"/>
          <w:lang w:val="es-UY"/>
        </w:rPr>
        <w:t xml:space="preserve"> el Estado tenía la obligación de iniciar de oficio la investigación judicial y luego de esto, y de establecerse los presuntos responsables de los hechos, se le daba la oportunidad de presentarse como parte procesal a través de la correspondiente acusación particular. Señala que fue un hecho público y notorio que el Sr. Matute Robles fue la víctima de mayor gravedad de la represión policial </w:t>
      </w:r>
      <w:r w:rsidR="00BC2C30" w:rsidRPr="00710DFD">
        <w:rPr>
          <w:rFonts w:ascii="Cambria" w:hAnsi="Cambria" w:cs="Arial"/>
          <w:color w:val="000000"/>
          <w:sz w:val="20"/>
          <w:szCs w:val="20"/>
          <w:lang w:val="es-UY"/>
        </w:rPr>
        <w:t xml:space="preserve">ocurrida </w:t>
      </w:r>
      <w:r w:rsidRPr="00710DFD">
        <w:rPr>
          <w:rFonts w:ascii="Cambria" w:hAnsi="Cambria" w:cs="Arial"/>
          <w:color w:val="000000"/>
          <w:sz w:val="20"/>
          <w:szCs w:val="20"/>
          <w:lang w:val="es-UY"/>
        </w:rPr>
        <w:t>durante las referidas manifestaciones, y que esto fue dado a conocer</w:t>
      </w:r>
      <w:r w:rsidR="00CF226E" w:rsidRPr="00710DFD">
        <w:rPr>
          <w:rFonts w:ascii="Cambria" w:hAnsi="Cambria" w:cs="Arial"/>
          <w:color w:val="000000"/>
          <w:sz w:val="20"/>
          <w:szCs w:val="20"/>
          <w:lang w:val="es-UY"/>
        </w:rPr>
        <w:t>, entre otras fuentes,</w:t>
      </w:r>
      <w:r w:rsidRPr="00710DFD">
        <w:rPr>
          <w:rFonts w:ascii="Cambria" w:hAnsi="Cambria" w:cs="Arial"/>
          <w:color w:val="000000"/>
          <w:sz w:val="20"/>
          <w:szCs w:val="20"/>
          <w:lang w:val="es-UY"/>
        </w:rPr>
        <w:t xml:space="preserve"> por los medios</w:t>
      </w:r>
      <w:r w:rsidR="00BC2C30" w:rsidRPr="00710DFD">
        <w:rPr>
          <w:rFonts w:ascii="Cambria" w:hAnsi="Cambria" w:cs="Arial"/>
          <w:color w:val="000000"/>
          <w:sz w:val="20"/>
          <w:szCs w:val="20"/>
          <w:lang w:val="es-UY"/>
        </w:rPr>
        <w:t xml:space="preserve"> de comunicación</w:t>
      </w:r>
      <w:r w:rsidRPr="00710DFD">
        <w:rPr>
          <w:rFonts w:ascii="Cambria" w:hAnsi="Cambria" w:cs="Arial"/>
          <w:color w:val="000000"/>
          <w:sz w:val="20"/>
          <w:szCs w:val="20"/>
          <w:lang w:val="es-UY"/>
        </w:rPr>
        <w:t xml:space="preserve">. Sobre esta base el peticionario alega la excepción contenida en el </w:t>
      </w:r>
      <w:r w:rsidRPr="00710DFD">
        <w:rPr>
          <w:rFonts w:ascii="Cambria" w:hAnsi="Cambria"/>
          <w:sz w:val="20"/>
          <w:szCs w:val="20"/>
          <w:lang w:val="es-UY"/>
        </w:rPr>
        <w:t xml:space="preserve">artículo </w:t>
      </w:r>
      <w:r w:rsidRPr="00710DFD">
        <w:rPr>
          <w:rFonts w:ascii="Cambria" w:hAnsi="Cambria" w:cs="Arial"/>
          <w:sz w:val="20"/>
          <w:szCs w:val="20"/>
          <w:lang w:val="es-PE"/>
        </w:rPr>
        <w:t>46.2.</w:t>
      </w:r>
      <w:r w:rsidRPr="00710DFD">
        <w:rPr>
          <w:rFonts w:ascii="Cambria" w:hAnsi="Cambria"/>
          <w:sz w:val="20"/>
          <w:szCs w:val="20"/>
          <w:lang w:val="es-UY"/>
        </w:rPr>
        <w:t>c</w:t>
      </w:r>
      <w:r w:rsidRPr="00710DFD">
        <w:rPr>
          <w:rFonts w:ascii="Cambria" w:hAnsi="Cambria" w:cs="Arial"/>
          <w:sz w:val="20"/>
          <w:szCs w:val="20"/>
          <w:lang w:val="es-PE"/>
        </w:rPr>
        <w:t xml:space="preserve"> de la Convención Americana, puesto que al momento de presentar la petición, y ya declarada la prescripción de los hechos denunciados por los tribunales de Ecuador, no se había iniciado ningún proceso de oficio por el Estado.</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i/>
          <w:sz w:val="20"/>
          <w:szCs w:val="20"/>
          <w:lang w:val="es-UY"/>
        </w:rPr>
      </w:pPr>
      <w:r w:rsidRPr="00710DFD">
        <w:rPr>
          <w:rFonts w:ascii="Cambria" w:hAnsi="Cambria"/>
          <w:sz w:val="20"/>
          <w:szCs w:val="20"/>
          <w:lang w:val="es-UY"/>
        </w:rPr>
        <w:t xml:space="preserve">En vista de los hechos planteados por las partes, la Comisión </w:t>
      </w:r>
      <w:r w:rsidR="00CF226E" w:rsidRPr="00710DFD">
        <w:rPr>
          <w:rFonts w:ascii="Cambria" w:hAnsi="Cambria"/>
          <w:sz w:val="20"/>
          <w:szCs w:val="20"/>
          <w:lang w:val="es-UY"/>
        </w:rPr>
        <w:t>observa</w:t>
      </w:r>
      <w:r w:rsidRPr="00710DFD">
        <w:rPr>
          <w:rFonts w:ascii="Cambria" w:hAnsi="Cambria"/>
          <w:sz w:val="20"/>
          <w:szCs w:val="20"/>
          <w:lang w:val="es-UY"/>
        </w:rPr>
        <w:t xml:space="preserve"> </w:t>
      </w:r>
      <w:r w:rsidRPr="00710DFD">
        <w:rPr>
          <w:rFonts w:ascii="Cambria" w:hAnsi="Cambria"/>
          <w:sz w:val="20"/>
          <w:szCs w:val="20"/>
          <w:lang w:val="es-ES"/>
        </w:rPr>
        <w:t>que toda vez que se cometa un presun</w:t>
      </w:r>
      <w:r w:rsidR="00ED27B2" w:rsidRPr="00710DFD">
        <w:rPr>
          <w:rFonts w:ascii="Cambria" w:hAnsi="Cambria"/>
          <w:sz w:val="20"/>
          <w:szCs w:val="20"/>
          <w:lang w:val="es-ES"/>
        </w:rPr>
        <w:t>to delito perseguible de oficio</w:t>
      </w:r>
      <w:r w:rsidRPr="00710DFD">
        <w:rPr>
          <w:rFonts w:ascii="Cambria" w:hAnsi="Cambria"/>
          <w:sz w:val="20"/>
          <w:szCs w:val="20"/>
          <w:lang w:val="es-ES"/>
        </w:rPr>
        <w:t xml:space="preserve"> el Estado tiene la obligación de promover e impulsar el proceso penal; y que en esos casos, éste constituye la vía idónea para esclarecer los hecho</w:t>
      </w:r>
      <w:r w:rsidR="00ED27B2" w:rsidRPr="00710DFD">
        <w:rPr>
          <w:rFonts w:ascii="Cambria" w:hAnsi="Cambria"/>
          <w:sz w:val="20"/>
          <w:szCs w:val="20"/>
          <w:lang w:val="es-ES"/>
        </w:rPr>
        <w:t>s</w:t>
      </w:r>
      <w:r w:rsidRPr="00710DFD">
        <w:rPr>
          <w:rFonts w:ascii="Cambria" w:hAnsi="Cambria"/>
          <w:sz w:val="20"/>
          <w:szCs w:val="20"/>
          <w:lang w:val="es-ES"/>
        </w:rPr>
        <w:t xml:space="preserve"> </w:t>
      </w:r>
      <w:r w:rsidR="00ED27B2" w:rsidRPr="00710DFD">
        <w:rPr>
          <w:rFonts w:ascii="Cambria" w:hAnsi="Cambria"/>
          <w:sz w:val="20"/>
          <w:szCs w:val="20"/>
          <w:lang w:val="es-ES"/>
        </w:rPr>
        <w:t xml:space="preserve">y, </w:t>
      </w:r>
      <w:r w:rsidR="00CF226E" w:rsidRPr="00710DFD">
        <w:rPr>
          <w:rFonts w:ascii="Cambria" w:hAnsi="Cambria"/>
          <w:sz w:val="20"/>
          <w:szCs w:val="20"/>
          <w:lang w:val="es-ES"/>
        </w:rPr>
        <w:t xml:space="preserve">de ser </w:t>
      </w:r>
      <w:r w:rsidR="00ED27B2" w:rsidRPr="00710DFD">
        <w:rPr>
          <w:rFonts w:ascii="Cambria" w:hAnsi="Cambria"/>
          <w:sz w:val="20"/>
          <w:szCs w:val="20"/>
          <w:lang w:val="es-ES"/>
        </w:rPr>
        <w:t>apropiado,</w:t>
      </w:r>
      <w:r w:rsidR="00CF226E" w:rsidRPr="00710DFD">
        <w:rPr>
          <w:rFonts w:ascii="Cambria" w:hAnsi="Cambria"/>
          <w:sz w:val="20"/>
          <w:szCs w:val="20"/>
          <w:lang w:val="es-ES"/>
        </w:rPr>
        <w:t xml:space="preserve"> </w:t>
      </w:r>
      <w:r w:rsidRPr="00710DFD">
        <w:rPr>
          <w:rFonts w:ascii="Cambria" w:hAnsi="Cambria"/>
          <w:sz w:val="20"/>
          <w:szCs w:val="20"/>
          <w:lang w:val="es-ES"/>
        </w:rPr>
        <w:t>juzgar a los responsables</w:t>
      </w:r>
      <w:r w:rsidR="00CF226E" w:rsidRPr="00710DFD">
        <w:rPr>
          <w:rFonts w:ascii="Cambria" w:hAnsi="Cambria"/>
          <w:sz w:val="20"/>
          <w:szCs w:val="20"/>
          <w:lang w:val="es-ES"/>
        </w:rPr>
        <w:t>,</w:t>
      </w:r>
      <w:r w:rsidRPr="00710DFD">
        <w:rPr>
          <w:rFonts w:ascii="Cambria" w:hAnsi="Cambria"/>
          <w:sz w:val="20"/>
          <w:szCs w:val="20"/>
          <w:lang w:val="es-ES"/>
        </w:rPr>
        <w:t xml:space="preserve"> y establecer las san</w:t>
      </w:r>
      <w:r w:rsidR="00BC2C30" w:rsidRPr="00710DFD">
        <w:rPr>
          <w:rFonts w:ascii="Cambria" w:hAnsi="Cambria"/>
          <w:sz w:val="20"/>
          <w:szCs w:val="20"/>
          <w:lang w:val="es-ES"/>
        </w:rPr>
        <w:t>ciones penales correspondientes</w:t>
      </w:r>
      <w:r w:rsidRPr="00710DFD">
        <w:rPr>
          <w:rStyle w:val="FootnoteReference"/>
          <w:rFonts w:ascii="Cambria" w:hAnsi="Cambria"/>
          <w:sz w:val="20"/>
          <w:szCs w:val="20"/>
          <w:lang w:val="es-ES"/>
        </w:rPr>
        <w:footnoteReference w:id="3"/>
      </w:r>
      <w:r w:rsidRPr="00710DFD">
        <w:rPr>
          <w:rFonts w:ascii="Cambria" w:hAnsi="Cambria"/>
          <w:sz w:val="20"/>
          <w:szCs w:val="20"/>
          <w:lang w:val="es-ES"/>
        </w:rPr>
        <w:t xml:space="preserve">. </w:t>
      </w:r>
      <w:r w:rsidRPr="00710DFD">
        <w:rPr>
          <w:rFonts w:ascii="Cambria" w:hAnsi="Cambria"/>
          <w:sz w:val="20"/>
          <w:szCs w:val="20"/>
          <w:lang w:val="es-ES_tradnl"/>
        </w:rPr>
        <w:t>Como regla general, una investigación penal debe realizarse prontamente para proteger los intereses de las víctimas, preservar la prueba e incluso salvaguardar los derechos de toda persona que en el contexto de la investigación sea considerada sospechosa</w:t>
      </w:r>
      <w:r w:rsidRPr="00710DFD">
        <w:rPr>
          <w:rStyle w:val="FootnoteReference"/>
          <w:rFonts w:ascii="Cambria" w:hAnsi="Cambria"/>
          <w:sz w:val="20"/>
          <w:szCs w:val="20"/>
        </w:rPr>
        <w:footnoteReference w:id="4"/>
      </w:r>
      <w:r w:rsidRPr="00710DFD">
        <w:rPr>
          <w:rFonts w:ascii="Cambria" w:hAnsi="Cambria"/>
          <w:sz w:val="20"/>
          <w:szCs w:val="20"/>
          <w:lang w:val="es-CL"/>
        </w:rPr>
        <w:t>.</w:t>
      </w:r>
      <w:r w:rsidRPr="00710DFD">
        <w:rPr>
          <w:rFonts w:ascii="Cambria" w:hAnsi="Cambria"/>
          <w:i/>
          <w:sz w:val="20"/>
          <w:szCs w:val="20"/>
          <w:lang w:val="es-UY"/>
        </w:rPr>
        <w:t xml:space="preserve"> </w:t>
      </w:r>
      <w:r w:rsidRPr="00710DFD">
        <w:rPr>
          <w:rFonts w:ascii="Cambria" w:hAnsi="Cambria" w:cs="Calibri"/>
          <w:sz w:val="20"/>
          <w:szCs w:val="20"/>
          <w:lang w:val="es-ES"/>
        </w:rPr>
        <w:t>En este sentido, y e</w:t>
      </w:r>
      <w:r w:rsidRPr="00710DFD">
        <w:rPr>
          <w:rFonts w:ascii="Cambria" w:hAnsi="Cambria"/>
          <w:color w:val="000000"/>
          <w:sz w:val="20"/>
          <w:szCs w:val="20"/>
          <w:lang w:val="es-ES"/>
        </w:rPr>
        <w:t xml:space="preserve">n vista de que los hechos alegados por los </w:t>
      </w:r>
      <w:r w:rsidRPr="00710DFD">
        <w:rPr>
          <w:rFonts w:ascii="Cambria" w:hAnsi="Cambria"/>
          <w:color w:val="000000"/>
          <w:sz w:val="20"/>
          <w:szCs w:val="20"/>
          <w:lang w:val="es-ES"/>
        </w:rPr>
        <w:lastRenderedPageBreak/>
        <w:t>peticionarios constituyen delitos perseguibles de oficio, el proceso interno que debió ser agotado en el presente caso es la investigación en sede penal, la cual debió ser asumida e impulsada por el Estado.</w:t>
      </w:r>
      <w:r w:rsidRPr="00710DFD">
        <w:rPr>
          <w:rFonts w:ascii="Cambria" w:hAnsi="Cambria"/>
          <w:i/>
          <w:sz w:val="20"/>
          <w:szCs w:val="20"/>
          <w:lang w:val="es-UY"/>
        </w:rPr>
        <w:t xml:space="preserve"> </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i/>
          <w:sz w:val="20"/>
          <w:szCs w:val="20"/>
          <w:lang w:val="es-UY"/>
        </w:rPr>
      </w:pPr>
      <w:r w:rsidRPr="00710DFD">
        <w:rPr>
          <w:rFonts w:ascii="Cambria" w:hAnsi="Cambria"/>
          <w:color w:val="000000"/>
          <w:sz w:val="20"/>
          <w:szCs w:val="20"/>
          <w:lang w:val="es-ES"/>
        </w:rPr>
        <w:t xml:space="preserve">Respecto del argumento sobre la alegada </w:t>
      </w:r>
      <w:r w:rsidRPr="00710DFD">
        <w:rPr>
          <w:rFonts w:ascii="Cambria" w:hAnsi="Cambria"/>
          <w:sz w:val="20"/>
          <w:szCs w:val="20"/>
          <w:lang w:val="es-AR"/>
        </w:rPr>
        <w:t xml:space="preserve">falta de </w:t>
      </w:r>
      <w:r w:rsidR="00751E94" w:rsidRPr="00710DFD">
        <w:rPr>
          <w:rFonts w:ascii="Cambria" w:hAnsi="Cambria"/>
          <w:sz w:val="20"/>
          <w:szCs w:val="20"/>
          <w:lang w:val="es-AR"/>
        </w:rPr>
        <w:t>actividad procesal</w:t>
      </w:r>
      <w:r w:rsidRPr="00710DFD">
        <w:rPr>
          <w:rFonts w:ascii="Cambria" w:hAnsi="Cambria"/>
          <w:sz w:val="20"/>
          <w:szCs w:val="20"/>
          <w:lang w:val="es-AR"/>
        </w:rPr>
        <w:t xml:space="preserve"> del peticionario por no haber promovido por medio de una denuncia el inicio del proceso penal, la CIDH reitera lo establecido en varios de sus precedentes al respecto, en el sentido de que </w:t>
      </w:r>
      <w:r w:rsidRPr="00710DFD">
        <w:rPr>
          <w:rFonts w:ascii="Cambria" w:hAnsi="Cambria" w:cs="Calibri"/>
          <w:sz w:val="20"/>
          <w:szCs w:val="20"/>
          <w:lang w:val="es-AR"/>
        </w:rPr>
        <w:t>en los regímenes procesales en los que las víctimas o sus familiares pudieren tener legitimación para intervenir en procesos penales, su ejercicio no es obligatorio sino optativo,</w:t>
      </w:r>
      <w:r w:rsidR="00B5275D" w:rsidRPr="00710DFD">
        <w:rPr>
          <w:rFonts w:ascii="Cambria" w:hAnsi="Cambria" w:cs="Calibri"/>
          <w:sz w:val="20"/>
          <w:szCs w:val="20"/>
          <w:lang w:val="es-AR"/>
        </w:rPr>
        <w:t xml:space="preserve"> y no sustituye en modo alguno</w:t>
      </w:r>
      <w:r w:rsidRPr="00710DFD">
        <w:rPr>
          <w:rFonts w:ascii="Cambria" w:hAnsi="Cambria" w:cs="Calibri"/>
          <w:sz w:val="20"/>
          <w:szCs w:val="20"/>
          <w:lang w:val="es-AR"/>
        </w:rPr>
        <w:t xml:space="preserve"> la actividad estatal</w:t>
      </w:r>
      <w:r w:rsidRPr="00710DFD">
        <w:rPr>
          <w:rFonts w:ascii="Cambria" w:hAnsi="Cambria"/>
          <w:color w:val="000000"/>
          <w:sz w:val="20"/>
          <w:szCs w:val="20"/>
          <w:lang w:val="es-ES"/>
        </w:rPr>
        <w:t>. En otras palabras, el no haber hecho uso de esas figuras procesales accesorias o coadyuvantes en procesos penales cuyo impulso está a cargo del Estado no afecta al análisis del cumplimiento del requisito del previo agotamiento de los recursos internos</w:t>
      </w:r>
      <w:r w:rsidRPr="00710DFD">
        <w:rPr>
          <w:rStyle w:val="FootnoteReference"/>
          <w:rFonts w:ascii="Cambria" w:hAnsi="Cambria"/>
          <w:color w:val="000000"/>
          <w:sz w:val="20"/>
          <w:szCs w:val="20"/>
          <w:lang w:val="es-ES"/>
        </w:rPr>
        <w:footnoteReference w:id="5"/>
      </w:r>
      <w:r w:rsidRPr="00710DFD">
        <w:rPr>
          <w:rFonts w:ascii="Cambria" w:hAnsi="Cambria"/>
          <w:color w:val="000000"/>
          <w:sz w:val="20"/>
          <w:szCs w:val="20"/>
          <w:lang w:val="es-ES"/>
        </w:rPr>
        <w:t>.</w:t>
      </w:r>
    </w:p>
    <w:p w:rsidR="004908B3" w:rsidRPr="00710DFD" w:rsidRDefault="00E811FC"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i/>
          <w:sz w:val="20"/>
          <w:szCs w:val="20"/>
          <w:lang w:val="es-UY"/>
        </w:rPr>
      </w:pPr>
      <w:r w:rsidRPr="00710DFD">
        <w:rPr>
          <w:rFonts w:ascii="Cambria" w:hAnsi="Cambria"/>
          <w:color w:val="000000"/>
          <w:sz w:val="20"/>
          <w:szCs w:val="20"/>
          <w:lang w:val="es-ES"/>
        </w:rPr>
        <w:t>Asimismo, respecto al argumento del Estado en el sentido de que, co</w:t>
      </w:r>
      <w:r w:rsidR="009B4D4F" w:rsidRPr="00710DFD">
        <w:rPr>
          <w:rFonts w:ascii="Cambria" w:hAnsi="Cambria"/>
          <w:color w:val="000000"/>
          <w:sz w:val="20"/>
          <w:szCs w:val="20"/>
          <w:lang w:val="es-ES"/>
        </w:rPr>
        <w:t>mo no se interpuso una denuncia</w:t>
      </w:r>
      <w:r w:rsidRPr="00710DFD">
        <w:rPr>
          <w:rFonts w:ascii="Cambria" w:hAnsi="Cambria"/>
          <w:color w:val="000000"/>
          <w:sz w:val="20"/>
          <w:szCs w:val="20"/>
          <w:lang w:val="es-ES"/>
        </w:rPr>
        <w:t xml:space="preserve"> las autoridades no tenían la obligación de realizar una investigación y proceso penal, a efectos de esta etapa de admisibilidad, la Comisión toma en cuenta los alegatos del peticionario en el sentido de que: la policía estuvo presente en el lugar de los hechos; la</w:t>
      </w:r>
      <w:r w:rsidR="009B4D4F" w:rsidRPr="00710DFD">
        <w:rPr>
          <w:rFonts w:ascii="Cambria" w:hAnsi="Cambria"/>
          <w:color w:val="000000"/>
          <w:sz w:val="20"/>
          <w:szCs w:val="20"/>
          <w:lang w:val="es-ES"/>
        </w:rPr>
        <w:t xml:space="preserve"> presunta víctima fue trasladada</w:t>
      </w:r>
      <w:r w:rsidRPr="00710DFD">
        <w:rPr>
          <w:rFonts w:ascii="Cambria" w:hAnsi="Cambria"/>
          <w:color w:val="000000"/>
          <w:sz w:val="20"/>
          <w:szCs w:val="20"/>
          <w:lang w:val="es-ES"/>
        </w:rPr>
        <w:t xml:space="preserve"> al Hospital Luis Vernaza, q</w:t>
      </w:r>
      <w:r w:rsidR="009B4D4F" w:rsidRPr="00710DFD">
        <w:rPr>
          <w:rFonts w:ascii="Cambria" w:hAnsi="Cambria"/>
          <w:color w:val="000000"/>
          <w:sz w:val="20"/>
          <w:szCs w:val="20"/>
          <w:lang w:val="es-ES"/>
        </w:rPr>
        <w:t xml:space="preserve">ue presta servicios públicos; </w:t>
      </w:r>
      <w:r w:rsidRPr="00710DFD">
        <w:rPr>
          <w:rFonts w:ascii="Cambria" w:hAnsi="Cambria"/>
          <w:color w:val="000000"/>
          <w:sz w:val="20"/>
          <w:szCs w:val="20"/>
          <w:lang w:val="es-ES"/>
        </w:rPr>
        <w:t>que la manifestació</w:t>
      </w:r>
      <w:r w:rsidR="009B4D4F" w:rsidRPr="00710DFD">
        <w:rPr>
          <w:rFonts w:ascii="Cambria" w:hAnsi="Cambria"/>
          <w:color w:val="000000"/>
          <w:sz w:val="20"/>
          <w:szCs w:val="20"/>
          <w:lang w:val="es-ES"/>
        </w:rPr>
        <w:t>n y las consecuencias respecto del</w:t>
      </w:r>
      <w:r w:rsidRPr="00710DFD">
        <w:rPr>
          <w:rFonts w:ascii="Cambria" w:hAnsi="Cambria"/>
          <w:color w:val="000000"/>
          <w:sz w:val="20"/>
          <w:szCs w:val="20"/>
          <w:lang w:val="es-ES"/>
        </w:rPr>
        <w:t xml:space="preserve"> Sr. Matute Robles y otras personas fueron cubiertas por varios medios de prensa; y se habría levantado un informe policial de los hechos que habría “desaparecido” de la comisaría de Jipijapa, Manabí. Estos elementos establecen que el Estado desde un principio tenía información sobre los hechos alegados.</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sz w:val="20"/>
          <w:szCs w:val="20"/>
          <w:lang w:val="es-UY"/>
        </w:rPr>
        <w:t>Por lo tanto, la Comisión concluye que</w:t>
      </w:r>
      <w:r w:rsidR="00B5275D" w:rsidRPr="00710DFD">
        <w:rPr>
          <w:rFonts w:ascii="Cambria" w:hAnsi="Cambria"/>
          <w:sz w:val="20"/>
          <w:szCs w:val="20"/>
          <w:lang w:val="es-UY"/>
        </w:rPr>
        <w:t>,</w:t>
      </w:r>
      <w:r w:rsidRPr="00710DFD">
        <w:rPr>
          <w:rFonts w:ascii="Cambria" w:hAnsi="Cambria"/>
          <w:sz w:val="20"/>
          <w:szCs w:val="20"/>
          <w:lang w:val="es-UY"/>
        </w:rPr>
        <w:t xml:space="preserve"> al no haberse iniciado una investigación de oficio por parte del Estado respecto de los hechos en los que la presunta víctima habría recibido dos disparos </w:t>
      </w:r>
      <w:r w:rsidR="00751E94" w:rsidRPr="00710DFD">
        <w:rPr>
          <w:rFonts w:ascii="Cambria" w:hAnsi="Cambria"/>
          <w:sz w:val="20"/>
          <w:szCs w:val="20"/>
          <w:lang w:val="es-UY"/>
        </w:rPr>
        <w:t xml:space="preserve">alegadamente </w:t>
      </w:r>
      <w:r w:rsidRPr="00710DFD">
        <w:rPr>
          <w:rFonts w:ascii="Cambria" w:hAnsi="Cambria"/>
          <w:sz w:val="20"/>
          <w:szCs w:val="20"/>
          <w:lang w:val="es-UY"/>
        </w:rPr>
        <w:t>por parte de la policía, hecho</w:t>
      </w:r>
      <w:r w:rsidR="00B5275D" w:rsidRPr="00710DFD">
        <w:rPr>
          <w:rFonts w:ascii="Cambria" w:hAnsi="Cambria"/>
          <w:sz w:val="20"/>
          <w:szCs w:val="20"/>
          <w:lang w:val="es-UY"/>
        </w:rPr>
        <w:t>s</w:t>
      </w:r>
      <w:r w:rsidRPr="00710DFD">
        <w:rPr>
          <w:rFonts w:ascii="Cambria" w:hAnsi="Cambria"/>
          <w:sz w:val="20"/>
          <w:szCs w:val="20"/>
          <w:lang w:val="es-UY"/>
        </w:rPr>
        <w:t xml:space="preserve"> que habría</w:t>
      </w:r>
      <w:r w:rsidR="00B5275D" w:rsidRPr="00710DFD">
        <w:rPr>
          <w:rFonts w:ascii="Cambria" w:hAnsi="Cambria"/>
          <w:sz w:val="20"/>
          <w:szCs w:val="20"/>
          <w:lang w:val="es-UY"/>
        </w:rPr>
        <w:t>n</w:t>
      </w:r>
      <w:r w:rsidRPr="00710DFD">
        <w:rPr>
          <w:rFonts w:ascii="Cambria" w:hAnsi="Cambria"/>
          <w:sz w:val="20"/>
          <w:szCs w:val="20"/>
          <w:lang w:val="es-UY"/>
        </w:rPr>
        <w:t xml:space="preserve"> sido de </w:t>
      </w:r>
      <w:r w:rsidR="00BC79AF" w:rsidRPr="00710DFD">
        <w:rPr>
          <w:rFonts w:ascii="Cambria" w:hAnsi="Cambria"/>
          <w:sz w:val="20"/>
          <w:szCs w:val="20"/>
          <w:lang w:val="es-UY"/>
        </w:rPr>
        <w:t>público</w:t>
      </w:r>
      <w:r w:rsidRPr="00710DFD">
        <w:rPr>
          <w:rFonts w:ascii="Cambria" w:hAnsi="Cambria"/>
          <w:sz w:val="20"/>
          <w:szCs w:val="20"/>
          <w:lang w:val="es-UY"/>
        </w:rPr>
        <w:t xml:space="preserve"> conocimiento, se configura la excepción al agotamiento de los recursos internos prevista en el artículo </w:t>
      </w:r>
      <w:r w:rsidRPr="00710DFD">
        <w:rPr>
          <w:rFonts w:ascii="Cambria" w:hAnsi="Cambria" w:cs="Arial"/>
          <w:sz w:val="20"/>
          <w:szCs w:val="20"/>
          <w:lang w:val="es-PE"/>
        </w:rPr>
        <w:t>46.2.</w:t>
      </w:r>
      <w:r w:rsidRPr="00710DFD">
        <w:rPr>
          <w:rFonts w:ascii="Cambria" w:hAnsi="Cambria"/>
          <w:sz w:val="20"/>
          <w:szCs w:val="20"/>
          <w:lang w:val="es-UY"/>
        </w:rPr>
        <w:t>c</w:t>
      </w:r>
      <w:r w:rsidRPr="00710DFD">
        <w:rPr>
          <w:rFonts w:ascii="Cambria" w:hAnsi="Cambria" w:cs="Arial"/>
          <w:sz w:val="20"/>
          <w:szCs w:val="20"/>
          <w:lang w:val="es-PE"/>
        </w:rPr>
        <w:t xml:space="preserve"> de la Convención Americana</w:t>
      </w:r>
      <w:r w:rsidRPr="00710DFD">
        <w:rPr>
          <w:rFonts w:ascii="Cambria" w:hAnsi="Cambria"/>
          <w:sz w:val="20"/>
          <w:szCs w:val="20"/>
          <w:lang w:val="es-UY"/>
        </w:rPr>
        <w:t>.</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i/>
          <w:color w:val="FF0000"/>
          <w:sz w:val="20"/>
          <w:szCs w:val="20"/>
          <w:lang w:val="es-UY"/>
        </w:rPr>
      </w:pPr>
      <w:r w:rsidRPr="00710DFD">
        <w:rPr>
          <w:rFonts w:ascii="Cambria" w:hAnsi="Cambria"/>
          <w:sz w:val="20"/>
          <w:szCs w:val="20"/>
          <w:lang w:val="es-ES"/>
        </w:rPr>
        <w:t xml:space="preserve">El artículo 46.2 de la Convención Americana, por su naturaleza y objeto, es una norma con contenido autónomo </w:t>
      </w:r>
      <w:r w:rsidRPr="00710DFD">
        <w:rPr>
          <w:rFonts w:ascii="Cambria" w:hAnsi="Cambria"/>
          <w:i/>
          <w:iCs/>
          <w:sz w:val="20"/>
          <w:szCs w:val="20"/>
          <w:lang w:val="es-ES"/>
        </w:rPr>
        <w:t>vis a vis</w:t>
      </w:r>
      <w:r w:rsidRPr="00710DFD">
        <w:rPr>
          <w:rFonts w:ascii="Cambria" w:hAnsi="Cambria"/>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710DFD">
        <w:rPr>
          <w:rStyle w:val="FootnoteReference"/>
          <w:rFonts w:ascii="Cambria" w:hAnsi="Cambria"/>
          <w:sz w:val="20"/>
          <w:szCs w:val="20"/>
          <w:lang w:val="es-ES"/>
        </w:rPr>
        <w:footnoteReference w:id="6"/>
      </w:r>
      <w:r w:rsidRPr="00710DFD">
        <w:rPr>
          <w:rFonts w:ascii="Cambria" w:hAnsi="Cambria"/>
          <w:sz w:val="20"/>
          <w:szCs w:val="20"/>
          <w:lang w:val="es-ES"/>
        </w:rPr>
        <w:t>.</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lang w:val="es-UY"/>
        </w:rPr>
      </w:pPr>
      <w:r w:rsidRPr="00710DFD">
        <w:rPr>
          <w:rFonts w:ascii="Cambria" w:hAnsi="Cambria"/>
          <w:b/>
          <w:sz w:val="20"/>
          <w:szCs w:val="20"/>
          <w:lang w:val="es-UY"/>
        </w:rPr>
        <w:t>2.</w:t>
      </w:r>
      <w:r w:rsidRPr="00710DFD">
        <w:rPr>
          <w:rFonts w:ascii="Cambria" w:hAnsi="Cambria"/>
          <w:b/>
          <w:sz w:val="20"/>
          <w:szCs w:val="20"/>
          <w:lang w:val="es-UY"/>
        </w:rPr>
        <w:tab/>
        <w:t>Plazo de presentación de la petición</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cs="Arial"/>
          <w:sz w:val="20"/>
          <w:szCs w:val="20"/>
          <w:lang w:val="es-PE"/>
        </w:rPr>
        <w:t>El artículo 46.1.b de l</w:t>
      </w:r>
      <w:r w:rsidRPr="00710DFD">
        <w:rPr>
          <w:rFonts w:ascii="Cambria" w:hAnsi="Cambria"/>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46.2.</w:t>
      </w:r>
      <w:r w:rsidRPr="00710DFD">
        <w:rPr>
          <w:rFonts w:ascii="Cambria" w:hAnsi="Cambria"/>
          <w:sz w:val="20"/>
          <w:szCs w:val="20"/>
          <w:lang w:val="es-UY"/>
        </w:rPr>
        <w:t>c</w:t>
      </w:r>
      <w:r w:rsidRPr="00710DFD">
        <w:rPr>
          <w:rFonts w:ascii="Cambria" w:hAnsi="Cambria"/>
          <w:sz w:val="20"/>
          <w:szCs w:val="20"/>
          <w:lang w:val="es-ES_tradnl"/>
        </w:rPr>
        <w:t xml:space="preserve"> de la Convención Americana.  Al respecto, el artículo 32.2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sz w:val="20"/>
          <w:szCs w:val="20"/>
          <w:lang w:val="es-AR"/>
        </w:rPr>
        <w:t xml:space="preserve">En el caso bajo análisis, la CIDH ha establecido la aplicación de la excepción al agotamiento de los recursos internos prevista en el artículo </w:t>
      </w:r>
      <w:r w:rsidRPr="00710DFD">
        <w:rPr>
          <w:rFonts w:ascii="Cambria" w:hAnsi="Cambria"/>
          <w:sz w:val="20"/>
          <w:szCs w:val="20"/>
          <w:lang w:val="es-ES_tradnl"/>
        </w:rPr>
        <w:t>46.2.</w:t>
      </w:r>
      <w:r w:rsidRPr="00710DFD">
        <w:rPr>
          <w:rFonts w:ascii="Cambria" w:hAnsi="Cambria"/>
          <w:sz w:val="20"/>
          <w:szCs w:val="20"/>
          <w:lang w:val="es-UY"/>
        </w:rPr>
        <w:t>c</w:t>
      </w:r>
      <w:r w:rsidRPr="00710DFD">
        <w:rPr>
          <w:rFonts w:ascii="Cambria" w:hAnsi="Cambria"/>
          <w:color w:val="FF0000"/>
          <w:sz w:val="20"/>
          <w:szCs w:val="20"/>
          <w:lang w:val="es-ES_tradnl"/>
        </w:rPr>
        <w:t xml:space="preserve"> </w:t>
      </w:r>
      <w:r w:rsidRPr="00710DFD">
        <w:rPr>
          <w:rFonts w:ascii="Cambria" w:hAnsi="Cambria"/>
          <w:sz w:val="20"/>
          <w:szCs w:val="20"/>
          <w:lang w:val="es-AR"/>
        </w:rPr>
        <w:t>de la Convención Americana</w:t>
      </w:r>
      <w:r w:rsidR="005A3C74" w:rsidRPr="00710DFD">
        <w:rPr>
          <w:rFonts w:ascii="Cambria" w:hAnsi="Cambria"/>
          <w:sz w:val="20"/>
          <w:szCs w:val="20"/>
          <w:lang w:val="es-AR"/>
        </w:rPr>
        <w:t xml:space="preserve">. </w:t>
      </w:r>
      <w:r w:rsidRPr="00710DFD">
        <w:rPr>
          <w:rFonts w:ascii="Cambria" w:hAnsi="Cambria"/>
          <w:sz w:val="20"/>
          <w:szCs w:val="20"/>
          <w:lang w:val="es-AR"/>
        </w:rPr>
        <w:t xml:space="preserve">A este respecto, la petición </w:t>
      </w:r>
      <w:r w:rsidRPr="00710DFD">
        <w:rPr>
          <w:rFonts w:ascii="Cambria" w:hAnsi="Cambria"/>
          <w:sz w:val="20"/>
          <w:szCs w:val="20"/>
          <w:lang w:val="es-AR"/>
        </w:rPr>
        <w:lastRenderedPageBreak/>
        <w:t xml:space="preserve">ante la CIDH fue recibida el </w:t>
      </w:r>
      <w:r w:rsidR="00E07E62">
        <w:rPr>
          <w:rFonts w:ascii="Cambria" w:hAnsi="Cambria"/>
          <w:sz w:val="20"/>
          <w:szCs w:val="20"/>
          <w:lang w:val="es-UY"/>
        </w:rPr>
        <w:t>16 de agosto</w:t>
      </w:r>
      <w:r w:rsidRPr="00710DFD">
        <w:rPr>
          <w:rFonts w:ascii="Cambria" w:hAnsi="Cambria"/>
          <w:sz w:val="20"/>
          <w:szCs w:val="20"/>
          <w:lang w:val="es-UY"/>
        </w:rPr>
        <w:t xml:space="preserve"> de 2002,</w:t>
      </w:r>
      <w:r w:rsidRPr="00710DFD">
        <w:rPr>
          <w:rFonts w:ascii="Cambria" w:hAnsi="Cambria"/>
          <w:sz w:val="20"/>
          <w:szCs w:val="20"/>
          <w:lang w:val="es-AR"/>
        </w:rPr>
        <w:t xml:space="preserve"> y los </w:t>
      </w:r>
      <w:r w:rsidR="00AD67E8" w:rsidRPr="00710DFD">
        <w:rPr>
          <w:rFonts w:ascii="Cambria" w:hAnsi="Cambria"/>
          <w:sz w:val="20"/>
          <w:szCs w:val="20"/>
          <w:lang w:val="es-AR"/>
        </w:rPr>
        <w:t xml:space="preserve">alegados hechos </w:t>
      </w:r>
      <w:r w:rsidRPr="00710DFD">
        <w:rPr>
          <w:rFonts w:ascii="Cambria" w:hAnsi="Cambria"/>
          <w:sz w:val="20"/>
          <w:szCs w:val="20"/>
          <w:lang w:val="es-AR"/>
        </w:rPr>
        <w:t xml:space="preserve">materia de la misma </w:t>
      </w:r>
      <w:r w:rsidR="003F13EA" w:rsidRPr="00710DFD">
        <w:rPr>
          <w:rFonts w:ascii="Cambria" w:hAnsi="Cambria"/>
          <w:sz w:val="20"/>
          <w:szCs w:val="20"/>
          <w:lang w:val="es-AR"/>
        </w:rPr>
        <w:t>comenzaron</w:t>
      </w:r>
      <w:r w:rsidRPr="00710DFD">
        <w:rPr>
          <w:rFonts w:ascii="Cambria" w:hAnsi="Cambria"/>
          <w:sz w:val="20"/>
          <w:szCs w:val="20"/>
          <w:lang w:val="es-AR"/>
        </w:rPr>
        <w:t xml:space="preserve"> a partir del</w:t>
      </w:r>
      <w:r w:rsidRPr="00710DFD">
        <w:rPr>
          <w:rFonts w:ascii="Cambria" w:hAnsi="Cambria"/>
          <w:color w:val="FF0000"/>
          <w:sz w:val="20"/>
          <w:szCs w:val="20"/>
          <w:lang w:val="es-AR"/>
        </w:rPr>
        <w:t xml:space="preserve"> </w:t>
      </w:r>
      <w:r w:rsidRPr="00710DFD">
        <w:rPr>
          <w:rFonts w:ascii="Cambria" w:hAnsi="Cambria"/>
          <w:sz w:val="20"/>
          <w:szCs w:val="20"/>
          <w:lang w:val="es-UY"/>
        </w:rPr>
        <w:t xml:space="preserve">28 de </w:t>
      </w:r>
      <w:r w:rsidR="003F13EA" w:rsidRPr="00710DFD">
        <w:rPr>
          <w:rFonts w:ascii="Cambria" w:hAnsi="Cambria"/>
          <w:sz w:val="20"/>
          <w:szCs w:val="20"/>
          <w:lang w:val="es-UY"/>
        </w:rPr>
        <w:t>f</w:t>
      </w:r>
      <w:r w:rsidRPr="00710DFD">
        <w:rPr>
          <w:rFonts w:ascii="Cambria" w:hAnsi="Cambria"/>
          <w:sz w:val="20"/>
          <w:szCs w:val="20"/>
          <w:lang w:val="es-UY"/>
        </w:rPr>
        <w:t>ebrero de 1990</w:t>
      </w:r>
      <w:r w:rsidR="003F13EA" w:rsidRPr="00710DFD">
        <w:rPr>
          <w:rFonts w:ascii="Cambria" w:hAnsi="Cambria"/>
          <w:sz w:val="20"/>
          <w:szCs w:val="20"/>
          <w:lang w:val="es-UY"/>
        </w:rPr>
        <w:t xml:space="preserve"> y sus efectos</w:t>
      </w:r>
      <w:r w:rsidR="004618C6" w:rsidRPr="00710DFD">
        <w:rPr>
          <w:rFonts w:ascii="Cambria" w:hAnsi="Cambria"/>
          <w:sz w:val="20"/>
          <w:szCs w:val="20"/>
          <w:lang w:val="es-UY"/>
        </w:rPr>
        <w:t>,</w:t>
      </w:r>
      <w:r w:rsidR="003F13EA" w:rsidRPr="00710DFD">
        <w:rPr>
          <w:rFonts w:ascii="Cambria" w:hAnsi="Cambria"/>
          <w:sz w:val="20"/>
          <w:szCs w:val="20"/>
          <w:lang w:val="es-UY"/>
        </w:rPr>
        <w:t xml:space="preserve"> </w:t>
      </w:r>
      <w:r w:rsidR="00DC66DA" w:rsidRPr="00710DFD">
        <w:rPr>
          <w:rFonts w:ascii="Cambria" w:hAnsi="Cambria"/>
          <w:sz w:val="20"/>
          <w:szCs w:val="20"/>
          <w:lang w:val="es-UY"/>
        </w:rPr>
        <w:t>en cuanto a los daños presuntamente sufridos y la denegación de justicia</w:t>
      </w:r>
      <w:r w:rsidR="004618C6" w:rsidRPr="00710DFD">
        <w:rPr>
          <w:rFonts w:ascii="Cambria" w:hAnsi="Cambria"/>
          <w:sz w:val="20"/>
          <w:szCs w:val="20"/>
          <w:lang w:val="es-UY"/>
        </w:rPr>
        <w:t>,</w:t>
      </w:r>
      <w:r w:rsidR="00DC66DA" w:rsidRPr="00710DFD">
        <w:rPr>
          <w:rFonts w:ascii="Cambria" w:hAnsi="Cambria"/>
          <w:sz w:val="20"/>
          <w:szCs w:val="20"/>
          <w:lang w:val="es-UY"/>
        </w:rPr>
        <w:t xml:space="preserve"> han continuado</w:t>
      </w:r>
      <w:r w:rsidR="003F13EA" w:rsidRPr="00710DFD">
        <w:rPr>
          <w:rFonts w:ascii="Cambria" w:hAnsi="Cambria"/>
          <w:sz w:val="20"/>
          <w:szCs w:val="20"/>
          <w:lang w:val="es-UY"/>
        </w:rPr>
        <w:t xml:space="preserve"> hasta la fecha</w:t>
      </w:r>
      <w:r w:rsidRPr="00710DFD">
        <w:rPr>
          <w:rFonts w:ascii="Cambria" w:hAnsi="Cambria"/>
          <w:sz w:val="20"/>
          <w:szCs w:val="20"/>
          <w:lang w:val="es-AR"/>
        </w:rPr>
        <w:t>. Por lo tanto, en vista del contexto y las características del presente caso, la Comisión considera que la petición fue presentada dentro de un plazo razonable, y por tanto cumple el requisito de admisibilidad referente al plazo de presentación</w:t>
      </w:r>
      <w:r w:rsidRPr="00710DFD">
        <w:rPr>
          <w:rFonts w:ascii="Cambria" w:hAnsi="Cambria"/>
          <w:bCs/>
          <w:sz w:val="20"/>
          <w:szCs w:val="20"/>
          <w:lang w:val="es-ES"/>
        </w:rPr>
        <w:t>.</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710DFD">
        <w:rPr>
          <w:rFonts w:ascii="Cambria" w:hAnsi="Cambria"/>
          <w:b/>
          <w:bCs/>
          <w:sz w:val="20"/>
          <w:szCs w:val="20"/>
          <w:lang w:val="es-UY"/>
        </w:rPr>
        <w:t>3.</w:t>
      </w:r>
      <w:r w:rsidRPr="00710DFD">
        <w:rPr>
          <w:rFonts w:ascii="Cambria" w:hAnsi="Cambria"/>
          <w:b/>
          <w:bCs/>
          <w:sz w:val="20"/>
          <w:szCs w:val="20"/>
          <w:lang w:val="es-UY"/>
        </w:rPr>
        <w:tab/>
        <w:t>Duplicación de procedimientos y cosa juzgada</w:t>
      </w:r>
      <w:r w:rsidRPr="00710DFD">
        <w:rPr>
          <w:rFonts w:ascii="Cambria" w:hAnsi="Cambria"/>
          <w:b/>
          <w:bCs/>
          <w:i/>
          <w:sz w:val="20"/>
          <w:szCs w:val="20"/>
          <w:lang w:val="es-UY"/>
        </w:rPr>
        <w:t xml:space="preserve"> </w:t>
      </w:r>
      <w:r w:rsidRPr="00710DFD">
        <w:rPr>
          <w:rFonts w:ascii="Cambria" w:hAnsi="Cambria"/>
          <w:b/>
          <w:bCs/>
          <w:sz w:val="20"/>
          <w:szCs w:val="20"/>
          <w:lang w:val="es-UY"/>
        </w:rPr>
        <w:t>internacional</w:t>
      </w:r>
    </w:p>
    <w:p w:rsidR="009E61C6" w:rsidRPr="00710DFD" w:rsidRDefault="00DF3430"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Theme="majorHAnsi" w:hAnsiTheme="majorHAnsi"/>
          <w:sz w:val="20"/>
          <w:szCs w:val="20"/>
          <w:lang w:val="es-ES"/>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w:t>
      </w:r>
      <w:r w:rsidR="009E61C6" w:rsidRPr="00710DFD">
        <w:rPr>
          <w:rFonts w:ascii="Cambria" w:hAnsi="Cambria"/>
          <w:sz w:val="20"/>
          <w:szCs w:val="20"/>
          <w:lang w:val="es-UY"/>
        </w:rPr>
        <w:t>.</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710DFD">
        <w:rPr>
          <w:rFonts w:ascii="Cambria" w:hAnsi="Cambria"/>
          <w:b/>
          <w:bCs/>
          <w:sz w:val="20"/>
          <w:szCs w:val="20"/>
          <w:lang w:val="es-UY"/>
        </w:rPr>
        <w:t>4.</w:t>
      </w:r>
      <w:r w:rsidRPr="00710DFD">
        <w:rPr>
          <w:rFonts w:ascii="Cambria" w:hAnsi="Cambria"/>
          <w:b/>
          <w:bCs/>
          <w:sz w:val="20"/>
          <w:szCs w:val="20"/>
          <w:lang w:val="es-UY"/>
        </w:rPr>
        <w:tab/>
        <w:t>Caracterización de los hechos alegados</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sz w:val="20"/>
          <w:szCs w:val="20"/>
          <w:lang w:val="es-UY"/>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para analizar la admisibilidad difiere del utilizado para el análisis del fondo de la petición dado que la Comisión sólo realiza un análisis </w:t>
      </w:r>
      <w:r w:rsidRPr="00710DFD">
        <w:rPr>
          <w:rFonts w:ascii="Cambria" w:hAnsi="Cambria"/>
          <w:i/>
          <w:sz w:val="20"/>
          <w:szCs w:val="20"/>
          <w:lang w:val="es-UY"/>
        </w:rPr>
        <w:t>prima facie</w:t>
      </w:r>
      <w:r w:rsidRPr="00710DFD">
        <w:rPr>
          <w:rFonts w:ascii="Cambria" w:hAnsi="Cambria"/>
          <w:sz w:val="20"/>
          <w:szCs w:val="20"/>
          <w:lang w:val="es-UY"/>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224F73" w:rsidRPr="00710DFD" w:rsidRDefault="009E61C6"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Cambria" w:eastAsia="SimSun" w:hAnsi="Cambria"/>
          <w:sz w:val="20"/>
          <w:szCs w:val="20"/>
          <w:lang w:val="es-UY"/>
        </w:rPr>
        <w:t>El</w:t>
      </w:r>
      <w:r w:rsidRPr="00710DFD">
        <w:rPr>
          <w:rFonts w:ascii="Cambria" w:eastAsia="SimSun" w:hAnsi="Cambria"/>
          <w:color w:val="FF0000"/>
          <w:sz w:val="20"/>
          <w:szCs w:val="20"/>
          <w:lang w:val="es-UY"/>
        </w:rPr>
        <w:t xml:space="preserve"> </w:t>
      </w:r>
      <w:r w:rsidRPr="00710DFD">
        <w:rPr>
          <w:rFonts w:ascii="Cambria" w:eastAsia="SimSun" w:hAnsi="Cambria"/>
          <w:sz w:val="20"/>
          <w:szCs w:val="20"/>
          <w:lang w:val="es-UY"/>
        </w:rPr>
        <w:t xml:space="preserve">peticionario sostiene que en el contexto de una manifestación en la ciudad de </w:t>
      </w:r>
      <w:r w:rsidR="00156E8B" w:rsidRPr="00710DFD">
        <w:rPr>
          <w:rFonts w:ascii="Cambria" w:eastAsia="SimSun" w:hAnsi="Cambria"/>
          <w:sz w:val="20"/>
          <w:szCs w:val="20"/>
          <w:lang w:val="es-UY"/>
        </w:rPr>
        <w:t>J</w:t>
      </w:r>
      <w:r w:rsidRPr="00710DFD">
        <w:rPr>
          <w:rFonts w:ascii="Cambria" w:eastAsia="SimSun" w:hAnsi="Cambria"/>
          <w:sz w:val="20"/>
          <w:szCs w:val="20"/>
          <w:lang w:val="es-UY"/>
        </w:rPr>
        <w:t xml:space="preserve">ipijapa, miembros de la policía </w:t>
      </w:r>
      <w:r w:rsidR="00CF242B" w:rsidRPr="00710DFD">
        <w:rPr>
          <w:rFonts w:ascii="Cambria" w:eastAsia="SimSun" w:hAnsi="Cambria"/>
          <w:sz w:val="20"/>
          <w:szCs w:val="20"/>
          <w:lang w:val="es-UY"/>
        </w:rPr>
        <w:t>dispararon</w:t>
      </w:r>
      <w:r w:rsidRPr="00710DFD">
        <w:rPr>
          <w:rFonts w:ascii="Cambria" w:eastAsia="SimSun" w:hAnsi="Cambria"/>
          <w:sz w:val="20"/>
          <w:szCs w:val="20"/>
          <w:lang w:val="es-UY"/>
        </w:rPr>
        <w:t xml:space="preserve"> a un grupo de personas, ocasionándole al Sr. Matute Robles una condición física que se diagnosticó como “parálisis de las extremidades inferiores con invalidez definitiva”;  lo que a su parecer implicó una serie de perjuicios morales</w:t>
      </w:r>
      <w:r w:rsidR="00D01F88" w:rsidRPr="00710DFD">
        <w:rPr>
          <w:rFonts w:ascii="Cambria" w:eastAsia="SimSun" w:hAnsi="Cambria"/>
          <w:sz w:val="20"/>
          <w:szCs w:val="20"/>
          <w:lang w:val="es-UY"/>
        </w:rPr>
        <w:t xml:space="preserve"> y económicos</w:t>
      </w:r>
      <w:r w:rsidRPr="00710DFD">
        <w:rPr>
          <w:rFonts w:ascii="Cambria" w:eastAsia="SimSun" w:hAnsi="Cambria"/>
          <w:sz w:val="20"/>
          <w:szCs w:val="20"/>
          <w:lang w:val="es-UY"/>
        </w:rPr>
        <w:t xml:space="preserve"> para la presunta víctima y sus padres. Asimismo, denuncia que el Estado no inició la correspondiente investigación de oficio</w:t>
      </w:r>
      <w:r w:rsidR="00685872" w:rsidRPr="00710DFD">
        <w:rPr>
          <w:rFonts w:ascii="Cambria" w:eastAsia="SimSun" w:hAnsi="Cambria"/>
          <w:sz w:val="20"/>
          <w:szCs w:val="20"/>
          <w:lang w:val="es-UY"/>
        </w:rPr>
        <w:t>.</w:t>
      </w:r>
    </w:p>
    <w:p w:rsidR="002420DD" w:rsidRPr="00710DFD" w:rsidRDefault="006109FF"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Cambria" w:eastAsia="SimSun" w:hAnsi="Cambria"/>
          <w:sz w:val="20"/>
          <w:szCs w:val="20"/>
          <w:lang w:val="es-UY"/>
        </w:rPr>
        <w:t>Con respecto al alegato de cuarta instancia planteado por el Estado, la Comisión subraya que e</w:t>
      </w:r>
      <w:r w:rsidR="009E61C6" w:rsidRPr="00710DFD">
        <w:rPr>
          <w:rFonts w:ascii="Cambria" w:eastAsia="SimSun" w:hAnsi="Cambria"/>
          <w:sz w:val="20"/>
          <w:szCs w:val="20"/>
          <w:lang w:val="es-UY"/>
        </w:rPr>
        <w:t xml:space="preserve">n el presente caso el peticionario </w:t>
      </w:r>
      <w:r w:rsidRPr="00710DFD">
        <w:rPr>
          <w:rFonts w:ascii="Cambria" w:eastAsia="SimSun" w:hAnsi="Cambria"/>
          <w:sz w:val="20"/>
          <w:szCs w:val="20"/>
          <w:lang w:val="es-UY"/>
        </w:rPr>
        <w:t>alega que, producto de una</w:t>
      </w:r>
      <w:r w:rsidR="009E61C6" w:rsidRPr="00710DFD">
        <w:rPr>
          <w:rFonts w:ascii="Cambria" w:eastAsia="SimSun" w:hAnsi="Cambria"/>
          <w:sz w:val="20"/>
          <w:szCs w:val="20"/>
          <w:lang w:val="es-UY"/>
        </w:rPr>
        <w:t xml:space="preserve"> lesión </w:t>
      </w:r>
      <w:r w:rsidRPr="00710DFD">
        <w:rPr>
          <w:rFonts w:ascii="Cambria" w:eastAsia="SimSun" w:hAnsi="Cambria"/>
          <w:sz w:val="20"/>
          <w:szCs w:val="20"/>
          <w:lang w:val="es-UY"/>
        </w:rPr>
        <w:t>de</w:t>
      </w:r>
      <w:r w:rsidR="009E61C6" w:rsidRPr="00710DFD">
        <w:rPr>
          <w:rFonts w:ascii="Cambria" w:eastAsia="SimSun" w:hAnsi="Cambria"/>
          <w:sz w:val="20"/>
          <w:szCs w:val="20"/>
          <w:lang w:val="es-UY"/>
        </w:rPr>
        <w:t xml:space="preserve"> arma de fuego </w:t>
      </w:r>
      <w:r w:rsidRPr="00710DFD">
        <w:rPr>
          <w:rFonts w:ascii="Cambria" w:eastAsia="SimSun" w:hAnsi="Cambria"/>
          <w:sz w:val="20"/>
          <w:szCs w:val="20"/>
          <w:lang w:val="es-UY"/>
        </w:rPr>
        <w:t xml:space="preserve">producida </w:t>
      </w:r>
      <w:r w:rsidR="009E61C6" w:rsidRPr="00710DFD">
        <w:rPr>
          <w:rFonts w:ascii="Cambria" w:eastAsia="SimSun" w:hAnsi="Cambria"/>
          <w:sz w:val="20"/>
          <w:szCs w:val="20"/>
          <w:lang w:val="es-UY"/>
        </w:rPr>
        <w:t>por agentes de la policía de Ecuador</w:t>
      </w:r>
      <w:r w:rsidRPr="00710DFD">
        <w:rPr>
          <w:rFonts w:ascii="Cambria" w:eastAsia="SimSun" w:hAnsi="Cambria"/>
          <w:sz w:val="20"/>
          <w:szCs w:val="20"/>
          <w:lang w:val="es-UY"/>
        </w:rPr>
        <w:t>,</w:t>
      </w:r>
      <w:r w:rsidR="009E61C6" w:rsidRPr="00710DFD">
        <w:rPr>
          <w:rFonts w:ascii="Cambria" w:eastAsia="SimSun" w:hAnsi="Cambria"/>
          <w:sz w:val="20"/>
          <w:szCs w:val="20"/>
          <w:lang w:val="es-UY"/>
        </w:rPr>
        <w:t xml:space="preserve"> el Sr. Matute Robles</w:t>
      </w:r>
      <w:r w:rsidRPr="00710DFD">
        <w:rPr>
          <w:rFonts w:ascii="Cambria" w:eastAsia="SimSun" w:hAnsi="Cambria"/>
          <w:sz w:val="20"/>
          <w:szCs w:val="20"/>
          <w:lang w:val="es-UY"/>
        </w:rPr>
        <w:t xml:space="preserve"> quedó parapléjico,</w:t>
      </w:r>
      <w:r w:rsidR="009E61C6" w:rsidRPr="00710DFD">
        <w:rPr>
          <w:rFonts w:ascii="Cambria" w:eastAsia="SimSun" w:hAnsi="Cambria"/>
          <w:sz w:val="20"/>
          <w:szCs w:val="20"/>
          <w:lang w:val="es-UY"/>
        </w:rPr>
        <w:t xml:space="preserve"> y </w:t>
      </w:r>
      <w:r w:rsidRPr="00710DFD">
        <w:rPr>
          <w:rFonts w:ascii="Cambria" w:eastAsia="SimSun" w:hAnsi="Cambria"/>
          <w:sz w:val="20"/>
          <w:szCs w:val="20"/>
          <w:lang w:val="es-UY"/>
        </w:rPr>
        <w:t xml:space="preserve">que no hubo </w:t>
      </w:r>
      <w:r w:rsidR="009E61C6" w:rsidRPr="00710DFD">
        <w:rPr>
          <w:rFonts w:ascii="Cambria" w:eastAsia="SimSun" w:hAnsi="Cambria"/>
          <w:sz w:val="20"/>
          <w:szCs w:val="20"/>
          <w:lang w:val="es-UY"/>
        </w:rPr>
        <w:t>una investigación de oficio por parte del Estado relativa a estos hechos</w:t>
      </w:r>
      <w:r w:rsidRPr="00710DFD">
        <w:rPr>
          <w:rFonts w:ascii="Cambria" w:eastAsia="SimSun" w:hAnsi="Cambria"/>
          <w:sz w:val="20"/>
          <w:szCs w:val="20"/>
          <w:lang w:val="es-UY"/>
        </w:rPr>
        <w:t>. Estos</w:t>
      </w:r>
      <w:r w:rsidR="009E61C6" w:rsidRPr="00710DFD">
        <w:rPr>
          <w:rFonts w:ascii="Cambria" w:eastAsia="SimSun" w:hAnsi="Cambria"/>
          <w:sz w:val="20"/>
          <w:szCs w:val="20"/>
          <w:lang w:val="es-UY"/>
        </w:rPr>
        <w:t xml:space="preserve"> reclamos </w:t>
      </w:r>
      <w:r w:rsidRPr="00710DFD">
        <w:rPr>
          <w:rFonts w:ascii="Cambria" w:eastAsia="SimSun" w:hAnsi="Cambria"/>
          <w:sz w:val="20"/>
          <w:szCs w:val="20"/>
          <w:lang w:val="es-UY"/>
        </w:rPr>
        <w:t>podrían caracterizar</w:t>
      </w:r>
      <w:r w:rsidR="009E61C6" w:rsidRPr="00710DFD">
        <w:rPr>
          <w:rFonts w:ascii="Cambria" w:eastAsia="SimSun" w:hAnsi="Cambria"/>
          <w:sz w:val="20"/>
          <w:szCs w:val="20"/>
          <w:lang w:val="es-UY"/>
        </w:rPr>
        <w:t xml:space="preserve"> </w:t>
      </w:r>
      <w:r w:rsidR="009E61C6" w:rsidRPr="00710DFD">
        <w:rPr>
          <w:rFonts w:ascii="Cambria" w:eastAsia="SimSun" w:hAnsi="Cambria"/>
          <w:i/>
          <w:sz w:val="20"/>
          <w:szCs w:val="20"/>
          <w:lang w:val="es-UY"/>
        </w:rPr>
        <w:t>prima facie</w:t>
      </w:r>
      <w:r w:rsidR="009E61C6" w:rsidRPr="00710DFD">
        <w:rPr>
          <w:rFonts w:ascii="Cambria" w:eastAsia="SimSun" w:hAnsi="Cambria"/>
          <w:sz w:val="20"/>
          <w:szCs w:val="20"/>
          <w:lang w:val="es-UY"/>
        </w:rPr>
        <w:t xml:space="preserve"> violaciones a derechos </w:t>
      </w:r>
      <w:r w:rsidRPr="00710DFD">
        <w:rPr>
          <w:rFonts w:ascii="Cambria" w:eastAsia="SimSun" w:hAnsi="Cambria"/>
          <w:sz w:val="20"/>
          <w:szCs w:val="20"/>
          <w:lang w:val="es-UY"/>
        </w:rPr>
        <w:t>protegidos en la Convención</w:t>
      </w:r>
      <w:r w:rsidR="009E61C6" w:rsidRPr="00710DFD">
        <w:rPr>
          <w:rFonts w:ascii="Cambria" w:eastAsia="SimSun" w:hAnsi="Cambria"/>
          <w:sz w:val="20"/>
          <w:szCs w:val="20"/>
          <w:lang w:val="es-UY"/>
        </w:rPr>
        <w:t xml:space="preserve">, </w:t>
      </w:r>
      <w:r w:rsidRPr="00710DFD">
        <w:rPr>
          <w:rFonts w:ascii="Cambria" w:eastAsia="SimSun" w:hAnsi="Cambria"/>
          <w:sz w:val="20"/>
          <w:szCs w:val="20"/>
          <w:lang w:val="es-UY"/>
        </w:rPr>
        <w:t xml:space="preserve">por lo que la CIDH no estaría actuando como una cuarta instancia. </w:t>
      </w:r>
    </w:p>
    <w:p w:rsidR="00BA2F8C" w:rsidRPr="00710DFD" w:rsidRDefault="00BA2F8C"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eastAsia="SimSun" w:hAnsi="Cambria"/>
          <w:sz w:val="20"/>
          <w:szCs w:val="20"/>
          <w:lang w:val="es-UY"/>
        </w:rPr>
      </w:pPr>
      <w:r w:rsidRPr="00710DFD">
        <w:rPr>
          <w:rFonts w:asciiTheme="majorHAnsi" w:hAnsiTheme="majorHAnsi"/>
          <w:sz w:val="20"/>
          <w:szCs w:val="20"/>
          <w:lang w:val="es-ES"/>
        </w:rPr>
        <w:t>Asimismo, la Comisión ha entendido que hay caracterización por violaciones al derecho a la vida cuando se ha puesto a una persona en una situación de riesgo de muerte</w:t>
      </w:r>
      <w:r w:rsidRPr="00710DFD">
        <w:rPr>
          <w:rStyle w:val="FootnoteReference"/>
          <w:rFonts w:asciiTheme="majorHAnsi" w:hAnsiTheme="majorHAnsi"/>
          <w:sz w:val="20"/>
          <w:szCs w:val="20"/>
          <w:lang w:val="es-ES"/>
        </w:rPr>
        <w:footnoteReference w:id="7"/>
      </w:r>
      <w:r w:rsidRPr="00710DFD">
        <w:rPr>
          <w:rFonts w:asciiTheme="majorHAnsi" w:hAnsiTheme="majorHAnsi"/>
          <w:sz w:val="20"/>
          <w:szCs w:val="20"/>
          <w:lang w:val="es-ES"/>
        </w:rPr>
        <w:t xml:space="preserve">, por lo que la Comisión analizará en la etapa de fondo del presente caso la eventual </w:t>
      </w:r>
      <w:r w:rsidR="00D01F88" w:rsidRPr="00710DFD">
        <w:rPr>
          <w:rFonts w:asciiTheme="majorHAnsi" w:hAnsiTheme="majorHAnsi"/>
          <w:sz w:val="20"/>
          <w:szCs w:val="20"/>
          <w:lang w:val="es-ES"/>
        </w:rPr>
        <w:t>aplicación</w:t>
      </w:r>
      <w:r w:rsidRPr="00710DFD">
        <w:rPr>
          <w:rFonts w:asciiTheme="majorHAnsi" w:hAnsiTheme="majorHAnsi"/>
          <w:sz w:val="20"/>
          <w:szCs w:val="20"/>
          <w:lang w:val="es-ES"/>
        </w:rPr>
        <w:t xml:space="preserve"> del artículo 4 de la Convención Americana. </w:t>
      </w:r>
      <w:r w:rsidRPr="00710DFD">
        <w:rPr>
          <w:rFonts w:asciiTheme="majorHAnsi" w:eastAsia="SimSun" w:hAnsiTheme="majorHAnsi"/>
          <w:i/>
          <w:sz w:val="20"/>
          <w:szCs w:val="20"/>
          <w:lang w:val="es-ES"/>
        </w:rPr>
        <w:t xml:space="preserve"> </w:t>
      </w:r>
    </w:p>
    <w:p w:rsidR="003708A4" w:rsidRPr="00710DFD" w:rsidRDefault="009E61C6" w:rsidP="00C66738">
      <w:pPr>
        <w:pStyle w:val="BodyText"/>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UY"/>
        </w:rPr>
      </w:pPr>
      <w:r w:rsidRPr="00710DFD">
        <w:rPr>
          <w:rFonts w:ascii="Cambria" w:hAnsi="Cambria"/>
          <w:sz w:val="20"/>
          <w:szCs w:val="20"/>
          <w:lang w:val="es-AR"/>
        </w:rPr>
        <w:t xml:space="preserve">En vista de los elementos de hecho y de derecho presentados por las partes, y la naturaleza del asunto puesto bajo su conocimiento, la CIDH considera que, de ser probados, los hechos alegados podrían caracterizar posibles violaciones a los derechos protegidos en los artículos </w:t>
      </w:r>
      <w:r w:rsidR="00BA2F8C" w:rsidRPr="00710DFD">
        <w:rPr>
          <w:rFonts w:ascii="Cambria" w:hAnsi="Cambria"/>
          <w:sz w:val="20"/>
          <w:szCs w:val="20"/>
          <w:lang w:val="es-AR"/>
        </w:rPr>
        <w:t xml:space="preserve">4, </w:t>
      </w:r>
      <w:r w:rsidRPr="00710DFD">
        <w:rPr>
          <w:rFonts w:ascii="Cambria" w:hAnsi="Cambria"/>
          <w:sz w:val="20"/>
          <w:szCs w:val="20"/>
          <w:lang w:val="es-UY"/>
        </w:rPr>
        <w:t>5, 8 y 25 de la Convención Americana</w:t>
      </w:r>
      <w:r w:rsidRPr="00710DFD">
        <w:rPr>
          <w:rFonts w:ascii="Cambria" w:hAnsi="Cambria"/>
          <w:sz w:val="20"/>
          <w:szCs w:val="20"/>
          <w:lang w:val="es-AR"/>
        </w:rPr>
        <w:t>, en concordancia con el artículo 1.1 de dicho tratado en perjuicio de Galo Roberto Matute Robles.</w:t>
      </w:r>
      <w:r w:rsidRPr="00710DFD">
        <w:rPr>
          <w:rFonts w:ascii="Cambria" w:eastAsia="SimSun" w:hAnsi="Cambria"/>
          <w:i/>
          <w:color w:val="FF0000"/>
          <w:sz w:val="20"/>
          <w:szCs w:val="20"/>
          <w:lang w:val="es-UY"/>
        </w:rPr>
        <w:t xml:space="preserve"> </w:t>
      </w:r>
      <w:r w:rsidR="00912EE8" w:rsidRPr="00710DFD">
        <w:rPr>
          <w:rFonts w:ascii="Cambria" w:eastAsia="SimSun" w:hAnsi="Cambria"/>
          <w:sz w:val="20"/>
          <w:szCs w:val="20"/>
          <w:lang w:val="es-UY"/>
        </w:rPr>
        <w:t>La CIDH considera asimismo que los hechos alegados podrían adem</w:t>
      </w:r>
      <w:r w:rsidR="00912EE8" w:rsidRPr="00710DFD">
        <w:rPr>
          <w:rFonts w:ascii="Cambria" w:eastAsia="SimSun" w:hAnsi="Cambria"/>
          <w:sz w:val="20"/>
          <w:szCs w:val="20"/>
          <w:lang w:val="es-ES"/>
        </w:rPr>
        <w:t xml:space="preserve">ás </w:t>
      </w:r>
      <w:r w:rsidR="00912EE8" w:rsidRPr="00710DFD">
        <w:rPr>
          <w:rFonts w:ascii="Cambria" w:eastAsia="SimSun" w:hAnsi="Cambria"/>
          <w:sz w:val="20"/>
          <w:szCs w:val="20"/>
          <w:lang w:val="es-UY"/>
        </w:rPr>
        <w:t>caracterizar</w:t>
      </w:r>
      <w:r w:rsidR="003708A4" w:rsidRPr="00710DFD">
        <w:rPr>
          <w:rFonts w:ascii="Cambria" w:eastAsia="SimSun" w:hAnsi="Cambria"/>
          <w:sz w:val="20"/>
          <w:szCs w:val="20"/>
          <w:lang w:val="es-UY"/>
        </w:rPr>
        <w:t xml:space="preserve"> una posible violación del </w:t>
      </w:r>
      <w:r w:rsidR="003708A4" w:rsidRPr="00710DFD">
        <w:rPr>
          <w:rFonts w:ascii="Cambria" w:eastAsia="SimSun" w:hAnsi="Cambria"/>
          <w:sz w:val="20"/>
          <w:szCs w:val="20"/>
          <w:lang w:val="es-UY"/>
        </w:rPr>
        <w:lastRenderedPageBreak/>
        <w:t>artículo 5 de la Convención en atención al presunto sufrimiento y afectaciones sufridos por los padres</w:t>
      </w:r>
      <w:r w:rsidR="00912EE8" w:rsidRPr="00710DFD">
        <w:rPr>
          <w:rFonts w:ascii="Cambria" w:eastAsia="SimSun" w:hAnsi="Cambria"/>
          <w:sz w:val="20"/>
          <w:szCs w:val="20"/>
          <w:lang w:val="es-UY"/>
        </w:rPr>
        <w:t xml:space="preserve"> </w:t>
      </w:r>
      <w:r w:rsidR="003708A4" w:rsidRPr="00710DFD">
        <w:rPr>
          <w:rFonts w:ascii="Cambria" w:eastAsia="SimSun" w:hAnsi="Cambria"/>
          <w:sz w:val="20"/>
          <w:szCs w:val="20"/>
          <w:lang w:val="es-UY"/>
        </w:rPr>
        <w:t xml:space="preserve">de la presunta víctima Olivio Matute Hidalgo y Julia Adelaida Robles Pin con base en las heridas sufridas por su hijo  </w:t>
      </w:r>
      <w:r w:rsidR="002A3518" w:rsidRPr="00710DFD">
        <w:rPr>
          <w:rFonts w:ascii="Cambria" w:eastAsia="SimSun" w:hAnsi="Cambria"/>
          <w:sz w:val="20"/>
          <w:szCs w:val="20"/>
          <w:lang w:val="es-UY"/>
        </w:rPr>
        <w:t xml:space="preserve">y </w:t>
      </w:r>
      <w:r w:rsidR="003708A4" w:rsidRPr="00710DFD">
        <w:rPr>
          <w:rFonts w:ascii="Cambria" w:eastAsia="SimSun" w:hAnsi="Cambria"/>
          <w:sz w:val="20"/>
          <w:szCs w:val="20"/>
          <w:lang w:val="es-UY"/>
        </w:rPr>
        <w:t>las consecuencias que se habrían extendido hasta la fecha.</w:t>
      </w:r>
    </w:p>
    <w:p w:rsidR="009E61C6" w:rsidRPr="00710DFD" w:rsidRDefault="009E61C6"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710DFD">
        <w:rPr>
          <w:rFonts w:ascii="Cambria" w:hAnsi="Cambria"/>
          <w:b/>
          <w:bCs/>
          <w:sz w:val="20"/>
          <w:szCs w:val="20"/>
          <w:lang w:val="es-UY"/>
        </w:rPr>
        <w:t>V.</w:t>
      </w:r>
      <w:r w:rsidRPr="00710DFD">
        <w:rPr>
          <w:rFonts w:ascii="Cambria" w:hAnsi="Cambria"/>
          <w:b/>
          <w:bCs/>
          <w:sz w:val="20"/>
          <w:szCs w:val="20"/>
          <w:lang w:val="es-UY"/>
        </w:rPr>
        <w:tab/>
        <w:t>CONCLUSIONES</w:t>
      </w:r>
    </w:p>
    <w:p w:rsidR="009E61C6" w:rsidRPr="00710DFD" w:rsidRDefault="009E61C6" w:rsidP="00C66738">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rFonts w:ascii="Cambria" w:hAnsi="Cambria"/>
          <w:sz w:val="20"/>
          <w:szCs w:val="20"/>
          <w:lang w:val="es-AR"/>
        </w:rPr>
      </w:pPr>
      <w:r w:rsidRPr="00710DFD">
        <w:rPr>
          <w:rFonts w:ascii="Cambria" w:hAnsi="Cambria"/>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9E61C6" w:rsidRPr="00710DFD" w:rsidRDefault="009E61C6" w:rsidP="00417A1E">
      <w:pPr>
        <w:pBdr>
          <w:top w:val="none" w:sz="0" w:space="0" w:color="auto"/>
          <w:left w:val="none" w:sz="0" w:space="0" w:color="auto"/>
          <w:bottom w:val="none" w:sz="0" w:space="0" w:color="auto"/>
          <w:right w:val="none" w:sz="0" w:space="0" w:color="auto"/>
          <w:bar w:val="none" w:sz="0" w:color="auto"/>
        </w:pBdr>
        <w:spacing w:after="240"/>
        <w:jc w:val="center"/>
        <w:rPr>
          <w:rFonts w:ascii="Cambria" w:hAnsi="Cambria"/>
          <w:b/>
          <w:bCs/>
          <w:sz w:val="20"/>
          <w:szCs w:val="20"/>
          <w:lang w:val="es-ES"/>
        </w:rPr>
      </w:pPr>
      <w:r w:rsidRPr="00710DFD">
        <w:rPr>
          <w:rFonts w:ascii="Cambria" w:hAnsi="Cambria"/>
          <w:b/>
          <w:bCs/>
          <w:sz w:val="20"/>
          <w:szCs w:val="20"/>
          <w:lang w:val="es-ES"/>
        </w:rPr>
        <w:t>LA COMISIÓN INTERAMERICANA DE DERECHOS HUMANOS</w:t>
      </w:r>
    </w:p>
    <w:p w:rsidR="009E61C6" w:rsidRPr="00710DFD" w:rsidRDefault="009E61C6" w:rsidP="00417A1E">
      <w:p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bCs/>
          <w:sz w:val="20"/>
          <w:szCs w:val="20"/>
          <w:lang w:val="es-UY"/>
        </w:rPr>
      </w:pPr>
      <w:r w:rsidRPr="00710DFD">
        <w:rPr>
          <w:rFonts w:ascii="Cambria" w:hAnsi="Cambria"/>
          <w:b/>
          <w:bCs/>
          <w:sz w:val="20"/>
          <w:szCs w:val="20"/>
          <w:lang w:val="es-UY"/>
        </w:rPr>
        <w:t>DECIDE:</w:t>
      </w:r>
    </w:p>
    <w:p w:rsidR="009E61C6" w:rsidRPr="00710DFD" w:rsidRDefault="009E61C6" w:rsidP="00C66738">
      <w:pPr>
        <w:pStyle w:val="ListParagraph"/>
        <w:numPr>
          <w:ilvl w:val="1"/>
          <w:numId w:val="49"/>
        </w:numPr>
        <w:pBdr>
          <w:top w:val="none" w:sz="0" w:space="0" w:color="auto"/>
          <w:left w:val="none" w:sz="0" w:space="0" w:color="auto"/>
          <w:bottom w:val="none" w:sz="0" w:space="0" w:color="auto"/>
          <w:right w:val="none" w:sz="0" w:space="0" w:color="auto"/>
          <w:bar w:val="none" w:sz="0" w:color="auto"/>
        </w:pBdr>
        <w:tabs>
          <w:tab w:val="clear" w:pos="1410"/>
          <w:tab w:val="num" w:pos="0"/>
        </w:tabs>
        <w:suppressAutoHyphens/>
        <w:spacing w:after="240"/>
        <w:ind w:left="0" w:firstLine="720"/>
        <w:jc w:val="both"/>
        <w:rPr>
          <w:sz w:val="20"/>
          <w:szCs w:val="20"/>
          <w:lang w:val="es-UY"/>
        </w:rPr>
      </w:pPr>
      <w:r w:rsidRPr="00710DFD">
        <w:rPr>
          <w:sz w:val="20"/>
          <w:szCs w:val="20"/>
          <w:lang w:val="es-UY"/>
        </w:rPr>
        <w:t xml:space="preserve">Declarar admisible la presente petición en relación con los artículos </w:t>
      </w:r>
      <w:r w:rsidR="00BA2F8C" w:rsidRPr="00710DFD">
        <w:rPr>
          <w:sz w:val="20"/>
          <w:szCs w:val="20"/>
          <w:lang w:val="es-UY"/>
        </w:rPr>
        <w:t xml:space="preserve">4, </w:t>
      </w:r>
      <w:r w:rsidRPr="00710DFD">
        <w:rPr>
          <w:sz w:val="20"/>
          <w:szCs w:val="20"/>
          <w:lang w:val="es-UY"/>
        </w:rPr>
        <w:t xml:space="preserve">5, 8 y 25 de la Convención Americana en conexión con las obligaciones establecidas en los </w:t>
      </w:r>
      <w:r w:rsidRPr="00710DFD">
        <w:rPr>
          <w:color w:val="auto"/>
          <w:sz w:val="20"/>
          <w:szCs w:val="20"/>
          <w:lang w:val="es-UY"/>
        </w:rPr>
        <w:t>artículos 1.1 del</w:t>
      </w:r>
      <w:r w:rsidRPr="00710DFD">
        <w:rPr>
          <w:sz w:val="20"/>
          <w:szCs w:val="20"/>
          <w:lang w:val="es-UY"/>
        </w:rPr>
        <w:t xml:space="preserve"> mismo instrumento.</w:t>
      </w:r>
    </w:p>
    <w:p w:rsidR="009E61C6" w:rsidRPr="00710DFD" w:rsidRDefault="009E61C6" w:rsidP="00C66738">
      <w:pPr>
        <w:pStyle w:val="ListParagraph"/>
        <w:numPr>
          <w:ilvl w:val="1"/>
          <w:numId w:val="49"/>
        </w:numPr>
        <w:pBdr>
          <w:top w:val="none" w:sz="0" w:space="0" w:color="auto"/>
          <w:left w:val="none" w:sz="0" w:space="0" w:color="auto"/>
          <w:bottom w:val="none" w:sz="0" w:space="0" w:color="auto"/>
          <w:right w:val="none" w:sz="0" w:space="0" w:color="auto"/>
          <w:bar w:val="none" w:sz="0" w:color="auto"/>
        </w:pBdr>
        <w:tabs>
          <w:tab w:val="num" w:pos="0"/>
        </w:tabs>
        <w:suppressAutoHyphens/>
        <w:spacing w:after="240"/>
        <w:ind w:left="0" w:firstLine="720"/>
        <w:jc w:val="both"/>
        <w:rPr>
          <w:sz w:val="20"/>
          <w:szCs w:val="20"/>
          <w:lang w:val="es-UY"/>
        </w:rPr>
      </w:pPr>
      <w:r w:rsidRPr="00710DFD">
        <w:rPr>
          <w:sz w:val="20"/>
          <w:szCs w:val="20"/>
          <w:lang w:val="es-UY"/>
        </w:rPr>
        <w:t>Notificar a las partes la presente decisión;</w:t>
      </w:r>
    </w:p>
    <w:p w:rsidR="009E61C6" w:rsidRPr="00710DFD" w:rsidRDefault="009E61C6" w:rsidP="00C66738">
      <w:pPr>
        <w:pStyle w:val="ListParagraph"/>
        <w:numPr>
          <w:ilvl w:val="1"/>
          <w:numId w:val="49"/>
        </w:numPr>
        <w:pBdr>
          <w:top w:val="none" w:sz="0" w:space="0" w:color="auto"/>
          <w:left w:val="none" w:sz="0" w:space="0" w:color="auto"/>
          <w:bottom w:val="none" w:sz="0" w:space="0" w:color="auto"/>
          <w:right w:val="none" w:sz="0" w:space="0" w:color="auto"/>
          <w:bar w:val="none" w:sz="0" w:color="auto"/>
        </w:pBdr>
        <w:tabs>
          <w:tab w:val="num" w:pos="0"/>
        </w:tabs>
        <w:suppressAutoHyphens/>
        <w:spacing w:after="240"/>
        <w:ind w:left="0" w:firstLine="720"/>
        <w:jc w:val="both"/>
        <w:rPr>
          <w:sz w:val="20"/>
          <w:szCs w:val="20"/>
          <w:lang w:val="es-UY"/>
        </w:rPr>
      </w:pPr>
      <w:r w:rsidRPr="00710DFD">
        <w:rPr>
          <w:sz w:val="20"/>
          <w:szCs w:val="20"/>
          <w:lang w:val="es-UY"/>
        </w:rPr>
        <w:t>Continuar con el análisis del fondo de la cuestión; y</w:t>
      </w:r>
    </w:p>
    <w:p w:rsidR="009E61C6" w:rsidRPr="00710DFD" w:rsidRDefault="009E61C6" w:rsidP="00C66738">
      <w:pPr>
        <w:pStyle w:val="ListParagraph"/>
        <w:numPr>
          <w:ilvl w:val="1"/>
          <w:numId w:val="49"/>
        </w:numPr>
        <w:pBdr>
          <w:top w:val="none" w:sz="0" w:space="0" w:color="auto"/>
          <w:left w:val="none" w:sz="0" w:space="0" w:color="auto"/>
          <w:bottom w:val="none" w:sz="0" w:space="0" w:color="auto"/>
          <w:right w:val="none" w:sz="0" w:space="0" w:color="auto"/>
          <w:bar w:val="none" w:sz="0" w:color="auto"/>
        </w:pBdr>
        <w:tabs>
          <w:tab w:val="num" w:pos="0"/>
        </w:tabs>
        <w:suppressAutoHyphens/>
        <w:spacing w:after="240"/>
        <w:ind w:left="0" w:firstLine="720"/>
        <w:jc w:val="both"/>
        <w:rPr>
          <w:sz w:val="20"/>
          <w:szCs w:val="20"/>
          <w:lang w:val="es-UY"/>
        </w:rPr>
      </w:pPr>
      <w:r w:rsidRPr="00710DFD">
        <w:rPr>
          <w:sz w:val="20"/>
          <w:szCs w:val="20"/>
          <w:lang w:val="es-UY"/>
        </w:rPr>
        <w:t>Publicar esta decisión e incluirla en su Informe Anual a la Asamblea General de la Organización de los Estados Americanos.</w:t>
      </w:r>
    </w:p>
    <w:p w:rsidR="00417A1E" w:rsidRDefault="00417A1E" w:rsidP="00417A1E">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cs="Arial"/>
          <w:noProof/>
          <w:spacing w:val="-2"/>
          <w:sz w:val="20"/>
          <w:szCs w:val="20"/>
          <w:lang w:val="es-CL"/>
        </w:rPr>
      </w:pPr>
      <w:r w:rsidRPr="00A54507">
        <w:rPr>
          <w:rFonts w:asciiTheme="majorHAnsi" w:hAnsiTheme="majorHAnsi" w:cs="Arial"/>
          <w:noProof/>
          <w:spacing w:val="-2"/>
          <w:sz w:val="20"/>
          <w:szCs w:val="20"/>
          <w:lang w:val="es-CL"/>
        </w:rPr>
        <w:t xml:space="preserve">Dado y firmado en la ciudad de Washington, D.C., a los </w:t>
      </w:r>
      <w:r>
        <w:rPr>
          <w:rFonts w:asciiTheme="majorHAnsi" w:hAnsiTheme="majorHAnsi" w:cs="Arial"/>
          <w:noProof/>
          <w:spacing w:val="-2"/>
          <w:sz w:val="20"/>
          <w:szCs w:val="20"/>
          <w:lang w:val="es-CL"/>
        </w:rPr>
        <w:t>15</w:t>
      </w:r>
      <w:r w:rsidRPr="00A54507">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54507">
        <w:rPr>
          <w:rFonts w:asciiTheme="majorHAnsi" w:hAnsiTheme="majorHAnsi" w:cs="Arial"/>
          <w:noProof/>
          <w:spacing w:val="-2"/>
          <w:sz w:val="20"/>
          <w:szCs w:val="20"/>
          <w:lang w:val="es-CL"/>
        </w:rPr>
        <w:t xml:space="preserve"> de 2016.  </w:t>
      </w:r>
      <w:r w:rsidR="00927626" w:rsidRPr="00A54507">
        <w:rPr>
          <w:rFonts w:asciiTheme="majorHAnsi" w:hAnsiTheme="majorHAnsi" w:cs="Arial"/>
          <w:noProof/>
          <w:spacing w:val="-2"/>
          <w:sz w:val="20"/>
          <w:szCs w:val="20"/>
          <w:lang w:val="es-CL"/>
        </w:rPr>
        <w:t xml:space="preserve">(Firmado): James L. Cavallaro, Presidente; Francisco José Eguiguren, Primer Vicepresidente; Margarette May Macaulay, Segunda Vicepresidenta; José de Jesús Orozco Henríquez, </w:t>
      </w:r>
      <w:bookmarkStart w:id="2" w:name="_GoBack"/>
      <w:bookmarkEnd w:id="2"/>
      <w:r w:rsidR="00927626" w:rsidRPr="00A54507">
        <w:rPr>
          <w:rFonts w:asciiTheme="majorHAnsi" w:hAnsiTheme="majorHAnsi" w:cs="Arial"/>
          <w:noProof/>
          <w:spacing w:val="-2"/>
          <w:sz w:val="20"/>
          <w:szCs w:val="20"/>
          <w:lang w:val="es-CL"/>
        </w:rPr>
        <w:t>Esmeralda E. Arosemena Bernal de Troitiño, y Enrique Gil Botero, Miembros de la Comisión.</w:t>
      </w:r>
    </w:p>
    <w:p w:rsidR="00417A1E" w:rsidRPr="006F0418" w:rsidRDefault="00417A1E" w:rsidP="006F0418">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sz w:val="20"/>
          <w:szCs w:val="20"/>
          <w:lang w:val="es-UY"/>
        </w:rPr>
      </w:pPr>
    </w:p>
    <w:p w:rsidR="009E61C6" w:rsidRPr="006F0418" w:rsidRDefault="009E61C6" w:rsidP="006F0418">
      <w:pPr>
        <w:pBdr>
          <w:top w:val="none" w:sz="0" w:space="0" w:color="auto"/>
          <w:left w:val="none" w:sz="0" w:space="0" w:color="auto"/>
          <w:bottom w:val="none" w:sz="0" w:space="0" w:color="auto"/>
          <w:right w:val="none" w:sz="0" w:space="0" w:color="auto"/>
          <w:bar w:val="none" w:sz="0" w:color="auto"/>
        </w:pBdr>
        <w:tabs>
          <w:tab w:val="center" w:pos="5400"/>
        </w:tabs>
        <w:suppressAutoHyphens/>
        <w:spacing w:after="240" w:line="276" w:lineRule="auto"/>
        <w:ind w:firstLine="720"/>
        <w:jc w:val="both"/>
        <w:rPr>
          <w:rFonts w:ascii="Cambria" w:hAnsi="Cambria"/>
          <w:sz w:val="20"/>
          <w:szCs w:val="20"/>
          <w:lang w:val="es-ES_tradnl"/>
        </w:rPr>
      </w:pPr>
    </w:p>
    <w:sectPr w:rsidR="009E61C6" w:rsidRPr="006F0418"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77" w:rsidRDefault="00F2307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23077" w:rsidRDefault="00F2307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EF" w:rsidRDefault="006D2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6" w:rsidRPr="00934A2C" w:rsidRDefault="009E61C6">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7626">
      <w:rPr>
        <w:noProof/>
        <w:sz w:val="16"/>
        <w:szCs w:val="22"/>
      </w:rPr>
      <w:t>8</w:t>
    </w:r>
    <w:r w:rsidRPr="00934A2C">
      <w:rPr>
        <w:sz w:val="16"/>
        <w:szCs w:val="22"/>
      </w:rPr>
      <w:fldChar w:fldCharType="end"/>
    </w:r>
  </w:p>
  <w:p w:rsidR="009E61C6" w:rsidRDefault="009E61C6">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6" w:rsidRPr="00934A2C" w:rsidRDefault="009E61C6">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9E61C6" w:rsidRDefault="009E61C6">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77" w:rsidRPr="000F35ED" w:rsidRDefault="00F2307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F23077" w:rsidRPr="000F35ED" w:rsidRDefault="00F23077"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F23077" w:rsidRPr="000F35ED" w:rsidRDefault="00F23077"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rsidR="00F23077" w:rsidRPr="000F35ED" w:rsidRDefault="00F23077"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1239A7" w:rsidRPr="00E13741" w:rsidRDefault="003274F3" w:rsidP="00B83F59">
      <w:pPr>
        <w:pStyle w:val="FootnoteText"/>
        <w:spacing w:after="120"/>
        <w:jc w:val="both"/>
        <w:rPr>
          <w:rFonts w:asciiTheme="majorHAnsi" w:hAnsiTheme="majorHAnsi"/>
          <w:lang w:val="es-ES"/>
        </w:rPr>
      </w:pPr>
      <w:r w:rsidRPr="00B83F59">
        <w:rPr>
          <w:rFonts w:asciiTheme="majorHAnsi" w:hAnsiTheme="majorHAnsi"/>
          <w:sz w:val="16"/>
          <w:szCs w:val="16"/>
          <w:lang w:val="es-CL"/>
        </w:rPr>
        <w:tab/>
      </w:r>
      <w:r w:rsidR="001239A7" w:rsidRPr="00E13741">
        <w:rPr>
          <w:rStyle w:val="FootnoteReference"/>
          <w:rFonts w:asciiTheme="majorHAnsi" w:hAnsiTheme="majorHAnsi"/>
          <w:sz w:val="16"/>
          <w:szCs w:val="16"/>
        </w:rPr>
        <w:footnoteRef/>
      </w:r>
      <w:r w:rsidR="001239A7" w:rsidRPr="00E13741">
        <w:rPr>
          <w:rFonts w:asciiTheme="majorHAnsi" w:hAnsiTheme="majorHAnsi"/>
          <w:sz w:val="16"/>
          <w:szCs w:val="16"/>
          <w:lang w:val="es-CL"/>
        </w:rPr>
        <w:t xml:space="preserve"> CIDH, Informe No. 33/98, </w:t>
      </w:r>
      <w:r w:rsidR="001239A7" w:rsidRPr="00E13741">
        <w:rPr>
          <w:rFonts w:asciiTheme="majorHAnsi" w:hAnsiTheme="majorHAnsi"/>
          <w:sz w:val="16"/>
          <w:szCs w:val="16"/>
          <w:lang w:val="es-ES"/>
        </w:rPr>
        <w:t>Petición</w:t>
      </w:r>
      <w:r w:rsidR="001239A7" w:rsidRPr="00E13741">
        <w:rPr>
          <w:rFonts w:asciiTheme="majorHAnsi" w:hAnsiTheme="majorHAnsi"/>
          <w:sz w:val="16"/>
          <w:szCs w:val="16"/>
          <w:lang w:val="es-CL"/>
        </w:rPr>
        <w:t xml:space="preserve"> 10.545. Admisibilidad. Clemente Ayala Torres y otros, México, 15 de mayo de 1998, </w:t>
      </w:r>
      <w:r w:rsidR="00417A1E">
        <w:rPr>
          <w:rFonts w:asciiTheme="majorHAnsi" w:hAnsiTheme="majorHAnsi"/>
          <w:sz w:val="16"/>
          <w:szCs w:val="16"/>
          <w:lang w:val="es-CL"/>
        </w:rPr>
        <w:br/>
      </w:r>
      <w:r w:rsidR="001239A7" w:rsidRPr="00E13741">
        <w:rPr>
          <w:rFonts w:asciiTheme="majorHAnsi" w:hAnsiTheme="majorHAnsi"/>
          <w:sz w:val="16"/>
          <w:szCs w:val="16"/>
          <w:lang w:val="es-CL"/>
        </w:rPr>
        <w:t>párr. 22.</w:t>
      </w:r>
    </w:p>
  </w:footnote>
  <w:footnote w:id="3">
    <w:p w:rsidR="009E61C6" w:rsidRPr="00E13741" w:rsidRDefault="009E61C6" w:rsidP="00B83F59">
      <w:pPr>
        <w:pStyle w:val="FootnoteText"/>
        <w:spacing w:after="120"/>
        <w:ind w:firstLine="720"/>
        <w:jc w:val="both"/>
        <w:rPr>
          <w:rFonts w:asciiTheme="majorHAnsi" w:hAnsiTheme="majorHAnsi"/>
          <w:lang w:val="es-ES"/>
        </w:rPr>
      </w:pPr>
      <w:r w:rsidRPr="00E13741">
        <w:rPr>
          <w:rStyle w:val="FootnoteReference"/>
          <w:rFonts w:asciiTheme="majorHAnsi" w:hAnsiTheme="majorHAnsi"/>
          <w:sz w:val="16"/>
          <w:szCs w:val="16"/>
        </w:rPr>
        <w:footnoteRef/>
      </w:r>
      <w:r w:rsidRPr="00E13741">
        <w:rPr>
          <w:rFonts w:asciiTheme="majorHAnsi" w:hAnsiTheme="majorHAnsi"/>
          <w:sz w:val="16"/>
          <w:szCs w:val="16"/>
          <w:lang w:val="es-ES"/>
        </w:rPr>
        <w:t xml:space="preserve"> CIDH, Informe No. 34/15, Petición 191-07 y otras. Admisibilidad. Álvaro Enrique Rodríguez y otros. Colombia. 22 de julio de 2015, párr. 244</w:t>
      </w:r>
      <w:r w:rsidR="00B83F59" w:rsidRPr="00E13741">
        <w:rPr>
          <w:rFonts w:asciiTheme="majorHAnsi" w:hAnsiTheme="majorHAnsi"/>
          <w:sz w:val="16"/>
          <w:szCs w:val="16"/>
          <w:lang w:val="es-ES"/>
        </w:rPr>
        <w:t>.</w:t>
      </w:r>
      <w:r w:rsidRPr="00E13741">
        <w:rPr>
          <w:rFonts w:asciiTheme="majorHAnsi" w:hAnsiTheme="majorHAnsi"/>
          <w:sz w:val="16"/>
          <w:szCs w:val="16"/>
          <w:lang w:val="es-ES"/>
        </w:rPr>
        <w:t xml:space="preserve">  </w:t>
      </w:r>
    </w:p>
  </w:footnote>
  <w:footnote w:id="4">
    <w:p w:rsidR="009E61C6" w:rsidRPr="00E13741" w:rsidRDefault="009E61C6" w:rsidP="00B83F59">
      <w:pPr>
        <w:pStyle w:val="FootnoteText"/>
        <w:spacing w:after="120"/>
        <w:ind w:firstLine="720"/>
        <w:jc w:val="both"/>
        <w:rPr>
          <w:rFonts w:asciiTheme="majorHAnsi" w:hAnsiTheme="majorHAnsi"/>
          <w:lang w:val="es-ES"/>
        </w:rPr>
      </w:pPr>
      <w:r w:rsidRPr="00E13741">
        <w:rPr>
          <w:rStyle w:val="FootnoteReference"/>
          <w:rFonts w:asciiTheme="majorHAnsi" w:hAnsiTheme="majorHAnsi"/>
          <w:color w:val="auto"/>
          <w:sz w:val="16"/>
          <w:szCs w:val="16"/>
        </w:rPr>
        <w:footnoteRef/>
      </w:r>
      <w:r w:rsidRPr="00E13741">
        <w:rPr>
          <w:rFonts w:asciiTheme="majorHAnsi" w:hAnsiTheme="majorHAnsi"/>
          <w:color w:val="auto"/>
          <w:sz w:val="16"/>
          <w:szCs w:val="16"/>
          <w:lang w:val="es-MX"/>
        </w:rPr>
        <w:t xml:space="preserve"> CIDH, Informe No. 51/10, </w:t>
      </w:r>
      <w:r w:rsidRPr="00E13741">
        <w:rPr>
          <w:rFonts w:asciiTheme="majorHAnsi" w:hAnsiTheme="majorHAnsi"/>
          <w:sz w:val="16"/>
          <w:szCs w:val="16"/>
          <w:lang w:val="es-ES"/>
        </w:rPr>
        <w:t>Petición</w:t>
      </w:r>
      <w:r w:rsidRPr="00E13741">
        <w:rPr>
          <w:rFonts w:asciiTheme="majorHAnsi" w:hAnsiTheme="majorHAnsi"/>
          <w:color w:val="auto"/>
          <w:sz w:val="16"/>
          <w:szCs w:val="16"/>
          <w:lang w:val="es-MX"/>
        </w:rPr>
        <w:t xml:space="preserve"> 1166-05, Admisibilidad, </w:t>
      </w:r>
      <w:r w:rsidRPr="00E13741">
        <w:rPr>
          <w:rFonts w:asciiTheme="majorHAnsi" w:hAnsiTheme="majorHAnsi"/>
          <w:i/>
          <w:color w:val="auto"/>
          <w:sz w:val="16"/>
          <w:szCs w:val="16"/>
          <w:lang w:val="es-MX"/>
        </w:rPr>
        <w:t>Masacres del Tibú</w:t>
      </w:r>
      <w:r w:rsidRPr="00E13741">
        <w:rPr>
          <w:rFonts w:asciiTheme="majorHAnsi" w:hAnsiTheme="majorHAnsi"/>
          <w:color w:val="auto"/>
          <w:sz w:val="16"/>
          <w:szCs w:val="16"/>
          <w:lang w:val="es-MX"/>
        </w:rPr>
        <w:t>, Colombia, 18 de marzo de 2010, párr. 110.</w:t>
      </w:r>
    </w:p>
  </w:footnote>
  <w:footnote w:id="5">
    <w:p w:rsidR="009E61C6" w:rsidRPr="00E13741" w:rsidRDefault="009E61C6" w:rsidP="00B83F59">
      <w:pPr>
        <w:pStyle w:val="FootnoteText"/>
        <w:spacing w:after="120"/>
        <w:ind w:firstLine="720"/>
        <w:jc w:val="both"/>
        <w:rPr>
          <w:rFonts w:asciiTheme="majorHAnsi" w:hAnsiTheme="majorHAnsi"/>
          <w:lang w:val="es-ES"/>
        </w:rPr>
      </w:pPr>
      <w:r w:rsidRPr="00E13741">
        <w:rPr>
          <w:rStyle w:val="FootnoteReference"/>
          <w:rFonts w:asciiTheme="majorHAnsi" w:hAnsiTheme="majorHAnsi"/>
          <w:sz w:val="16"/>
          <w:szCs w:val="16"/>
        </w:rPr>
        <w:footnoteRef/>
      </w:r>
      <w:r w:rsidRPr="00E13741">
        <w:rPr>
          <w:rFonts w:asciiTheme="majorHAnsi" w:hAnsiTheme="majorHAnsi"/>
          <w:sz w:val="16"/>
          <w:szCs w:val="16"/>
          <w:lang w:val="es-ES"/>
        </w:rPr>
        <w:t xml:space="preserve"> CIDH, Informe No. 31/15, Petición 10.522. Admisibilidad. Juan Fernando Porras Martínez. Colombia. 22 de julio de 2015, párr. 36.</w:t>
      </w:r>
    </w:p>
  </w:footnote>
  <w:footnote w:id="6">
    <w:p w:rsidR="009E61C6" w:rsidRPr="00E13741" w:rsidRDefault="009E61C6" w:rsidP="00B83F59">
      <w:pPr>
        <w:pStyle w:val="FootnoteText"/>
        <w:spacing w:after="120"/>
        <w:ind w:firstLine="720"/>
        <w:jc w:val="both"/>
        <w:rPr>
          <w:rFonts w:asciiTheme="majorHAnsi" w:hAnsiTheme="majorHAnsi"/>
          <w:lang w:val="es-ES"/>
        </w:rPr>
      </w:pPr>
      <w:r w:rsidRPr="00E13741">
        <w:rPr>
          <w:rStyle w:val="FootnoteReference"/>
          <w:rFonts w:asciiTheme="majorHAnsi" w:hAnsiTheme="majorHAnsi"/>
          <w:sz w:val="16"/>
          <w:szCs w:val="16"/>
        </w:rPr>
        <w:footnoteRef/>
      </w:r>
      <w:r w:rsidRPr="00E13741">
        <w:rPr>
          <w:rFonts w:asciiTheme="majorHAnsi" w:hAnsiTheme="majorHAnsi"/>
          <w:sz w:val="16"/>
          <w:szCs w:val="16"/>
          <w:lang w:val="es-ES"/>
        </w:rPr>
        <w:t xml:space="preserve"> CIDH, Informe No. 48/15, Petición 79-06. Admisibilidad. Pueblo Yaqui. México. 28 de julio de 2015, párr. 56.</w:t>
      </w:r>
    </w:p>
  </w:footnote>
  <w:footnote w:id="7">
    <w:p w:rsidR="00BA2F8C" w:rsidRPr="00286605" w:rsidRDefault="00BA2F8C" w:rsidP="00BA2F8C">
      <w:pPr>
        <w:pStyle w:val="FootnoteText"/>
        <w:spacing w:after="120"/>
        <w:jc w:val="both"/>
        <w:rPr>
          <w:sz w:val="16"/>
          <w:szCs w:val="16"/>
          <w:lang w:val="es-ES_tradnl"/>
        </w:rPr>
      </w:pPr>
      <w:r w:rsidRPr="00E13741">
        <w:rPr>
          <w:sz w:val="16"/>
          <w:szCs w:val="16"/>
          <w:lang w:val="es-ES"/>
        </w:rPr>
        <w:tab/>
      </w:r>
      <w:r w:rsidRPr="00E13741">
        <w:rPr>
          <w:rStyle w:val="FootnoteReference"/>
          <w:sz w:val="16"/>
          <w:szCs w:val="16"/>
        </w:rPr>
        <w:footnoteRef/>
      </w:r>
      <w:r w:rsidRPr="00E13741">
        <w:rPr>
          <w:sz w:val="16"/>
          <w:szCs w:val="16"/>
          <w:lang w:val="es-ES"/>
        </w:rPr>
        <w:t xml:space="preserve"> CIDH, Informe No. 49/14, Petición 1196-07. Admisibilidad. Juan Carlos Martínez Gil, Colombia, 22 de julio de 2014, párr.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6" w:rsidRDefault="009E61C6"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9E61C6" w:rsidRDefault="009E6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6" w:rsidRDefault="001F47E8" w:rsidP="00A50FCF">
    <w:pPr>
      <w:pStyle w:val="Header"/>
      <w:tabs>
        <w:tab w:val="clear" w:pos="4320"/>
        <w:tab w:val="clear" w:pos="8640"/>
      </w:tabs>
      <w:jc w:val="center"/>
      <w:rPr>
        <w:sz w:val="22"/>
        <w:szCs w:val="22"/>
      </w:rPr>
    </w:pPr>
    <w:r>
      <w:rPr>
        <w:noProof/>
        <w:sz w:val="22"/>
        <w:szCs w:val="22"/>
      </w:rPr>
      <w:drawing>
        <wp:inline distT="0" distB="0" distL="0" distR="0" wp14:anchorId="0F4D72C1" wp14:editId="293802EC">
          <wp:extent cx="1949450" cy="106045"/>
          <wp:effectExtent l="0" t="0" r="0" b="825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06045"/>
                  </a:xfrm>
                  <a:prstGeom prst="rect">
                    <a:avLst/>
                  </a:prstGeom>
                  <a:noFill/>
                  <a:ln>
                    <a:noFill/>
                  </a:ln>
                </pic:spPr>
              </pic:pic>
            </a:graphicData>
          </a:graphic>
        </wp:inline>
      </w:drawing>
    </w:r>
  </w:p>
  <w:p w:rsidR="009E61C6" w:rsidRPr="00EC7D62" w:rsidRDefault="00F2307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EF" w:rsidRDefault="006D2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31CB6708"/>
    <w:multiLevelType w:val="multilevel"/>
    <w:tmpl w:val="7A08ECFC"/>
    <w:lvl w:ilvl="0">
      <w:start w:val="1"/>
      <w:numFmt w:val="decimal"/>
      <w:lvlText w:val="%1."/>
      <w:lvlJc w:val="left"/>
      <w:pPr>
        <w:tabs>
          <w:tab w:val="num" w:pos="720"/>
        </w:tabs>
        <w:ind w:left="720" w:hanging="360"/>
      </w:pPr>
      <w:rPr>
        <w:rFonts w:ascii="Cambria" w:eastAsia="Times New Roman" w:hAnsi="Cambria" w:cs="Trebuchet MS" w:hint="default"/>
        <w:b w:val="0"/>
        <w:bCs/>
        <w:i w:val="0"/>
        <w:color w:val="000000"/>
        <w:position w:val="0"/>
        <w:sz w:val="20"/>
        <w:szCs w:val="20"/>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nsid w:val="47612381"/>
    <w:multiLevelType w:val="hybridMultilevel"/>
    <w:tmpl w:val="B438594A"/>
    <w:lvl w:ilvl="0" w:tplc="7FA66B5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3">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5087187A"/>
    <w:multiLevelType w:val="multilevel"/>
    <w:tmpl w:val="277048D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2."/>
      <w:lvlJc w:val="left"/>
      <w:pPr>
        <w:tabs>
          <w:tab w:val="num" w:pos="1410"/>
        </w:tabs>
        <w:ind w:left="1410" w:hanging="330"/>
      </w:pPr>
      <w:rPr>
        <w:rFonts w:ascii="Cambria" w:eastAsia="Arial Unicode MS" w:hAnsi="Cambria" w:cs="Cambria"/>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nsid w:val="70786ED7"/>
    <w:multiLevelType w:val="hybridMultilevel"/>
    <w:tmpl w:val="DCECD6F8"/>
    <w:lvl w:ilvl="0" w:tplc="744AAC82">
      <w:start w:val="1"/>
      <w:numFmt w:val="upperRoman"/>
      <w:pStyle w:val="Heading1"/>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4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47"/>
  </w:num>
  <w:num w:numId="3">
    <w:abstractNumId w:val="19"/>
  </w:num>
  <w:num w:numId="4">
    <w:abstractNumId w:val="41"/>
  </w:num>
  <w:num w:numId="5">
    <w:abstractNumId w:val="24"/>
  </w:num>
  <w:num w:numId="6">
    <w:abstractNumId w:val="5"/>
  </w:num>
  <w:num w:numId="7">
    <w:abstractNumId w:val="15"/>
  </w:num>
  <w:num w:numId="8">
    <w:abstractNumId w:val="37"/>
  </w:num>
  <w:num w:numId="9">
    <w:abstractNumId w:val="1"/>
  </w:num>
  <w:num w:numId="10">
    <w:abstractNumId w:val="32"/>
  </w:num>
  <w:num w:numId="11">
    <w:abstractNumId w:val="33"/>
  </w:num>
  <w:num w:numId="12">
    <w:abstractNumId w:val="38"/>
  </w:num>
  <w:num w:numId="13">
    <w:abstractNumId w:val="2"/>
  </w:num>
  <w:num w:numId="14">
    <w:abstractNumId w:val="3"/>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6"/>
  </w:num>
  <w:num w:numId="25">
    <w:abstractNumId w:val="17"/>
  </w:num>
  <w:num w:numId="26">
    <w:abstractNumId w:val="20"/>
  </w:num>
  <w:num w:numId="27">
    <w:abstractNumId w:val="21"/>
  </w:num>
  <w:num w:numId="28">
    <w:abstractNumId w:val="22"/>
  </w:num>
  <w:num w:numId="29">
    <w:abstractNumId w:val="23"/>
  </w:num>
  <w:num w:numId="30">
    <w:abstractNumId w:val="25"/>
  </w:num>
  <w:num w:numId="31">
    <w:abstractNumId w:val="26"/>
  </w:num>
  <w:num w:numId="32">
    <w:abstractNumId w:val="27"/>
  </w:num>
  <w:num w:numId="33">
    <w:abstractNumId w:val="28"/>
  </w:num>
  <w:num w:numId="34">
    <w:abstractNumId w:val="29"/>
  </w:num>
  <w:num w:numId="35">
    <w:abstractNumId w:val="31"/>
  </w:num>
  <w:num w:numId="36">
    <w:abstractNumId w:val="34"/>
  </w:num>
  <w:num w:numId="37">
    <w:abstractNumId w:val="35"/>
  </w:num>
  <w:num w:numId="38">
    <w:abstractNumId w:val="40"/>
  </w:num>
  <w:num w:numId="39">
    <w:abstractNumId w:val="42"/>
  </w:num>
  <w:num w:numId="40">
    <w:abstractNumId w:val="43"/>
  </w:num>
  <w:num w:numId="41">
    <w:abstractNumId w:val="45"/>
  </w:num>
  <w:num w:numId="42">
    <w:abstractNumId w:val="46"/>
  </w:num>
  <w:num w:numId="43">
    <w:abstractNumId w:val="48"/>
  </w:num>
  <w:num w:numId="44">
    <w:abstractNumId w:val="49"/>
  </w:num>
  <w:num w:numId="45">
    <w:abstractNumId w:val="50"/>
  </w:num>
  <w:num w:numId="46">
    <w:abstractNumId w:val="51"/>
  </w:num>
  <w:num w:numId="47">
    <w:abstractNumId w:val="52"/>
  </w:num>
  <w:num w:numId="48">
    <w:abstractNumId w:val="18"/>
  </w:num>
  <w:num w:numId="49">
    <w:abstractNumId w:val="36"/>
    <w:lvlOverride w:ilvl="0">
      <w:lvl w:ilvl="0">
        <w:start w:val="1"/>
        <w:numFmt w:val="upperLetter"/>
        <w:lvlText w:val="%1."/>
        <w:lvlJc w:val="left"/>
        <w:pPr>
          <w:tabs>
            <w:tab w:val="num" w:pos="720"/>
          </w:tabs>
          <w:ind w:left="720" w:hanging="360"/>
        </w:pPr>
        <w:rPr>
          <w:rFonts w:asciiTheme="majorHAnsi" w:eastAsia="Times New Roman" w:hAnsiTheme="majorHAnsi" w:cs="Trebuchet MS" w:hint="default"/>
          <w:b/>
          <w:bCs/>
          <w:color w:val="000000"/>
          <w:position w:val="0"/>
          <w:sz w:val="22"/>
          <w:szCs w:val="22"/>
          <w:u w:color="000000"/>
        </w:rPr>
      </w:lvl>
    </w:lvlOverride>
    <w:lvlOverride w:ilvl="1">
      <w:lvl w:ilvl="1">
        <w:start w:val="1"/>
        <w:numFmt w:val="decimal"/>
        <w:lvlText w:val="%2."/>
        <w:lvlJc w:val="left"/>
        <w:pPr>
          <w:tabs>
            <w:tab w:val="num" w:pos="1410"/>
          </w:tabs>
          <w:ind w:left="1410" w:hanging="330"/>
        </w:pPr>
        <w:rPr>
          <w:rFonts w:ascii="Cambria" w:eastAsia="Arial Unicode MS" w:hAnsi="Cambria" w:cs="Cambria"/>
          <w:b w:val="0"/>
          <w:bCs/>
          <w:color w:val="000000"/>
          <w:position w:val="0"/>
          <w:sz w:val="22"/>
          <w:szCs w:val="22"/>
          <w:u w:color="000000"/>
        </w:rPr>
      </w:lvl>
    </w:lvlOverride>
  </w:num>
  <w:num w:numId="50">
    <w:abstractNumId w:val="44"/>
  </w:num>
  <w:num w:numId="51">
    <w:abstractNumId w:val="39"/>
  </w:num>
  <w:num w:numId="52">
    <w:abstractNumId w:val="30"/>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0D71"/>
    <w:rsid w:val="00000FF2"/>
    <w:rsid w:val="000010A1"/>
    <w:rsid w:val="00003771"/>
    <w:rsid w:val="00006E1F"/>
    <w:rsid w:val="000070D7"/>
    <w:rsid w:val="000077EB"/>
    <w:rsid w:val="000131E7"/>
    <w:rsid w:val="0001575F"/>
    <w:rsid w:val="0001788C"/>
    <w:rsid w:val="00024654"/>
    <w:rsid w:val="00033A8E"/>
    <w:rsid w:val="00035C97"/>
    <w:rsid w:val="0003602E"/>
    <w:rsid w:val="00040C3A"/>
    <w:rsid w:val="00043ED6"/>
    <w:rsid w:val="00046113"/>
    <w:rsid w:val="00057DD7"/>
    <w:rsid w:val="0006204D"/>
    <w:rsid w:val="00062438"/>
    <w:rsid w:val="000716C5"/>
    <w:rsid w:val="00075E23"/>
    <w:rsid w:val="0009344A"/>
    <w:rsid w:val="000A392E"/>
    <w:rsid w:val="000A575F"/>
    <w:rsid w:val="000B42F1"/>
    <w:rsid w:val="000D10DB"/>
    <w:rsid w:val="000D7E9C"/>
    <w:rsid w:val="000E5EB5"/>
    <w:rsid w:val="000E616A"/>
    <w:rsid w:val="000F35ED"/>
    <w:rsid w:val="00104548"/>
    <w:rsid w:val="00107131"/>
    <w:rsid w:val="0010736F"/>
    <w:rsid w:val="00112D7A"/>
    <w:rsid w:val="00113F73"/>
    <w:rsid w:val="00117877"/>
    <w:rsid w:val="00121CC2"/>
    <w:rsid w:val="001239A7"/>
    <w:rsid w:val="00133EE5"/>
    <w:rsid w:val="00156E8B"/>
    <w:rsid w:val="00162927"/>
    <w:rsid w:val="00167A34"/>
    <w:rsid w:val="00173DFD"/>
    <w:rsid w:val="001778F2"/>
    <w:rsid w:val="00181715"/>
    <w:rsid w:val="00182D70"/>
    <w:rsid w:val="001937FE"/>
    <w:rsid w:val="001A701C"/>
    <w:rsid w:val="001A7870"/>
    <w:rsid w:val="001B1063"/>
    <w:rsid w:val="001B2772"/>
    <w:rsid w:val="001B6705"/>
    <w:rsid w:val="001C1B41"/>
    <w:rsid w:val="001C42FD"/>
    <w:rsid w:val="001D65EF"/>
    <w:rsid w:val="001E1A74"/>
    <w:rsid w:val="001F47E8"/>
    <w:rsid w:val="001F4EFB"/>
    <w:rsid w:val="00202F5C"/>
    <w:rsid w:val="00207619"/>
    <w:rsid w:val="00207DE1"/>
    <w:rsid w:val="00215198"/>
    <w:rsid w:val="00217603"/>
    <w:rsid w:val="00224F73"/>
    <w:rsid w:val="002250A3"/>
    <w:rsid w:val="00233D90"/>
    <w:rsid w:val="00234D6F"/>
    <w:rsid w:val="00235217"/>
    <w:rsid w:val="002359E7"/>
    <w:rsid w:val="002420DD"/>
    <w:rsid w:val="00246D1F"/>
    <w:rsid w:val="00247403"/>
    <w:rsid w:val="00247542"/>
    <w:rsid w:val="00251A92"/>
    <w:rsid w:val="0025251C"/>
    <w:rsid w:val="002549CC"/>
    <w:rsid w:val="002564A7"/>
    <w:rsid w:val="002636D8"/>
    <w:rsid w:val="0026525D"/>
    <w:rsid w:val="00266B61"/>
    <w:rsid w:val="0026712A"/>
    <w:rsid w:val="002704DB"/>
    <w:rsid w:val="0027214D"/>
    <w:rsid w:val="00282F80"/>
    <w:rsid w:val="002905D5"/>
    <w:rsid w:val="002A0AAE"/>
    <w:rsid w:val="002A3518"/>
    <w:rsid w:val="002A443F"/>
    <w:rsid w:val="002A5820"/>
    <w:rsid w:val="002B0DBE"/>
    <w:rsid w:val="002C4F2B"/>
    <w:rsid w:val="002C7FF5"/>
    <w:rsid w:val="002D021D"/>
    <w:rsid w:val="002D2B26"/>
    <w:rsid w:val="002D3BA3"/>
    <w:rsid w:val="002D7EA2"/>
    <w:rsid w:val="002E0A91"/>
    <w:rsid w:val="002E187C"/>
    <w:rsid w:val="002E42BA"/>
    <w:rsid w:val="002F345C"/>
    <w:rsid w:val="002F5ACA"/>
    <w:rsid w:val="00302733"/>
    <w:rsid w:val="00303272"/>
    <w:rsid w:val="00306A62"/>
    <w:rsid w:val="0031012D"/>
    <w:rsid w:val="00311691"/>
    <w:rsid w:val="003122F9"/>
    <w:rsid w:val="00314078"/>
    <w:rsid w:val="0031535D"/>
    <w:rsid w:val="00316118"/>
    <w:rsid w:val="003211F1"/>
    <w:rsid w:val="003274F3"/>
    <w:rsid w:val="0033169F"/>
    <w:rsid w:val="0033467B"/>
    <w:rsid w:val="00341E0C"/>
    <w:rsid w:val="00343C0C"/>
    <w:rsid w:val="00343C8E"/>
    <w:rsid w:val="00345DB0"/>
    <w:rsid w:val="00346C95"/>
    <w:rsid w:val="00347D08"/>
    <w:rsid w:val="00356185"/>
    <w:rsid w:val="003579B8"/>
    <w:rsid w:val="00360380"/>
    <w:rsid w:val="00365D51"/>
    <w:rsid w:val="003664B3"/>
    <w:rsid w:val="0036725B"/>
    <w:rsid w:val="00367B83"/>
    <w:rsid w:val="003708A4"/>
    <w:rsid w:val="00374103"/>
    <w:rsid w:val="0037519E"/>
    <w:rsid w:val="003806FA"/>
    <w:rsid w:val="00386CF0"/>
    <w:rsid w:val="00395ADF"/>
    <w:rsid w:val="003A4F24"/>
    <w:rsid w:val="003A5750"/>
    <w:rsid w:val="003B42C4"/>
    <w:rsid w:val="003B5D4C"/>
    <w:rsid w:val="003B75C0"/>
    <w:rsid w:val="003C2C96"/>
    <w:rsid w:val="003C676B"/>
    <w:rsid w:val="003D2966"/>
    <w:rsid w:val="003D296B"/>
    <w:rsid w:val="003D3BC2"/>
    <w:rsid w:val="003D43E1"/>
    <w:rsid w:val="003E6CA1"/>
    <w:rsid w:val="003E74BA"/>
    <w:rsid w:val="003F13EA"/>
    <w:rsid w:val="003F2595"/>
    <w:rsid w:val="003F48B9"/>
    <w:rsid w:val="003F5B66"/>
    <w:rsid w:val="003F6090"/>
    <w:rsid w:val="003F6A5F"/>
    <w:rsid w:val="004103E9"/>
    <w:rsid w:val="00414EE4"/>
    <w:rsid w:val="004165C2"/>
    <w:rsid w:val="00416DC7"/>
    <w:rsid w:val="00417A1E"/>
    <w:rsid w:val="0043155C"/>
    <w:rsid w:val="00431C9E"/>
    <w:rsid w:val="00436407"/>
    <w:rsid w:val="00437A02"/>
    <w:rsid w:val="00440D2C"/>
    <w:rsid w:val="00441DBA"/>
    <w:rsid w:val="00441ECB"/>
    <w:rsid w:val="00447B3C"/>
    <w:rsid w:val="004618C6"/>
    <w:rsid w:val="00467B7E"/>
    <w:rsid w:val="004700C1"/>
    <w:rsid w:val="00477592"/>
    <w:rsid w:val="00485810"/>
    <w:rsid w:val="00486F1C"/>
    <w:rsid w:val="004908B3"/>
    <w:rsid w:val="0049150E"/>
    <w:rsid w:val="0049419D"/>
    <w:rsid w:val="00494B9F"/>
    <w:rsid w:val="00496A1A"/>
    <w:rsid w:val="004A3BAE"/>
    <w:rsid w:val="004B7A65"/>
    <w:rsid w:val="004C09CB"/>
    <w:rsid w:val="004C20D2"/>
    <w:rsid w:val="004C4B62"/>
    <w:rsid w:val="004C54C9"/>
    <w:rsid w:val="004D077C"/>
    <w:rsid w:val="004D2248"/>
    <w:rsid w:val="004D3D8D"/>
    <w:rsid w:val="004D6025"/>
    <w:rsid w:val="004E2649"/>
    <w:rsid w:val="004E2D93"/>
    <w:rsid w:val="004E6374"/>
    <w:rsid w:val="004E688A"/>
    <w:rsid w:val="005009C1"/>
    <w:rsid w:val="00501399"/>
    <w:rsid w:val="0050633D"/>
    <w:rsid w:val="00507BC4"/>
    <w:rsid w:val="005128E4"/>
    <w:rsid w:val="005133DB"/>
    <w:rsid w:val="00525560"/>
    <w:rsid w:val="005316A2"/>
    <w:rsid w:val="00531A90"/>
    <w:rsid w:val="0053729E"/>
    <w:rsid w:val="00537508"/>
    <w:rsid w:val="005410D1"/>
    <w:rsid w:val="00541CA3"/>
    <w:rsid w:val="005427A0"/>
    <w:rsid w:val="00544C49"/>
    <w:rsid w:val="005469F0"/>
    <w:rsid w:val="00547888"/>
    <w:rsid w:val="00547D7F"/>
    <w:rsid w:val="005516A1"/>
    <w:rsid w:val="00553163"/>
    <w:rsid w:val="00563BBC"/>
    <w:rsid w:val="00565EAA"/>
    <w:rsid w:val="0057402A"/>
    <w:rsid w:val="00575201"/>
    <w:rsid w:val="005758BA"/>
    <w:rsid w:val="005771D0"/>
    <w:rsid w:val="0059191A"/>
    <w:rsid w:val="005921FF"/>
    <w:rsid w:val="00596831"/>
    <w:rsid w:val="00597ECC"/>
    <w:rsid w:val="005A0770"/>
    <w:rsid w:val="005A3C74"/>
    <w:rsid w:val="005A5CFB"/>
    <w:rsid w:val="005A6D0E"/>
    <w:rsid w:val="005B3399"/>
    <w:rsid w:val="005B52B0"/>
    <w:rsid w:val="005B6196"/>
    <w:rsid w:val="005B6806"/>
    <w:rsid w:val="005C09A2"/>
    <w:rsid w:val="005C3979"/>
    <w:rsid w:val="005C4225"/>
    <w:rsid w:val="005D4933"/>
    <w:rsid w:val="005D5C79"/>
    <w:rsid w:val="005E035C"/>
    <w:rsid w:val="005E384B"/>
    <w:rsid w:val="005E5658"/>
    <w:rsid w:val="005E64BC"/>
    <w:rsid w:val="005F0AD5"/>
    <w:rsid w:val="005F0DAD"/>
    <w:rsid w:val="005F0F33"/>
    <w:rsid w:val="005F130F"/>
    <w:rsid w:val="005F17EA"/>
    <w:rsid w:val="005F685E"/>
    <w:rsid w:val="006003F1"/>
    <w:rsid w:val="00600DEB"/>
    <w:rsid w:val="006109FF"/>
    <w:rsid w:val="0061360A"/>
    <w:rsid w:val="00621B6D"/>
    <w:rsid w:val="0062769A"/>
    <w:rsid w:val="00627C9F"/>
    <w:rsid w:val="006311E9"/>
    <w:rsid w:val="00632354"/>
    <w:rsid w:val="0063685A"/>
    <w:rsid w:val="00642810"/>
    <w:rsid w:val="00652333"/>
    <w:rsid w:val="006527FD"/>
    <w:rsid w:val="00672429"/>
    <w:rsid w:val="0068009E"/>
    <w:rsid w:val="00685872"/>
    <w:rsid w:val="00692219"/>
    <w:rsid w:val="00694379"/>
    <w:rsid w:val="006A09E8"/>
    <w:rsid w:val="006A17D2"/>
    <w:rsid w:val="006A1D71"/>
    <w:rsid w:val="006A24CA"/>
    <w:rsid w:val="006A5197"/>
    <w:rsid w:val="006A73E6"/>
    <w:rsid w:val="006B07E3"/>
    <w:rsid w:val="006B2D5C"/>
    <w:rsid w:val="006C0BED"/>
    <w:rsid w:val="006C3CC6"/>
    <w:rsid w:val="006C4EB1"/>
    <w:rsid w:val="006D06A7"/>
    <w:rsid w:val="006D291D"/>
    <w:rsid w:val="006D2BEF"/>
    <w:rsid w:val="006D32BA"/>
    <w:rsid w:val="006D6C6F"/>
    <w:rsid w:val="006D6DAD"/>
    <w:rsid w:val="006E0166"/>
    <w:rsid w:val="006E0457"/>
    <w:rsid w:val="006E7B34"/>
    <w:rsid w:val="006F0418"/>
    <w:rsid w:val="006F3B2C"/>
    <w:rsid w:val="006F5C04"/>
    <w:rsid w:val="0070094D"/>
    <w:rsid w:val="0070697F"/>
    <w:rsid w:val="00710DFD"/>
    <w:rsid w:val="00711192"/>
    <w:rsid w:val="00715F0E"/>
    <w:rsid w:val="007208BD"/>
    <w:rsid w:val="0072199C"/>
    <w:rsid w:val="00722C9F"/>
    <w:rsid w:val="007253B8"/>
    <w:rsid w:val="00730258"/>
    <w:rsid w:val="0073741F"/>
    <w:rsid w:val="007413B5"/>
    <w:rsid w:val="00741B48"/>
    <w:rsid w:val="00743EAC"/>
    <w:rsid w:val="00744741"/>
    <w:rsid w:val="00750C17"/>
    <w:rsid w:val="00751E94"/>
    <w:rsid w:val="007539FB"/>
    <w:rsid w:val="0076643F"/>
    <w:rsid w:val="00776F93"/>
    <w:rsid w:val="007770ED"/>
    <w:rsid w:val="007771AB"/>
    <w:rsid w:val="00777F63"/>
    <w:rsid w:val="00783D79"/>
    <w:rsid w:val="0078656A"/>
    <w:rsid w:val="00787F1E"/>
    <w:rsid w:val="00790142"/>
    <w:rsid w:val="00795344"/>
    <w:rsid w:val="00796C4D"/>
    <w:rsid w:val="007A45B5"/>
    <w:rsid w:val="007A5817"/>
    <w:rsid w:val="007B3B86"/>
    <w:rsid w:val="007B60E9"/>
    <w:rsid w:val="007B6CC3"/>
    <w:rsid w:val="007C021E"/>
    <w:rsid w:val="007C2A30"/>
    <w:rsid w:val="007C3334"/>
    <w:rsid w:val="007C4656"/>
    <w:rsid w:val="007C655E"/>
    <w:rsid w:val="007D286D"/>
    <w:rsid w:val="007D2B98"/>
    <w:rsid w:val="007D31A4"/>
    <w:rsid w:val="007D52EE"/>
    <w:rsid w:val="007E1669"/>
    <w:rsid w:val="007E21BC"/>
    <w:rsid w:val="007F0A32"/>
    <w:rsid w:val="007F1CC1"/>
    <w:rsid w:val="00801252"/>
    <w:rsid w:val="00803F1C"/>
    <w:rsid w:val="0080600E"/>
    <w:rsid w:val="00813EE0"/>
    <w:rsid w:val="00817612"/>
    <w:rsid w:val="00821716"/>
    <w:rsid w:val="00822F87"/>
    <w:rsid w:val="00831155"/>
    <w:rsid w:val="008338A4"/>
    <w:rsid w:val="00837C45"/>
    <w:rsid w:val="0084048B"/>
    <w:rsid w:val="00844730"/>
    <w:rsid w:val="008457C2"/>
    <w:rsid w:val="00847102"/>
    <w:rsid w:val="008501A0"/>
    <w:rsid w:val="00852C8A"/>
    <w:rsid w:val="00853B4A"/>
    <w:rsid w:val="00857A82"/>
    <w:rsid w:val="008651FF"/>
    <w:rsid w:val="00866345"/>
    <w:rsid w:val="00872E3A"/>
    <w:rsid w:val="00873836"/>
    <w:rsid w:val="008817AB"/>
    <w:rsid w:val="00885737"/>
    <w:rsid w:val="00890650"/>
    <w:rsid w:val="00891E13"/>
    <w:rsid w:val="00897E12"/>
    <w:rsid w:val="008A0205"/>
    <w:rsid w:val="008A7E0F"/>
    <w:rsid w:val="008B0F7A"/>
    <w:rsid w:val="008B12F5"/>
    <w:rsid w:val="008B1FED"/>
    <w:rsid w:val="008B2EA1"/>
    <w:rsid w:val="008C0DEE"/>
    <w:rsid w:val="008C26B7"/>
    <w:rsid w:val="008C34DB"/>
    <w:rsid w:val="008C67AD"/>
    <w:rsid w:val="008C68A6"/>
    <w:rsid w:val="008D534E"/>
    <w:rsid w:val="008D6A52"/>
    <w:rsid w:val="008D6E11"/>
    <w:rsid w:val="008D768D"/>
    <w:rsid w:val="008E0312"/>
    <w:rsid w:val="008E18C3"/>
    <w:rsid w:val="008E3759"/>
    <w:rsid w:val="008E4B92"/>
    <w:rsid w:val="008E7D5E"/>
    <w:rsid w:val="008F1912"/>
    <w:rsid w:val="008F56B8"/>
    <w:rsid w:val="00900E49"/>
    <w:rsid w:val="0090270B"/>
    <w:rsid w:val="00904016"/>
    <w:rsid w:val="009041DC"/>
    <w:rsid w:val="00911F79"/>
    <w:rsid w:val="00912EE8"/>
    <w:rsid w:val="00913522"/>
    <w:rsid w:val="00915E61"/>
    <w:rsid w:val="00917B5A"/>
    <w:rsid w:val="00920A58"/>
    <w:rsid w:val="00920A8C"/>
    <w:rsid w:val="00927626"/>
    <w:rsid w:val="00933FBA"/>
    <w:rsid w:val="00934A2C"/>
    <w:rsid w:val="009447CF"/>
    <w:rsid w:val="00946A6F"/>
    <w:rsid w:val="009568DB"/>
    <w:rsid w:val="00957268"/>
    <w:rsid w:val="009651B2"/>
    <w:rsid w:val="00966780"/>
    <w:rsid w:val="0096706E"/>
    <w:rsid w:val="00975C4E"/>
    <w:rsid w:val="00981FBA"/>
    <w:rsid w:val="00983619"/>
    <w:rsid w:val="0098506F"/>
    <w:rsid w:val="0099459A"/>
    <w:rsid w:val="0099542C"/>
    <w:rsid w:val="00996E8A"/>
    <w:rsid w:val="00997BC5"/>
    <w:rsid w:val="009A2F6D"/>
    <w:rsid w:val="009A4564"/>
    <w:rsid w:val="009A4F41"/>
    <w:rsid w:val="009A53A8"/>
    <w:rsid w:val="009A7456"/>
    <w:rsid w:val="009A7F8F"/>
    <w:rsid w:val="009B0F10"/>
    <w:rsid w:val="009B12BC"/>
    <w:rsid w:val="009B23EE"/>
    <w:rsid w:val="009B2E24"/>
    <w:rsid w:val="009B381B"/>
    <w:rsid w:val="009B4D4F"/>
    <w:rsid w:val="009B646B"/>
    <w:rsid w:val="009C051D"/>
    <w:rsid w:val="009D1753"/>
    <w:rsid w:val="009D2DE2"/>
    <w:rsid w:val="009D2F8B"/>
    <w:rsid w:val="009D450B"/>
    <w:rsid w:val="009D7611"/>
    <w:rsid w:val="009E0B61"/>
    <w:rsid w:val="009E348A"/>
    <w:rsid w:val="009E4AD6"/>
    <w:rsid w:val="009E53DE"/>
    <w:rsid w:val="009E61C6"/>
    <w:rsid w:val="009F0583"/>
    <w:rsid w:val="009F0B9A"/>
    <w:rsid w:val="009F7B33"/>
    <w:rsid w:val="00A00860"/>
    <w:rsid w:val="00A02BD1"/>
    <w:rsid w:val="00A0485D"/>
    <w:rsid w:val="00A12C70"/>
    <w:rsid w:val="00A328B3"/>
    <w:rsid w:val="00A364F0"/>
    <w:rsid w:val="00A47F90"/>
    <w:rsid w:val="00A50946"/>
    <w:rsid w:val="00A50FCF"/>
    <w:rsid w:val="00A528D1"/>
    <w:rsid w:val="00A5581D"/>
    <w:rsid w:val="00A579B3"/>
    <w:rsid w:val="00A610CD"/>
    <w:rsid w:val="00A614F5"/>
    <w:rsid w:val="00A63A61"/>
    <w:rsid w:val="00A6598D"/>
    <w:rsid w:val="00A67F23"/>
    <w:rsid w:val="00A70940"/>
    <w:rsid w:val="00A72B47"/>
    <w:rsid w:val="00A85261"/>
    <w:rsid w:val="00A8613C"/>
    <w:rsid w:val="00AA09A2"/>
    <w:rsid w:val="00AA2403"/>
    <w:rsid w:val="00AA6735"/>
    <w:rsid w:val="00AA7996"/>
    <w:rsid w:val="00AB3352"/>
    <w:rsid w:val="00AB68C3"/>
    <w:rsid w:val="00AB7142"/>
    <w:rsid w:val="00AB79F9"/>
    <w:rsid w:val="00AC19CB"/>
    <w:rsid w:val="00AD3284"/>
    <w:rsid w:val="00AD67E8"/>
    <w:rsid w:val="00AE1D94"/>
    <w:rsid w:val="00AE3A27"/>
    <w:rsid w:val="00AE4DA0"/>
    <w:rsid w:val="00AE5488"/>
    <w:rsid w:val="00AE6F91"/>
    <w:rsid w:val="00AF5571"/>
    <w:rsid w:val="00AF783B"/>
    <w:rsid w:val="00B05658"/>
    <w:rsid w:val="00B056A5"/>
    <w:rsid w:val="00B06EC8"/>
    <w:rsid w:val="00B071E3"/>
    <w:rsid w:val="00B07341"/>
    <w:rsid w:val="00B22409"/>
    <w:rsid w:val="00B25876"/>
    <w:rsid w:val="00B2620F"/>
    <w:rsid w:val="00B26361"/>
    <w:rsid w:val="00B30539"/>
    <w:rsid w:val="00B314DB"/>
    <w:rsid w:val="00B361F2"/>
    <w:rsid w:val="00B3718B"/>
    <w:rsid w:val="00B37ADB"/>
    <w:rsid w:val="00B4632A"/>
    <w:rsid w:val="00B4699D"/>
    <w:rsid w:val="00B5275D"/>
    <w:rsid w:val="00B52DF1"/>
    <w:rsid w:val="00B5309F"/>
    <w:rsid w:val="00B530F1"/>
    <w:rsid w:val="00B54CDF"/>
    <w:rsid w:val="00B57D25"/>
    <w:rsid w:val="00B6064E"/>
    <w:rsid w:val="00B7714D"/>
    <w:rsid w:val="00B80AAF"/>
    <w:rsid w:val="00B82CCA"/>
    <w:rsid w:val="00B83F59"/>
    <w:rsid w:val="00B851B0"/>
    <w:rsid w:val="00B9337A"/>
    <w:rsid w:val="00BA276C"/>
    <w:rsid w:val="00BA2F8C"/>
    <w:rsid w:val="00BB306F"/>
    <w:rsid w:val="00BB3FF8"/>
    <w:rsid w:val="00BB78FF"/>
    <w:rsid w:val="00BC2C30"/>
    <w:rsid w:val="00BC79AF"/>
    <w:rsid w:val="00BD4B89"/>
    <w:rsid w:val="00BD532C"/>
    <w:rsid w:val="00BD56A5"/>
    <w:rsid w:val="00BD6154"/>
    <w:rsid w:val="00BE3DD8"/>
    <w:rsid w:val="00BE63DA"/>
    <w:rsid w:val="00BE7355"/>
    <w:rsid w:val="00BF64F4"/>
    <w:rsid w:val="00BF6FD8"/>
    <w:rsid w:val="00BF792B"/>
    <w:rsid w:val="00C00B36"/>
    <w:rsid w:val="00C00E4F"/>
    <w:rsid w:val="00C02F3D"/>
    <w:rsid w:val="00C03680"/>
    <w:rsid w:val="00C054DF"/>
    <w:rsid w:val="00C07C32"/>
    <w:rsid w:val="00C15382"/>
    <w:rsid w:val="00C21762"/>
    <w:rsid w:val="00C24543"/>
    <w:rsid w:val="00C256A2"/>
    <w:rsid w:val="00C25ABF"/>
    <w:rsid w:val="00C33C79"/>
    <w:rsid w:val="00C36E2D"/>
    <w:rsid w:val="00C51515"/>
    <w:rsid w:val="00C5660B"/>
    <w:rsid w:val="00C56829"/>
    <w:rsid w:val="00C61B58"/>
    <w:rsid w:val="00C66738"/>
    <w:rsid w:val="00C66B72"/>
    <w:rsid w:val="00C77B4F"/>
    <w:rsid w:val="00C84A8F"/>
    <w:rsid w:val="00C932D7"/>
    <w:rsid w:val="00C95306"/>
    <w:rsid w:val="00C9567A"/>
    <w:rsid w:val="00CA4B0F"/>
    <w:rsid w:val="00CB212D"/>
    <w:rsid w:val="00CB2660"/>
    <w:rsid w:val="00CC5E90"/>
    <w:rsid w:val="00CC6E48"/>
    <w:rsid w:val="00CC753C"/>
    <w:rsid w:val="00CD046C"/>
    <w:rsid w:val="00CD0934"/>
    <w:rsid w:val="00CD721B"/>
    <w:rsid w:val="00CE076C"/>
    <w:rsid w:val="00CE5199"/>
    <w:rsid w:val="00CE6553"/>
    <w:rsid w:val="00CE66D5"/>
    <w:rsid w:val="00CF226E"/>
    <w:rsid w:val="00CF242B"/>
    <w:rsid w:val="00CF4284"/>
    <w:rsid w:val="00CF637A"/>
    <w:rsid w:val="00D0054D"/>
    <w:rsid w:val="00D01F88"/>
    <w:rsid w:val="00D059DE"/>
    <w:rsid w:val="00D110D7"/>
    <w:rsid w:val="00D12245"/>
    <w:rsid w:val="00D13FCE"/>
    <w:rsid w:val="00D148E5"/>
    <w:rsid w:val="00D16408"/>
    <w:rsid w:val="00D1656C"/>
    <w:rsid w:val="00D2070D"/>
    <w:rsid w:val="00D221BC"/>
    <w:rsid w:val="00D25F3E"/>
    <w:rsid w:val="00D275DE"/>
    <w:rsid w:val="00D306D1"/>
    <w:rsid w:val="00D32942"/>
    <w:rsid w:val="00D34786"/>
    <w:rsid w:val="00D377B9"/>
    <w:rsid w:val="00D37817"/>
    <w:rsid w:val="00D37BFC"/>
    <w:rsid w:val="00D40553"/>
    <w:rsid w:val="00D41DE0"/>
    <w:rsid w:val="00D41E96"/>
    <w:rsid w:val="00D454E9"/>
    <w:rsid w:val="00D47A8E"/>
    <w:rsid w:val="00D52D14"/>
    <w:rsid w:val="00D56604"/>
    <w:rsid w:val="00D5753E"/>
    <w:rsid w:val="00D5765E"/>
    <w:rsid w:val="00D576F3"/>
    <w:rsid w:val="00D66F21"/>
    <w:rsid w:val="00D67E65"/>
    <w:rsid w:val="00D712D3"/>
    <w:rsid w:val="00D71422"/>
    <w:rsid w:val="00D72DC6"/>
    <w:rsid w:val="00D7558D"/>
    <w:rsid w:val="00D77BE6"/>
    <w:rsid w:val="00D81D92"/>
    <w:rsid w:val="00D87A55"/>
    <w:rsid w:val="00D908E5"/>
    <w:rsid w:val="00D9106F"/>
    <w:rsid w:val="00D91341"/>
    <w:rsid w:val="00D94549"/>
    <w:rsid w:val="00DA7B5F"/>
    <w:rsid w:val="00DB6F9E"/>
    <w:rsid w:val="00DC11E7"/>
    <w:rsid w:val="00DC46C7"/>
    <w:rsid w:val="00DC66DA"/>
    <w:rsid w:val="00DC7023"/>
    <w:rsid w:val="00DC7244"/>
    <w:rsid w:val="00DC769A"/>
    <w:rsid w:val="00DC769B"/>
    <w:rsid w:val="00DD3D86"/>
    <w:rsid w:val="00DD5CC9"/>
    <w:rsid w:val="00DF1EC4"/>
    <w:rsid w:val="00DF2D97"/>
    <w:rsid w:val="00DF3430"/>
    <w:rsid w:val="00DF365F"/>
    <w:rsid w:val="00DF3974"/>
    <w:rsid w:val="00DF67C7"/>
    <w:rsid w:val="00DF79F9"/>
    <w:rsid w:val="00E0340B"/>
    <w:rsid w:val="00E04A90"/>
    <w:rsid w:val="00E07E62"/>
    <w:rsid w:val="00E11514"/>
    <w:rsid w:val="00E13741"/>
    <w:rsid w:val="00E219C7"/>
    <w:rsid w:val="00E37D0D"/>
    <w:rsid w:val="00E43157"/>
    <w:rsid w:val="00E433E7"/>
    <w:rsid w:val="00E461CE"/>
    <w:rsid w:val="00E53826"/>
    <w:rsid w:val="00E6103F"/>
    <w:rsid w:val="00E62A24"/>
    <w:rsid w:val="00E720CA"/>
    <w:rsid w:val="00E7683D"/>
    <w:rsid w:val="00E80288"/>
    <w:rsid w:val="00E811FC"/>
    <w:rsid w:val="00E84EB5"/>
    <w:rsid w:val="00E85662"/>
    <w:rsid w:val="00E8789F"/>
    <w:rsid w:val="00E96571"/>
    <w:rsid w:val="00E97B71"/>
    <w:rsid w:val="00EA198F"/>
    <w:rsid w:val="00EA1FDC"/>
    <w:rsid w:val="00EA3D34"/>
    <w:rsid w:val="00EB454D"/>
    <w:rsid w:val="00EC17B6"/>
    <w:rsid w:val="00EC48B6"/>
    <w:rsid w:val="00EC6A64"/>
    <w:rsid w:val="00EC7515"/>
    <w:rsid w:val="00EC7D62"/>
    <w:rsid w:val="00ED27B2"/>
    <w:rsid w:val="00ED3A83"/>
    <w:rsid w:val="00ED76BE"/>
    <w:rsid w:val="00EE18FD"/>
    <w:rsid w:val="00EE2446"/>
    <w:rsid w:val="00EF1E7A"/>
    <w:rsid w:val="00EF2399"/>
    <w:rsid w:val="00EF619B"/>
    <w:rsid w:val="00EF7AE2"/>
    <w:rsid w:val="00F00B55"/>
    <w:rsid w:val="00F01097"/>
    <w:rsid w:val="00F02AD1"/>
    <w:rsid w:val="00F030F0"/>
    <w:rsid w:val="00F06EB3"/>
    <w:rsid w:val="00F15DD3"/>
    <w:rsid w:val="00F17D97"/>
    <w:rsid w:val="00F2241E"/>
    <w:rsid w:val="00F23077"/>
    <w:rsid w:val="00F24A0F"/>
    <w:rsid w:val="00F253CC"/>
    <w:rsid w:val="00F25781"/>
    <w:rsid w:val="00F258BD"/>
    <w:rsid w:val="00F27D20"/>
    <w:rsid w:val="00F337E5"/>
    <w:rsid w:val="00F37106"/>
    <w:rsid w:val="00F42781"/>
    <w:rsid w:val="00F519CF"/>
    <w:rsid w:val="00F5226C"/>
    <w:rsid w:val="00F56BA5"/>
    <w:rsid w:val="00F60E22"/>
    <w:rsid w:val="00F63A46"/>
    <w:rsid w:val="00F66263"/>
    <w:rsid w:val="00F742EF"/>
    <w:rsid w:val="00F77FB5"/>
    <w:rsid w:val="00F81395"/>
    <w:rsid w:val="00F917D1"/>
    <w:rsid w:val="00F959D3"/>
    <w:rsid w:val="00F9653B"/>
    <w:rsid w:val="00FA16EF"/>
    <w:rsid w:val="00FB4BF9"/>
    <w:rsid w:val="00FB5036"/>
    <w:rsid w:val="00FB62CF"/>
    <w:rsid w:val="00FD1368"/>
    <w:rsid w:val="00FD3C3B"/>
    <w:rsid w:val="00FD47D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D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0"/>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9E4AD6"/>
    <w:rPr>
      <w:rFonts w:cs="Times New Roman"/>
      <w:u w:val="single"/>
    </w:rPr>
  </w:style>
  <w:style w:type="paragraph" w:customStyle="1" w:styleId="Cabeceraypie">
    <w:name w:val="Cabecera y pie"/>
    <w:uiPriority w:val="99"/>
    <w:rsid w:val="009E4AD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9E4AD6"/>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9E4AD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9E4AD6"/>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251A92"/>
    <w:rPr>
      <w:rFonts w:cs="Times New Roman"/>
      <w:sz w:val="24"/>
      <w:szCs w:val="24"/>
    </w:rPr>
  </w:style>
  <w:style w:type="paragraph" w:styleId="ListParagraph">
    <w:name w:val="List Paragraph"/>
    <w:basedOn w:val="Normal"/>
    <w:uiPriority w:val="34"/>
    <w:qFormat/>
    <w:rsid w:val="009E4AD6"/>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ootnote text"/>
    <w:basedOn w:val="Normal"/>
    <w:link w:val="FootnoteTextChar1"/>
    <w:rsid w:val="00710DFD"/>
    <w:pPr>
      <w:pBdr>
        <w:top w:val="none" w:sz="0" w:space="0" w:color="auto"/>
        <w:left w:val="none" w:sz="0" w:space="0" w:color="auto"/>
        <w:bottom w:val="none" w:sz="0" w:space="0" w:color="auto"/>
        <w:right w:val="none" w:sz="0" w:space="0" w:color="auto"/>
        <w:bar w:val="none" w:sz="0" w:color="auto"/>
      </w:pBdr>
    </w:pPr>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ocked/>
    <w:rsid w:val="00251A92"/>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locked/>
    <w:rsid w:val="00710DFD"/>
    <w:rPr>
      <w:rFonts w:ascii="Calibri" w:hAnsi="Calibri"/>
      <w:color w:val="000000"/>
      <w:sz w:val="20"/>
      <w:szCs w:val="20"/>
      <w:u w:color="000000"/>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basedOn w:val="DefaultParagraphFont"/>
    <w:uiPriority w:val="99"/>
    <w:rsid w:val="00F01097"/>
    <w:rPr>
      <w:rFonts w:cs="Times New Roman"/>
    </w:rPr>
  </w:style>
  <w:style w:type="character" w:styleId="CommentReference">
    <w:name w:val="annotation reference"/>
    <w:basedOn w:val="DefaultParagraphFont"/>
    <w:uiPriority w:val="99"/>
    <w:semiHidden/>
    <w:rsid w:val="00BE7355"/>
    <w:rPr>
      <w:rFonts w:cs="Times New Roman"/>
      <w:sz w:val="16"/>
      <w:szCs w:val="16"/>
    </w:rPr>
  </w:style>
  <w:style w:type="paragraph" w:styleId="CommentText">
    <w:name w:val="annotation text"/>
    <w:basedOn w:val="Normal"/>
    <w:link w:val="CommentTextChar"/>
    <w:uiPriority w:val="99"/>
    <w:semiHidden/>
    <w:rsid w:val="00BE7355"/>
    <w:rPr>
      <w:sz w:val="20"/>
      <w:szCs w:val="20"/>
    </w:rPr>
  </w:style>
  <w:style w:type="character" w:customStyle="1" w:styleId="CommentTextChar">
    <w:name w:val="Comment Text Char"/>
    <w:basedOn w:val="DefaultParagraphFont"/>
    <w:link w:val="CommentText"/>
    <w:uiPriority w:val="99"/>
    <w:semiHidden/>
    <w:locked/>
    <w:rsid w:val="00744741"/>
    <w:rPr>
      <w:rFonts w:cs="Times New Roman"/>
      <w:sz w:val="20"/>
      <w:szCs w:val="20"/>
    </w:rPr>
  </w:style>
  <w:style w:type="paragraph" w:styleId="CommentSubject">
    <w:name w:val="annotation subject"/>
    <w:basedOn w:val="CommentText"/>
    <w:next w:val="CommentText"/>
    <w:link w:val="CommentSubjectChar"/>
    <w:uiPriority w:val="99"/>
    <w:semiHidden/>
    <w:rsid w:val="00BE7355"/>
    <w:rPr>
      <w:b/>
      <w:bCs/>
    </w:rPr>
  </w:style>
  <w:style w:type="character" w:customStyle="1" w:styleId="CommentSubjectChar">
    <w:name w:val="Comment Subject Char"/>
    <w:basedOn w:val="CommentTextChar"/>
    <w:link w:val="CommentSubject"/>
    <w:uiPriority w:val="99"/>
    <w:semiHidden/>
    <w:locked/>
    <w:rsid w:val="00744741"/>
    <w:rPr>
      <w:rFonts w:cs="Times New Roman"/>
      <w:b/>
      <w:bCs/>
      <w:sz w:val="20"/>
      <w:szCs w:val="20"/>
    </w:rPr>
  </w:style>
  <w:style w:type="numbering" w:customStyle="1" w:styleId="List16">
    <w:name w:val="List 16"/>
    <w:rsid w:val="00E4703B"/>
    <w:pPr>
      <w:numPr>
        <w:numId w:val="9"/>
      </w:numPr>
    </w:pPr>
  </w:style>
  <w:style w:type="numbering" w:customStyle="1" w:styleId="List36">
    <w:name w:val="List 36"/>
    <w:rsid w:val="00E4703B"/>
    <w:pPr>
      <w:numPr>
        <w:numId w:val="13"/>
      </w:numPr>
    </w:pPr>
  </w:style>
  <w:style w:type="numbering" w:customStyle="1" w:styleId="List25">
    <w:name w:val="List 25"/>
    <w:rsid w:val="00E4703B"/>
    <w:pPr>
      <w:numPr>
        <w:numId w:val="14"/>
      </w:numPr>
    </w:pPr>
  </w:style>
  <w:style w:type="numbering" w:customStyle="1" w:styleId="List1">
    <w:name w:val="List 1"/>
    <w:rsid w:val="00E4703B"/>
    <w:pPr>
      <w:numPr>
        <w:numId w:val="1"/>
      </w:numPr>
    </w:pPr>
  </w:style>
  <w:style w:type="numbering" w:customStyle="1" w:styleId="List11">
    <w:name w:val="List 11"/>
    <w:rsid w:val="00E4703B"/>
    <w:pPr>
      <w:numPr>
        <w:numId w:val="6"/>
      </w:numPr>
    </w:pPr>
  </w:style>
  <w:style w:type="numbering" w:customStyle="1" w:styleId="List15">
    <w:name w:val="List 15"/>
    <w:rsid w:val="00E4703B"/>
    <w:pPr>
      <w:numPr>
        <w:numId w:val="15"/>
      </w:numPr>
    </w:pPr>
  </w:style>
  <w:style w:type="numbering" w:customStyle="1" w:styleId="List14">
    <w:name w:val="List 14"/>
    <w:rsid w:val="00E4703B"/>
    <w:pPr>
      <w:numPr>
        <w:numId w:val="16"/>
      </w:numPr>
    </w:pPr>
  </w:style>
  <w:style w:type="numbering" w:customStyle="1" w:styleId="List23">
    <w:name w:val="List 23"/>
    <w:rsid w:val="00E4703B"/>
    <w:pPr>
      <w:numPr>
        <w:numId w:val="17"/>
      </w:numPr>
    </w:pPr>
  </w:style>
  <w:style w:type="numbering" w:customStyle="1" w:styleId="List19">
    <w:name w:val="List 19"/>
    <w:rsid w:val="00E4703B"/>
    <w:pPr>
      <w:numPr>
        <w:numId w:val="18"/>
      </w:numPr>
    </w:pPr>
  </w:style>
  <w:style w:type="numbering" w:customStyle="1" w:styleId="List45">
    <w:name w:val="List 45"/>
    <w:rsid w:val="00E4703B"/>
    <w:pPr>
      <w:numPr>
        <w:numId w:val="19"/>
      </w:numPr>
    </w:pPr>
  </w:style>
  <w:style w:type="numbering" w:customStyle="1" w:styleId="List40">
    <w:name w:val="List 40"/>
    <w:rsid w:val="00E4703B"/>
    <w:pPr>
      <w:numPr>
        <w:numId w:val="20"/>
      </w:numPr>
    </w:pPr>
  </w:style>
  <w:style w:type="numbering" w:customStyle="1" w:styleId="List9">
    <w:name w:val="List 9"/>
    <w:rsid w:val="00E4703B"/>
    <w:pPr>
      <w:numPr>
        <w:numId w:val="21"/>
      </w:numPr>
    </w:pPr>
  </w:style>
  <w:style w:type="numbering" w:customStyle="1" w:styleId="List43">
    <w:name w:val="List 43"/>
    <w:rsid w:val="00E4703B"/>
    <w:pPr>
      <w:numPr>
        <w:numId w:val="22"/>
      </w:numPr>
    </w:pPr>
  </w:style>
  <w:style w:type="numbering" w:customStyle="1" w:styleId="List46">
    <w:name w:val="List 46"/>
    <w:rsid w:val="00E4703B"/>
    <w:pPr>
      <w:numPr>
        <w:numId w:val="23"/>
      </w:numPr>
    </w:pPr>
  </w:style>
  <w:style w:type="numbering" w:customStyle="1" w:styleId="List35">
    <w:name w:val="List 35"/>
    <w:rsid w:val="00E4703B"/>
    <w:pPr>
      <w:numPr>
        <w:numId w:val="7"/>
      </w:numPr>
    </w:pPr>
  </w:style>
  <w:style w:type="numbering" w:customStyle="1" w:styleId="List17">
    <w:name w:val="List 17"/>
    <w:rsid w:val="00E4703B"/>
    <w:pPr>
      <w:numPr>
        <w:numId w:val="24"/>
      </w:numPr>
    </w:pPr>
  </w:style>
  <w:style w:type="numbering" w:customStyle="1" w:styleId="List33">
    <w:name w:val="List 33"/>
    <w:rsid w:val="00E4703B"/>
    <w:pPr>
      <w:numPr>
        <w:numId w:val="25"/>
      </w:numPr>
    </w:pPr>
  </w:style>
  <w:style w:type="numbering" w:customStyle="1" w:styleId="List7">
    <w:name w:val="List 7"/>
    <w:rsid w:val="00E4703B"/>
    <w:pPr>
      <w:numPr>
        <w:numId w:val="3"/>
      </w:numPr>
    </w:pPr>
  </w:style>
  <w:style w:type="numbering" w:customStyle="1" w:styleId="List18">
    <w:name w:val="List 18"/>
    <w:rsid w:val="00E4703B"/>
    <w:pPr>
      <w:numPr>
        <w:numId w:val="26"/>
      </w:numPr>
    </w:pPr>
  </w:style>
  <w:style w:type="numbering" w:customStyle="1" w:styleId="List22">
    <w:name w:val="List 22"/>
    <w:rsid w:val="00E4703B"/>
    <w:pPr>
      <w:numPr>
        <w:numId w:val="27"/>
      </w:numPr>
    </w:pPr>
  </w:style>
  <w:style w:type="numbering" w:customStyle="1" w:styleId="List47">
    <w:name w:val="List 47"/>
    <w:rsid w:val="00E4703B"/>
    <w:pPr>
      <w:numPr>
        <w:numId w:val="28"/>
      </w:numPr>
    </w:pPr>
  </w:style>
  <w:style w:type="numbering" w:customStyle="1" w:styleId="List28">
    <w:name w:val="List 28"/>
    <w:rsid w:val="00E4703B"/>
    <w:pPr>
      <w:numPr>
        <w:numId w:val="29"/>
      </w:numPr>
    </w:pPr>
  </w:style>
  <w:style w:type="numbering" w:customStyle="1" w:styleId="List10">
    <w:name w:val="List 10"/>
    <w:rsid w:val="00E4703B"/>
    <w:pPr>
      <w:numPr>
        <w:numId w:val="5"/>
      </w:numPr>
    </w:pPr>
  </w:style>
  <w:style w:type="numbering" w:customStyle="1" w:styleId="List0">
    <w:name w:val="List 0"/>
    <w:rsid w:val="00E4703B"/>
    <w:pPr>
      <w:numPr>
        <w:numId w:val="30"/>
      </w:numPr>
    </w:pPr>
  </w:style>
  <w:style w:type="numbering" w:customStyle="1" w:styleId="List30">
    <w:name w:val="List 30"/>
    <w:rsid w:val="00E4703B"/>
    <w:pPr>
      <w:numPr>
        <w:numId w:val="31"/>
      </w:numPr>
    </w:pPr>
  </w:style>
  <w:style w:type="numbering" w:customStyle="1" w:styleId="List29">
    <w:name w:val="List 29"/>
    <w:rsid w:val="00E4703B"/>
    <w:pPr>
      <w:numPr>
        <w:numId w:val="32"/>
      </w:numPr>
    </w:pPr>
  </w:style>
  <w:style w:type="numbering" w:customStyle="1" w:styleId="List38">
    <w:name w:val="List 38"/>
    <w:rsid w:val="00E4703B"/>
    <w:pPr>
      <w:numPr>
        <w:numId w:val="33"/>
      </w:numPr>
    </w:pPr>
  </w:style>
  <w:style w:type="numbering" w:customStyle="1" w:styleId="List12">
    <w:name w:val="List 12"/>
    <w:rsid w:val="00E4703B"/>
    <w:pPr>
      <w:numPr>
        <w:numId w:val="34"/>
      </w:numPr>
    </w:pPr>
  </w:style>
  <w:style w:type="numbering" w:customStyle="1" w:styleId="List50">
    <w:name w:val="List 50"/>
    <w:rsid w:val="00E4703B"/>
    <w:pPr>
      <w:numPr>
        <w:numId w:val="35"/>
      </w:numPr>
    </w:pPr>
  </w:style>
  <w:style w:type="numbering" w:customStyle="1" w:styleId="List34">
    <w:name w:val="List 34"/>
    <w:rsid w:val="00E4703B"/>
    <w:pPr>
      <w:numPr>
        <w:numId w:val="10"/>
      </w:numPr>
    </w:pPr>
  </w:style>
  <w:style w:type="numbering" w:customStyle="1" w:styleId="List42">
    <w:name w:val="List 42"/>
    <w:rsid w:val="00E4703B"/>
    <w:pPr>
      <w:numPr>
        <w:numId w:val="11"/>
      </w:numPr>
    </w:pPr>
  </w:style>
  <w:style w:type="numbering" w:customStyle="1" w:styleId="List49">
    <w:name w:val="List 49"/>
    <w:rsid w:val="00E4703B"/>
    <w:pPr>
      <w:numPr>
        <w:numId w:val="36"/>
      </w:numPr>
    </w:pPr>
  </w:style>
  <w:style w:type="numbering" w:customStyle="1" w:styleId="List44">
    <w:name w:val="List 44"/>
    <w:rsid w:val="00E4703B"/>
    <w:pPr>
      <w:numPr>
        <w:numId w:val="37"/>
      </w:numPr>
    </w:pPr>
  </w:style>
  <w:style w:type="numbering" w:customStyle="1" w:styleId="List21">
    <w:name w:val="List 21"/>
    <w:rsid w:val="00E4703B"/>
    <w:pPr>
      <w:numPr>
        <w:numId w:val="53"/>
      </w:numPr>
    </w:pPr>
  </w:style>
  <w:style w:type="numbering" w:customStyle="1" w:styleId="List52">
    <w:name w:val="List 52"/>
    <w:rsid w:val="00E4703B"/>
    <w:pPr>
      <w:numPr>
        <w:numId w:val="8"/>
      </w:numPr>
    </w:pPr>
  </w:style>
  <w:style w:type="numbering" w:customStyle="1" w:styleId="List24">
    <w:name w:val="List 24"/>
    <w:rsid w:val="00E4703B"/>
    <w:pPr>
      <w:numPr>
        <w:numId w:val="12"/>
      </w:numPr>
    </w:pPr>
  </w:style>
  <w:style w:type="numbering" w:customStyle="1" w:styleId="List51">
    <w:name w:val="List 51"/>
    <w:rsid w:val="00E4703B"/>
    <w:pPr>
      <w:numPr>
        <w:numId w:val="51"/>
      </w:numPr>
    </w:pPr>
  </w:style>
  <w:style w:type="numbering" w:customStyle="1" w:styleId="List27">
    <w:name w:val="List 27"/>
    <w:rsid w:val="00E4703B"/>
    <w:pPr>
      <w:numPr>
        <w:numId w:val="38"/>
      </w:numPr>
    </w:pPr>
  </w:style>
  <w:style w:type="numbering" w:customStyle="1" w:styleId="List8">
    <w:name w:val="List 8"/>
    <w:rsid w:val="00E4703B"/>
    <w:pPr>
      <w:numPr>
        <w:numId w:val="4"/>
      </w:numPr>
    </w:pPr>
  </w:style>
  <w:style w:type="numbering" w:customStyle="1" w:styleId="List13">
    <w:name w:val="List 13"/>
    <w:rsid w:val="00E4703B"/>
    <w:pPr>
      <w:numPr>
        <w:numId w:val="39"/>
      </w:numPr>
    </w:pPr>
  </w:style>
  <w:style w:type="numbering" w:customStyle="1" w:styleId="List20">
    <w:name w:val="List 20"/>
    <w:rsid w:val="00E4703B"/>
    <w:pPr>
      <w:numPr>
        <w:numId w:val="40"/>
      </w:numPr>
    </w:pPr>
  </w:style>
  <w:style w:type="numbering" w:customStyle="1" w:styleId="List41">
    <w:name w:val="List 41"/>
    <w:rsid w:val="00E4703B"/>
    <w:pPr>
      <w:numPr>
        <w:numId w:val="41"/>
      </w:numPr>
    </w:pPr>
  </w:style>
  <w:style w:type="numbering" w:customStyle="1" w:styleId="List31">
    <w:name w:val="List 31"/>
    <w:rsid w:val="00E4703B"/>
    <w:pPr>
      <w:numPr>
        <w:numId w:val="42"/>
      </w:numPr>
    </w:pPr>
  </w:style>
  <w:style w:type="numbering" w:customStyle="1" w:styleId="List6">
    <w:name w:val="List 6"/>
    <w:rsid w:val="00E4703B"/>
    <w:pPr>
      <w:numPr>
        <w:numId w:val="2"/>
      </w:numPr>
    </w:pPr>
  </w:style>
  <w:style w:type="numbering" w:customStyle="1" w:styleId="List39">
    <w:name w:val="List 39"/>
    <w:rsid w:val="00E4703B"/>
    <w:pPr>
      <w:numPr>
        <w:numId w:val="43"/>
      </w:numPr>
    </w:pPr>
  </w:style>
  <w:style w:type="numbering" w:customStyle="1" w:styleId="List37">
    <w:name w:val="List 37"/>
    <w:rsid w:val="00E4703B"/>
    <w:pPr>
      <w:numPr>
        <w:numId w:val="44"/>
      </w:numPr>
    </w:pPr>
  </w:style>
  <w:style w:type="numbering" w:customStyle="1" w:styleId="List32">
    <w:name w:val="List 32"/>
    <w:rsid w:val="00E4703B"/>
    <w:pPr>
      <w:numPr>
        <w:numId w:val="45"/>
      </w:numPr>
    </w:pPr>
  </w:style>
  <w:style w:type="numbering" w:customStyle="1" w:styleId="List26">
    <w:name w:val="List 26"/>
    <w:rsid w:val="00E4703B"/>
    <w:pPr>
      <w:numPr>
        <w:numId w:val="46"/>
      </w:numPr>
    </w:pPr>
  </w:style>
  <w:style w:type="numbering" w:customStyle="1" w:styleId="List48">
    <w:name w:val="List 48"/>
    <w:rsid w:val="00E4703B"/>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D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0"/>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9E4AD6"/>
    <w:rPr>
      <w:rFonts w:cs="Times New Roman"/>
      <w:u w:val="single"/>
    </w:rPr>
  </w:style>
  <w:style w:type="paragraph" w:customStyle="1" w:styleId="Cabeceraypie">
    <w:name w:val="Cabecera y pie"/>
    <w:uiPriority w:val="99"/>
    <w:rsid w:val="009E4AD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9E4AD6"/>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9E4AD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9E4AD6"/>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251A92"/>
    <w:rPr>
      <w:rFonts w:cs="Times New Roman"/>
      <w:sz w:val="24"/>
      <w:szCs w:val="24"/>
    </w:rPr>
  </w:style>
  <w:style w:type="paragraph" w:styleId="ListParagraph">
    <w:name w:val="List Paragraph"/>
    <w:basedOn w:val="Normal"/>
    <w:uiPriority w:val="34"/>
    <w:qFormat/>
    <w:rsid w:val="009E4AD6"/>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ootnote text"/>
    <w:basedOn w:val="Normal"/>
    <w:link w:val="FootnoteTextChar1"/>
    <w:rsid w:val="00710DFD"/>
    <w:pPr>
      <w:pBdr>
        <w:top w:val="none" w:sz="0" w:space="0" w:color="auto"/>
        <w:left w:val="none" w:sz="0" w:space="0" w:color="auto"/>
        <w:bottom w:val="none" w:sz="0" w:space="0" w:color="auto"/>
        <w:right w:val="none" w:sz="0" w:space="0" w:color="auto"/>
        <w:bar w:val="none" w:sz="0" w:color="auto"/>
      </w:pBdr>
    </w:pPr>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ocked/>
    <w:rsid w:val="00251A92"/>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locked/>
    <w:rsid w:val="00710DFD"/>
    <w:rPr>
      <w:rFonts w:ascii="Calibri" w:hAnsi="Calibri"/>
      <w:color w:val="000000"/>
      <w:sz w:val="20"/>
      <w:szCs w:val="20"/>
      <w:u w:color="000000"/>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basedOn w:val="DefaultParagraphFont"/>
    <w:uiPriority w:val="99"/>
    <w:rsid w:val="00F01097"/>
    <w:rPr>
      <w:rFonts w:cs="Times New Roman"/>
    </w:rPr>
  </w:style>
  <w:style w:type="character" w:styleId="CommentReference">
    <w:name w:val="annotation reference"/>
    <w:basedOn w:val="DefaultParagraphFont"/>
    <w:uiPriority w:val="99"/>
    <w:semiHidden/>
    <w:rsid w:val="00BE7355"/>
    <w:rPr>
      <w:rFonts w:cs="Times New Roman"/>
      <w:sz w:val="16"/>
      <w:szCs w:val="16"/>
    </w:rPr>
  </w:style>
  <w:style w:type="paragraph" w:styleId="CommentText">
    <w:name w:val="annotation text"/>
    <w:basedOn w:val="Normal"/>
    <w:link w:val="CommentTextChar"/>
    <w:uiPriority w:val="99"/>
    <w:semiHidden/>
    <w:rsid w:val="00BE7355"/>
    <w:rPr>
      <w:sz w:val="20"/>
      <w:szCs w:val="20"/>
    </w:rPr>
  </w:style>
  <w:style w:type="character" w:customStyle="1" w:styleId="CommentTextChar">
    <w:name w:val="Comment Text Char"/>
    <w:basedOn w:val="DefaultParagraphFont"/>
    <w:link w:val="CommentText"/>
    <w:uiPriority w:val="99"/>
    <w:semiHidden/>
    <w:locked/>
    <w:rsid w:val="00744741"/>
    <w:rPr>
      <w:rFonts w:cs="Times New Roman"/>
      <w:sz w:val="20"/>
      <w:szCs w:val="20"/>
    </w:rPr>
  </w:style>
  <w:style w:type="paragraph" w:styleId="CommentSubject">
    <w:name w:val="annotation subject"/>
    <w:basedOn w:val="CommentText"/>
    <w:next w:val="CommentText"/>
    <w:link w:val="CommentSubjectChar"/>
    <w:uiPriority w:val="99"/>
    <w:semiHidden/>
    <w:rsid w:val="00BE7355"/>
    <w:rPr>
      <w:b/>
      <w:bCs/>
    </w:rPr>
  </w:style>
  <w:style w:type="character" w:customStyle="1" w:styleId="CommentSubjectChar">
    <w:name w:val="Comment Subject Char"/>
    <w:basedOn w:val="CommentTextChar"/>
    <w:link w:val="CommentSubject"/>
    <w:uiPriority w:val="99"/>
    <w:semiHidden/>
    <w:locked/>
    <w:rsid w:val="00744741"/>
    <w:rPr>
      <w:rFonts w:cs="Times New Roman"/>
      <w:b/>
      <w:bCs/>
      <w:sz w:val="20"/>
      <w:szCs w:val="20"/>
    </w:rPr>
  </w:style>
  <w:style w:type="numbering" w:customStyle="1" w:styleId="List16">
    <w:name w:val="List 16"/>
    <w:rsid w:val="00E4703B"/>
    <w:pPr>
      <w:numPr>
        <w:numId w:val="9"/>
      </w:numPr>
    </w:pPr>
  </w:style>
  <w:style w:type="numbering" w:customStyle="1" w:styleId="List36">
    <w:name w:val="List 36"/>
    <w:rsid w:val="00E4703B"/>
    <w:pPr>
      <w:numPr>
        <w:numId w:val="13"/>
      </w:numPr>
    </w:pPr>
  </w:style>
  <w:style w:type="numbering" w:customStyle="1" w:styleId="List25">
    <w:name w:val="List 25"/>
    <w:rsid w:val="00E4703B"/>
    <w:pPr>
      <w:numPr>
        <w:numId w:val="14"/>
      </w:numPr>
    </w:pPr>
  </w:style>
  <w:style w:type="numbering" w:customStyle="1" w:styleId="List1">
    <w:name w:val="List 1"/>
    <w:rsid w:val="00E4703B"/>
    <w:pPr>
      <w:numPr>
        <w:numId w:val="1"/>
      </w:numPr>
    </w:pPr>
  </w:style>
  <w:style w:type="numbering" w:customStyle="1" w:styleId="List11">
    <w:name w:val="List 11"/>
    <w:rsid w:val="00E4703B"/>
    <w:pPr>
      <w:numPr>
        <w:numId w:val="6"/>
      </w:numPr>
    </w:pPr>
  </w:style>
  <w:style w:type="numbering" w:customStyle="1" w:styleId="List15">
    <w:name w:val="List 15"/>
    <w:rsid w:val="00E4703B"/>
    <w:pPr>
      <w:numPr>
        <w:numId w:val="15"/>
      </w:numPr>
    </w:pPr>
  </w:style>
  <w:style w:type="numbering" w:customStyle="1" w:styleId="List14">
    <w:name w:val="List 14"/>
    <w:rsid w:val="00E4703B"/>
    <w:pPr>
      <w:numPr>
        <w:numId w:val="16"/>
      </w:numPr>
    </w:pPr>
  </w:style>
  <w:style w:type="numbering" w:customStyle="1" w:styleId="List23">
    <w:name w:val="List 23"/>
    <w:rsid w:val="00E4703B"/>
    <w:pPr>
      <w:numPr>
        <w:numId w:val="17"/>
      </w:numPr>
    </w:pPr>
  </w:style>
  <w:style w:type="numbering" w:customStyle="1" w:styleId="List19">
    <w:name w:val="List 19"/>
    <w:rsid w:val="00E4703B"/>
    <w:pPr>
      <w:numPr>
        <w:numId w:val="18"/>
      </w:numPr>
    </w:pPr>
  </w:style>
  <w:style w:type="numbering" w:customStyle="1" w:styleId="List45">
    <w:name w:val="List 45"/>
    <w:rsid w:val="00E4703B"/>
    <w:pPr>
      <w:numPr>
        <w:numId w:val="19"/>
      </w:numPr>
    </w:pPr>
  </w:style>
  <w:style w:type="numbering" w:customStyle="1" w:styleId="List40">
    <w:name w:val="List 40"/>
    <w:rsid w:val="00E4703B"/>
    <w:pPr>
      <w:numPr>
        <w:numId w:val="20"/>
      </w:numPr>
    </w:pPr>
  </w:style>
  <w:style w:type="numbering" w:customStyle="1" w:styleId="List9">
    <w:name w:val="List 9"/>
    <w:rsid w:val="00E4703B"/>
    <w:pPr>
      <w:numPr>
        <w:numId w:val="21"/>
      </w:numPr>
    </w:pPr>
  </w:style>
  <w:style w:type="numbering" w:customStyle="1" w:styleId="List43">
    <w:name w:val="List 43"/>
    <w:rsid w:val="00E4703B"/>
    <w:pPr>
      <w:numPr>
        <w:numId w:val="22"/>
      </w:numPr>
    </w:pPr>
  </w:style>
  <w:style w:type="numbering" w:customStyle="1" w:styleId="List46">
    <w:name w:val="List 46"/>
    <w:rsid w:val="00E4703B"/>
    <w:pPr>
      <w:numPr>
        <w:numId w:val="23"/>
      </w:numPr>
    </w:pPr>
  </w:style>
  <w:style w:type="numbering" w:customStyle="1" w:styleId="List35">
    <w:name w:val="List 35"/>
    <w:rsid w:val="00E4703B"/>
    <w:pPr>
      <w:numPr>
        <w:numId w:val="7"/>
      </w:numPr>
    </w:pPr>
  </w:style>
  <w:style w:type="numbering" w:customStyle="1" w:styleId="List17">
    <w:name w:val="List 17"/>
    <w:rsid w:val="00E4703B"/>
    <w:pPr>
      <w:numPr>
        <w:numId w:val="24"/>
      </w:numPr>
    </w:pPr>
  </w:style>
  <w:style w:type="numbering" w:customStyle="1" w:styleId="List33">
    <w:name w:val="List 33"/>
    <w:rsid w:val="00E4703B"/>
    <w:pPr>
      <w:numPr>
        <w:numId w:val="25"/>
      </w:numPr>
    </w:pPr>
  </w:style>
  <w:style w:type="numbering" w:customStyle="1" w:styleId="List7">
    <w:name w:val="List 7"/>
    <w:rsid w:val="00E4703B"/>
    <w:pPr>
      <w:numPr>
        <w:numId w:val="3"/>
      </w:numPr>
    </w:pPr>
  </w:style>
  <w:style w:type="numbering" w:customStyle="1" w:styleId="List18">
    <w:name w:val="List 18"/>
    <w:rsid w:val="00E4703B"/>
    <w:pPr>
      <w:numPr>
        <w:numId w:val="26"/>
      </w:numPr>
    </w:pPr>
  </w:style>
  <w:style w:type="numbering" w:customStyle="1" w:styleId="List22">
    <w:name w:val="List 22"/>
    <w:rsid w:val="00E4703B"/>
    <w:pPr>
      <w:numPr>
        <w:numId w:val="27"/>
      </w:numPr>
    </w:pPr>
  </w:style>
  <w:style w:type="numbering" w:customStyle="1" w:styleId="List47">
    <w:name w:val="List 47"/>
    <w:rsid w:val="00E4703B"/>
    <w:pPr>
      <w:numPr>
        <w:numId w:val="28"/>
      </w:numPr>
    </w:pPr>
  </w:style>
  <w:style w:type="numbering" w:customStyle="1" w:styleId="List28">
    <w:name w:val="List 28"/>
    <w:rsid w:val="00E4703B"/>
    <w:pPr>
      <w:numPr>
        <w:numId w:val="29"/>
      </w:numPr>
    </w:pPr>
  </w:style>
  <w:style w:type="numbering" w:customStyle="1" w:styleId="List10">
    <w:name w:val="List 10"/>
    <w:rsid w:val="00E4703B"/>
    <w:pPr>
      <w:numPr>
        <w:numId w:val="5"/>
      </w:numPr>
    </w:pPr>
  </w:style>
  <w:style w:type="numbering" w:customStyle="1" w:styleId="List0">
    <w:name w:val="List 0"/>
    <w:rsid w:val="00E4703B"/>
    <w:pPr>
      <w:numPr>
        <w:numId w:val="30"/>
      </w:numPr>
    </w:pPr>
  </w:style>
  <w:style w:type="numbering" w:customStyle="1" w:styleId="List30">
    <w:name w:val="List 30"/>
    <w:rsid w:val="00E4703B"/>
    <w:pPr>
      <w:numPr>
        <w:numId w:val="31"/>
      </w:numPr>
    </w:pPr>
  </w:style>
  <w:style w:type="numbering" w:customStyle="1" w:styleId="List29">
    <w:name w:val="List 29"/>
    <w:rsid w:val="00E4703B"/>
    <w:pPr>
      <w:numPr>
        <w:numId w:val="32"/>
      </w:numPr>
    </w:pPr>
  </w:style>
  <w:style w:type="numbering" w:customStyle="1" w:styleId="List38">
    <w:name w:val="List 38"/>
    <w:rsid w:val="00E4703B"/>
    <w:pPr>
      <w:numPr>
        <w:numId w:val="33"/>
      </w:numPr>
    </w:pPr>
  </w:style>
  <w:style w:type="numbering" w:customStyle="1" w:styleId="List12">
    <w:name w:val="List 12"/>
    <w:rsid w:val="00E4703B"/>
    <w:pPr>
      <w:numPr>
        <w:numId w:val="34"/>
      </w:numPr>
    </w:pPr>
  </w:style>
  <w:style w:type="numbering" w:customStyle="1" w:styleId="List50">
    <w:name w:val="List 50"/>
    <w:rsid w:val="00E4703B"/>
    <w:pPr>
      <w:numPr>
        <w:numId w:val="35"/>
      </w:numPr>
    </w:pPr>
  </w:style>
  <w:style w:type="numbering" w:customStyle="1" w:styleId="List34">
    <w:name w:val="List 34"/>
    <w:rsid w:val="00E4703B"/>
    <w:pPr>
      <w:numPr>
        <w:numId w:val="10"/>
      </w:numPr>
    </w:pPr>
  </w:style>
  <w:style w:type="numbering" w:customStyle="1" w:styleId="List42">
    <w:name w:val="List 42"/>
    <w:rsid w:val="00E4703B"/>
    <w:pPr>
      <w:numPr>
        <w:numId w:val="11"/>
      </w:numPr>
    </w:pPr>
  </w:style>
  <w:style w:type="numbering" w:customStyle="1" w:styleId="List49">
    <w:name w:val="List 49"/>
    <w:rsid w:val="00E4703B"/>
    <w:pPr>
      <w:numPr>
        <w:numId w:val="36"/>
      </w:numPr>
    </w:pPr>
  </w:style>
  <w:style w:type="numbering" w:customStyle="1" w:styleId="List44">
    <w:name w:val="List 44"/>
    <w:rsid w:val="00E4703B"/>
    <w:pPr>
      <w:numPr>
        <w:numId w:val="37"/>
      </w:numPr>
    </w:pPr>
  </w:style>
  <w:style w:type="numbering" w:customStyle="1" w:styleId="List21">
    <w:name w:val="List 21"/>
    <w:rsid w:val="00E4703B"/>
    <w:pPr>
      <w:numPr>
        <w:numId w:val="53"/>
      </w:numPr>
    </w:pPr>
  </w:style>
  <w:style w:type="numbering" w:customStyle="1" w:styleId="List52">
    <w:name w:val="List 52"/>
    <w:rsid w:val="00E4703B"/>
    <w:pPr>
      <w:numPr>
        <w:numId w:val="8"/>
      </w:numPr>
    </w:pPr>
  </w:style>
  <w:style w:type="numbering" w:customStyle="1" w:styleId="List24">
    <w:name w:val="List 24"/>
    <w:rsid w:val="00E4703B"/>
    <w:pPr>
      <w:numPr>
        <w:numId w:val="12"/>
      </w:numPr>
    </w:pPr>
  </w:style>
  <w:style w:type="numbering" w:customStyle="1" w:styleId="List51">
    <w:name w:val="List 51"/>
    <w:rsid w:val="00E4703B"/>
    <w:pPr>
      <w:numPr>
        <w:numId w:val="51"/>
      </w:numPr>
    </w:pPr>
  </w:style>
  <w:style w:type="numbering" w:customStyle="1" w:styleId="List27">
    <w:name w:val="List 27"/>
    <w:rsid w:val="00E4703B"/>
    <w:pPr>
      <w:numPr>
        <w:numId w:val="38"/>
      </w:numPr>
    </w:pPr>
  </w:style>
  <w:style w:type="numbering" w:customStyle="1" w:styleId="List8">
    <w:name w:val="List 8"/>
    <w:rsid w:val="00E4703B"/>
    <w:pPr>
      <w:numPr>
        <w:numId w:val="4"/>
      </w:numPr>
    </w:pPr>
  </w:style>
  <w:style w:type="numbering" w:customStyle="1" w:styleId="List13">
    <w:name w:val="List 13"/>
    <w:rsid w:val="00E4703B"/>
    <w:pPr>
      <w:numPr>
        <w:numId w:val="39"/>
      </w:numPr>
    </w:pPr>
  </w:style>
  <w:style w:type="numbering" w:customStyle="1" w:styleId="List20">
    <w:name w:val="List 20"/>
    <w:rsid w:val="00E4703B"/>
    <w:pPr>
      <w:numPr>
        <w:numId w:val="40"/>
      </w:numPr>
    </w:pPr>
  </w:style>
  <w:style w:type="numbering" w:customStyle="1" w:styleId="List41">
    <w:name w:val="List 41"/>
    <w:rsid w:val="00E4703B"/>
    <w:pPr>
      <w:numPr>
        <w:numId w:val="41"/>
      </w:numPr>
    </w:pPr>
  </w:style>
  <w:style w:type="numbering" w:customStyle="1" w:styleId="List31">
    <w:name w:val="List 31"/>
    <w:rsid w:val="00E4703B"/>
    <w:pPr>
      <w:numPr>
        <w:numId w:val="42"/>
      </w:numPr>
    </w:pPr>
  </w:style>
  <w:style w:type="numbering" w:customStyle="1" w:styleId="List6">
    <w:name w:val="List 6"/>
    <w:rsid w:val="00E4703B"/>
    <w:pPr>
      <w:numPr>
        <w:numId w:val="2"/>
      </w:numPr>
    </w:pPr>
  </w:style>
  <w:style w:type="numbering" w:customStyle="1" w:styleId="List39">
    <w:name w:val="List 39"/>
    <w:rsid w:val="00E4703B"/>
    <w:pPr>
      <w:numPr>
        <w:numId w:val="43"/>
      </w:numPr>
    </w:pPr>
  </w:style>
  <w:style w:type="numbering" w:customStyle="1" w:styleId="List37">
    <w:name w:val="List 37"/>
    <w:rsid w:val="00E4703B"/>
    <w:pPr>
      <w:numPr>
        <w:numId w:val="44"/>
      </w:numPr>
    </w:pPr>
  </w:style>
  <w:style w:type="numbering" w:customStyle="1" w:styleId="List32">
    <w:name w:val="List 32"/>
    <w:rsid w:val="00E4703B"/>
    <w:pPr>
      <w:numPr>
        <w:numId w:val="45"/>
      </w:numPr>
    </w:pPr>
  </w:style>
  <w:style w:type="numbering" w:customStyle="1" w:styleId="List26">
    <w:name w:val="List 26"/>
    <w:rsid w:val="00E4703B"/>
    <w:pPr>
      <w:numPr>
        <w:numId w:val="46"/>
      </w:numPr>
    </w:pPr>
  </w:style>
  <w:style w:type="numbering" w:customStyle="1" w:styleId="List48">
    <w:name w:val="List 48"/>
    <w:rsid w:val="00E4703B"/>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42721">
      <w:marLeft w:val="0"/>
      <w:marRight w:val="0"/>
      <w:marTop w:val="0"/>
      <w:marBottom w:val="0"/>
      <w:divBdr>
        <w:top w:val="none" w:sz="0" w:space="0" w:color="auto"/>
        <w:left w:val="none" w:sz="0" w:space="0" w:color="auto"/>
        <w:bottom w:val="none" w:sz="0" w:space="0" w:color="auto"/>
        <w:right w:val="none" w:sz="0" w:space="0" w:color="auto"/>
      </w:divBdr>
    </w:div>
    <w:div w:id="1149442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DCAE-9FB5-4DA6-B265-67DB93F0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4820</Words>
  <Characters>25114</Characters>
  <Application>Microsoft Office Word</Application>
  <DocSecurity>0</DocSecurity>
  <Lines>398</Lines>
  <Paragraphs>93</Paragraphs>
  <ScaleCrop>false</ScaleCrop>
  <HeadingPairs>
    <vt:vector size="2" baseType="variant">
      <vt:variant>
        <vt:lpstr>Title</vt:lpstr>
      </vt:variant>
      <vt:variant>
        <vt:i4>1</vt:i4>
      </vt:variant>
    </vt:vector>
  </HeadingPairs>
  <TitlesOfParts>
    <vt:vector size="1" baseType="lpstr">
      <vt:lpstr>Informe No. 19/16</vt:lpstr>
    </vt:vector>
  </TitlesOfParts>
  <Company/>
  <LinksUpToDate>false</LinksUpToDate>
  <CharactersWithSpaces>29841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19/16</dc:title>
  <dc:creator/>
  <cp:lastModifiedBy/>
  <cp:revision>1</cp:revision>
  <dcterms:created xsi:type="dcterms:W3CDTF">2016-10-03T14:48:00Z</dcterms:created>
  <dcterms:modified xsi:type="dcterms:W3CDTF">2016-10-03T14:48:00Z</dcterms:modified>
</cp:coreProperties>
</file>