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309D4" w:rsidRPr="00F759B1" w:rsidRDefault="00675C44" w:rsidP="00627C9F">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2"/>
          <w:szCs w:val="22"/>
          <w:lang w:val="es-ES"/>
        </w:rPr>
      </w:pPr>
      <w:r w:rsidRPr="00F759B1">
        <w:rPr>
          <w:noProof/>
        </w:rPr>
        <mc:AlternateContent>
          <mc:Choice Requires="wps">
            <w:drawing>
              <wp:anchor distT="0" distB="0" distL="114300" distR="114300" simplePos="0" relativeHeight="251654144" behindDoc="0" locked="0" layoutInCell="1" allowOverlap="1" wp14:anchorId="2A8C38EE" wp14:editId="6070D554">
                <wp:simplePos x="0" y="0"/>
                <wp:positionH relativeFrom="column">
                  <wp:posOffset>-415925</wp:posOffset>
                </wp:positionH>
                <wp:positionV relativeFrom="paragraph">
                  <wp:posOffset>-439420</wp:posOffset>
                </wp:positionV>
                <wp:extent cx="1543050" cy="9096375"/>
                <wp:effectExtent l="0" t="0" r="0" b="9525"/>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er7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A98er7ogIAAJ8FAAAOAAAAAAAAAAAAAAAA&#10;AC4CAABkcnMvZTJvRG9jLnhtbFBLAQItABQABgAIAAAAIQDzmg9R4gAAAAwBAAAPAAAAAAAAAAAA&#10;AAAAAPwEAABkcnMvZG93bnJldi54bWxQSwUGAAAAAAQABADzAAAACwYAAAAA&#10;" fillcolor="#4a7194" stroked="f" strokeweight="2pt">
                <v:path arrowok="t"/>
              </v:rect>
            </w:pict>
          </mc:Fallback>
        </mc:AlternateContent>
      </w:r>
      <w:r w:rsidRPr="00F759B1">
        <w:rPr>
          <w:noProof/>
        </w:rPr>
        <mc:AlternateContent>
          <mc:Choice Requires="wps">
            <w:drawing>
              <wp:anchor distT="0" distB="0" distL="114300" distR="114300" simplePos="0" relativeHeight="251658240" behindDoc="0" locked="0" layoutInCell="1" allowOverlap="1" wp14:anchorId="63B4F3AC" wp14:editId="2FF4E68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09D4" w:rsidRDefault="00675C44"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00A0927C" wp14:editId="2B206269">
                                  <wp:extent cx="2626360" cy="497205"/>
                                  <wp:effectExtent l="0" t="0" r="254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6360" cy="497205"/>
                                          </a:xfrm>
                                          <a:prstGeom prst="rect">
                                            <a:avLst/>
                                          </a:prstGeom>
                                          <a:noFill/>
                                          <a:ln>
                                            <a:noFill/>
                                          </a:ln>
                                        </pic:spPr>
                                      </pic:pic>
                                    </a:graphicData>
                                  </a:graphic>
                                </wp:inline>
                              </w:drawing>
                            </w:r>
                            <w:r w:rsidR="000309D4">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rsidR="000309D4" w:rsidRDefault="00675C44"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626360" cy="497205"/>
                            <wp:effectExtent l="0" t="0" r="254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6360" cy="497205"/>
                                    </a:xfrm>
                                    <a:prstGeom prst="rect">
                                      <a:avLst/>
                                    </a:prstGeom>
                                    <a:noFill/>
                                    <a:ln>
                                      <a:noFill/>
                                    </a:ln>
                                  </pic:spPr>
                                </pic:pic>
                              </a:graphicData>
                            </a:graphic>
                          </wp:inline>
                        </w:drawing>
                      </w:r>
                      <w:r w:rsidR="000309D4">
                        <w:tab/>
                        <w:t xml:space="preserve">                              </w:t>
                      </w:r>
                    </w:p>
                  </w:txbxContent>
                </v:textbox>
              </v:shape>
            </w:pict>
          </mc:Fallback>
        </mc:AlternateContent>
      </w:r>
      <w:r w:rsidR="000309D4" w:rsidRPr="00F759B1">
        <w:rPr>
          <w:rFonts w:ascii="Cambria" w:hAnsi="Cambria" w:cs="Univers"/>
          <w:b/>
          <w:bCs/>
          <w:sz w:val="22"/>
          <w:szCs w:val="22"/>
          <w:lang w:val="es-ES"/>
        </w:rPr>
        <w:t xml:space="preserve">  </w:t>
      </w: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
        </w:rPr>
      </w:pP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
        </w:rPr>
      </w:pP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
        </w:rPr>
      </w:pPr>
    </w:p>
    <w:p w:rsidR="000309D4" w:rsidRPr="00F759B1" w:rsidRDefault="000309D4"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309D4" w:rsidRPr="00F759B1" w:rsidRDefault="000309D4"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309D4" w:rsidRPr="00F759B1" w:rsidRDefault="000309D4"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309D4" w:rsidRPr="00F759B1" w:rsidRDefault="000309D4"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309D4" w:rsidRPr="00F759B1" w:rsidRDefault="000309D4"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309D4" w:rsidRPr="00F759B1" w:rsidRDefault="00675C4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r w:rsidRPr="00F759B1">
        <w:rPr>
          <w:noProof/>
        </w:rPr>
        <mc:AlternateContent>
          <mc:Choice Requires="wps">
            <w:drawing>
              <wp:anchor distT="0" distB="0" distL="114300" distR="114300" simplePos="0" relativeHeight="251655168" behindDoc="0" locked="0" layoutInCell="1" allowOverlap="1" wp14:anchorId="613B8E3F" wp14:editId="44CCE73F">
                <wp:simplePos x="0" y="0"/>
                <wp:positionH relativeFrom="column">
                  <wp:posOffset>1352550</wp:posOffset>
                </wp:positionH>
                <wp:positionV relativeFrom="paragraph">
                  <wp:posOffset>107315</wp:posOffset>
                </wp:positionV>
                <wp:extent cx="4441190" cy="2181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09D4" w:rsidRPr="005D60C5" w:rsidRDefault="000309D4"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5D60C5">
                              <w:rPr>
                                <w:rFonts w:ascii="Cambria" w:hAnsi="Cambria" w:cs="Arial"/>
                                <w:b/>
                                <w:bCs/>
                                <w:color w:val="0D0D0D"/>
                                <w:sz w:val="36"/>
                                <w:szCs w:val="22"/>
                                <w:lang w:val="es-ES_tradnl"/>
                              </w:rPr>
                              <w:t xml:space="preserve">INFORME </w:t>
                            </w:r>
                            <w:r w:rsidRPr="005D60C5">
                              <w:rPr>
                                <w:rFonts w:ascii="Cambria" w:hAnsi="Cambria" w:cs="Arial"/>
                                <w:b/>
                                <w:bCs/>
                                <w:color w:val="0D0D0D"/>
                                <w:sz w:val="36"/>
                                <w:szCs w:val="40"/>
                                <w:lang w:val="es-ES_tradnl"/>
                              </w:rPr>
                              <w:t>No.</w:t>
                            </w:r>
                            <w:r w:rsidRPr="005D60C5">
                              <w:rPr>
                                <w:rFonts w:ascii="Cambria" w:hAnsi="Cambria" w:cs="Arial"/>
                                <w:b/>
                                <w:bCs/>
                                <w:color w:val="0D0D0D"/>
                                <w:sz w:val="36"/>
                                <w:szCs w:val="22"/>
                                <w:lang w:val="es-ES_tradnl"/>
                              </w:rPr>
                              <w:t xml:space="preserve"> </w:t>
                            </w:r>
                            <w:r w:rsidR="00446EF2">
                              <w:rPr>
                                <w:rFonts w:ascii="Cambria" w:hAnsi="Cambria" w:cs="Arial"/>
                                <w:b/>
                                <w:bCs/>
                                <w:color w:val="0D0D0D"/>
                                <w:sz w:val="36"/>
                                <w:szCs w:val="22"/>
                                <w:lang w:val="es-ES_tradnl"/>
                              </w:rPr>
                              <w:t>23</w:t>
                            </w:r>
                            <w:r w:rsidRPr="005D60C5">
                              <w:rPr>
                                <w:rFonts w:ascii="Cambria" w:hAnsi="Cambria" w:cs="Arial"/>
                                <w:b/>
                                <w:bCs/>
                                <w:color w:val="0D0D0D"/>
                                <w:sz w:val="36"/>
                                <w:szCs w:val="22"/>
                                <w:lang w:val="es-ES_tradnl"/>
                              </w:rPr>
                              <w:t>/</w:t>
                            </w:r>
                            <w:r w:rsidR="001A3294">
                              <w:rPr>
                                <w:rFonts w:ascii="Cambria" w:hAnsi="Cambria" w:cs="Arial"/>
                                <w:b/>
                                <w:bCs/>
                                <w:color w:val="0D0D0D"/>
                                <w:sz w:val="36"/>
                                <w:szCs w:val="22"/>
                                <w:lang w:val="es-ES_tradnl"/>
                              </w:rPr>
                              <w:t>16</w:t>
                            </w:r>
                          </w:p>
                          <w:p w:rsidR="000309D4" w:rsidRPr="005D60C5" w:rsidRDefault="000309D4"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Pr>
                                <w:rFonts w:ascii="Cambria" w:hAnsi="Cambria" w:cs="Arial"/>
                                <w:b/>
                                <w:color w:val="0D0D0D"/>
                                <w:sz w:val="36"/>
                                <w:szCs w:val="22"/>
                                <w:lang w:val="es-ES_tradnl"/>
                              </w:rPr>
                              <w:t>PETICIÓN P-873-04</w:t>
                            </w:r>
                            <w:r w:rsidRPr="005D60C5">
                              <w:rPr>
                                <w:rFonts w:ascii="Cambria" w:hAnsi="Cambria" w:cs="Arial"/>
                                <w:b/>
                                <w:color w:val="0D0D0D"/>
                                <w:sz w:val="36"/>
                                <w:szCs w:val="22"/>
                                <w:lang w:val="es-ES_tradnl"/>
                              </w:rPr>
                              <w:t xml:space="preserve"> </w:t>
                            </w:r>
                          </w:p>
                          <w:p w:rsidR="000309D4" w:rsidRPr="005D60C5" w:rsidRDefault="000309D4"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5D60C5">
                              <w:rPr>
                                <w:rFonts w:ascii="Cambria" w:hAnsi="Cambria" w:cs="Arial"/>
                                <w:color w:val="0D0D0D"/>
                                <w:szCs w:val="22"/>
                                <w:lang w:val="es-ES_tradnl"/>
                              </w:rPr>
                              <w:t xml:space="preserve">INFORME DE ADMISIBILIDAD </w:t>
                            </w:r>
                          </w:p>
                          <w:p w:rsidR="000309D4" w:rsidRPr="005D60C5" w:rsidRDefault="000309D4"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rsidR="000309D4" w:rsidRPr="005D60C5" w:rsidRDefault="000309D4"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Cambria" w:hAnsi="Cambria" w:cs="Arial"/>
                                <w:color w:val="0D0D0D"/>
                                <w:szCs w:val="22"/>
                                <w:lang w:val="es-ES_tradnl"/>
                              </w:rPr>
                              <w:t>JOSÉ ALEJANDRO RESÉNDIZ OLVERA</w:t>
                            </w:r>
                          </w:p>
                          <w:bookmarkEnd w:id="1"/>
                          <w:p w:rsidR="000309D4" w:rsidRPr="005D60C5" w:rsidRDefault="000309D4"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MÉXICO</w:t>
                            </w:r>
                          </w:p>
                          <w:p w:rsidR="000309D4" w:rsidRPr="005D60C5" w:rsidRDefault="000309D4"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Si4FyI0CAACDBQAADgAAAAAAAAAAAAAAAAAuAgAAZHJzL2Uyb0RvYy54bWxQSwEC&#10;LQAUAAYACAAAACEA9UR3F+AAAAAKAQAADwAAAAAAAAAAAAAAAADnBAAAZHJzL2Rvd25yZXYueG1s&#10;UEsFBgAAAAAEAAQA8wAAAPQFAAAAAA==&#10;" filled="f" stroked="f" strokeweight=".5pt">
                <v:path arrowok="t"/>
                <v:textbox>
                  <w:txbxContent>
                    <w:p w:rsidR="000309D4" w:rsidRPr="005D60C5" w:rsidRDefault="000309D4"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5D60C5">
                        <w:rPr>
                          <w:rFonts w:ascii="Cambria" w:hAnsi="Cambria" w:cs="Arial"/>
                          <w:b/>
                          <w:bCs/>
                          <w:color w:val="0D0D0D"/>
                          <w:sz w:val="36"/>
                          <w:szCs w:val="22"/>
                          <w:lang w:val="es-ES_tradnl"/>
                        </w:rPr>
                        <w:t xml:space="preserve">INFORME </w:t>
                      </w:r>
                      <w:r w:rsidRPr="005D60C5">
                        <w:rPr>
                          <w:rFonts w:ascii="Cambria" w:hAnsi="Cambria" w:cs="Arial"/>
                          <w:b/>
                          <w:bCs/>
                          <w:color w:val="0D0D0D"/>
                          <w:sz w:val="36"/>
                          <w:szCs w:val="40"/>
                          <w:lang w:val="es-ES_tradnl"/>
                        </w:rPr>
                        <w:t>No.</w:t>
                      </w:r>
                      <w:r w:rsidRPr="005D60C5">
                        <w:rPr>
                          <w:rFonts w:ascii="Cambria" w:hAnsi="Cambria" w:cs="Arial"/>
                          <w:b/>
                          <w:bCs/>
                          <w:color w:val="0D0D0D"/>
                          <w:sz w:val="36"/>
                          <w:szCs w:val="22"/>
                          <w:lang w:val="es-ES_tradnl"/>
                        </w:rPr>
                        <w:t xml:space="preserve"> </w:t>
                      </w:r>
                      <w:r w:rsidR="00446EF2">
                        <w:rPr>
                          <w:rFonts w:ascii="Cambria" w:hAnsi="Cambria" w:cs="Arial"/>
                          <w:b/>
                          <w:bCs/>
                          <w:color w:val="0D0D0D"/>
                          <w:sz w:val="36"/>
                          <w:szCs w:val="22"/>
                          <w:lang w:val="es-ES_tradnl"/>
                        </w:rPr>
                        <w:t>23</w:t>
                      </w:r>
                      <w:r w:rsidRPr="005D60C5">
                        <w:rPr>
                          <w:rFonts w:ascii="Cambria" w:hAnsi="Cambria" w:cs="Arial"/>
                          <w:b/>
                          <w:bCs/>
                          <w:color w:val="0D0D0D"/>
                          <w:sz w:val="36"/>
                          <w:szCs w:val="22"/>
                          <w:lang w:val="es-ES_tradnl"/>
                        </w:rPr>
                        <w:t>/</w:t>
                      </w:r>
                      <w:r w:rsidR="001A3294">
                        <w:rPr>
                          <w:rFonts w:ascii="Cambria" w:hAnsi="Cambria" w:cs="Arial"/>
                          <w:b/>
                          <w:bCs/>
                          <w:color w:val="0D0D0D"/>
                          <w:sz w:val="36"/>
                          <w:szCs w:val="22"/>
                          <w:lang w:val="es-ES_tradnl"/>
                        </w:rPr>
                        <w:t>16</w:t>
                      </w:r>
                    </w:p>
                    <w:p w:rsidR="000309D4" w:rsidRPr="005D60C5" w:rsidRDefault="000309D4"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Pr>
                          <w:rFonts w:ascii="Cambria" w:hAnsi="Cambria" w:cs="Arial"/>
                          <w:b/>
                          <w:color w:val="0D0D0D"/>
                          <w:sz w:val="36"/>
                          <w:szCs w:val="22"/>
                          <w:lang w:val="es-ES_tradnl"/>
                        </w:rPr>
                        <w:t>PETICIÓN P-873-04</w:t>
                      </w:r>
                      <w:r w:rsidRPr="005D60C5">
                        <w:rPr>
                          <w:rFonts w:ascii="Cambria" w:hAnsi="Cambria" w:cs="Arial"/>
                          <w:b/>
                          <w:color w:val="0D0D0D"/>
                          <w:sz w:val="36"/>
                          <w:szCs w:val="22"/>
                          <w:lang w:val="es-ES_tradnl"/>
                        </w:rPr>
                        <w:t xml:space="preserve"> </w:t>
                      </w:r>
                    </w:p>
                    <w:p w:rsidR="000309D4" w:rsidRPr="005D60C5" w:rsidRDefault="000309D4"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5D60C5">
                        <w:rPr>
                          <w:rFonts w:ascii="Cambria" w:hAnsi="Cambria" w:cs="Arial"/>
                          <w:color w:val="0D0D0D"/>
                          <w:szCs w:val="22"/>
                          <w:lang w:val="es-ES_tradnl"/>
                        </w:rPr>
                        <w:t xml:space="preserve">INFORME DE ADMISIBILIDAD </w:t>
                      </w:r>
                    </w:p>
                    <w:p w:rsidR="000309D4" w:rsidRPr="005D60C5" w:rsidRDefault="000309D4"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2" w:name="_ftnref1"/>
                    </w:p>
                    <w:p w:rsidR="000309D4" w:rsidRPr="005D60C5" w:rsidRDefault="000309D4"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Cambria" w:hAnsi="Cambria" w:cs="Arial"/>
                          <w:color w:val="0D0D0D"/>
                          <w:szCs w:val="22"/>
                          <w:lang w:val="es-ES_tradnl"/>
                        </w:rPr>
                        <w:t>JOSÉ ALEJANDRO RESÉNDIZ OLVERA</w:t>
                      </w:r>
                    </w:p>
                    <w:bookmarkEnd w:id="2"/>
                    <w:p w:rsidR="000309D4" w:rsidRPr="005D60C5" w:rsidRDefault="000309D4"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MÉXICO</w:t>
                      </w:r>
                    </w:p>
                    <w:p w:rsidR="000309D4" w:rsidRPr="005D60C5" w:rsidRDefault="000309D4"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v:textbox>
              </v:shape>
            </w:pict>
          </mc:Fallback>
        </mc:AlternateContent>
      </w:r>
      <w:r w:rsidRPr="00F759B1">
        <w:rPr>
          <w:noProof/>
        </w:rPr>
        <mc:AlternateContent>
          <mc:Choice Requires="wps">
            <w:drawing>
              <wp:anchor distT="0" distB="0" distL="114300" distR="114300" simplePos="0" relativeHeight="251657216" behindDoc="0" locked="0" layoutInCell="1" allowOverlap="1" wp14:anchorId="03D025FF" wp14:editId="634E4D66">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09D4" w:rsidRPr="00446EF2" w:rsidRDefault="000309D4"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es-ES"/>
                              </w:rPr>
                            </w:pPr>
                            <w:r w:rsidRPr="00446EF2">
                              <w:rPr>
                                <w:rFonts w:ascii="Calibri" w:hAnsi="Calibri"/>
                                <w:color w:val="FFFFFF" w:themeColor="background1"/>
                                <w:sz w:val="22"/>
                                <w:lang w:val="es-ES"/>
                              </w:rPr>
                              <w:t>OEA/Ser.L/V/II.15</w:t>
                            </w:r>
                            <w:r w:rsidR="00446EF2" w:rsidRPr="00446EF2">
                              <w:rPr>
                                <w:rFonts w:ascii="Calibri" w:hAnsi="Calibri"/>
                                <w:color w:val="FFFFFF" w:themeColor="background1"/>
                                <w:sz w:val="22"/>
                                <w:lang w:val="es-ES"/>
                              </w:rPr>
                              <w:t>7</w:t>
                            </w:r>
                          </w:p>
                          <w:p w:rsidR="000309D4" w:rsidRPr="00446EF2" w:rsidRDefault="000309D4"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es-ES"/>
                              </w:rPr>
                            </w:pPr>
                            <w:r w:rsidRPr="00446EF2">
                              <w:rPr>
                                <w:rFonts w:ascii="Calibri" w:hAnsi="Calibri"/>
                                <w:color w:val="FFFFFF" w:themeColor="background1"/>
                                <w:sz w:val="22"/>
                                <w:lang w:val="es-ES"/>
                              </w:rPr>
                              <w:t xml:space="preserve">Doc. </w:t>
                            </w:r>
                            <w:r w:rsidR="00446EF2" w:rsidRPr="00446EF2">
                              <w:rPr>
                                <w:rFonts w:ascii="Calibri" w:hAnsi="Calibri"/>
                                <w:color w:val="FFFFFF" w:themeColor="background1"/>
                                <w:sz w:val="22"/>
                                <w:lang w:val="es-ES"/>
                              </w:rPr>
                              <w:t>27</w:t>
                            </w:r>
                          </w:p>
                          <w:p w:rsidR="000309D4" w:rsidRPr="00446EF2" w:rsidRDefault="00446EF2"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es-CL"/>
                              </w:rPr>
                            </w:pPr>
                            <w:r w:rsidRPr="00446EF2">
                              <w:rPr>
                                <w:rFonts w:ascii="Calibri" w:hAnsi="Calibri"/>
                                <w:color w:val="FFFFFF" w:themeColor="background1"/>
                                <w:sz w:val="22"/>
                                <w:lang w:val="es-CL"/>
                              </w:rPr>
                              <w:t>15</w:t>
                            </w:r>
                            <w:r w:rsidR="000309D4" w:rsidRPr="00446EF2">
                              <w:rPr>
                                <w:rFonts w:ascii="Calibri" w:hAnsi="Calibri"/>
                                <w:color w:val="FFFFFF" w:themeColor="background1"/>
                                <w:sz w:val="22"/>
                                <w:lang w:val="es-CL"/>
                              </w:rPr>
                              <w:t xml:space="preserve"> </w:t>
                            </w:r>
                            <w:r w:rsidRPr="00446EF2">
                              <w:rPr>
                                <w:rFonts w:ascii="Calibri" w:hAnsi="Calibri"/>
                                <w:color w:val="FFFFFF" w:themeColor="background1"/>
                                <w:sz w:val="22"/>
                                <w:lang w:val="es-CL"/>
                              </w:rPr>
                              <w:t>abril</w:t>
                            </w:r>
                            <w:r w:rsidR="000309D4" w:rsidRPr="00446EF2">
                              <w:rPr>
                                <w:rFonts w:ascii="Calibri" w:hAnsi="Calibri"/>
                                <w:color w:val="FFFFFF" w:themeColor="background1"/>
                                <w:sz w:val="22"/>
                                <w:lang w:val="es-CL"/>
                              </w:rPr>
                              <w:t xml:space="preserve"> 201</w:t>
                            </w:r>
                            <w:r w:rsidRPr="00446EF2">
                              <w:rPr>
                                <w:rFonts w:ascii="Calibri" w:hAnsi="Calibri"/>
                                <w:color w:val="FFFFFF" w:themeColor="background1"/>
                                <w:sz w:val="22"/>
                                <w:lang w:val="es-CL"/>
                              </w:rPr>
                              <w:t>6</w:t>
                            </w:r>
                          </w:p>
                          <w:p w:rsidR="000309D4" w:rsidRPr="00446EF2" w:rsidRDefault="000309D4"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es-CL"/>
                              </w:rPr>
                            </w:pPr>
                            <w:r w:rsidRPr="00446EF2">
                              <w:rPr>
                                <w:rFonts w:ascii="Calibri" w:hAnsi="Calibri"/>
                                <w:color w:val="FFFFFF" w:themeColor="background1"/>
                                <w:sz w:val="22"/>
                                <w:lang w:val="es-CL"/>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0309D4" w:rsidRPr="00446EF2" w:rsidRDefault="000309D4"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es-ES"/>
                        </w:rPr>
                      </w:pPr>
                      <w:r w:rsidRPr="00446EF2">
                        <w:rPr>
                          <w:rFonts w:ascii="Calibri" w:hAnsi="Calibri"/>
                          <w:color w:val="FFFFFF" w:themeColor="background1"/>
                          <w:sz w:val="22"/>
                          <w:lang w:val="es-ES"/>
                        </w:rPr>
                        <w:t>OEA/Ser.L/V/II.15</w:t>
                      </w:r>
                      <w:r w:rsidR="00446EF2" w:rsidRPr="00446EF2">
                        <w:rPr>
                          <w:rFonts w:ascii="Calibri" w:hAnsi="Calibri"/>
                          <w:color w:val="FFFFFF" w:themeColor="background1"/>
                          <w:sz w:val="22"/>
                          <w:lang w:val="es-ES"/>
                        </w:rPr>
                        <w:t>7</w:t>
                      </w:r>
                    </w:p>
                    <w:p w:rsidR="000309D4" w:rsidRPr="00446EF2" w:rsidRDefault="000309D4"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es-ES"/>
                        </w:rPr>
                      </w:pPr>
                      <w:r w:rsidRPr="00446EF2">
                        <w:rPr>
                          <w:rFonts w:ascii="Calibri" w:hAnsi="Calibri"/>
                          <w:color w:val="FFFFFF" w:themeColor="background1"/>
                          <w:sz w:val="22"/>
                          <w:lang w:val="es-ES"/>
                        </w:rPr>
                        <w:t xml:space="preserve">Doc. </w:t>
                      </w:r>
                      <w:r w:rsidR="00446EF2" w:rsidRPr="00446EF2">
                        <w:rPr>
                          <w:rFonts w:ascii="Calibri" w:hAnsi="Calibri"/>
                          <w:color w:val="FFFFFF" w:themeColor="background1"/>
                          <w:sz w:val="22"/>
                          <w:lang w:val="es-ES"/>
                        </w:rPr>
                        <w:t>27</w:t>
                      </w:r>
                    </w:p>
                    <w:p w:rsidR="000309D4" w:rsidRPr="00446EF2" w:rsidRDefault="00446EF2"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es-CL"/>
                        </w:rPr>
                      </w:pPr>
                      <w:r w:rsidRPr="00446EF2">
                        <w:rPr>
                          <w:rFonts w:ascii="Calibri" w:hAnsi="Calibri"/>
                          <w:color w:val="FFFFFF" w:themeColor="background1"/>
                          <w:sz w:val="22"/>
                          <w:lang w:val="es-CL"/>
                        </w:rPr>
                        <w:t>15</w:t>
                      </w:r>
                      <w:r w:rsidR="000309D4" w:rsidRPr="00446EF2">
                        <w:rPr>
                          <w:rFonts w:ascii="Calibri" w:hAnsi="Calibri"/>
                          <w:color w:val="FFFFFF" w:themeColor="background1"/>
                          <w:sz w:val="22"/>
                          <w:lang w:val="es-CL"/>
                        </w:rPr>
                        <w:t xml:space="preserve"> </w:t>
                      </w:r>
                      <w:r w:rsidRPr="00446EF2">
                        <w:rPr>
                          <w:rFonts w:ascii="Calibri" w:hAnsi="Calibri"/>
                          <w:color w:val="FFFFFF" w:themeColor="background1"/>
                          <w:sz w:val="22"/>
                          <w:lang w:val="es-CL"/>
                        </w:rPr>
                        <w:t>abril</w:t>
                      </w:r>
                      <w:r w:rsidR="000309D4" w:rsidRPr="00446EF2">
                        <w:rPr>
                          <w:rFonts w:ascii="Calibri" w:hAnsi="Calibri"/>
                          <w:color w:val="FFFFFF" w:themeColor="background1"/>
                          <w:sz w:val="22"/>
                          <w:lang w:val="es-CL"/>
                        </w:rPr>
                        <w:t xml:space="preserve"> 201</w:t>
                      </w:r>
                      <w:r w:rsidRPr="00446EF2">
                        <w:rPr>
                          <w:rFonts w:ascii="Calibri" w:hAnsi="Calibri"/>
                          <w:color w:val="FFFFFF" w:themeColor="background1"/>
                          <w:sz w:val="22"/>
                          <w:lang w:val="es-CL"/>
                        </w:rPr>
                        <w:t>6</w:t>
                      </w:r>
                    </w:p>
                    <w:p w:rsidR="000309D4" w:rsidRPr="00446EF2" w:rsidRDefault="000309D4"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es-CL"/>
                        </w:rPr>
                      </w:pPr>
                      <w:r w:rsidRPr="00446EF2">
                        <w:rPr>
                          <w:rFonts w:ascii="Calibri" w:hAnsi="Calibri"/>
                          <w:color w:val="FFFFFF" w:themeColor="background1"/>
                          <w:sz w:val="22"/>
                          <w:lang w:val="es-CL"/>
                        </w:rPr>
                        <w:t>Original: español</w:t>
                      </w:r>
                    </w:p>
                  </w:txbxContent>
                </v:textbox>
              </v:shape>
            </w:pict>
          </mc:Fallback>
        </mc:AlternateContent>
      </w: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Arial"/>
          <w:sz w:val="22"/>
          <w:szCs w:val="22"/>
          <w:lang w:val="es-ES"/>
        </w:rPr>
      </w:pP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0309D4" w:rsidRPr="00F759B1" w:rsidRDefault="00675C4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r w:rsidRPr="00F759B1">
        <w:rPr>
          <w:noProof/>
        </w:rPr>
        <mc:AlternateContent>
          <mc:Choice Requires="wps">
            <w:drawing>
              <wp:anchor distT="0" distB="0" distL="114300" distR="114300" simplePos="0" relativeHeight="251656192" behindDoc="0" locked="0" layoutInCell="1" allowOverlap="1" wp14:anchorId="4DFC30E0" wp14:editId="5EEBCDA7">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09D4" w:rsidRPr="00446EF2" w:rsidRDefault="000309D4"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s="Univers"/>
                                <w:sz w:val="18"/>
                                <w:szCs w:val="20"/>
                                <w:lang w:val="es-ES_tradnl"/>
                              </w:rPr>
                            </w:pPr>
                            <w:r w:rsidRPr="00446EF2">
                              <w:rPr>
                                <w:rFonts w:ascii="Cambria" w:hAnsi="Cambria"/>
                                <w:sz w:val="18"/>
                                <w:szCs w:val="20"/>
                                <w:lang w:val="es-ES"/>
                              </w:rPr>
                              <w:t xml:space="preserve">Aprobado por la Comisión en su sesión No. </w:t>
                            </w:r>
                            <w:r w:rsidR="00446EF2" w:rsidRPr="00446EF2">
                              <w:rPr>
                                <w:rFonts w:ascii="Cambria" w:hAnsi="Cambria"/>
                                <w:sz w:val="18"/>
                                <w:szCs w:val="20"/>
                                <w:lang w:val="es-ES"/>
                              </w:rPr>
                              <w:t>2065</w:t>
                            </w:r>
                            <w:r w:rsidRPr="00446EF2">
                              <w:rPr>
                                <w:rFonts w:ascii="Cambria" w:hAnsi="Cambria"/>
                                <w:sz w:val="18"/>
                                <w:szCs w:val="20"/>
                                <w:lang w:val="es-ES"/>
                              </w:rPr>
                              <w:t xml:space="preserve"> celebrada el </w:t>
                            </w:r>
                            <w:r w:rsidR="00446EF2" w:rsidRPr="00446EF2">
                              <w:rPr>
                                <w:rFonts w:ascii="Cambria" w:hAnsi="Cambria"/>
                                <w:sz w:val="18"/>
                                <w:szCs w:val="20"/>
                                <w:lang w:val="es-ES"/>
                              </w:rPr>
                              <w:t>15</w:t>
                            </w:r>
                            <w:r w:rsidRPr="00446EF2">
                              <w:rPr>
                                <w:rFonts w:ascii="Cambria" w:hAnsi="Cambria"/>
                                <w:sz w:val="18"/>
                                <w:szCs w:val="20"/>
                                <w:lang w:val="es-ES"/>
                              </w:rPr>
                              <w:t xml:space="preserve"> de </w:t>
                            </w:r>
                            <w:r w:rsidR="00446EF2" w:rsidRPr="00446EF2">
                              <w:rPr>
                                <w:rFonts w:ascii="Cambria" w:hAnsi="Cambria"/>
                                <w:sz w:val="18"/>
                                <w:szCs w:val="20"/>
                                <w:lang w:val="es-ES"/>
                              </w:rPr>
                              <w:t>abril</w:t>
                            </w:r>
                            <w:r w:rsidRPr="00446EF2">
                              <w:rPr>
                                <w:rFonts w:ascii="Cambria" w:hAnsi="Cambria"/>
                                <w:sz w:val="18"/>
                                <w:szCs w:val="20"/>
                                <w:lang w:val="es-ES"/>
                              </w:rPr>
                              <w:t xml:space="preserve"> </w:t>
                            </w:r>
                            <w:r w:rsidR="00446EF2" w:rsidRPr="00446EF2">
                              <w:rPr>
                                <w:rFonts w:ascii="Cambria" w:hAnsi="Cambria"/>
                                <w:sz w:val="18"/>
                                <w:szCs w:val="20"/>
                                <w:lang w:val="es-ES"/>
                              </w:rPr>
                              <w:t>de 2016.</w:t>
                            </w:r>
                            <w:r w:rsidRPr="00446EF2">
                              <w:rPr>
                                <w:rFonts w:ascii="Cambria" w:hAnsi="Cambria"/>
                                <w:sz w:val="18"/>
                                <w:szCs w:val="20"/>
                                <w:lang w:val="es-ES"/>
                              </w:rPr>
                              <w:br/>
                            </w:r>
                            <w:r w:rsidR="00446EF2" w:rsidRPr="00446EF2">
                              <w:rPr>
                                <w:rFonts w:ascii="Cambria" w:hAnsi="Cambria" w:cs="Univers"/>
                                <w:sz w:val="18"/>
                                <w:szCs w:val="20"/>
                                <w:lang w:val="es-ES_tradnl"/>
                              </w:rPr>
                              <w:t>157</w:t>
                            </w:r>
                            <w:r w:rsidRPr="00446EF2">
                              <w:rPr>
                                <w:rFonts w:ascii="Cambria" w:hAnsi="Cambria" w:cs="Univers"/>
                                <w:sz w:val="18"/>
                                <w:szCs w:val="20"/>
                                <w:lang w:val="es-ES_tradnl"/>
                              </w:rPr>
                              <w:t>º período ordinario de sesiones</w:t>
                            </w:r>
                            <w:r w:rsidR="00446EF2" w:rsidRPr="00446EF2">
                              <w:rPr>
                                <w:rFonts w:ascii="Cambria" w:hAnsi="Cambria" w:cs="Univers"/>
                                <w:sz w:val="18"/>
                                <w:szCs w:val="20"/>
                                <w:lang w:val="es-ES_tradnl"/>
                              </w:rPr>
                              <w:t>.</w:t>
                            </w:r>
                          </w:p>
                          <w:p w:rsidR="000309D4" w:rsidRPr="005D60C5" w:rsidRDefault="000309D4"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rsidR="000309D4" w:rsidRPr="005D60C5" w:rsidRDefault="000309D4"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rsidR="000309D4" w:rsidRPr="00446EF2" w:rsidRDefault="000309D4"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s="Univers"/>
                          <w:sz w:val="18"/>
                          <w:szCs w:val="20"/>
                          <w:lang w:val="es-ES_tradnl"/>
                        </w:rPr>
                      </w:pPr>
                      <w:r w:rsidRPr="00446EF2">
                        <w:rPr>
                          <w:rFonts w:ascii="Cambria" w:hAnsi="Cambria"/>
                          <w:sz w:val="18"/>
                          <w:szCs w:val="20"/>
                          <w:lang w:val="es-ES"/>
                        </w:rPr>
                        <w:t xml:space="preserve">Aprobado por la Comisión en su sesión No. </w:t>
                      </w:r>
                      <w:r w:rsidR="00446EF2" w:rsidRPr="00446EF2">
                        <w:rPr>
                          <w:rFonts w:ascii="Cambria" w:hAnsi="Cambria"/>
                          <w:sz w:val="18"/>
                          <w:szCs w:val="20"/>
                          <w:lang w:val="es-ES"/>
                        </w:rPr>
                        <w:t>2065</w:t>
                      </w:r>
                      <w:r w:rsidRPr="00446EF2">
                        <w:rPr>
                          <w:rFonts w:ascii="Cambria" w:hAnsi="Cambria"/>
                          <w:sz w:val="18"/>
                          <w:szCs w:val="20"/>
                          <w:lang w:val="es-ES"/>
                        </w:rPr>
                        <w:t xml:space="preserve"> celebrada el </w:t>
                      </w:r>
                      <w:r w:rsidR="00446EF2" w:rsidRPr="00446EF2">
                        <w:rPr>
                          <w:rFonts w:ascii="Cambria" w:hAnsi="Cambria"/>
                          <w:sz w:val="18"/>
                          <w:szCs w:val="20"/>
                          <w:lang w:val="es-ES"/>
                        </w:rPr>
                        <w:t>15</w:t>
                      </w:r>
                      <w:r w:rsidRPr="00446EF2">
                        <w:rPr>
                          <w:rFonts w:ascii="Cambria" w:hAnsi="Cambria"/>
                          <w:sz w:val="18"/>
                          <w:szCs w:val="20"/>
                          <w:lang w:val="es-ES"/>
                        </w:rPr>
                        <w:t xml:space="preserve"> de </w:t>
                      </w:r>
                      <w:r w:rsidR="00446EF2" w:rsidRPr="00446EF2">
                        <w:rPr>
                          <w:rFonts w:ascii="Cambria" w:hAnsi="Cambria"/>
                          <w:sz w:val="18"/>
                          <w:szCs w:val="20"/>
                          <w:lang w:val="es-ES"/>
                        </w:rPr>
                        <w:t>abril</w:t>
                      </w:r>
                      <w:r w:rsidRPr="00446EF2">
                        <w:rPr>
                          <w:rFonts w:ascii="Cambria" w:hAnsi="Cambria"/>
                          <w:sz w:val="18"/>
                          <w:szCs w:val="20"/>
                          <w:lang w:val="es-ES"/>
                        </w:rPr>
                        <w:t xml:space="preserve"> </w:t>
                      </w:r>
                      <w:r w:rsidR="00446EF2" w:rsidRPr="00446EF2">
                        <w:rPr>
                          <w:rFonts w:ascii="Cambria" w:hAnsi="Cambria"/>
                          <w:sz w:val="18"/>
                          <w:szCs w:val="20"/>
                          <w:lang w:val="es-ES"/>
                        </w:rPr>
                        <w:t>de 2016.</w:t>
                      </w:r>
                      <w:r w:rsidRPr="00446EF2">
                        <w:rPr>
                          <w:rFonts w:ascii="Cambria" w:hAnsi="Cambria"/>
                          <w:sz w:val="18"/>
                          <w:szCs w:val="20"/>
                          <w:lang w:val="es-ES"/>
                        </w:rPr>
                        <w:br/>
                      </w:r>
                      <w:r w:rsidR="00446EF2" w:rsidRPr="00446EF2">
                        <w:rPr>
                          <w:rFonts w:ascii="Cambria" w:hAnsi="Cambria" w:cs="Univers"/>
                          <w:sz w:val="18"/>
                          <w:szCs w:val="20"/>
                          <w:lang w:val="es-ES_tradnl"/>
                        </w:rPr>
                        <w:t>157</w:t>
                      </w:r>
                      <w:r w:rsidRPr="00446EF2">
                        <w:rPr>
                          <w:rFonts w:ascii="Cambria" w:hAnsi="Cambria" w:cs="Univers"/>
                          <w:sz w:val="18"/>
                          <w:szCs w:val="20"/>
                          <w:lang w:val="es-ES_tradnl"/>
                        </w:rPr>
                        <w:t>º período ordinario de sesiones</w:t>
                      </w:r>
                      <w:r w:rsidR="00446EF2" w:rsidRPr="00446EF2">
                        <w:rPr>
                          <w:rFonts w:ascii="Cambria" w:hAnsi="Cambria" w:cs="Univers"/>
                          <w:sz w:val="18"/>
                          <w:szCs w:val="20"/>
                          <w:lang w:val="es-ES_tradnl"/>
                        </w:rPr>
                        <w:t>.</w:t>
                      </w:r>
                    </w:p>
                    <w:p w:rsidR="000309D4" w:rsidRPr="005D60C5" w:rsidRDefault="000309D4"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rsidR="000309D4" w:rsidRPr="005D60C5" w:rsidRDefault="000309D4"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v:textbox>
              </v:shape>
            </w:pict>
          </mc:Fallback>
        </mc:AlternateContent>
      </w: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0309D4" w:rsidRPr="00F759B1" w:rsidRDefault="00675C4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r w:rsidRPr="00F759B1">
        <w:rPr>
          <w:noProof/>
        </w:rPr>
        <mc:AlternateContent>
          <mc:Choice Requires="wps">
            <w:drawing>
              <wp:anchor distT="0" distB="0" distL="114300" distR="114300" simplePos="0" relativeHeight="251659264" behindDoc="0" locked="0" layoutInCell="1" allowOverlap="1" wp14:anchorId="173D5610" wp14:editId="271B67D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09D4" w:rsidRPr="00446EF2" w:rsidRDefault="000309D4"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_tradnl"/>
                              </w:rPr>
                            </w:pPr>
                            <w:r w:rsidRPr="00446EF2">
                              <w:rPr>
                                <w:rFonts w:ascii="Cambria" w:hAnsi="Cambria"/>
                                <w:b/>
                                <w:color w:val="595959"/>
                                <w:sz w:val="18"/>
                                <w:szCs w:val="18"/>
                                <w:lang w:val="es-ES"/>
                              </w:rPr>
                              <w:t>Citar como:</w:t>
                            </w:r>
                            <w:r w:rsidRPr="00446EF2">
                              <w:rPr>
                                <w:rFonts w:ascii="Cambria" w:hAnsi="Cambria"/>
                                <w:color w:val="595959"/>
                                <w:sz w:val="18"/>
                                <w:szCs w:val="18"/>
                                <w:lang w:val="es-ES"/>
                              </w:rPr>
                              <w:t xml:space="preserve"> CIDH, Informe No. </w:t>
                            </w:r>
                            <w:r w:rsidR="00446EF2">
                              <w:rPr>
                                <w:rFonts w:ascii="Cambria" w:hAnsi="Cambria"/>
                                <w:color w:val="595959"/>
                                <w:sz w:val="18"/>
                                <w:szCs w:val="18"/>
                                <w:lang w:val="es-ES_tradnl"/>
                              </w:rPr>
                              <w:t xml:space="preserve">23/16, Petición 873-04. </w:t>
                            </w:r>
                            <w:r w:rsidRPr="005D60C5">
                              <w:rPr>
                                <w:rFonts w:ascii="Cambria" w:hAnsi="Cambria"/>
                                <w:color w:val="595959"/>
                                <w:sz w:val="18"/>
                                <w:szCs w:val="18"/>
                                <w:lang w:val="es-ES_tradnl"/>
                              </w:rPr>
                              <w:t>Admisibilidad</w:t>
                            </w:r>
                            <w:r w:rsidR="00446EF2">
                              <w:rPr>
                                <w:rFonts w:ascii="Cambria" w:hAnsi="Cambria"/>
                                <w:color w:val="595959"/>
                                <w:sz w:val="18"/>
                                <w:szCs w:val="18"/>
                                <w:lang w:val="es-ES_tradnl"/>
                              </w:rPr>
                              <w:t>. José Alejandro Reséndiz Olvera. México</w:t>
                            </w:r>
                            <w:r w:rsidRPr="005D60C5">
                              <w:rPr>
                                <w:rFonts w:ascii="Cambria" w:hAnsi="Cambria"/>
                                <w:color w:val="595959"/>
                                <w:sz w:val="18"/>
                                <w:szCs w:val="18"/>
                                <w:lang w:val="es-ES_tradnl"/>
                              </w:rPr>
                              <w:t xml:space="preserve">. </w:t>
                            </w:r>
                            <w:r w:rsidR="00446EF2">
                              <w:rPr>
                                <w:rFonts w:ascii="Cambria" w:hAnsi="Cambria"/>
                                <w:color w:val="595959"/>
                                <w:sz w:val="18"/>
                                <w:szCs w:val="18"/>
                                <w:lang w:val="es-ES"/>
                              </w:rPr>
                              <w:t>15 de abril de 2016</w:t>
                            </w:r>
                            <w:r w:rsidRPr="005D60C5">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0309D4" w:rsidRPr="00446EF2" w:rsidRDefault="000309D4"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_tradnl"/>
                        </w:rPr>
                      </w:pPr>
                      <w:r w:rsidRPr="00446EF2">
                        <w:rPr>
                          <w:rFonts w:ascii="Cambria" w:hAnsi="Cambria"/>
                          <w:b/>
                          <w:color w:val="595959"/>
                          <w:sz w:val="18"/>
                          <w:szCs w:val="18"/>
                          <w:lang w:val="es-ES"/>
                        </w:rPr>
                        <w:t>Citar como:</w:t>
                      </w:r>
                      <w:r w:rsidRPr="00446EF2">
                        <w:rPr>
                          <w:rFonts w:ascii="Cambria" w:hAnsi="Cambria"/>
                          <w:color w:val="595959"/>
                          <w:sz w:val="18"/>
                          <w:szCs w:val="18"/>
                          <w:lang w:val="es-ES"/>
                        </w:rPr>
                        <w:t xml:space="preserve"> CIDH, Informe No. </w:t>
                      </w:r>
                      <w:r w:rsidR="00446EF2">
                        <w:rPr>
                          <w:rFonts w:ascii="Cambria" w:hAnsi="Cambria"/>
                          <w:color w:val="595959"/>
                          <w:sz w:val="18"/>
                          <w:szCs w:val="18"/>
                          <w:lang w:val="es-ES_tradnl"/>
                        </w:rPr>
                        <w:t xml:space="preserve">23/16, Petición 873-04. </w:t>
                      </w:r>
                      <w:r w:rsidRPr="005D60C5">
                        <w:rPr>
                          <w:rFonts w:ascii="Cambria" w:hAnsi="Cambria"/>
                          <w:color w:val="595959"/>
                          <w:sz w:val="18"/>
                          <w:szCs w:val="18"/>
                          <w:lang w:val="es-ES_tradnl"/>
                        </w:rPr>
                        <w:t>Admisibilidad</w:t>
                      </w:r>
                      <w:r w:rsidR="00446EF2">
                        <w:rPr>
                          <w:rFonts w:ascii="Cambria" w:hAnsi="Cambria"/>
                          <w:color w:val="595959"/>
                          <w:sz w:val="18"/>
                          <w:szCs w:val="18"/>
                          <w:lang w:val="es-ES_tradnl"/>
                        </w:rPr>
                        <w:t>. José Alejandro Reséndiz Olvera. México</w:t>
                      </w:r>
                      <w:r w:rsidRPr="005D60C5">
                        <w:rPr>
                          <w:rFonts w:ascii="Cambria" w:hAnsi="Cambria"/>
                          <w:color w:val="595959"/>
                          <w:sz w:val="18"/>
                          <w:szCs w:val="18"/>
                          <w:lang w:val="es-ES_tradnl"/>
                        </w:rPr>
                        <w:t xml:space="preserve">. </w:t>
                      </w:r>
                      <w:r w:rsidR="00446EF2">
                        <w:rPr>
                          <w:rFonts w:ascii="Cambria" w:hAnsi="Cambria"/>
                          <w:color w:val="595959"/>
                          <w:sz w:val="18"/>
                          <w:szCs w:val="18"/>
                          <w:lang w:val="es-ES"/>
                        </w:rPr>
                        <w:t>15 de abril de 2016</w:t>
                      </w:r>
                      <w:r w:rsidRPr="005D60C5">
                        <w:rPr>
                          <w:rFonts w:ascii="Cambria" w:hAnsi="Cambria"/>
                          <w:color w:val="595959"/>
                          <w:sz w:val="18"/>
                          <w:szCs w:val="18"/>
                          <w:lang w:val="es-ES"/>
                        </w:rPr>
                        <w:t>.</w:t>
                      </w:r>
                    </w:p>
                  </w:txbxContent>
                </v:textbox>
              </v:shape>
            </w:pict>
          </mc:Fallback>
        </mc:AlternateContent>
      </w:r>
    </w:p>
    <w:p w:rsidR="000309D4" w:rsidRPr="00F759B1" w:rsidRDefault="000309D4"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0309D4" w:rsidRPr="00F759B1" w:rsidRDefault="00675C44"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
        </w:rPr>
      </w:pPr>
      <w:r w:rsidRPr="00F759B1">
        <w:rPr>
          <w:noProof/>
        </w:rPr>
        <mc:AlternateContent>
          <mc:Choice Requires="wps">
            <w:drawing>
              <wp:anchor distT="0" distB="0" distL="114300" distR="114300" simplePos="0" relativeHeight="251660288" behindDoc="0" locked="0" layoutInCell="1" allowOverlap="1" wp14:anchorId="616BC6F9" wp14:editId="7EBD21CF">
                <wp:simplePos x="0" y="0"/>
                <wp:positionH relativeFrom="column">
                  <wp:posOffset>1329690</wp:posOffset>
                </wp:positionH>
                <wp:positionV relativeFrom="paragraph">
                  <wp:posOffset>638810</wp:posOffset>
                </wp:positionV>
                <wp:extent cx="4096385" cy="567055"/>
                <wp:effectExtent l="0" t="0" r="0" b="444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309D4" w:rsidRPr="005D60C5" w:rsidRDefault="00675C44"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14:anchorId="4F4B1EA8" wp14:editId="0FE3F7BD">
                                  <wp:extent cx="1323975" cy="351155"/>
                                  <wp:effectExtent l="0" t="0" r="9525"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3511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qHhQIAABY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" stroked="f" strokeweight=".5pt">
                <v:textbox>
                  <w:txbxContent>
                    <w:p w:rsidR="000309D4" w:rsidRPr="005D60C5" w:rsidRDefault="00675C44"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extent cx="1323975" cy="351155"/>
                            <wp:effectExtent l="0" t="0" r="9525"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351155"/>
                                    </a:xfrm>
                                    <a:prstGeom prst="rect">
                                      <a:avLst/>
                                    </a:prstGeom>
                                    <a:noFill/>
                                    <a:ln>
                                      <a:noFill/>
                                    </a:ln>
                                  </pic:spPr>
                                </pic:pic>
                              </a:graphicData>
                            </a:graphic>
                          </wp:inline>
                        </w:drawing>
                      </w:r>
                    </w:p>
                  </w:txbxContent>
                </v:textbox>
              </v:shape>
            </w:pict>
          </mc:Fallback>
        </mc:AlternateContent>
      </w:r>
      <w:r w:rsidRPr="00F759B1">
        <w:rPr>
          <w:noProof/>
        </w:rPr>
        <mc:AlternateContent>
          <mc:Choice Requires="wps">
            <w:drawing>
              <wp:anchor distT="0" distB="0" distL="114300" distR="114300" simplePos="0" relativeHeight="251661312" behindDoc="0" locked="0" layoutInCell="1" allowOverlap="1" wp14:anchorId="38C6FCDC" wp14:editId="44DF44BC">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09D4" w:rsidRPr="005D60C5" w:rsidRDefault="000309D4"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5D60C5">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dDjA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" filled="f" stroked="f" strokeweight=".5pt">
                <v:path arrowok="t"/>
                <v:textbox>
                  <w:txbxContent>
                    <w:p w:rsidR="000309D4" w:rsidRPr="005D60C5" w:rsidRDefault="000309D4"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5D60C5">
                        <w:rPr>
                          <w:rFonts w:ascii="Calibri" w:hAnsi="Calibri"/>
                          <w:b/>
                          <w:color w:val="FFFFFF"/>
                          <w:lang w:val="pt-BR"/>
                        </w:rPr>
                        <w:t>www.cidh.org</w:t>
                      </w:r>
                    </w:p>
                  </w:txbxContent>
                </v:textbox>
              </v:shape>
            </w:pict>
          </mc:Fallback>
        </mc:AlternateContent>
      </w:r>
    </w:p>
    <w:p w:rsidR="000309D4" w:rsidRPr="00F759B1" w:rsidRDefault="000309D4"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
        </w:rPr>
        <w:sectPr w:rsidR="000309D4" w:rsidRPr="00F759B1"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rtlGutter/>
          <w:docGrid w:linePitch="326"/>
        </w:sectPr>
      </w:pPr>
    </w:p>
    <w:p w:rsidR="000309D4" w:rsidRPr="00F759B1" w:rsidRDefault="001A3294"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 w:val="18"/>
          <w:szCs w:val="20"/>
          <w:lang w:val="es-ES"/>
        </w:rPr>
      </w:pPr>
      <w:r>
        <w:rPr>
          <w:rFonts w:ascii="Cambria" w:hAnsi="Cambria"/>
          <w:b/>
          <w:sz w:val="18"/>
          <w:szCs w:val="20"/>
          <w:lang w:val="es-ES"/>
        </w:rPr>
        <w:lastRenderedPageBreak/>
        <w:t xml:space="preserve">INFORME No. </w:t>
      </w:r>
      <w:r w:rsidR="00446EF2">
        <w:rPr>
          <w:rFonts w:ascii="Cambria" w:hAnsi="Cambria"/>
          <w:b/>
          <w:sz w:val="18"/>
          <w:szCs w:val="20"/>
          <w:lang w:val="es-ES"/>
        </w:rPr>
        <w:t>23</w:t>
      </w:r>
      <w:r>
        <w:rPr>
          <w:rFonts w:ascii="Cambria" w:hAnsi="Cambria"/>
          <w:b/>
          <w:sz w:val="18"/>
          <w:szCs w:val="20"/>
          <w:lang w:val="es-ES"/>
        </w:rPr>
        <w:t>/16</w:t>
      </w:r>
      <w:r w:rsidR="000309D4" w:rsidRPr="00F759B1">
        <w:rPr>
          <w:rStyle w:val="FootnoteReference"/>
          <w:rFonts w:ascii="Cambria" w:hAnsi="Cambria"/>
          <w:sz w:val="18"/>
          <w:szCs w:val="18"/>
          <w:lang w:val="es-ES_tradnl"/>
        </w:rPr>
        <w:footnoteReference w:id="2"/>
      </w:r>
    </w:p>
    <w:p w:rsidR="000309D4" w:rsidRPr="00F759B1" w:rsidRDefault="000309D4"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 w:val="18"/>
          <w:szCs w:val="20"/>
          <w:lang w:val="es-ES"/>
        </w:rPr>
      </w:pPr>
      <w:r w:rsidRPr="00F759B1">
        <w:rPr>
          <w:rFonts w:ascii="Cambria" w:hAnsi="Cambria"/>
          <w:b/>
          <w:sz w:val="18"/>
          <w:szCs w:val="20"/>
          <w:lang w:val="es-ES"/>
        </w:rPr>
        <w:t>PETICIÓN P-873-04</w:t>
      </w:r>
    </w:p>
    <w:p w:rsidR="000309D4" w:rsidRPr="00F759B1" w:rsidRDefault="000309D4" w:rsidP="00121F64">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
        </w:rPr>
      </w:pPr>
      <w:r w:rsidRPr="00F759B1">
        <w:rPr>
          <w:rFonts w:ascii="Cambria" w:hAnsi="Cambria"/>
          <w:sz w:val="18"/>
          <w:szCs w:val="20"/>
          <w:lang w:val="es-ES"/>
        </w:rPr>
        <w:t>INFORME DE ADMISIBILIDAD</w:t>
      </w:r>
    </w:p>
    <w:p w:rsidR="000309D4" w:rsidRPr="00F759B1" w:rsidRDefault="000309D4"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CL"/>
        </w:rPr>
      </w:pPr>
      <w:r w:rsidRPr="00F759B1">
        <w:rPr>
          <w:rFonts w:ascii="Cambria" w:hAnsi="Cambria"/>
          <w:sz w:val="18"/>
          <w:szCs w:val="20"/>
          <w:lang w:val="es-ES"/>
        </w:rPr>
        <w:t>JOS</w:t>
      </w:r>
      <w:r w:rsidRPr="00F759B1">
        <w:rPr>
          <w:rFonts w:ascii="Cambria" w:hAnsi="Cambria"/>
          <w:sz w:val="18"/>
          <w:szCs w:val="20"/>
          <w:lang w:val="es-CL"/>
        </w:rPr>
        <w:t>É ALEJANDRO RESÉNDIZ OLVERA</w:t>
      </w:r>
    </w:p>
    <w:p w:rsidR="000309D4" w:rsidRPr="00F759B1" w:rsidRDefault="000309D4"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
        </w:rPr>
      </w:pPr>
      <w:r w:rsidRPr="00F759B1">
        <w:rPr>
          <w:rFonts w:ascii="Cambria" w:hAnsi="Cambria"/>
          <w:sz w:val="18"/>
          <w:szCs w:val="20"/>
          <w:lang w:val="es-ES"/>
        </w:rPr>
        <w:t>MÉXICO</w:t>
      </w:r>
    </w:p>
    <w:p w:rsidR="000309D4" w:rsidRDefault="00446EF2"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
        </w:rPr>
      </w:pPr>
      <w:r>
        <w:rPr>
          <w:rFonts w:ascii="Cambria" w:hAnsi="Cambria"/>
          <w:sz w:val="18"/>
          <w:szCs w:val="20"/>
          <w:lang w:val="es-ES"/>
        </w:rPr>
        <w:t>15 FE ABRIL DE 2016</w:t>
      </w:r>
    </w:p>
    <w:p w:rsidR="00446EF2" w:rsidRPr="00F759B1" w:rsidRDefault="00446EF2"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
        </w:rPr>
      </w:pPr>
    </w:p>
    <w:p w:rsidR="000309D4" w:rsidRPr="00F759B1" w:rsidRDefault="000309D4"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
        </w:rPr>
      </w:pPr>
    </w:p>
    <w:p w:rsidR="000309D4" w:rsidRPr="00F759B1" w:rsidRDefault="000309D4" w:rsidP="00121F64">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lang w:val="es-ES"/>
        </w:rPr>
      </w:pPr>
      <w:r w:rsidRPr="00F759B1">
        <w:rPr>
          <w:rFonts w:ascii="Cambria" w:hAnsi="Cambria"/>
          <w:b/>
          <w:bCs/>
          <w:sz w:val="20"/>
          <w:szCs w:val="20"/>
          <w:lang w:val="es-ES"/>
        </w:rPr>
        <w:t>I.</w:t>
      </w:r>
      <w:r w:rsidRPr="00F759B1">
        <w:rPr>
          <w:rFonts w:ascii="Cambria" w:hAnsi="Cambria"/>
          <w:b/>
          <w:bCs/>
          <w:sz w:val="20"/>
          <w:szCs w:val="20"/>
          <w:lang w:val="es-ES"/>
        </w:rPr>
        <w:tab/>
        <w:t>RESUMEN</w:t>
      </w:r>
    </w:p>
    <w:p w:rsidR="000309D4" w:rsidRPr="00F759B1" w:rsidRDefault="000309D4" w:rsidP="00121F64">
      <w:pPr>
        <w:numPr>
          <w:ilvl w:val="0"/>
          <w:numId w:val="51"/>
        </w:numPr>
        <w:pBdr>
          <w:top w:val="none" w:sz="0" w:space="0" w:color="auto"/>
          <w:left w:val="none" w:sz="0" w:space="0" w:color="auto"/>
          <w:bottom w:val="none" w:sz="0" w:space="0" w:color="auto"/>
          <w:right w:val="none" w:sz="0" w:space="0" w:color="auto"/>
          <w:bar w:val="none" w:sz="0" w:color="auto"/>
        </w:pBdr>
        <w:tabs>
          <w:tab w:val="clear" w:pos="720"/>
          <w:tab w:val="num" w:pos="0"/>
        </w:tabs>
        <w:suppressAutoHyphens/>
        <w:spacing w:after="240"/>
        <w:jc w:val="both"/>
        <w:rPr>
          <w:rFonts w:ascii="Cambria" w:eastAsia="SimSun" w:hAnsi="Cambria"/>
          <w:sz w:val="20"/>
          <w:szCs w:val="20"/>
          <w:lang w:val="es-ES"/>
        </w:rPr>
      </w:pPr>
      <w:r w:rsidRPr="00F759B1">
        <w:rPr>
          <w:rFonts w:ascii="Cambria" w:hAnsi="Cambria"/>
          <w:sz w:val="20"/>
          <w:szCs w:val="20"/>
          <w:lang w:val="es-ES"/>
        </w:rPr>
        <w:t xml:space="preserve">El 13 de septiembre de 2004, la Comisión Interamericana de Derechos Humanos (en adelante “la Comisión” o “la CIDH”) recibió una petición presentada por José Alejandro Reséndiz Olvera en representación propia (en adelante “el peticionario” o “la presunta víctima”), en la cual se alega la responsabilidad internacional de los Estado Unidos Mexicanos </w:t>
      </w:r>
      <w:r w:rsidRPr="00F759B1">
        <w:rPr>
          <w:rFonts w:ascii="Cambria" w:hAnsi="Cambria"/>
          <w:sz w:val="20"/>
          <w:szCs w:val="20"/>
          <w:lang w:val="es-ES_tradnl"/>
        </w:rPr>
        <w:t>(en adelante, “el Estado</w:t>
      </w:r>
      <w:r w:rsidRPr="00F759B1">
        <w:rPr>
          <w:rFonts w:ascii="Cambria" w:hAnsi="Cambria"/>
          <w:sz w:val="20"/>
          <w:szCs w:val="20"/>
          <w:lang w:val="es-ES"/>
        </w:rPr>
        <w:t>”</w:t>
      </w:r>
      <w:r w:rsidRPr="00F759B1">
        <w:rPr>
          <w:rFonts w:ascii="Cambria" w:hAnsi="Cambria"/>
          <w:sz w:val="20"/>
          <w:szCs w:val="20"/>
          <w:lang w:val="es-ES_tradnl"/>
        </w:rPr>
        <w:t>,“el Estado mexicano</w:t>
      </w:r>
      <w:r w:rsidRPr="00F759B1">
        <w:rPr>
          <w:rFonts w:ascii="Cambria" w:hAnsi="Cambria"/>
          <w:sz w:val="20"/>
          <w:szCs w:val="20"/>
          <w:lang w:val="es-ES"/>
        </w:rPr>
        <w:t>”</w:t>
      </w:r>
      <w:r w:rsidRPr="00F759B1">
        <w:rPr>
          <w:rFonts w:ascii="Cambria" w:hAnsi="Cambria"/>
          <w:sz w:val="20"/>
          <w:szCs w:val="20"/>
          <w:lang w:val="es-ES_tradnl"/>
        </w:rPr>
        <w:t xml:space="preserve"> o “México</w:t>
      </w:r>
      <w:r w:rsidRPr="00F759B1">
        <w:rPr>
          <w:rFonts w:ascii="Cambria" w:hAnsi="Cambria"/>
          <w:sz w:val="20"/>
          <w:szCs w:val="20"/>
          <w:lang w:val="es-ES"/>
        </w:rPr>
        <w:t>”</w:t>
      </w:r>
      <w:r w:rsidRPr="00F759B1">
        <w:rPr>
          <w:rFonts w:ascii="Cambria" w:hAnsi="Cambria"/>
          <w:sz w:val="20"/>
          <w:szCs w:val="20"/>
          <w:lang w:val="es-ES_tradnl"/>
        </w:rPr>
        <w:t xml:space="preserve">) </w:t>
      </w:r>
      <w:r w:rsidRPr="00F759B1">
        <w:rPr>
          <w:rFonts w:ascii="Cambria" w:hAnsi="Cambria"/>
          <w:spacing w:val="-2"/>
          <w:sz w:val="20"/>
          <w:lang w:val="es-ES"/>
        </w:rPr>
        <w:t>generada por la supuesta detención ilegal, tortura, malos tratos y violación a las garantías judiciales en su perjuicio.</w:t>
      </w:r>
    </w:p>
    <w:p w:rsidR="000309D4" w:rsidRPr="00F759B1" w:rsidRDefault="000309D4" w:rsidP="00121F64">
      <w:pPr>
        <w:numPr>
          <w:ilvl w:val="0"/>
          <w:numId w:val="51"/>
        </w:numPr>
        <w:pBdr>
          <w:top w:val="none" w:sz="0" w:space="0" w:color="auto"/>
          <w:left w:val="none" w:sz="0" w:space="0" w:color="auto"/>
          <w:bottom w:val="none" w:sz="0" w:space="0" w:color="auto"/>
          <w:right w:val="none" w:sz="0" w:space="0" w:color="auto"/>
          <w:bar w:val="none" w:sz="0" w:color="auto"/>
        </w:pBdr>
        <w:tabs>
          <w:tab w:val="clear" w:pos="720"/>
          <w:tab w:val="num" w:pos="0"/>
        </w:tabs>
        <w:suppressAutoHyphens/>
        <w:jc w:val="both"/>
        <w:rPr>
          <w:rFonts w:ascii="Cambria" w:hAnsi="Cambria"/>
          <w:sz w:val="20"/>
          <w:szCs w:val="20"/>
          <w:lang w:val="es-ES"/>
        </w:rPr>
      </w:pPr>
      <w:r w:rsidRPr="00F759B1">
        <w:rPr>
          <w:rFonts w:ascii="Cambria" w:eastAsia="SimSun" w:hAnsi="Cambria"/>
          <w:sz w:val="20"/>
          <w:szCs w:val="20"/>
          <w:lang w:val="es-ES"/>
        </w:rPr>
        <w:t xml:space="preserve">El peticionario sostiene que </w:t>
      </w:r>
      <w:r w:rsidRPr="00F759B1">
        <w:rPr>
          <w:rFonts w:ascii="Cambria" w:hAnsi="Cambria"/>
          <w:spacing w:val="-2"/>
          <w:sz w:val="20"/>
          <w:lang w:val="es-ES"/>
        </w:rPr>
        <w:t>fue ilegalmente privado de su libertad; torturado con la finalidad de confesar su participación en el homicidio de su cónyuge; procesado sin las debidas garantías judiciales; y sometido a limitaciones arbitrarias en el centro penitenciario donde se encuentra recluido</w:t>
      </w:r>
      <w:r w:rsidRPr="00F759B1">
        <w:rPr>
          <w:rFonts w:ascii="Cambria" w:eastAsia="SimSun" w:hAnsi="Cambria"/>
          <w:sz w:val="20"/>
          <w:szCs w:val="20"/>
          <w:lang w:val="es-ES"/>
        </w:rPr>
        <w:t xml:space="preserve">. Por su parte, el Estado señala que </w:t>
      </w:r>
      <w:r w:rsidRPr="00F759B1">
        <w:rPr>
          <w:rFonts w:ascii="Cambria" w:hAnsi="Cambria"/>
          <w:spacing w:val="-2"/>
          <w:sz w:val="20"/>
          <w:lang w:val="es-CL"/>
        </w:rPr>
        <w:t xml:space="preserve">la petición debe ser declarada inadmisible toda vez que no expone hechos que caractericen violaciones a los derechos humanos del peticionario; y que éste pretende que la Comisión revise las actuaciones de los órganos jurisdiccionales internos actuando como una cuarta instancia. </w:t>
      </w:r>
    </w:p>
    <w:p w:rsidR="000309D4" w:rsidRPr="00F759B1" w:rsidRDefault="000309D4" w:rsidP="00121F64">
      <w:pPr>
        <w:pBdr>
          <w:top w:val="none" w:sz="0" w:space="0" w:color="auto"/>
          <w:left w:val="none" w:sz="0" w:space="0" w:color="auto"/>
          <w:bottom w:val="none" w:sz="0" w:space="0" w:color="auto"/>
          <w:right w:val="none" w:sz="0" w:space="0" w:color="auto"/>
          <w:bar w:val="none" w:sz="0" w:color="auto"/>
        </w:pBdr>
        <w:tabs>
          <w:tab w:val="num" w:pos="0"/>
        </w:tabs>
        <w:suppressAutoHyphens/>
        <w:ind w:firstLine="720"/>
        <w:jc w:val="both"/>
        <w:rPr>
          <w:rFonts w:ascii="Cambria" w:hAnsi="Cambria"/>
          <w:sz w:val="20"/>
          <w:szCs w:val="20"/>
          <w:lang w:val="es-ES"/>
        </w:rPr>
      </w:pPr>
      <w:r w:rsidRPr="00F759B1">
        <w:rPr>
          <w:rFonts w:ascii="Cambria" w:eastAsia="SimSun" w:hAnsi="Cambria"/>
          <w:sz w:val="20"/>
          <w:szCs w:val="20"/>
          <w:lang w:val="es-ES"/>
        </w:rPr>
        <w:t xml:space="preserve"> </w:t>
      </w:r>
    </w:p>
    <w:p w:rsidR="000309D4" w:rsidRPr="00F759B1" w:rsidRDefault="000309D4" w:rsidP="00121F64">
      <w:pPr>
        <w:numPr>
          <w:ilvl w:val="0"/>
          <w:numId w:val="51"/>
        </w:numPr>
        <w:pBdr>
          <w:top w:val="none" w:sz="0" w:space="0" w:color="auto"/>
          <w:left w:val="none" w:sz="0" w:space="0" w:color="auto"/>
          <w:bottom w:val="none" w:sz="0" w:space="0" w:color="auto"/>
          <w:right w:val="none" w:sz="0" w:space="0" w:color="auto"/>
          <w:bar w:val="none" w:sz="0" w:color="auto"/>
        </w:pBdr>
        <w:tabs>
          <w:tab w:val="clear" w:pos="720"/>
          <w:tab w:val="num" w:pos="0"/>
        </w:tabs>
        <w:suppressAutoHyphens/>
        <w:jc w:val="both"/>
        <w:rPr>
          <w:rFonts w:ascii="Cambria" w:hAnsi="Cambria"/>
          <w:sz w:val="20"/>
          <w:lang w:val="es-ES"/>
        </w:rPr>
      </w:pPr>
      <w:r w:rsidRPr="00F759B1">
        <w:rPr>
          <w:rFonts w:ascii="Cambria" w:hAnsi="Cambria"/>
          <w:sz w:val="20"/>
          <w:szCs w:val="20"/>
          <w:lang w:val="es-ES"/>
        </w:rPr>
        <w:t xml:space="preserve">Sin prejuzgar sobre el fondo de la denuncia, tras analizar las posiciones de las partes y en cumplimiento de los requisitos previstos en los artículos 46 y 47 de la Convención Americana sobre Derechos Humanos (en adelante, “Convención Americana” o “Convención”), la Comisión decide declarar la petición admisible a efectos del examen de los alegatos relativos a la presunta violación de los derechos consagrados en los artículos </w:t>
      </w:r>
      <w:r w:rsidRPr="00F759B1">
        <w:rPr>
          <w:rFonts w:ascii="Cambria" w:hAnsi="Cambria"/>
          <w:sz w:val="20"/>
          <w:szCs w:val="20"/>
          <w:lang w:val="es-MX"/>
        </w:rPr>
        <w:t xml:space="preserve">5 (derecho a la integridad personal), 7 (derecho a la libertad personal), 8 (garantías judiciales) y 25 (protección judicial) de la Convención Americana, en concordancia con el artículo 1.1 de ese tratado. Así como con relación a los artículos 1, </w:t>
      </w:r>
      <w:r w:rsidRPr="00F759B1">
        <w:rPr>
          <w:rFonts w:ascii="Cambria" w:hAnsi="Cambria"/>
          <w:sz w:val="20"/>
          <w:szCs w:val="20"/>
          <w:lang w:val="es-ES"/>
        </w:rPr>
        <w:t>6 y 8 de la Convención Interamericana para Prevenir y Sancionar la Tortura. La Comisión decide además notificar esta decisión a las partes, publicarla e incluirla en su Informe Anual para la Asamblea General de la OEA.</w:t>
      </w:r>
    </w:p>
    <w:p w:rsidR="000309D4" w:rsidRPr="00F759B1" w:rsidRDefault="000309D4" w:rsidP="00121F64">
      <w:pPr>
        <w:pBdr>
          <w:top w:val="none" w:sz="0" w:space="0" w:color="auto"/>
          <w:left w:val="none" w:sz="0" w:space="0" w:color="auto"/>
          <w:bottom w:val="none" w:sz="0" w:space="0" w:color="auto"/>
          <w:right w:val="none" w:sz="0" w:space="0" w:color="auto"/>
          <w:bar w:val="none" w:sz="0" w:color="auto"/>
        </w:pBdr>
        <w:tabs>
          <w:tab w:val="num" w:pos="0"/>
        </w:tabs>
        <w:suppressAutoHyphens/>
        <w:ind w:firstLine="720"/>
        <w:jc w:val="both"/>
        <w:rPr>
          <w:rFonts w:ascii="Cambria" w:hAnsi="Cambria"/>
          <w:sz w:val="20"/>
          <w:lang w:val="es-ES"/>
        </w:rPr>
      </w:pPr>
      <w:r w:rsidRPr="00F759B1">
        <w:rPr>
          <w:rFonts w:ascii="Cambria" w:hAnsi="Cambria"/>
          <w:sz w:val="20"/>
          <w:szCs w:val="20"/>
          <w:lang w:val="es-ES"/>
        </w:rPr>
        <w:t xml:space="preserve"> </w:t>
      </w:r>
    </w:p>
    <w:p w:rsidR="000309D4" w:rsidRPr="00F759B1" w:rsidRDefault="000309D4" w:rsidP="00121F64">
      <w:pPr>
        <w:pBdr>
          <w:top w:val="none" w:sz="0" w:space="0" w:color="auto"/>
          <w:left w:val="none" w:sz="0" w:space="0" w:color="auto"/>
          <w:bottom w:val="none" w:sz="0" w:space="0" w:color="auto"/>
          <w:right w:val="none" w:sz="0" w:space="0" w:color="auto"/>
          <w:bar w:val="none" w:sz="0" w:color="auto"/>
        </w:pBdr>
        <w:tabs>
          <w:tab w:val="num" w:pos="0"/>
        </w:tabs>
        <w:spacing w:after="240"/>
        <w:ind w:firstLine="720"/>
        <w:jc w:val="both"/>
        <w:rPr>
          <w:rFonts w:ascii="Cambria" w:hAnsi="Cambria"/>
          <w:b/>
          <w:bCs/>
          <w:sz w:val="20"/>
          <w:szCs w:val="20"/>
          <w:lang w:val="es-ES"/>
        </w:rPr>
      </w:pPr>
      <w:r w:rsidRPr="00F759B1">
        <w:rPr>
          <w:rFonts w:ascii="Cambria" w:hAnsi="Cambria"/>
          <w:b/>
          <w:bCs/>
          <w:sz w:val="20"/>
          <w:szCs w:val="20"/>
          <w:lang w:val="es-ES"/>
        </w:rPr>
        <w:t>II.</w:t>
      </w:r>
      <w:r w:rsidRPr="00F759B1">
        <w:rPr>
          <w:rFonts w:ascii="Cambria" w:hAnsi="Cambria"/>
          <w:b/>
          <w:bCs/>
          <w:sz w:val="20"/>
          <w:szCs w:val="20"/>
          <w:lang w:val="es-ES"/>
        </w:rPr>
        <w:tab/>
        <w:t>TRÁMITE ANTE LA CIDH</w:t>
      </w:r>
    </w:p>
    <w:p w:rsidR="000309D4" w:rsidRPr="00F759B1" w:rsidRDefault="000309D4" w:rsidP="00121F64">
      <w:pPr>
        <w:numPr>
          <w:ilvl w:val="0"/>
          <w:numId w:val="51"/>
        </w:numPr>
        <w:pBdr>
          <w:top w:val="none" w:sz="0" w:space="0" w:color="auto"/>
          <w:left w:val="none" w:sz="0" w:space="0" w:color="auto"/>
          <w:bottom w:val="none" w:sz="0" w:space="0" w:color="auto"/>
          <w:right w:val="none" w:sz="0" w:space="0" w:color="auto"/>
          <w:bar w:val="none" w:sz="0" w:color="auto"/>
        </w:pBdr>
        <w:tabs>
          <w:tab w:val="clear" w:pos="720"/>
          <w:tab w:val="num" w:pos="0"/>
        </w:tabs>
        <w:suppressAutoHyphens/>
        <w:spacing w:after="240"/>
        <w:jc w:val="both"/>
        <w:rPr>
          <w:rFonts w:ascii="Cambria" w:hAnsi="Cambria"/>
          <w:bCs/>
          <w:sz w:val="20"/>
          <w:szCs w:val="20"/>
          <w:lang w:val="es-CL"/>
        </w:rPr>
      </w:pPr>
      <w:r w:rsidRPr="00F759B1">
        <w:rPr>
          <w:rFonts w:ascii="Cambria" w:hAnsi="Cambria"/>
          <w:sz w:val="20"/>
          <w:szCs w:val="20"/>
          <w:lang w:val="es-ES"/>
        </w:rPr>
        <w:t xml:space="preserve">La CIDH recibió la petición el 13 de septiembre de 2004 y transmitió copia de las partes pertinentes al Estado el 28 de diciembre de 2012, otorgándole un plazo de dos meses para someter sus observaciones, con base en el artículo 30.3 de su Reglamento entonces en vigor (en adelante “el Reglamento). </w:t>
      </w:r>
      <w:r w:rsidRPr="00F759B1">
        <w:rPr>
          <w:rFonts w:ascii="Cambria" w:hAnsi="Cambria"/>
          <w:bCs/>
          <w:sz w:val="20"/>
          <w:szCs w:val="20"/>
          <w:lang w:val="es-ES"/>
        </w:rPr>
        <w:t xml:space="preserve">El </w:t>
      </w:r>
      <w:r w:rsidRPr="00F759B1">
        <w:rPr>
          <w:rFonts w:ascii="Cambria" w:hAnsi="Cambria"/>
          <w:sz w:val="20"/>
          <w:szCs w:val="20"/>
          <w:lang w:val="es-ES"/>
        </w:rPr>
        <w:t xml:space="preserve">25 de marzo de 2013 </w:t>
      </w:r>
      <w:r w:rsidRPr="00F759B1">
        <w:rPr>
          <w:rFonts w:ascii="Cambria" w:hAnsi="Cambria"/>
          <w:bCs/>
          <w:sz w:val="20"/>
          <w:szCs w:val="20"/>
          <w:lang w:val="es-ES"/>
        </w:rPr>
        <w:t>se recibió la respuesta del Estado</w:t>
      </w:r>
      <w:r w:rsidRPr="00F759B1">
        <w:rPr>
          <w:rFonts w:ascii="Cambria" w:hAnsi="Cambria"/>
          <w:sz w:val="20"/>
          <w:szCs w:val="20"/>
          <w:lang w:val="es-ES"/>
        </w:rPr>
        <w:t>, la cual fue trasladada al peticionario el 25 de julio de 2013</w:t>
      </w:r>
      <w:r w:rsidRPr="00F759B1">
        <w:rPr>
          <w:rFonts w:ascii="Cambria" w:hAnsi="Cambria"/>
          <w:bCs/>
          <w:sz w:val="20"/>
          <w:szCs w:val="20"/>
          <w:lang w:val="es-ES"/>
        </w:rPr>
        <w:t>.</w:t>
      </w:r>
    </w:p>
    <w:p w:rsidR="000309D4" w:rsidRPr="00F759B1" w:rsidRDefault="000309D4" w:rsidP="00121F64">
      <w:pPr>
        <w:numPr>
          <w:ilvl w:val="0"/>
          <w:numId w:val="51"/>
        </w:numPr>
        <w:pBdr>
          <w:top w:val="none" w:sz="0" w:space="0" w:color="auto"/>
          <w:left w:val="none" w:sz="0" w:space="0" w:color="auto"/>
          <w:bottom w:val="none" w:sz="0" w:space="0" w:color="auto"/>
          <w:right w:val="none" w:sz="0" w:space="0" w:color="auto"/>
          <w:bar w:val="none" w:sz="0" w:color="auto"/>
        </w:pBdr>
        <w:tabs>
          <w:tab w:val="clear" w:pos="720"/>
          <w:tab w:val="num" w:pos="0"/>
        </w:tabs>
        <w:suppressAutoHyphens/>
        <w:spacing w:after="240"/>
        <w:jc w:val="both"/>
        <w:rPr>
          <w:rFonts w:ascii="Cambria" w:hAnsi="Cambria"/>
          <w:bCs/>
          <w:sz w:val="20"/>
          <w:szCs w:val="20"/>
          <w:lang w:val="es-CL"/>
        </w:rPr>
      </w:pPr>
      <w:r w:rsidRPr="00F759B1">
        <w:rPr>
          <w:rFonts w:ascii="Cambria" w:hAnsi="Cambria"/>
          <w:bCs/>
          <w:sz w:val="20"/>
          <w:szCs w:val="20"/>
          <w:lang w:val="es-CL"/>
        </w:rPr>
        <w:t xml:space="preserve">Además, se recibió información adicional del peticionario el 30 de septiembre de 2014 y el 11 de diciembre de 2014; y por parte del Estado el 11 de junio de 2015. Estas comunicaciones fueron debidamente remitidas a la parte contraria. </w:t>
      </w:r>
    </w:p>
    <w:p w:rsidR="00446EF2" w:rsidRDefault="00446EF2">
      <w:pPr>
        <w:pBdr>
          <w:top w:val="none" w:sz="0" w:space="0" w:color="auto"/>
          <w:left w:val="none" w:sz="0" w:space="0" w:color="auto"/>
          <w:bottom w:val="none" w:sz="0" w:space="0" w:color="auto"/>
          <w:right w:val="none" w:sz="0" w:space="0" w:color="auto"/>
          <w:bar w:val="none" w:sz="0" w:color="auto"/>
        </w:pBdr>
        <w:rPr>
          <w:rFonts w:ascii="Cambria" w:hAnsi="Cambria"/>
          <w:b/>
          <w:bCs/>
          <w:sz w:val="20"/>
          <w:szCs w:val="20"/>
          <w:lang w:val="es-ES"/>
        </w:rPr>
      </w:pPr>
      <w:r>
        <w:rPr>
          <w:rFonts w:ascii="Cambria" w:hAnsi="Cambria"/>
          <w:b/>
          <w:bCs/>
          <w:sz w:val="20"/>
          <w:szCs w:val="20"/>
          <w:lang w:val="es-ES"/>
        </w:rPr>
        <w:br w:type="page"/>
      </w:r>
    </w:p>
    <w:p w:rsidR="000309D4" w:rsidRPr="00F759B1" w:rsidRDefault="000309D4" w:rsidP="00121F64">
      <w:pPr>
        <w:pBdr>
          <w:top w:val="none" w:sz="0" w:space="0" w:color="auto"/>
          <w:left w:val="none" w:sz="0" w:space="0" w:color="auto"/>
          <w:bottom w:val="none" w:sz="0" w:space="0" w:color="auto"/>
          <w:right w:val="none" w:sz="0" w:space="0" w:color="auto"/>
          <w:bar w:val="none" w:sz="0" w:color="auto"/>
        </w:pBdr>
        <w:tabs>
          <w:tab w:val="num" w:pos="0"/>
        </w:tabs>
        <w:spacing w:after="240"/>
        <w:ind w:firstLine="720"/>
        <w:jc w:val="both"/>
        <w:rPr>
          <w:rFonts w:ascii="Cambria" w:hAnsi="Cambria"/>
          <w:b/>
          <w:bCs/>
          <w:sz w:val="20"/>
          <w:szCs w:val="20"/>
          <w:lang w:val="es-ES"/>
        </w:rPr>
      </w:pPr>
      <w:r w:rsidRPr="00F759B1">
        <w:rPr>
          <w:rFonts w:ascii="Cambria" w:hAnsi="Cambria"/>
          <w:b/>
          <w:bCs/>
          <w:sz w:val="20"/>
          <w:szCs w:val="20"/>
          <w:lang w:val="es-ES"/>
        </w:rPr>
        <w:lastRenderedPageBreak/>
        <w:t>III.</w:t>
      </w:r>
      <w:r w:rsidRPr="00F759B1">
        <w:rPr>
          <w:rFonts w:ascii="Cambria" w:hAnsi="Cambria"/>
          <w:b/>
          <w:bCs/>
          <w:sz w:val="20"/>
          <w:szCs w:val="20"/>
          <w:lang w:val="es-ES"/>
        </w:rPr>
        <w:tab/>
        <w:t>POSICIÓN DE LAS PARTES</w:t>
      </w:r>
    </w:p>
    <w:p w:rsidR="000309D4" w:rsidRPr="00F759B1" w:rsidRDefault="000309D4" w:rsidP="00121F64">
      <w:pPr>
        <w:pBdr>
          <w:top w:val="none" w:sz="0" w:space="0" w:color="auto"/>
          <w:left w:val="none" w:sz="0" w:space="0" w:color="auto"/>
          <w:bottom w:val="none" w:sz="0" w:space="0" w:color="auto"/>
          <w:right w:val="none" w:sz="0" w:space="0" w:color="auto"/>
          <w:bar w:val="none" w:sz="0" w:color="auto"/>
        </w:pBdr>
        <w:tabs>
          <w:tab w:val="num" w:pos="0"/>
        </w:tabs>
        <w:suppressAutoHyphens/>
        <w:spacing w:after="240"/>
        <w:ind w:firstLine="720"/>
        <w:jc w:val="both"/>
        <w:rPr>
          <w:rFonts w:ascii="Cambria" w:hAnsi="Cambria"/>
          <w:b/>
          <w:bCs/>
          <w:sz w:val="20"/>
          <w:szCs w:val="20"/>
          <w:lang w:val="es-ES"/>
        </w:rPr>
      </w:pPr>
      <w:r w:rsidRPr="00F759B1">
        <w:rPr>
          <w:rFonts w:ascii="Cambria" w:hAnsi="Cambria"/>
          <w:b/>
          <w:bCs/>
          <w:sz w:val="20"/>
          <w:szCs w:val="20"/>
          <w:lang w:val="es-ES"/>
        </w:rPr>
        <w:t>A.</w:t>
      </w:r>
      <w:r w:rsidRPr="00F759B1">
        <w:rPr>
          <w:rFonts w:ascii="Cambria" w:hAnsi="Cambria"/>
          <w:b/>
          <w:bCs/>
          <w:sz w:val="20"/>
          <w:szCs w:val="20"/>
          <w:lang w:val="es-ES"/>
        </w:rPr>
        <w:tab/>
        <w:t>Posición del peticionario</w:t>
      </w:r>
    </w:p>
    <w:p w:rsidR="000309D4" w:rsidRPr="00F759B1" w:rsidRDefault="000309D4" w:rsidP="00121F64">
      <w:pPr>
        <w:pStyle w:val="NormalCambria"/>
        <w:tabs>
          <w:tab w:val="clear" w:pos="1080"/>
          <w:tab w:val="num" w:pos="0"/>
        </w:tabs>
        <w:ind w:left="0"/>
      </w:pPr>
      <w:r w:rsidRPr="00F759B1">
        <w:t>El peticionario refiere que el 20 de mayo de 2000 al llegar a su domicilio</w:t>
      </w:r>
      <w:r w:rsidR="002C1FEA" w:rsidRPr="00F759B1">
        <w:t xml:space="preserve"> en la c</w:t>
      </w:r>
      <w:r w:rsidRPr="00F759B1">
        <w:t>iudad de Querétaro encontró la puerta entreabierta y observó que el interior del inmueble se encontraba violentado. Señala que encontró a su hija en su recámara sin daño alguno, luego se desplazó a otra de las habitaciones y encontró el cadáver de su cónyuge, por lo que inmediatamente informó a las autoridades vía telefónica. Minutos después elementos de varias dependencias policiales llegaron al domicilio, donde se llevaron a cabo diversas diligencias y se le notificó al peticionario que debía comparecer a las oficinas del Ministerio Público conocidas como “El Trébol”, a efecto de reconocer el cadáver y rendir su declaración.</w:t>
      </w:r>
    </w:p>
    <w:p w:rsidR="000309D4" w:rsidRPr="00F759B1" w:rsidRDefault="000309D4" w:rsidP="00121F64">
      <w:pPr>
        <w:pStyle w:val="Normallatin"/>
        <w:numPr>
          <w:ilvl w:val="0"/>
          <w:numId w:val="0"/>
        </w:numPr>
        <w:tabs>
          <w:tab w:val="num" w:pos="0"/>
          <w:tab w:val="left" w:pos="720"/>
        </w:tabs>
        <w:ind w:firstLine="720"/>
        <w:rPr>
          <w:rFonts w:eastAsia="MS Mincho"/>
        </w:rPr>
      </w:pPr>
    </w:p>
    <w:p w:rsidR="000309D4" w:rsidRPr="00F759B1" w:rsidRDefault="000309D4" w:rsidP="00CA5993">
      <w:pPr>
        <w:pStyle w:val="Normallatin"/>
        <w:numPr>
          <w:ilvl w:val="0"/>
          <w:numId w:val="51"/>
        </w:numPr>
        <w:tabs>
          <w:tab w:val="clear" w:pos="720"/>
          <w:tab w:val="num" w:pos="0"/>
        </w:tabs>
        <w:ind w:left="0"/>
        <w:rPr>
          <w:rStyle w:val="NormalCambriaChar"/>
          <w:sz w:val="20"/>
          <w:szCs w:val="20"/>
        </w:rPr>
      </w:pPr>
      <w:r w:rsidRPr="00F759B1">
        <w:rPr>
          <w:rStyle w:val="NormalCambriaChar"/>
          <w:sz w:val="20"/>
          <w:szCs w:val="20"/>
        </w:rPr>
        <w:t xml:space="preserve">Durante la investigación iniciada por el Ministerio Público el peticionario afirma haber sido víctima de hostigamiento por parte de elementos de la policía ministerial, el cual habría consistido en seguimientos a sus desplazamientos e incluso interrogatorios a personas cercanas a su círculo social sin las formalidades legales. Estos actos habrían durado aproximadamente seis meses. Indica que el 21 de octubre de 2000 fue interceptado por un vehículo particular, ante el temor trató de huir, pero fue detenido violentamente y presentado en la agencia del Ministerio Público de “El Pueblito”. Señala que en dicha agencia fue obligado a desnudarse para posteriormente ser torturado y forzado a declarar su coparticipación en el asesinato de su cónyuge. </w:t>
      </w:r>
    </w:p>
    <w:p w:rsidR="000309D4" w:rsidRPr="00F759B1" w:rsidRDefault="000309D4" w:rsidP="00FE4991">
      <w:pPr>
        <w:pStyle w:val="Normallatin"/>
        <w:numPr>
          <w:ilvl w:val="0"/>
          <w:numId w:val="0"/>
        </w:numPr>
        <w:rPr>
          <w:rStyle w:val="NormalCambriaChar"/>
          <w:sz w:val="20"/>
          <w:szCs w:val="20"/>
        </w:rPr>
      </w:pPr>
    </w:p>
    <w:p w:rsidR="000309D4" w:rsidRPr="00F759B1" w:rsidRDefault="000309D4" w:rsidP="00CA5993">
      <w:pPr>
        <w:pStyle w:val="Normallatin"/>
        <w:numPr>
          <w:ilvl w:val="0"/>
          <w:numId w:val="51"/>
        </w:numPr>
        <w:tabs>
          <w:tab w:val="clear" w:pos="720"/>
          <w:tab w:val="num" w:pos="0"/>
        </w:tabs>
        <w:ind w:left="0"/>
        <w:rPr>
          <w:rFonts w:eastAsia="MS Mincho"/>
        </w:rPr>
      </w:pPr>
      <w:r w:rsidRPr="00F759B1">
        <w:rPr>
          <w:rStyle w:val="NormalCambriaChar"/>
          <w:sz w:val="20"/>
          <w:szCs w:val="20"/>
        </w:rPr>
        <w:t>El peticionario manifiesta que</w:t>
      </w:r>
      <w:r w:rsidR="002C1FEA" w:rsidRPr="00F759B1">
        <w:rPr>
          <w:rStyle w:val="NormalCambriaChar"/>
          <w:sz w:val="20"/>
          <w:szCs w:val="20"/>
        </w:rPr>
        <w:t>,</w:t>
      </w:r>
      <w:r w:rsidRPr="00F759B1">
        <w:rPr>
          <w:rStyle w:val="NormalCambriaChar"/>
          <w:sz w:val="20"/>
          <w:szCs w:val="20"/>
        </w:rPr>
        <w:t xml:space="preserve"> trascurridas unas horas fue trasladado a una casa de seguridad donde fue nuevamente torturado mientras se tomaba parte de su declaración. Según el peticionario, durante la declaración inicial ante el Ministerio Público fue asesorado por un supuesto abogado que al momento no contaba con cédula profesional expedida por la Dirección Estatal de Profesiones, aun cuando desde el 1 de julio de 1994 obtuvo su título profesional, hecho que no le permitió contar con una defensa adecuada. Al día siguiente fue llevado a las instalaciones del Ministerio Público conocidas como “El Trébol”, donde lo mantuvieron incomunicado</w:t>
      </w:r>
      <w:r w:rsidRPr="00F759B1">
        <w:rPr>
          <w:rFonts w:eastAsia="MS Mincho"/>
        </w:rPr>
        <w:t>.</w:t>
      </w:r>
    </w:p>
    <w:p w:rsidR="000309D4" w:rsidRPr="00F759B1" w:rsidRDefault="000309D4" w:rsidP="00CA5993">
      <w:pPr>
        <w:pStyle w:val="Normallatin"/>
        <w:numPr>
          <w:ilvl w:val="0"/>
          <w:numId w:val="0"/>
        </w:numPr>
        <w:ind w:left="720"/>
        <w:rPr>
          <w:rFonts w:eastAsia="MS Mincho"/>
        </w:rPr>
      </w:pPr>
    </w:p>
    <w:p w:rsidR="000309D4" w:rsidRPr="00F759B1" w:rsidRDefault="000309D4" w:rsidP="00F9116A">
      <w:pPr>
        <w:pStyle w:val="Normallatin"/>
        <w:numPr>
          <w:ilvl w:val="0"/>
          <w:numId w:val="51"/>
        </w:numPr>
        <w:tabs>
          <w:tab w:val="clear" w:pos="720"/>
          <w:tab w:val="num" w:pos="0"/>
        </w:tabs>
        <w:ind w:left="0"/>
        <w:rPr>
          <w:rFonts w:eastAsia="MS Mincho"/>
        </w:rPr>
      </w:pPr>
      <w:r w:rsidRPr="00F759B1">
        <w:rPr>
          <w:rFonts w:eastAsia="MS Mincho"/>
        </w:rPr>
        <w:t>El peticionario manifiesta que posteriormente fue ingresado al penal de San José del Alto, Querétaro y que el Juzgado Séptimo de Primera Instancia fue designado para conocer del caso (causa penal 133/2000). Señala que informó al juez en su declaración preparatoria</w:t>
      </w:r>
      <w:r w:rsidRPr="00F759B1">
        <w:t xml:space="preserve"> </w:t>
      </w:r>
      <w:r w:rsidRPr="00F759B1">
        <w:rPr>
          <w:rFonts w:eastAsia="MS Mincho"/>
        </w:rPr>
        <w:t xml:space="preserve">que al momento de la declaración inicial ante el Ministerio Público fue objeto de tortura. Al respecto, indica que no se inició una investigación judicial dado que el Ministerio Público, entidad encargada de realizar la investigación, fue quien lo detuvo y torturó. Ello, a pesar que una evaluación basada en el protocolo de Estambul practicada por un visitador de la Comisión Estatal de Derechos Humanos de Querétaro determinó que el peticionario padecía síntomas correspondientes a las víctimas de tortura o tratos crueles e inhumanos. </w:t>
      </w:r>
    </w:p>
    <w:p w:rsidR="000309D4" w:rsidRPr="00F759B1" w:rsidRDefault="000309D4" w:rsidP="00E941AC">
      <w:pPr>
        <w:pStyle w:val="Normallatin"/>
        <w:numPr>
          <w:ilvl w:val="0"/>
          <w:numId w:val="0"/>
        </w:numPr>
        <w:spacing w:before="240"/>
        <w:rPr>
          <w:rFonts w:eastAsia="MS Mincho"/>
        </w:rPr>
      </w:pPr>
    </w:p>
    <w:p w:rsidR="000309D4" w:rsidRPr="00F759B1" w:rsidRDefault="000309D4" w:rsidP="00677BF0">
      <w:pPr>
        <w:pStyle w:val="Normallatin"/>
        <w:numPr>
          <w:ilvl w:val="0"/>
          <w:numId w:val="51"/>
        </w:numPr>
        <w:tabs>
          <w:tab w:val="clear" w:pos="720"/>
          <w:tab w:val="num" w:pos="0"/>
        </w:tabs>
        <w:spacing w:before="240"/>
        <w:ind w:left="0"/>
        <w:rPr>
          <w:rFonts w:eastAsia="MS Mincho"/>
        </w:rPr>
      </w:pPr>
      <w:r w:rsidRPr="00F759B1">
        <w:rPr>
          <w:rFonts w:eastAsia="MS Mincho"/>
        </w:rPr>
        <w:t xml:space="preserve">El Juzgado Séptimo de Primera Instancia dictó el 15 de octubre de 2008 sentencia condenatoria contra el Sr. Reséndiz Olvera imponiéndole </w:t>
      </w:r>
      <w:r w:rsidR="00EB735B" w:rsidRPr="00F759B1">
        <w:rPr>
          <w:rFonts w:eastAsia="MS Mincho"/>
        </w:rPr>
        <w:t>50</w:t>
      </w:r>
      <w:r w:rsidRPr="00F759B1">
        <w:rPr>
          <w:rFonts w:eastAsia="MS Mincho"/>
        </w:rPr>
        <w:t xml:space="preserve"> años de prisión y el pago de 25</w:t>
      </w:r>
      <w:r w:rsidR="00EB735B" w:rsidRPr="00F759B1">
        <w:rPr>
          <w:rFonts w:eastAsia="MS Mincho"/>
        </w:rPr>
        <w:t>.</w:t>
      </w:r>
      <w:r w:rsidRPr="00F759B1">
        <w:rPr>
          <w:rFonts w:eastAsia="MS Mincho"/>
        </w:rPr>
        <w:t>833 pesos (el equivalente a 3.306</w:t>
      </w:r>
      <w:r w:rsidR="00EB735B" w:rsidRPr="00F759B1">
        <w:rPr>
          <w:rFonts w:eastAsia="MS Mincho"/>
        </w:rPr>
        <w:t>,</w:t>
      </w:r>
      <w:r w:rsidRPr="00F759B1">
        <w:rPr>
          <w:rFonts w:eastAsia="MS Mincho"/>
        </w:rPr>
        <w:t>62 USD$ al momento de los hechos). Esta sentencia fue apelada por el peticionario. La Segunda Sala Penal del Tribunal Superior de Justicia de Querétaro que conoció de este recurso (toca penal 1321/2008/BBS) sin pronunciarse sobre las alegadas violaciones a sus derechos humanos, redujo la pena a 38 años de prisión. Frente a esta decisión el peticionario interpuso juicio de amparo.</w:t>
      </w:r>
    </w:p>
    <w:p w:rsidR="000309D4" w:rsidRPr="00F759B1" w:rsidRDefault="000309D4" w:rsidP="00677BF0">
      <w:pPr>
        <w:pStyle w:val="Normallatin"/>
        <w:numPr>
          <w:ilvl w:val="0"/>
          <w:numId w:val="0"/>
        </w:numPr>
        <w:spacing w:before="240"/>
        <w:ind w:left="720"/>
        <w:rPr>
          <w:rFonts w:eastAsia="MS Mincho"/>
        </w:rPr>
      </w:pPr>
    </w:p>
    <w:p w:rsidR="000309D4" w:rsidRPr="00F759B1" w:rsidRDefault="000309D4" w:rsidP="00677BF0">
      <w:pPr>
        <w:pStyle w:val="Normallatin"/>
        <w:numPr>
          <w:ilvl w:val="0"/>
          <w:numId w:val="51"/>
        </w:numPr>
        <w:tabs>
          <w:tab w:val="clear" w:pos="720"/>
          <w:tab w:val="num" w:pos="0"/>
        </w:tabs>
        <w:spacing w:before="240"/>
        <w:ind w:left="0"/>
        <w:rPr>
          <w:rFonts w:eastAsia="MS Mincho"/>
        </w:rPr>
      </w:pPr>
      <w:r w:rsidRPr="00F759B1">
        <w:rPr>
          <w:rFonts w:eastAsia="MS Mincho"/>
        </w:rPr>
        <w:t>El Primer Tribunal Colegiado del Vigésimo Segundo Circuito conoció del juicio de amparo (número 43/2011) y confirmó la sentencia. Posteriormente, el peticionario interpuso recurso de revisión ante la Suprema Corte de Justicia de la Nación, la cual el 7 de febrero de 2014 confirmó la resolución dictada por el Primer Tribunal Colegiado del Vigésimo Segundo Circuito, con base en que la coparticipación del peticionario en el homicidio de su cónyuge habría sido probada mediante declaraciones ofrecidas por los coinculpados. Por lo tanto, el peticionario alega haber agotado todos los recursos internos disponibles y subraya que en ninguna de las instancias se hizo referencia a los alegatos de tortura.</w:t>
      </w:r>
    </w:p>
    <w:p w:rsidR="000309D4" w:rsidRPr="00F759B1" w:rsidRDefault="000309D4" w:rsidP="00121F64">
      <w:pPr>
        <w:pStyle w:val="Normallatin"/>
        <w:numPr>
          <w:ilvl w:val="0"/>
          <w:numId w:val="0"/>
        </w:numPr>
        <w:tabs>
          <w:tab w:val="num" w:pos="0"/>
        </w:tabs>
        <w:ind w:firstLine="720"/>
        <w:rPr>
          <w:rFonts w:eastAsia="MS Mincho"/>
        </w:rPr>
      </w:pPr>
    </w:p>
    <w:p w:rsidR="000309D4" w:rsidRPr="00F759B1" w:rsidRDefault="000309D4" w:rsidP="00121F64">
      <w:pPr>
        <w:pStyle w:val="Normallatin"/>
        <w:numPr>
          <w:ilvl w:val="0"/>
          <w:numId w:val="51"/>
        </w:numPr>
        <w:tabs>
          <w:tab w:val="clear" w:pos="720"/>
          <w:tab w:val="num" w:pos="0"/>
        </w:tabs>
        <w:ind w:left="0"/>
        <w:rPr>
          <w:rFonts w:eastAsia="MS Mincho"/>
        </w:rPr>
      </w:pPr>
      <w:r w:rsidRPr="00F759B1">
        <w:rPr>
          <w:rFonts w:eastAsia="MS Mincho"/>
        </w:rPr>
        <w:t xml:space="preserve">El peticionario aduce además que el trato que ha recibido al interior del penal donde se encuentra recluido ha sido inadecuado, ya que ha sido objeto de malos tratos y limitaciones arbitrarias. </w:t>
      </w:r>
      <w:r w:rsidRPr="00F759B1">
        <w:rPr>
          <w:rFonts w:eastAsia="MS Mincho"/>
        </w:rPr>
        <w:lastRenderedPageBreak/>
        <w:t>Menciona por ejemplo, que cuenta con 30 minutos al día para salir de su celda; que tiene restricciones en las actividades laborales sin fundamento alguno; que solo puede realizar una llamada a la semana; que los alimentos entregados por el centro penitenciario no son aptos para el consumo humano; que el servicio médico es deficiente; y que existe sobrepoblación. El peticionario considera que dicha situación es violatoria de su integridad personal. Refiere que ha denunciado los hechos a través de seis quejas ante la Comisión Estatal de Derechos Humanos de Querétaro, sin obtener un resultado concreto.</w:t>
      </w:r>
    </w:p>
    <w:p w:rsidR="000309D4" w:rsidRPr="00F759B1" w:rsidRDefault="000309D4" w:rsidP="00121F64">
      <w:pPr>
        <w:pStyle w:val="Normallatin"/>
        <w:numPr>
          <w:ilvl w:val="0"/>
          <w:numId w:val="0"/>
        </w:numPr>
        <w:tabs>
          <w:tab w:val="num" w:pos="0"/>
          <w:tab w:val="left" w:pos="720"/>
        </w:tabs>
        <w:ind w:firstLine="720"/>
        <w:rPr>
          <w:rFonts w:eastAsia="MS Mincho"/>
        </w:rPr>
      </w:pPr>
    </w:p>
    <w:p w:rsidR="000309D4" w:rsidRPr="00F759B1" w:rsidRDefault="000309D4" w:rsidP="005A11E3">
      <w:pPr>
        <w:numPr>
          <w:ilvl w:val="0"/>
          <w:numId w:val="51"/>
        </w:numPr>
        <w:pBdr>
          <w:top w:val="none" w:sz="0" w:space="0" w:color="auto"/>
          <w:left w:val="none" w:sz="0" w:space="0" w:color="auto"/>
          <w:bottom w:val="none" w:sz="0" w:space="0" w:color="auto"/>
          <w:right w:val="none" w:sz="0" w:space="0" w:color="auto"/>
          <w:bar w:val="none" w:sz="0" w:color="auto"/>
        </w:pBdr>
        <w:tabs>
          <w:tab w:val="clear" w:pos="720"/>
          <w:tab w:val="num" w:pos="0"/>
        </w:tabs>
        <w:suppressAutoHyphens/>
        <w:spacing w:after="240"/>
        <w:jc w:val="both"/>
        <w:rPr>
          <w:rFonts w:ascii="Cambria" w:eastAsia="SimSun" w:hAnsi="Cambria"/>
          <w:sz w:val="20"/>
          <w:szCs w:val="20"/>
          <w:lang w:val="es-ES"/>
        </w:rPr>
      </w:pPr>
      <w:r w:rsidRPr="00F759B1">
        <w:rPr>
          <w:rFonts w:ascii="Cambria" w:hAnsi="Cambria" w:cs="Arial"/>
          <w:sz w:val="20"/>
          <w:szCs w:val="20"/>
          <w:lang w:val="es-ES"/>
        </w:rPr>
        <w:t xml:space="preserve">En suma, el peticionario denuncia que fue </w:t>
      </w:r>
      <w:r w:rsidRPr="00F759B1">
        <w:rPr>
          <w:rFonts w:ascii="Cambria" w:hAnsi="Cambria"/>
          <w:spacing w:val="-2"/>
          <w:sz w:val="20"/>
          <w:lang w:val="es-ES"/>
        </w:rPr>
        <w:t xml:space="preserve">detenido de forma ilegal; torturado con el fin de confesar su coparticipación en el homicidio de su entonces cónyuge; privado de garantías judiciales básicas al no contar con una defensa adecuada en sus primeras declaraciones; y sometido a tratos arbitrarios al interior del penal donde se encuentra recluido. Con base en estas consideraciones, </w:t>
      </w:r>
      <w:r w:rsidRPr="00F759B1">
        <w:rPr>
          <w:rFonts w:ascii="Cambria" w:hAnsi="Cambria" w:cs="Arial"/>
          <w:sz w:val="20"/>
          <w:szCs w:val="20"/>
          <w:lang w:val="es-ES"/>
        </w:rPr>
        <w:t xml:space="preserve">alega que el Estado mexicano violó, en su perjuicio, los derechos consagrados en los </w:t>
      </w:r>
      <w:r w:rsidRPr="00F759B1">
        <w:rPr>
          <w:rFonts w:ascii="Cambria" w:hAnsi="Cambria"/>
          <w:sz w:val="20"/>
          <w:szCs w:val="20"/>
          <w:lang w:val="es-ES"/>
        </w:rPr>
        <w:t>artículos 1, 2, 3, 4, 5, 7, 8, 9, 24, 25, 41, 43, 44, 45, 46, 48 y 50 de la Convención Americana; así como los derechos consagrados en los artículos 1, 2, 3, 5, 6, 8, 9, 10 y 11 de la Declaración Americana de los Derechos y Deberes del Hombre.</w:t>
      </w:r>
    </w:p>
    <w:p w:rsidR="000309D4" w:rsidRPr="00F759B1" w:rsidRDefault="000309D4" w:rsidP="00121F64">
      <w:pPr>
        <w:pBdr>
          <w:top w:val="none" w:sz="0" w:space="0" w:color="auto"/>
          <w:left w:val="none" w:sz="0" w:space="0" w:color="auto"/>
          <w:bottom w:val="none" w:sz="0" w:space="0" w:color="auto"/>
          <w:right w:val="none" w:sz="0" w:space="0" w:color="auto"/>
          <w:bar w:val="none" w:sz="0" w:color="auto"/>
        </w:pBdr>
        <w:tabs>
          <w:tab w:val="num" w:pos="0"/>
        </w:tabs>
        <w:spacing w:after="240"/>
        <w:ind w:firstLine="720"/>
        <w:jc w:val="both"/>
        <w:rPr>
          <w:rFonts w:ascii="Cambria" w:hAnsi="Cambria"/>
          <w:b/>
          <w:bCs/>
          <w:sz w:val="20"/>
          <w:szCs w:val="20"/>
          <w:lang w:val="es-ES"/>
        </w:rPr>
      </w:pPr>
      <w:r w:rsidRPr="00F759B1">
        <w:rPr>
          <w:rFonts w:ascii="Cambria" w:hAnsi="Cambria"/>
          <w:b/>
          <w:bCs/>
          <w:sz w:val="20"/>
          <w:szCs w:val="20"/>
          <w:lang w:val="es-ES"/>
        </w:rPr>
        <w:t>B.</w:t>
      </w:r>
      <w:r w:rsidRPr="00F759B1">
        <w:rPr>
          <w:rFonts w:ascii="Cambria" w:hAnsi="Cambria"/>
          <w:b/>
          <w:bCs/>
          <w:sz w:val="20"/>
          <w:szCs w:val="20"/>
          <w:lang w:val="es-ES"/>
        </w:rPr>
        <w:tab/>
        <w:t xml:space="preserve">Posición del Estado </w:t>
      </w:r>
    </w:p>
    <w:p w:rsidR="000309D4" w:rsidRPr="00F759B1" w:rsidRDefault="000309D4" w:rsidP="00121F64">
      <w:pPr>
        <w:pStyle w:val="Normallatin"/>
        <w:numPr>
          <w:ilvl w:val="0"/>
          <w:numId w:val="51"/>
        </w:numPr>
        <w:tabs>
          <w:tab w:val="clear" w:pos="720"/>
          <w:tab w:val="num" w:pos="0"/>
        </w:tabs>
        <w:ind w:left="0"/>
        <w:rPr>
          <w:rFonts w:eastAsia="MS Mincho"/>
        </w:rPr>
      </w:pPr>
      <w:r w:rsidRPr="00F759B1">
        <w:rPr>
          <w:rFonts w:eastAsia="MS Mincho"/>
        </w:rPr>
        <w:t xml:space="preserve">El Estado afirma que la intención del peticionario es que la Comisión se constituya como una cuarta instancia, ya que pretende que se revisen las actuaciones judiciales internas que fueron realizadas debidamente. Indica que, como obra en el expediente del juicio penal seguido contra el peticionario, el juez de primera instancia valoró en todo momento las pruebas presentadas por las autoridades ministeriales y la defensa. Señala que si bien el peticionario afirma que su declaración inicial fue obtenida mediante tortura, y que la misma fue importante para la determinación de la causa, no fue el único medio probatorio empleado para acreditar la responsabilidad del peticionario. Indica que, por lo tanto, las autoridades judiciales procedieron conforme a derecho, incluso beneficiándolo en segunda instancia con una reducción de </w:t>
      </w:r>
      <w:r w:rsidR="00675C44" w:rsidRPr="00F759B1">
        <w:rPr>
          <w:rFonts w:eastAsia="MS Mincho"/>
        </w:rPr>
        <w:t>la pena</w:t>
      </w:r>
      <w:r w:rsidRPr="00F759B1">
        <w:rPr>
          <w:rFonts w:eastAsia="MS Mincho"/>
        </w:rPr>
        <w:t xml:space="preserve"> de 50 a 38 años de prisión. En consecuencia, México niega que se hayan vulnerado en perjuicio del peticionario sus derechos protegidos por la Convención Americana. </w:t>
      </w:r>
    </w:p>
    <w:p w:rsidR="000309D4" w:rsidRPr="00F759B1" w:rsidRDefault="000309D4" w:rsidP="00121F64">
      <w:pPr>
        <w:pStyle w:val="Normallatin"/>
        <w:numPr>
          <w:ilvl w:val="0"/>
          <w:numId w:val="0"/>
        </w:numPr>
        <w:tabs>
          <w:tab w:val="num" w:pos="0"/>
        </w:tabs>
        <w:ind w:firstLine="720"/>
        <w:rPr>
          <w:rFonts w:eastAsia="MS Mincho"/>
        </w:rPr>
      </w:pPr>
    </w:p>
    <w:p w:rsidR="000309D4" w:rsidRPr="00F759B1" w:rsidRDefault="000309D4" w:rsidP="00121F64">
      <w:pPr>
        <w:pStyle w:val="Normallatin"/>
        <w:numPr>
          <w:ilvl w:val="0"/>
          <w:numId w:val="51"/>
        </w:numPr>
        <w:tabs>
          <w:tab w:val="clear" w:pos="720"/>
          <w:tab w:val="num" w:pos="0"/>
        </w:tabs>
        <w:ind w:left="0"/>
        <w:rPr>
          <w:rFonts w:eastAsia="MS Mincho"/>
        </w:rPr>
      </w:pPr>
      <w:r w:rsidRPr="00F759B1">
        <w:rPr>
          <w:rFonts w:eastAsia="MS Mincho"/>
        </w:rPr>
        <w:t xml:space="preserve">El Estado subraya que frente a los actos de autoridades públicas que pudieran afectar derechos de las personas, la instancia de protección nacional es el amparo; y que en ese sentido, solo puede ser subsidiario el Sistema Interamericano una vez agotado el amparo y los recursos mediante los cuales se determina la firmeza de las sentencias de amparo. Al tenor de lo antes mencionado, afirma que el peticionario tuvo a su alcance el recurso idóneo, pero el hecho que el recurso no se resolviera en favor de sus intereses, no constituye una violación a sus derechos humanos. </w:t>
      </w:r>
    </w:p>
    <w:p w:rsidR="000309D4" w:rsidRPr="00F759B1" w:rsidRDefault="000309D4" w:rsidP="00121F64">
      <w:pPr>
        <w:pStyle w:val="Normallatin"/>
        <w:numPr>
          <w:ilvl w:val="0"/>
          <w:numId w:val="0"/>
        </w:numPr>
        <w:tabs>
          <w:tab w:val="num" w:pos="0"/>
        </w:tabs>
        <w:ind w:firstLine="720"/>
        <w:rPr>
          <w:rFonts w:eastAsia="MS Mincho"/>
        </w:rPr>
      </w:pPr>
    </w:p>
    <w:p w:rsidR="000309D4" w:rsidRPr="00F759B1" w:rsidRDefault="000309D4" w:rsidP="00121F64">
      <w:pPr>
        <w:pStyle w:val="Normallatin"/>
        <w:numPr>
          <w:ilvl w:val="0"/>
          <w:numId w:val="51"/>
        </w:numPr>
        <w:tabs>
          <w:tab w:val="clear" w:pos="720"/>
          <w:tab w:val="num" w:pos="0"/>
        </w:tabs>
        <w:ind w:left="0"/>
        <w:rPr>
          <w:rFonts w:eastAsia="MS Mincho"/>
        </w:rPr>
      </w:pPr>
      <w:r w:rsidRPr="00F759B1">
        <w:rPr>
          <w:rFonts w:eastAsia="MS Mincho"/>
        </w:rPr>
        <w:t>Con respecto a los alegatos de tortura, el Estado señala que si bien el peticionario refiere haber sido víctima de tortura y malos tratos durante su detención, en ningún momento él o sus representantes denunciaron formalmente tales actos, lo que habría dado inicio a un procedimiento penal para investigar los hechos y, en su caso, sancionar a los responsables. Aduce que los alegatos de tortura que refiere el peticionario solo fueron presentados en el contexto del juicio penal para intentar invalidar su declaración.</w:t>
      </w:r>
    </w:p>
    <w:p w:rsidR="000309D4" w:rsidRPr="00F759B1" w:rsidRDefault="000309D4" w:rsidP="00121F64">
      <w:pPr>
        <w:pStyle w:val="Normallatin"/>
        <w:numPr>
          <w:ilvl w:val="0"/>
          <w:numId w:val="0"/>
        </w:numPr>
        <w:tabs>
          <w:tab w:val="num" w:pos="0"/>
        </w:tabs>
        <w:ind w:firstLine="720"/>
        <w:rPr>
          <w:rFonts w:eastAsia="MS Mincho"/>
        </w:rPr>
      </w:pPr>
    </w:p>
    <w:p w:rsidR="000309D4" w:rsidRPr="00F759B1" w:rsidRDefault="000309D4" w:rsidP="00121F64">
      <w:pPr>
        <w:pStyle w:val="Normallatin"/>
        <w:numPr>
          <w:ilvl w:val="0"/>
          <w:numId w:val="51"/>
        </w:numPr>
        <w:tabs>
          <w:tab w:val="clear" w:pos="720"/>
          <w:tab w:val="num" w:pos="0"/>
        </w:tabs>
        <w:ind w:left="0"/>
        <w:rPr>
          <w:rFonts w:eastAsia="MS Mincho"/>
        </w:rPr>
      </w:pPr>
      <w:r w:rsidRPr="00F759B1">
        <w:rPr>
          <w:rFonts w:eastAsia="MS Mincho"/>
        </w:rPr>
        <w:t xml:space="preserve">El Estado subraya que la Comisión Estatal de Derechos Humanos de Querétaro recibió seis quejas relacionadas con las condiciones de detención del peticionario, en las que luego de allegarse de los elementos de información necesarios, no se encontró pruebas contundentes que sustentaran lo dicho por el peticionario. Indica que, por lo tanto, estas quejas relativas a las condiciones de detención fueron atendidas y resueltas con estricto apego a derecho. Señala además que las sanciones disciplinarias constituyen un mecanismo para preservar la organización y buena convivencia del centro de reclusión, pero </w:t>
      </w:r>
      <w:r w:rsidR="000D423D" w:rsidRPr="00F759B1">
        <w:rPr>
          <w:rFonts w:eastAsia="MS Mincho"/>
        </w:rPr>
        <w:t xml:space="preserve">que </w:t>
      </w:r>
      <w:r w:rsidRPr="00F759B1">
        <w:rPr>
          <w:rFonts w:eastAsia="MS Mincho"/>
        </w:rPr>
        <w:t>en este caso no fueron invocadas como una medida correccional.</w:t>
      </w:r>
    </w:p>
    <w:p w:rsidR="000309D4" w:rsidRPr="00F759B1" w:rsidRDefault="000309D4" w:rsidP="00121F64">
      <w:pPr>
        <w:pStyle w:val="Normallatin"/>
        <w:numPr>
          <w:ilvl w:val="0"/>
          <w:numId w:val="0"/>
        </w:numPr>
        <w:tabs>
          <w:tab w:val="num" w:pos="0"/>
        </w:tabs>
        <w:ind w:firstLine="720"/>
        <w:rPr>
          <w:rFonts w:eastAsia="MS Mincho"/>
        </w:rPr>
      </w:pPr>
    </w:p>
    <w:p w:rsidR="000309D4" w:rsidRPr="00F759B1" w:rsidRDefault="000309D4" w:rsidP="00121F64">
      <w:pPr>
        <w:numPr>
          <w:ilvl w:val="0"/>
          <w:numId w:val="51"/>
        </w:numPr>
        <w:pBdr>
          <w:top w:val="none" w:sz="0" w:space="0" w:color="auto"/>
          <w:left w:val="none" w:sz="0" w:space="0" w:color="auto"/>
          <w:bottom w:val="none" w:sz="0" w:space="0" w:color="auto"/>
          <w:right w:val="none" w:sz="0" w:space="0" w:color="auto"/>
          <w:bar w:val="none" w:sz="0" w:color="auto"/>
        </w:pBdr>
        <w:tabs>
          <w:tab w:val="clear" w:pos="720"/>
          <w:tab w:val="num" w:pos="0"/>
        </w:tabs>
        <w:suppressAutoHyphens/>
        <w:spacing w:after="240"/>
        <w:jc w:val="both"/>
        <w:rPr>
          <w:rFonts w:ascii="Cambria" w:hAnsi="Cambria"/>
          <w:sz w:val="20"/>
          <w:szCs w:val="20"/>
          <w:lang w:val="es-ES"/>
        </w:rPr>
      </w:pPr>
      <w:r w:rsidRPr="00F759B1">
        <w:rPr>
          <w:rFonts w:ascii="Cambria" w:hAnsi="Cambria"/>
          <w:sz w:val="20"/>
          <w:szCs w:val="20"/>
          <w:lang w:val="es-ES"/>
        </w:rPr>
        <w:t xml:space="preserve"> En conclusión, el Estado sostiene que </w:t>
      </w:r>
      <w:r w:rsidRPr="00F759B1">
        <w:rPr>
          <w:rFonts w:ascii="Cambria" w:hAnsi="Cambria"/>
          <w:sz w:val="20"/>
          <w:szCs w:val="20"/>
          <w:lang w:val="es-CL"/>
        </w:rPr>
        <w:t>la Comisión no es competente para pronunciarse sobre asuntos que han sido resueltos con estricto apego a derecho</w:t>
      </w:r>
      <w:r w:rsidRPr="00F759B1">
        <w:rPr>
          <w:rFonts w:ascii="Cambria" w:hAnsi="Cambria"/>
          <w:sz w:val="20"/>
          <w:szCs w:val="20"/>
          <w:lang w:val="es-ES"/>
        </w:rPr>
        <w:t>, que la petición es inadmisible y solicita a la CIDH que así lo declare.</w:t>
      </w:r>
    </w:p>
    <w:p w:rsidR="00446EF2" w:rsidRDefault="00446EF2">
      <w:pPr>
        <w:pBdr>
          <w:top w:val="none" w:sz="0" w:space="0" w:color="auto"/>
          <w:left w:val="none" w:sz="0" w:space="0" w:color="auto"/>
          <w:bottom w:val="none" w:sz="0" w:space="0" w:color="auto"/>
          <w:right w:val="none" w:sz="0" w:space="0" w:color="auto"/>
          <w:bar w:val="none" w:sz="0" w:color="auto"/>
        </w:pBdr>
        <w:rPr>
          <w:rFonts w:ascii="Cambria" w:hAnsi="Cambria"/>
          <w:b/>
          <w:bCs/>
          <w:sz w:val="20"/>
          <w:szCs w:val="20"/>
          <w:lang w:val="es-ES"/>
        </w:rPr>
      </w:pPr>
      <w:r>
        <w:rPr>
          <w:rFonts w:ascii="Cambria" w:hAnsi="Cambria"/>
          <w:b/>
          <w:bCs/>
          <w:sz w:val="20"/>
          <w:szCs w:val="20"/>
          <w:lang w:val="es-ES"/>
        </w:rPr>
        <w:br w:type="page"/>
      </w:r>
    </w:p>
    <w:p w:rsidR="000309D4" w:rsidRPr="00F759B1" w:rsidRDefault="000309D4" w:rsidP="00121F64">
      <w:pPr>
        <w:pBdr>
          <w:top w:val="none" w:sz="0" w:space="0" w:color="auto"/>
          <w:left w:val="none" w:sz="0" w:space="0" w:color="auto"/>
          <w:bottom w:val="none" w:sz="0" w:space="0" w:color="auto"/>
          <w:right w:val="none" w:sz="0" w:space="0" w:color="auto"/>
          <w:bar w:val="none" w:sz="0" w:color="auto"/>
        </w:pBdr>
        <w:tabs>
          <w:tab w:val="num" w:pos="0"/>
          <w:tab w:val="num" w:pos="540"/>
        </w:tabs>
        <w:spacing w:after="240"/>
        <w:ind w:firstLine="720"/>
        <w:jc w:val="both"/>
        <w:rPr>
          <w:rFonts w:ascii="Cambria" w:hAnsi="Cambria"/>
          <w:b/>
          <w:bCs/>
          <w:sz w:val="20"/>
          <w:szCs w:val="20"/>
          <w:lang w:val="es-ES"/>
        </w:rPr>
      </w:pPr>
      <w:r w:rsidRPr="00F759B1">
        <w:rPr>
          <w:rFonts w:ascii="Cambria" w:hAnsi="Cambria"/>
          <w:b/>
          <w:bCs/>
          <w:sz w:val="20"/>
          <w:szCs w:val="20"/>
          <w:lang w:val="es-ES"/>
        </w:rPr>
        <w:lastRenderedPageBreak/>
        <w:t>IV.</w:t>
      </w:r>
      <w:r w:rsidRPr="00F759B1">
        <w:rPr>
          <w:rFonts w:ascii="Cambria" w:hAnsi="Cambria"/>
          <w:b/>
          <w:bCs/>
          <w:sz w:val="20"/>
          <w:szCs w:val="20"/>
          <w:lang w:val="es-ES"/>
        </w:rPr>
        <w:tab/>
        <w:t>ANÁLISIS SOBRE COMPETENCIA Y ADMISIBILIDAD</w:t>
      </w:r>
    </w:p>
    <w:p w:rsidR="000309D4" w:rsidRPr="00F759B1" w:rsidRDefault="000309D4" w:rsidP="00121F64">
      <w:pPr>
        <w:pBdr>
          <w:top w:val="none" w:sz="0" w:space="0" w:color="auto"/>
          <w:left w:val="none" w:sz="0" w:space="0" w:color="auto"/>
          <w:bottom w:val="none" w:sz="0" w:space="0" w:color="auto"/>
          <w:right w:val="none" w:sz="0" w:space="0" w:color="auto"/>
          <w:bar w:val="none" w:sz="0" w:color="auto"/>
        </w:pBdr>
        <w:tabs>
          <w:tab w:val="num" w:pos="0"/>
          <w:tab w:val="num" w:pos="540"/>
        </w:tabs>
        <w:spacing w:after="240"/>
        <w:ind w:firstLine="720"/>
        <w:jc w:val="both"/>
        <w:rPr>
          <w:rFonts w:ascii="Cambria" w:hAnsi="Cambria"/>
          <w:sz w:val="20"/>
          <w:szCs w:val="20"/>
          <w:lang w:val="es-ES"/>
        </w:rPr>
      </w:pPr>
      <w:r w:rsidRPr="00F759B1">
        <w:rPr>
          <w:rFonts w:ascii="Cambria" w:hAnsi="Cambria"/>
          <w:b/>
          <w:bCs/>
          <w:sz w:val="20"/>
          <w:szCs w:val="20"/>
          <w:lang w:val="es-ES"/>
        </w:rPr>
        <w:t>A.</w:t>
      </w:r>
      <w:r w:rsidRPr="00F759B1">
        <w:rPr>
          <w:rFonts w:ascii="Cambria" w:hAnsi="Cambria"/>
          <w:b/>
          <w:bCs/>
          <w:sz w:val="20"/>
          <w:szCs w:val="20"/>
          <w:lang w:val="es-ES"/>
        </w:rPr>
        <w:tab/>
        <w:t xml:space="preserve">Competencia </w:t>
      </w:r>
    </w:p>
    <w:p w:rsidR="000309D4" w:rsidRPr="00F759B1" w:rsidRDefault="000309D4" w:rsidP="00121F64">
      <w:pPr>
        <w:pStyle w:val="BodyText"/>
        <w:numPr>
          <w:ilvl w:val="0"/>
          <w:numId w:val="51"/>
        </w:numPr>
        <w:pBdr>
          <w:top w:val="none" w:sz="0" w:space="0" w:color="auto"/>
          <w:left w:val="none" w:sz="0" w:space="0" w:color="auto"/>
          <w:bottom w:val="none" w:sz="0" w:space="0" w:color="auto"/>
          <w:right w:val="none" w:sz="0" w:space="0" w:color="auto"/>
          <w:bar w:val="none" w:sz="0" w:color="auto"/>
        </w:pBdr>
        <w:tabs>
          <w:tab w:val="clear" w:pos="720"/>
          <w:tab w:val="num" w:pos="0"/>
        </w:tabs>
        <w:suppressAutoHyphens/>
        <w:spacing w:after="240"/>
        <w:jc w:val="both"/>
        <w:rPr>
          <w:rFonts w:ascii="Cambria" w:eastAsia="SimSun" w:hAnsi="Cambria"/>
          <w:sz w:val="20"/>
          <w:szCs w:val="20"/>
          <w:lang w:val="es-ES"/>
        </w:rPr>
      </w:pPr>
      <w:r w:rsidRPr="00F759B1">
        <w:rPr>
          <w:rFonts w:ascii="Cambria" w:eastAsia="SimSun" w:hAnsi="Cambria"/>
          <w:sz w:val="20"/>
          <w:szCs w:val="20"/>
          <w:lang w:val="es-ES"/>
        </w:rPr>
        <w:t>El peticionario se encuentra facultado, en principio, por el artículo 44 de la Convención Americana, en concordancia con el artículo 23 del Reglamento para presentar peticiones ante la Comisión. La petición señala supuestas violaciones a</w:t>
      </w:r>
      <w:r w:rsidRPr="00F759B1">
        <w:rPr>
          <w:rFonts w:ascii="Cambria" w:hAnsi="Cambria" w:cs="Arial"/>
          <w:sz w:val="20"/>
          <w:szCs w:val="20"/>
          <w:lang w:val="es-ES"/>
        </w:rPr>
        <w:t xml:space="preserve"> derechos consagrados en </w:t>
      </w:r>
      <w:r w:rsidRPr="00F759B1">
        <w:rPr>
          <w:rFonts w:ascii="Cambria" w:hAnsi="Cambria"/>
          <w:sz w:val="20"/>
          <w:szCs w:val="20"/>
          <w:lang w:val="es-MX"/>
        </w:rPr>
        <w:t xml:space="preserve">la Convención Americana y la </w:t>
      </w:r>
      <w:r w:rsidRPr="00F759B1">
        <w:rPr>
          <w:rFonts w:ascii="Cambria" w:hAnsi="Cambria"/>
          <w:sz w:val="20"/>
          <w:szCs w:val="20"/>
          <w:lang w:val="es-ES"/>
        </w:rPr>
        <w:t xml:space="preserve">Convención Interamericana para Prevenir y Sancionar la Tortura, </w:t>
      </w:r>
      <w:r w:rsidRPr="00F759B1">
        <w:rPr>
          <w:rFonts w:ascii="Cambria" w:eastAsia="SimSun" w:hAnsi="Cambria"/>
          <w:sz w:val="20"/>
          <w:szCs w:val="20"/>
          <w:lang w:val="es-ES"/>
        </w:rPr>
        <w:t xml:space="preserve">en perjuicio de una persona individual, respecto de quien el Estado mexicano se comprometió a respetar y garantizar estos derechos desde el 24 de </w:t>
      </w:r>
      <w:r w:rsidR="000D5012" w:rsidRPr="00F759B1">
        <w:rPr>
          <w:rFonts w:ascii="Cambria" w:eastAsia="SimSun" w:hAnsi="Cambria"/>
          <w:sz w:val="20"/>
          <w:szCs w:val="20"/>
          <w:lang w:val="es-ES"/>
        </w:rPr>
        <w:t>marzo</w:t>
      </w:r>
      <w:r w:rsidRPr="00F759B1">
        <w:rPr>
          <w:rFonts w:ascii="Cambria" w:eastAsia="SimSun" w:hAnsi="Cambria"/>
          <w:sz w:val="20"/>
          <w:szCs w:val="20"/>
          <w:lang w:val="es-ES"/>
        </w:rPr>
        <w:t xml:space="preserve"> de 1981 y 22 de junio de 1987 respectivamente, fecha en que depositó los instrumentos de ratificación de los tratados mencionados. Con base en lo anterior, y teniendo en cuenta que las supuestas violaciones habrían ocurrido en el territorio de un Estado parte de dichos tratados y en fecha posterior al depósito del instrumento de ratificación, la CIDH concluye que tiene competencia </w:t>
      </w:r>
      <w:r w:rsidRPr="00F759B1">
        <w:rPr>
          <w:rFonts w:ascii="Cambria" w:eastAsia="SimSun" w:hAnsi="Cambria"/>
          <w:i/>
          <w:iCs/>
          <w:sz w:val="20"/>
          <w:szCs w:val="20"/>
          <w:lang w:val="es-UY"/>
        </w:rPr>
        <w:t>ratione personae</w:t>
      </w:r>
      <w:r w:rsidRPr="00F759B1">
        <w:rPr>
          <w:rFonts w:ascii="Cambria" w:eastAsia="SimSun" w:hAnsi="Cambria"/>
          <w:sz w:val="20"/>
          <w:szCs w:val="20"/>
          <w:lang w:val="es-UY"/>
        </w:rPr>
        <w:t xml:space="preserve">, </w:t>
      </w:r>
      <w:r w:rsidRPr="00F759B1">
        <w:rPr>
          <w:rFonts w:ascii="Cambria" w:eastAsia="SimSun" w:hAnsi="Cambria"/>
          <w:i/>
          <w:iCs/>
          <w:sz w:val="20"/>
          <w:szCs w:val="20"/>
          <w:lang w:val="es-UY"/>
        </w:rPr>
        <w:t>ratione loci</w:t>
      </w:r>
      <w:r w:rsidRPr="00F759B1">
        <w:rPr>
          <w:rFonts w:ascii="Cambria" w:eastAsia="SimSun" w:hAnsi="Cambria"/>
          <w:sz w:val="20"/>
          <w:szCs w:val="20"/>
          <w:lang w:val="es-UY"/>
        </w:rPr>
        <w:t xml:space="preserve">, </w:t>
      </w:r>
      <w:r w:rsidRPr="00F759B1">
        <w:rPr>
          <w:rFonts w:ascii="Cambria" w:eastAsia="SimSun" w:hAnsi="Cambria"/>
          <w:i/>
          <w:iCs/>
          <w:sz w:val="20"/>
          <w:szCs w:val="20"/>
          <w:lang w:val="es-UY"/>
        </w:rPr>
        <w:t xml:space="preserve">ratione temporis </w:t>
      </w:r>
      <w:r w:rsidRPr="00F759B1">
        <w:rPr>
          <w:rFonts w:ascii="Cambria" w:eastAsia="SimSun" w:hAnsi="Cambria"/>
          <w:sz w:val="20"/>
          <w:szCs w:val="20"/>
          <w:lang w:val="es-UY"/>
        </w:rPr>
        <w:t xml:space="preserve">y </w:t>
      </w:r>
      <w:r w:rsidRPr="00F759B1">
        <w:rPr>
          <w:rFonts w:ascii="Cambria" w:eastAsia="SimSun" w:hAnsi="Cambria"/>
          <w:i/>
          <w:iCs/>
          <w:sz w:val="20"/>
          <w:szCs w:val="20"/>
          <w:lang w:val="es-UY"/>
        </w:rPr>
        <w:t xml:space="preserve">ratione materia </w:t>
      </w:r>
      <w:r w:rsidRPr="00F759B1">
        <w:rPr>
          <w:rFonts w:ascii="Cambria" w:eastAsia="SimSun" w:hAnsi="Cambria"/>
          <w:sz w:val="20"/>
          <w:szCs w:val="20"/>
          <w:lang w:val="es-UY"/>
        </w:rPr>
        <w:t>para examinar la petición.</w:t>
      </w:r>
    </w:p>
    <w:p w:rsidR="000309D4" w:rsidRPr="00F759B1" w:rsidRDefault="000309D4" w:rsidP="00121F64">
      <w:pPr>
        <w:numPr>
          <w:ilvl w:val="0"/>
          <w:numId w:val="52"/>
        </w:numPr>
        <w:pBdr>
          <w:top w:val="none" w:sz="0" w:space="0" w:color="auto"/>
          <w:left w:val="none" w:sz="0" w:space="0" w:color="auto"/>
          <w:bottom w:val="none" w:sz="0" w:space="0" w:color="auto"/>
          <w:right w:val="none" w:sz="0" w:space="0" w:color="auto"/>
          <w:bar w:val="none" w:sz="0" w:color="auto"/>
        </w:pBdr>
        <w:tabs>
          <w:tab w:val="num" w:pos="0"/>
        </w:tabs>
        <w:spacing w:after="240"/>
        <w:ind w:left="0" w:firstLine="720"/>
        <w:jc w:val="both"/>
        <w:rPr>
          <w:rFonts w:ascii="Cambria" w:hAnsi="Cambria"/>
          <w:b/>
          <w:sz w:val="20"/>
          <w:szCs w:val="20"/>
          <w:lang w:val="es-ES"/>
        </w:rPr>
      </w:pPr>
      <w:r w:rsidRPr="00F759B1">
        <w:rPr>
          <w:rFonts w:ascii="Cambria" w:hAnsi="Cambria"/>
          <w:b/>
          <w:bCs/>
          <w:sz w:val="20"/>
          <w:szCs w:val="20"/>
          <w:lang w:val="es-ES"/>
        </w:rPr>
        <w:t xml:space="preserve">Requisitos de </w:t>
      </w:r>
      <w:r w:rsidRPr="00F759B1">
        <w:rPr>
          <w:rFonts w:ascii="Cambria" w:hAnsi="Cambria"/>
          <w:b/>
          <w:sz w:val="20"/>
          <w:szCs w:val="20"/>
          <w:lang w:val="es-ES"/>
        </w:rPr>
        <w:t>Admisibilidad</w:t>
      </w:r>
    </w:p>
    <w:p w:rsidR="000309D4" w:rsidRPr="00F759B1" w:rsidRDefault="000309D4" w:rsidP="00121F64">
      <w:pPr>
        <w:pBdr>
          <w:top w:val="none" w:sz="0" w:space="0" w:color="auto"/>
          <w:left w:val="none" w:sz="0" w:space="0" w:color="auto"/>
          <w:bottom w:val="none" w:sz="0" w:space="0" w:color="auto"/>
          <w:right w:val="none" w:sz="0" w:space="0" w:color="auto"/>
          <w:bar w:val="none" w:sz="0" w:color="auto"/>
        </w:pBdr>
        <w:tabs>
          <w:tab w:val="num" w:pos="0"/>
        </w:tabs>
        <w:spacing w:after="240"/>
        <w:ind w:firstLine="720"/>
        <w:jc w:val="both"/>
        <w:rPr>
          <w:rFonts w:ascii="Cambria" w:hAnsi="Cambria"/>
          <w:b/>
          <w:sz w:val="20"/>
          <w:szCs w:val="20"/>
          <w:lang w:val="es-ES"/>
        </w:rPr>
      </w:pPr>
      <w:r w:rsidRPr="00F759B1">
        <w:rPr>
          <w:rFonts w:ascii="Cambria" w:hAnsi="Cambria"/>
          <w:b/>
          <w:sz w:val="20"/>
          <w:szCs w:val="20"/>
          <w:lang w:val="es-ES"/>
        </w:rPr>
        <w:t>1.</w:t>
      </w:r>
      <w:r w:rsidRPr="00F759B1">
        <w:rPr>
          <w:rFonts w:ascii="Cambria" w:hAnsi="Cambria"/>
          <w:b/>
          <w:sz w:val="20"/>
          <w:szCs w:val="20"/>
          <w:lang w:val="es-ES"/>
        </w:rPr>
        <w:tab/>
        <w:t>Agotamiento de los recursos internos</w:t>
      </w:r>
    </w:p>
    <w:p w:rsidR="000309D4" w:rsidRPr="00F759B1" w:rsidRDefault="000309D4" w:rsidP="00121F64">
      <w:pPr>
        <w:numPr>
          <w:ilvl w:val="0"/>
          <w:numId w:val="51"/>
        </w:numPr>
        <w:pBdr>
          <w:top w:val="none" w:sz="0" w:space="0" w:color="auto"/>
          <w:left w:val="none" w:sz="0" w:space="0" w:color="auto"/>
          <w:bottom w:val="none" w:sz="0" w:space="0" w:color="auto"/>
          <w:right w:val="none" w:sz="0" w:space="0" w:color="auto"/>
          <w:bar w:val="none" w:sz="0" w:color="auto"/>
        </w:pBdr>
        <w:tabs>
          <w:tab w:val="clear" w:pos="720"/>
          <w:tab w:val="num" w:pos="0"/>
        </w:tabs>
        <w:suppressAutoHyphens/>
        <w:spacing w:after="240"/>
        <w:jc w:val="both"/>
        <w:rPr>
          <w:rFonts w:ascii="Cambria" w:hAnsi="Cambria"/>
          <w:sz w:val="20"/>
          <w:szCs w:val="20"/>
          <w:lang w:val="es-ES"/>
        </w:rPr>
      </w:pPr>
      <w:r w:rsidRPr="00F759B1">
        <w:rPr>
          <w:rFonts w:ascii="Cambria" w:hAnsi="Cambria" w:cs="Arial"/>
          <w:sz w:val="20"/>
          <w:szCs w:val="20"/>
          <w:lang w:val="es-ES"/>
        </w:rPr>
        <w:t xml:space="preserve">El artículo 46.1.a de la Convención Americana exige el previo agotamiento de los recursos disponibles en la jurisdicción interna conforme a los principios de derecho internacional generalmente reconocidos, como requisito para la admisión de reclamos sobre la presunta violación de los derechos consagrados en </w:t>
      </w:r>
      <w:r w:rsidRPr="00F759B1">
        <w:rPr>
          <w:rFonts w:ascii="Cambria" w:hAnsi="Cambria"/>
          <w:sz w:val="20"/>
          <w:szCs w:val="20"/>
          <w:lang w:val="es-MX"/>
        </w:rPr>
        <w:t xml:space="preserve">la Convención Americana. </w:t>
      </w:r>
      <w:r w:rsidRPr="00F759B1">
        <w:rPr>
          <w:rFonts w:ascii="Cambria" w:hAnsi="Cambria"/>
          <w:sz w:val="20"/>
          <w:szCs w:val="20"/>
          <w:lang w:val="es-ES"/>
        </w:rPr>
        <w:t>Este requisito tiene como objeto permitir que las autoridades nacionales conozcan sobre la supuesta violación de un derecho protegido y, de ser apropiado, solucionen la situación antes de que sea conocida por una instancia internacional. Por su parte, el artículo 46.2 de la Convención prevé que el requisito de previo agotamiento de los recursos internos no resulta aplicable cuando: i) no exista en la legislación interna del Estado de que se trata el debido proceso legal para la protección del derecho o derechos que se alega han sido violados; ii) no se haya permitido al presunto lesionado en sus derechos el acceso a los recursos a la jurisdicción interna, o haya sido impedido de agotarlos; o iii) haya retardo injustificado en la decisión sobre los mencionados recursos.</w:t>
      </w:r>
    </w:p>
    <w:p w:rsidR="000309D4" w:rsidRPr="00F759B1" w:rsidRDefault="000309D4" w:rsidP="00121F64">
      <w:pPr>
        <w:numPr>
          <w:ilvl w:val="0"/>
          <w:numId w:val="51"/>
        </w:numPr>
        <w:pBdr>
          <w:top w:val="none" w:sz="0" w:space="0" w:color="auto"/>
          <w:left w:val="none" w:sz="0" w:space="0" w:color="auto"/>
          <w:bottom w:val="none" w:sz="0" w:space="0" w:color="auto"/>
          <w:right w:val="none" w:sz="0" w:space="0" w:color="auto"/>
          <w:bar w:val="none" w:sz="0" w:color="auto"/>
        </w:pBdr>
        <w:tabs>
          <w:tab w:val="clear" w:pos="720"/>
          <w:tab w:val="num" w:pos="0"/>
        </w:tabs>
        <w:suppressAutoHyphens/>
        <w:spacing w:after="240"/>
        <w:jc w:val="both"/>
        <w:rPr>
          <w:rFonts w:ascii="Cambria" w:hAnsi="Cambria"/>
          <w:sz w:val="20"/>
          <w:szCs w:val="20"/>
          <w:lang w:val="es-CL"/>
        </w:rPr>
      </w:pPr>
      <w:r w:rsidRPr="00F759B1">
        <w:rPr>
          <w:rFonts w:ascii="Cambria" w:hAnsi="Cambria"/>
          <w:sz w:val="20"/>
          <w:szCs w:val="20"/>
          <w:lang w:val="es-ES"/>
        </w:rPr>
        <w:t xml:space="preserve">En relación con el debido proceso penal, la Comisión observa que el peticionario, contra la sentencia condenatoria dictada por el </w:t>
      </w:r>
      <w:r w:rsidRPr="00F759B1">
        <w:rPr>
          <w:rFonts w:ascii="Cambria" w:hAnsi="Cambria"/>
          <w:sz w:val="20"/>
          <w:szCs w:val="20"/>
          <w:lang w:val="es-CL"/>
        </w:rPr>
        <w:t>Juzgado Séptimo el 15 de octubre de 2008, interpuso recurso de apelación. La Segunda Sala Penal del Tribunal Superior de Justicia de Querétaro rechazó el recurso el 29 de mayo de 2009; ante lo cual el peticionario interpuso juicio de amparo ante el Primer Tribunal Colegiado del Vigésimo Segundo Circuito, el cual fue denegado el 30 de agosto de 2012. Ante dicho rechazo el peticionario interpuso recurso de revisión ante la Suprema Corte de Justicia de la Nación, el cual fue denegado el 7 de febrero de 2014. El Estado, por su parte, no cuestiona la falta de agotamiento de los recursos internos con respecto al proceso penal seguido contra el peticionario.</w:t>
      </w:r>
    </w:p>
    <w:p w:rsidR="000309D4" w:rsidRPr="00F759B1" w:rsidRDefault="000309D4" w:rsidP="00121F64">
      <w:pPr>
        <w:numPr>
          <w:ilvl w:val="0"/>
          <w:numId w:val="51"/>
        </w:numPr>
        <w:pBdr>
          <w:top w:val="none" w:sz="0" w:space="0" w:color="auto"/>
          <w:left w:val="none" w:sz="0" w:space="0" w:color="auto"/>
          <w:bottom w:val="none" w:sz="0" w:space="0" w:color="auto"/>
          <w:right w:val="none" w:sz="0" w:space="0" w:color="auto"/>
          <w:bar w:val="none" w:sz="0" w:color="auto"/>
        </w:pBdr>
        <w:tabs>
          <w:tab w:val="clear" w:pos="720"/>
          <w:tab w:val="num" w:pos="0"/>
        </w:tabs>
        <w:suppressAutoHyphens/>
        <w:spacing w:after="240"/>
        <w:jc w:val="both"/>
        <w:rPr>
          <w:rFonts w:ascii="Cambria" w:hAnsi="Cambria"/>
          <w:sz w:val="20"/>
          <w:szCs w:val="20"/>
          <w:lang w:val="es-CL"/>
        </w:rPr>
      </w:pPr>
      <w:r w:rsidRPr="00F759B1">
        <w:rPr>
          <w:rFonts w:ascii="Cambria" w:hAnsi="Cambria"/>
          <w:sz w:val="20"/>
          <w:szCs w:val="20"/>
          <w:lang w:val="es-CL"/>
        </w:rPr>
        <w:t>Por lo anterior, la Comisión considera que el peticionario agotó los recursos disponibles en la legislación doméstica en los términos del artículo 46.1.a de la Convención Americana en relación con el proceso penal.</w:t>
      </w:r>
    </w:p>
    <w:p w:rsidR="000309D4" w:rsidRPr="00F759B1" w:rsidRDefault="000309D4" w:rsidP="00BD0690">
      <w:pPr>
        <w:numPr>
          <w:ilvl w:val="0"/>
          <w:numId w:val="51"/>
        </w:numPr>
        <w:pBdr>
          <w:top w:val="none" w:sz="0" w:space="0" w:color="auto"/>
          <w:left w:val="none" w:sz="0" w:space="0" w:color="auto"/>
          <w:bottom w:val="none" w:sz="0" w:space="0" w:color="auto"/>
          <w:right w:val="none" w:sz="0" w:space="0" w:color="auto"/>
          <w:bar w:val="none" w:sz="0" w:color="auto"/>
        </w:pBdr>
        <w:tabs>
          <w:tab w:val="clear" w:pos="720"/>
          <w:tab w:val="num" w:pos="0"/>
        </w:tabs>
        <w:suppressAutoHyphens/>
        <w:spacing w:after="240"/>
        <w:jc w:val="both"/>
        <w:rPr>
          <w:rFonts w:ascii="Cambria" w:hAnsi="Cambria"/>
          <w:sz w:val="20"/>
          <w:szCs w:val="20"/>
          <w:lang w:val="es-ES"/>
        </w:rPr>
      </w:pPr>
      <w:r w:rsidRPr="00F759B1">
        <w:rPr>
          <w:rFonts w:ascii="Cambria" w:hAnsi="Cambria"/>
          <w:sz w:val="20"/>
          <w:szCs w:val="20"/>
          <w:lang w:val="es-CL"/>
        </w:rPr>
        <w:t>Con respecto a</w:t>
      </w:r>
      <w:r w:rsidRPr="00F759B1">
        <w:rPr>
          <w:rFonts w:ascii="Cambria" w:hAnsi="Cambria"/>
          <w:sz w:val="20"/>
          <w:szCs w:val="20"/>
          <w:lang w:val="es-ES"/>
        </w:rPr>
        <w:t xml:space="preserve"> </w:t>
      </w:r>
      <w:r w:rsidRPr="00F759B1">
        <w:rPr>
          <w:rFonts w:ascii="Cambria" w:hAnsi="Cambria"/>
          <w:sz w:val="20"/>
          <w:szCs w:val="20"/>
          <w:lang w:val="es-ES_tradnl"/>
        </w:rPr>
        <w:t xml:space="preserve">los alegatos de tortura, el Estado aduce que, ante cualquier acto de autoridad la instancia de protección nacional es el amparo y que el peticionario, en lugar de presentar una denuncia formal, se limitó a presentar los alegatos de tortura solamente en el contexto del juicio penal. </w:t>
      </w:r>
    </w:p>
    <w:p w:rsidR="00064ACB" w:rsidRPr="00F759B1" w:rsidRDefault="000309D4" w:rsidP="00064ACB">
      <w:pPr>
        <w:numPr>
          <w:ilvl w:val="0"/>
          <w:numId w:val="51"/>
        </w:numPr>
        <w:pBdr>
          <w:top w:val="none" w:sz="0" w:space="0" w:color="auto"/>
          <w:left w:val="none" w:sz="0" w:space="0" w:color="auto"/>
          <w:bottom w:val="none" w:sz="0" w:space="0" w:color="auto"/>
          <w:right w:val="none" w:sz="0" w:space="0" w:color="auto"/>
          <w:bar w:val="none" w:sz="0" w:color="auto"/>
        </w:pBdr>
        <w:tabs>
          <w:tab w:val="clear" w:pos="720"/>
          <w:tab w:val="num" w:pos="0"/>
        </w:tabs>
        <w:suppressAutoHyphens/>
        <w:spacing w:after="240"/>
        <w:jc w:val="both"/>
        <w:rPr>
          <w:rFonts w:ascii="Cambria" w:hAnsi="Cambria"/>
          <w:sz w:val="20"/>
          <w:szCs w:val="20"/>
          <w:lang w:val="es-ES"/>
        </w:rPr>
      </w:pPr>
      <w:r w:rsidRPr="00F759B1">
        <w:rPr>
          <w:rFonts w:ascii="Cambria" w:hAnsi="Cambria"/>
          <w:sz w:val="20"/>
          <w:szCs w:val="20"/>
          <w:lang w:val="es-ES_tradnl"/>
        </w:rPr>
        <w:t xml:space="preserve">A este respecto, la Comisión observa que el  25 de octubre del 2000, durante su declaración preparatoria, el peticionario manifestó ante el juez de primera instancia penal que había sido víctima de tortura y dicha acción no devino en investigación alguna. En este sentido, la Comisión ha establecido consistentemente que </w:t>
      </w:r>
      <w:r w:rsidRPr="00F759B1">
        <w:rPr>
          <w:rFonts w:ascii="Cambria" w:hAnsi="Cambria"/>
          <w:sz w:val="20"/>
          <w:szCs w:val="20"/>
          <w:lang w:val="es-ES"/>
        </w:rPr>
        <w:t>“</w:t>
      </w:r>
      <w:r w:rsidRPr="00F759B1">
        <w:rPr>
          <w:rFonts w:ascii="Cambria" w:hAnsi="Cambria"/>
          <w:sz w:val="20"/>
          <w:szCs w:val="20"/>
          <w:lang w:val="es-ES_tradnl"/>
        </w:rPr>
        <w:t xml:space="preserve">la obligación de investigar actos de tortura debe ser ejecutada de oficio por las autoridades correspondientes, y habiendo sido puesto en su conocimiento tales hechos por parte de la </w:t>
      </w:r>
      <w:r w:rsidRPr="00F759B1">
        <w:rPr>
          <w:rFonts w:ascii="Cambria" w:hAnsi="Cambria"/>
          <w:sz w:val="20"/>
          <w:szCs w:val="20"/>
          <w:lang w:val="es-ES_tradnl"/>
        </w:rPr>
        <w:lastRenderedPageBreak/>
        <w:t>presunta víctima, no resulta exigible que ésta deba agotar otra serie de procesos o recursos […]”</w:t>
      </w:r>
      <w:r w:rsidRPr="00F759B1">
        <w:rPr>
          <w:rStyle w:val="FootnoteReference"/>
          <w:rFonts w:ascii="Cambria" w:hAnsi="Cambria"/>
          <w:sz w:val="20"/>
          <w:szCs w:val="20"/>
          <w:lang w:val="es-ES_tradnl"/>
        </w:rPr>
        <w:footnoteReference w:id="3"/>
      </w:r>
      <w:r w:rsidRPr="00F759B1">
        <w:rPr>
          <w:rFonts w:ascii="Cambria" w:hAnsi="Cambria"/>
          <w:sz w:val="20"/>
          <w:szCs w:val="20"/>
          <w:lang w:val="es-ES_tradnl"/>
        </w:rPr>
        <w:t xml:space="preserve">. </w:t>
      </w:r>
      <w:r w:rsidRPr="00F759B1">
        <w:rPr>
          <w:rFonts w:ascii="Cambria" w:hAnsi="Cambria"/>
          <w:sz w:val="20"/>
          <w:szCs w:val="20"/>
          <w:lang w:val="es-ES"/>
        </w:rPr>
        <w:t>En consecuencia, la CIDH concluye que respecto de este extremo de la petición aplica la excepción al agotamiento de los recursos internos, de conformidad con lo establecido en el artículo 46.2.c. de la Convención.</w:t>
      </w:r>
    </w:p>
    <w:p w:rsidR="000309D4" w:rsidRPr="00F759B1" w:rsidRDefault="000309D4" w:rsidP="00231C0B">
      <w:pPr>
        <w:pStyle w:val="NormalCambria"/>
        <w:tabs>
          <w:tab w:val="clear" w:pos="720"/>
          <w:tab w:val="clear" w:pos="1080"/>
          <w:tab w:val="num" w:pos="0"/>
        </w:tabs>
        <w:ind w:left="0"/>
      </w:pPr>
      <w:r w:rsidRPr="00F759B1">
        <w:t xml:space="preserve">La Comisión Interamericana observa que las condiciones de reclusión </w:t>
      </w:r>
      <w:r w:rsidR="005A2EF4" w:rsidRPr="00F759B1">
        <w:t>fueron denunciadas ante</w:t>
      </w:r>
      <w:r w:rsidRPr="00F759B1">
        <w:t xml:space="preserve"> la Comisión Estatal de Derechos Humanos de Querétaro en las siguientes fechas: 21 de diciembre de 2010, 27 de enero de 2011, 26 de mayo de 2011, 29 de agosto 2011, 2 de septiembre de 2011, 23 de septiembre 2011</w:t>
      </w:r>
      <w:r w:rsidR="005A2EF4" w:rsidRPr="00F759B1">
        <w:t>. Asimismo</w:t>
      </w:r>
      <w:r w:rsidRPr="00F759B1">
        <w:t>,</w:t>
      </w:r>
      <w:r w:rsidR="005A2EF4" w:rsidRPr="00F759B1">
        <w:t xml:space="preserve"> la CIDH nota que en el trámite de la presente petición el Estado manifestó tener conocimiento de dichas denuncias</w:t>
      </w:r>
      <w:r w:rsidRPr="00F759B1">
        <w:t xml:space="preserve">. </w:t>
      </w:r>
    </w:p>
    <w:p w:rsidR="000309D4" w:rsidRPr="00F759B1" w:rsidRDefault="000309D4" w:rsidP="00231C0B">
      <w:pPr>
        <w:pStyle w:val="NormalCambria"/>
        <w:numPr>
          <w:ilvl w:val="0"/>
          <w:numId w:val="0"/>
        </w:numPr>
        <w:tabs>
          <w:tab w:val="clear" w:pos="1080"/>
          <w:tab w:val="left" w:pos="0"/>
        </w:tabs>
      </w:pPr>
    </w:p>
    <w:p w:rsidR="000309D4" w:rsidRPr="00F759B1" w:rsidRDefault="000309D4" w:rsidP="00231C0B">
      <w:pPr>
        <w:pStyle w:val="NormalCambria"/>
        <w:tabs>
          <w:tab w:val="clear" w:pos="720"/>
          <w:tab w:val="clear" w:pos="1080"/>
          <w:tab w:val="left" w:pos="0"/>
        </w:tabs>
        <w:ind w:left="0"/>
      </w:pPr>
      <w:r w:rsidRPr="00F759B1">
        <w:t>En atención a estas consideraciones y a los elementos presentes en el expediente, la Comisión Interamericana considera satisfecho el requisito del agotamiento de los recursos internos establecido en el artículo 46.1.a de la Convención Americana sobre Derechos Humanos.</w:t>
      </w:r>
    </w:p>
    <w:p w:rsidR="000309D4" w:rsidRPr="00F759B1" w:rsidRDefault="000309D4" w:rsidP="00231C0B">
      <w:pPr>
        <w:pStyle w:val="NormalCambria"/>
        <w:numPr>
          <w:ilvl w:val="0"/>
          <w:numId w:val="0"/>
        </w:numPr>
        <w:tabs>
          <w:tab w:val="clear" w:pos="1080"/>
          <w:tab w:val="left" w:pos="0"/>
        </w:tabs>
      </w:pPr>
    </w:p>
    <w:p w:rsidR="000309D4" w:rsidRPr="00F759B1" w:rsidRDefault="000309D4" w:rsidP="00121F64">
      <w:pPr>
        <w:pBdr>
          <w:top w:val="none" w:sz="0" w:space="0" w:color="auto"/>
          <w:left w:val="none" w:sz="0" w:space="0" w:color="auto"/>
          <w:bottom w:val="none" w:sz="0" w:space="0" w:color="auto"/>
          <w:right w:val="none" w:sz="0" w:space="0" w:color="auto"/>
          <w:bar w:val="none" w:sz="0" w:color="auto"/>
        </w:pBdr>
        <w:tabs>
          <w:tab w:val="num" w:pos="0"/>
        </w:tabs>
        <w:spacing w:after="240"/>
        <w:ind w:firstLine="720"/>
        <w:jc w:val="both"/>
        <w:rPr>
          <w:rFonts w:ascii="Cambria" w:hAnsi="Cambria"/>
          <w:b/>
          <w:sz w:val="20"/>
          <w:szCs w:val="20"/>
          <w:lang w:val="es-ES"/>
        </w:rPr>
      </w:pPr>
      <w:r w:rsidRPr="00F759B1">
        <w:rPr>
          <w:rFonts w:ascii="Cambria" w:hAnsi="Cambria"/>
          <w:b/>
          <w:sz w:val="20"/>
          <w:szCs w:val="20"/>
          <w:lang w:val="es-ES"/>
        </w:rPr>
        <w:t>2.</w:t>
      </w:r>
      <w:r w:rsidRPr="00F759B1">
        <w:rPr>
          <w:rFonts w:ascii="Cambria" w:hAnsi="Cambria"/>
          <w:b/>
          <w:sz w:val="20"/>
          <w:szCs w:val="20"/>
          <w:lang w:val="es-ES"/>
        </w:rPr>
        <w:tab/>
        <w:t>Plazo de presentación de la petición</w:t>
      </w:r>
    </w:p>
    <w:p w:rsidR="000309D4" w:rsidRPr="00F759B1" w:rsidRDefault="000309D4" w:rsidP="00121F64">
      <w:pPr>
        <w:numPr>
          <w:ilvl w:val="0"/>
          <w:numId w:val="51"/>
        </w:numPr>
        <w:pBdr>
          <w:top w:val="none" w:sz="0" w:space="0" w:color="auto"/>
          <w:left w:val="none" w:sz="0" w:space="0" w:color="auto"/>
          <w:bottom w:val="none" w:sz="0" w:space="0" w:color="auto"/>
          <w:right w:val="none" w:sz="0" w:space="0" w:color="auto"/>
          <w:bar w:val="none" w:sz="0" w:color="auto"/>
        </w:pBdr>
        <w:tabs>
          <w:tab w:val="clear" w:pos="720"/>
          <w:tab w:val="num" w:pos="0"/>
        </w:tabs>
        <w:suppressAutoHyphens/>
        <w:spacing w:after="240"/>
        <w:jc w:val="both"/>
        <w:rPr>
          <w:rFonts w:ascii="Cambria" w:hAnsi="Cambria"/>
          <w:sz w:val="20"/>
          <w:szCs w:val="20"/>
          <w:lang w:val="es-ES"/>
        </w:rPr>
      </w:pPr>
      <w:r w:rsidRPr="00F759B1">
        <w:rPr>
          <w:rFonts w:ascii="Cambria" w:hAnsi="Cambria" w:cs="Arial"/>
          <w:sz w:val="20"/>
          <w:szCs w:val="20"/>
          <w:lang w:val="es-ES"/>
        </w:rPr>
        <w:t>El artículo 46.1.b de l</w:t>
      </w:r>
      <w:r w:rsidRPr="00F759B1">
        <w:rPr>
          <w:rFonts w:ascii="Cambria" w:hAnsi="Cambria"/>
          <w:sz w:val="20"/>
          <w:szCs w:val="20"/>
          <w:lang w:val="es-ES"/>
        </w:rPr>
        <w:t xml:space="preserve">a Convención Americana establece que para que una petición resulte admisible por la Comisión se requerirá que sea presentada dentro del plazo de seis meses a partir de la fecha en que el presunto lesionado haya sido notificado de la decisión definitiva. </w:t>
      </w:r>
    </w:p>
    <w:p w:rsidR="000309D4" w:rsidRPr="00F759B1" w:rsidRDefault="000309D4" w:rsidP="00636297">
      <w:pPr>
        <w:numPr>
          <w:ilvl w:val="0"/>
          <w:numId w:val="51"/>
        </w:numPr>
        <w:pBdr>
          <w:top w:val="none" w:sz="0" w:space="0" w:color="auto"/>
          <w:left w:val="none" w:sz="0" w:space="0" w:color="auto"/>
          <w:bottom w:val="none" w:sz="0" w:space="0" w:color="auto"/>
          <w:right w:val="none" w:sz="0" w:space="0" w:color="auto"/>
          <w:bar w:val="none" w:sz="0" w:color="auto"/>
        </w:pBdr>
        <w:tabs>
          <w:tab w:val="clear" w:pos="720"/>
          <w:tab w:val="num" w:pos="0"/>
        </w:tabs>
        <w:suppressAutoHyphens/>
        <w:spacing w:after="240"/>
        <w:jc w:val="both"/>
        <w:rPr>
          <w:rFonts w:ascii="Cambria" w:hAnsi="Cambria"/>
          <w:sz w:val="20"/>
          <w:szCs w:val="20"/>
          <w:lang w:val="es-ES"/>
        </w:rPr>
      </w:pPr>
      <w:r w:rsidRPr="00F759B1">
        <w:rPr>
          <w:rFonts w:ascii="Cambria" w:hAnsi="Cambria"/>
          <w:sz w:val="20"/>
          <w:szCs w:val="20"/>
          <w:lang w:val="es-ES"/>
        </w:rPr>
        <w:t xml:space="preserve">En el caso bajo análisis, la CIDH estableció que con respecto al proceso penal seguido contra la presunta víctima los recursos internos se agotaron con la decisión de la Corte Suprema de Justicia del 7 de febrero de 2014. </w:t>
      </w:r>
      <w:r w:rsidR="00636297" w:rsidRPr="00F759B1">
        <w:rPr>
          <w:rFonts w:ascii="Cambria" w:hAnsi="Cambria"/>
          <w:sz w:val="20"/>
          <w:szCs w:val="20"/>
          <w:lang w:val="es-ES"/>
        </w:rPr>
        <w:t xml:space="preserve">En relación con los alegatos relativos a las condiciones de detención, </w:t>
      </w:r>
      <w:r w:rsidR="00673834" w:rsidRPr="00F759B1">
        <w:rPr>
          <w:rFonts w:ascii="Cambria" w:hAnsi="Cambria"/>
          <w:sz w:val="20"/>
          <w:szCs w:val="20"/>
          <w:lang w:val="es-ES"/>
        </w:rPr>
        <w:t xml:space="preserve">los mismos fueron puestos en conocimiento de las autoridades en el año 2011. </w:t>
      </w:r>
      <w:r w:rsidRPr="00F759B1">
        <w:rPr>
          <w:rFonts w:ascii="Cambria" w:hAnsi="Cambria"/>
          <w:sz w:val="20"/>
          <w:szCs w:val="20"/>
          <w:lang w:val="es-ES"/>
        </w:rPr>
        <w:t xml:space="preserve">Por lo tanto, dado que la petición ante la CIDH se presentó el 13 de septiembre de 2004 respecto a presuntas violaciones al debido proceso, y que </w:t>
      </w:r>
      <w:r w:rsidR="00636297" w:rsidRPr="00F759B1">
        <w:rPr>
          <w:rFonts w:ascii="Cambria" w:hAnsi="Cambria"/>
          <w:sz w:val="20"/>
          <w:szCs w:val="20"/>
          <w:lang w:val="es-ES"/>
        </w:rPr>
        <w:t xml:space="preserve">la </w:t>
      </w:r>
      <w:r w:rsidRPr="00F759B1">
        <w:rPr>
          <w:rFonts w:ascii="Cambria" w:hAnsi="Cambria"/>
          <w:sz w:val="20"/>
          <w:szCs w:val="20"/>
          <w:lang w:val="es-ES"/>
        </w:rPr>
        <w:t xml:space="preserve">CIDH evalúa el cumplimiento con los requisitos al momento de la decisión sobre la admisibilidad, la Comisión considera que la misma cumple con el requisito del plazo de presentación respecto de este extremo. </w:t>
      </w:r>
    </w:p>
    <w:p w:rsidR="000309D4" w:rsidRPr="00F759B1" w:rsidRDefault="000309D4" w:rsidP="00121F64">
      <w:pPr>
        <w:numPr>
          <w:ilvl w:val="0"/>
          <w:numId w:val="51"/>
        </w:numPr>
        <w:pBdr>
          <w:top w:val="none" w:sz="0" w:space="0" w:color="auto"/>
          <w:left w:val="none" w:sz="0" w:space="0" w:color="auto"/>
          <w:bottom w:val="none" w:sz="0" w:space="0" w:color="auto"/>
          <w:right w:val="none" w:sz="0" w:space="0" w:color="auto"/>
          <w:bar w:val="none" w:sz="0" w:color="auto"/>
        </w:pBdr>
        <w:tabs>
          <w:tab w:val="clear" w:pos="720"/>
          <w:tab w:val="num" w:pos="0"/>
        </w:tabs>
        <w:suppressAutoHyphens/>
        <w:spacing w:after="240"/>
        <w:jc w:val="both"/>
        <w:rPr>
          <w:rFonts w:ascii="Cambria" w:hAnsi="Cambria"/>
          <w:sz w:val="20"/>
          <w:szCs w:val="20"/>
          <w:lang w:val="es-ES"/>
        </w:rPr>
      </w:pPr>
      <w:r w:rsidRPr="00F759B1">
        <w:rPr>
          <w:rFonts w:ascii="Cambria" w:hAnsi="Cambria"/>
          <w:sz w:val="20"/>
          <w:szCs w:val="20"/>
          <w:lang w:val="es-ES"/>
        </w:rPr>
        <w:t xml:space="preserve">Asimismo, la CIDH ha establecido la aplicación de la excepción al agotamiento de los recursos internos prevista en el artículo </w:t>
      </w:r>
      <w:r w:rsidRPr="00F759B1">
        <w:rPr>
          <w:rFonts w:ascii="Cambria" w:hAnsi="Cambria" w:cs="Arial"/>
          <w:sz w:val="20"/>
          <w:szCs w:val="20"/>
          <w:lang w:val="es-ES"/>
        </w:rPr>
        <w:t>46.2.</w:t>
      </w:r>
      <w:r w:rsidRPr="00F759B1">
        <w:rPr>
          <w:rFonts w:ascii="Cambria" w:hAnsi="Cambria"/>
          <w:sz w:val="20"/>
          <w:szCs w:val="20"/>
          <w:lang w:val="es-ES"/>
        </w:rPr>
        <w:t>c</w:t>
      </w:r>
      <w:r w:rsidRPr="00F759B1">
        <w:rPr>
          <w:rFonts w:ascii="Cambria" w:hAnsi="Cambria" w:cs="Arial"/>
          <w:sz w:val="20"/>
          <w:szCs w:val="20"/>
          <w:lang w:val="es-ES"/>
        </w:rPr>
        <w:t xml:space="preserve"> de la Convención Americana</w:t>
      </w:r>
      <w:r w:rsidRPr="00F759B1">
        <w:rPr>
          <w:rFonts w:ascii="Cambria" w:hAnsi="Cambria"/>
          <w:sz w:val="20"/>
          <w:szCs w:val="20"/>
          <w:lang w:val="es-ES"/>
        </w:rPr>
        <w:t xml:space="preserve"> respecto de la alegada falta de investigación de los hechos de tortura. Al respecto, el artículo 32.2 del Reglamento de la Comisión establece que</w:t>
      </w:r>
      <w:r w:rsidR="00636297" w:rsidRPr="00F759B1">
        <w:rPr>
          <w:rFonts w:ascii="Cambria" w:hAnsi="Cambria"/>
          <w:sz w:val="20"/>
          <w:szCs w:val="20"/>
          <w:lang w:val="es-ES"/>
        </w:rPr>
        <w:t>,</w:t>
      </w:r>
      <w:r w:rsidRPr="00F759B1">
        <w:rPr>
          <w:rFonts w:ascii="Cambria" w:hAnsi="Cambria"/>
          <w:sz w:val="20"/>
          <w:szCs w:val="20"/>
          <w:lang w:val="es-ES"/>
        </w:rPr>
        <w:t xml:space="preserve"> en los casos en los cuales resulten aplicables las excepciones al previo agotamiento de los recursos internos, la petición deberá presentarse dentro de un plazo razonable, a criterio de la Comisión. A tal efecto, la Comisión debe considerar la fecha en que haya ocurrido la presunta violación de los derechos y las circunstancias de cada caso. La petición fue recibida el 13 de septiembre de 2004 y los presuntos hechos materia del reclamo se iniciaron </w:t>
      </w:r>
      <w:r w:rsidRPr="00F759B1">
        <w:rPr>
          <w:rFonts w:ascii="Cambria" w:hAnsi="Cambria"/>
          <w:sz w:val="20"/>
          <w:szCs w:val="20"/>
          <w:lang w:val="es-CL"/>
        </w:rPr>
        <w:t>el día 21 de octubre de 2000</w:t>
      </w:r>
      <w:r w:rsidR="00B76577">
        <w:rPr>
          <w:rFonts w:ascii="Cambria" w:hAnsi="Cambria"/>
          <w:sz w:val="20"/>
          <w:szCs w:val="20"/>
          <w:lang w:val="es-CL"/>
        </w:rPr>
        <w:t>,</w:t>
      </w:r>
      <w:r w:rsidRPr="00F759B1">
        <w:rPr>
          <w:rFonts w:ascii="Cambria" w:hAnsi="Cambria"/>
          <w:sz w:val="20"/>
          <w:szCs w:val="20"/>
          <w:lang w:val="es-ES"/>
        </w:rPr>
        <w:t xml:space="preserve"> y sus efectos, reflejados en la falta de investigación de los alegados actos de tortura, se extenderían hasta el presente. Por lo tanto, en vista del contexto y las características del presente caso, la Comisión considera que la petición fue presentada dentro de un plazo razonable y queda satisfecho el requisito de admisibilidad referente al plazo de presentación</w:t>
      </w:r>
      <w:r w:rsidRPr="00F759B1">
        <w:rPr>
          <w:rFonts w:ascii="Cambria" w:hAnsi="Cambria"/>
          <w:bCs/>
          <w:sz w:val="20"/>
          <w:szCs w:val="20"/>
          <w:lang w:val="es-ES"/>
        </w:rPr>
        <w:t>.</w:t>
      </w:r>
    </w:p>
    <w:p w:rsidR="000309D4" w:rsidRPr="00F759B1" w:rsidRDefault="000309D4" w:rsidP="00121F64">
      <w:pPr>
        <w:pBdr>
          <w:top w:val="none" w:sz="0" w:space="0" w:color="auto"/>
          <w:left w:val="none" w:sz="0" w:space="0" w:color="auto"/>
          <w:bottom w:val="none" w:sz="0" w:space="0" w:color="auto"/>
          <w:right w:val="none" w:sz="0" w:space="0" w:color="auto"/>
          <w:bar w:val="none" w:sz="0" w:color="auto"/>
        </w:pBdr>
        <w:tabs>
          <w:tab w:val="num" w:pos="0"/>
        </w:tabs>
        <w:spacing w:after="240"/>
        <w:ind w:firstLine="720"/>
        <w:jc w:val="both"/>
        <w:rPr>
          <w:rFonts w:ascii="Cambria" w:hAnsi="Cambria"/>
          <w:b/>
          <w:bCs/>
          <w:sz w:val="20"/>
          <w:szCs w:val="20"/>
          <w:lang w:val="es-ES"/>
        </w:rPr>
      </w:pPr>
      <w:r w:rsidRPr="00F759B1">
        <w:rPr>
          <w:rFonts w:ascii="Cambria" w:hAnsi="Cambria"/>
          <w:b/>
          <w:bCs/>
          <w:sz w:val="20"/>
          <w:szCs w:val="20"/>
          <w:lang w:val="es-ES"/>
        </w:rPr>
        <w:t>3.</w:t>
      </w:r>
      <w:r w:rsidRPr="00F759B1">
        <w:rPr>
          <w:rFonts w:ascii="Cambria" w:hAnsi="Cambria"/>
          <w:b/>
          <w:bCs/>
          <w:sz w:val="20"/>
          <w:szCs w:val="20"/>
          <w:lang w:val="es-ES"/>
        </w:rPr>
        <w:tab/>
        <w:t>Duplicación de procedimientos y cosa juzgada</w:t>
      </w:r>
      <w:r w:rsidRPr="00F759B1">
        <w:rPr>
          <w:rFonts w:ascii="Cambria" w:hAnsi="Cambria"/>
          <w:b/>
          <w:bCs/>
          <w:i/>
          <w:sz w:val="20"/>
          <w:szCs w:val="20"/>
          <w:lang w:val="es-ES"/>
        </w:rPr>
        <w:t xml:space="preserve"> </w:t>
      </w:r>
      <w:r w:rsidRPr="00F759B1">
        <w:rPr>
          <w:rFonts w:ascii="Cambria" w:hAnsi="Cambria"/>
          <w:b/>
          <w:bCs/>
          <w:sz w:val="20"/>
          <w:szCs w:val="20"/>
          <w:lang w:val="es-ES"/>
        </w:rPr>
        <w:t>internacional</w:t>
      </w:r>
    </w:p>
    <w:p w:rsidR="000309D4" w:rsidRPr="00F759B1" w:rsidRDefault="000309D4" w:rsidP="00121F64">
      <w:pPr>
        <w:numPr>
          <w:ilvl w:val="0"/>
          <w:numId w:val="51"/>
        </w:numPr>
        <w:pBdr>
          <w:top w:val="none" w:sz="0" w:space="0" w:color="auto"/>
          <w:left w:val="none" w:sz="0" w:space="0" w:color="auto"/>
          <w:bottom w:val="none" w:sz="0" w:space="0" w:color="auto"/>
          <w:right w:val="none" w:sz="0" w:space="0" w:color="auto"/>
          <w:bar w:val="none" w:sz="0" w:color="auto"/>
        </w:pBdr>
        <w:tabs>
          <w:tab w:val="clear" w:pos="720"/>
          <w:tab w:val="num" w:pos="0"/>
        </w:tabs>
        <w:suppressAutoHyphens/>
        <w:spacing w:after="240"/>
        <w:jc w:val="both"/>
        <w:rPr>
          <w:rFonts w:ascii="Cambria" w:hAnsi="Cambria"/>
          <w:sz w:val="20"/>
          <w:szCs w:val="20"/>
          <w:lang w:val="es-ES"/>
        </w:rPr>
      </w:pPr>
      <w:r w:rsidRPr="00F759B1">
        <w:rPr>
          <w:rFonts w:ascii="Cambria" w:hAnsi="Cambria"/>
          <w:sz w:val="20"/>
          <w:szCs w:val="20"/>
          <w:lang w:val="es-ES"/>
        </w:rPr>
        <w:t xml:space="preserve">No surge del expediente que la materia de la petición se encuentre pendiente de otro procedimiento de arreglo internacional, ni que reproduzca una petición ya examinada por éste u otro órgano internacional. Por lo tanto, no son aplicables las causales de inadmisibilidad establecidas en los artículos 46.1.c y 47.d de la Convención. </w:t>
      </w:r>
    </w:p>
    <w:p w:rsidR="00446EF2" w:rsidRDefault="00446EF2">
      <w:pPr>
        <w:pBdr>
          <w:top w:val="none" w:sz="0" w:space="0" w:color="auto"/>
          <w:left w:val="none" w:sz="0" w:space="0" w:color="auto"/>
          <w:bottom w:val="none" w:sz="0" w:space="0" w:color="auto"/>
          <w:right w:val="none" w:sz="0" w:space="0" w:color="auto"/>
          <w:bar w:val="none" w:sz="0" w:color="auto"/>
        </w:pBdr>
        <w:rPr>
          <w:rFonts w:ascii="Cambria" w:hAnsi="Cambria"/>
          <w:b/>
          <w:bCs/>
          <w:sz w:val="20"/>
          <w:szCs w:val="20"/>
          <w:lang w:val="es-ES"/>
        </w:rPr>
      </w:pPr>
      <w:r>
        <w:rPr>
          <w:rFonts w:ascii="Cambria" w:hAnsi="Cambria"/>
          <w:b/>
          <w:bCs/>
          <w:sz w:val="20"/>
          <w:szCs w:val="20"/>
          <w:lang w:val="es-ES"/>
        </w:rPr>
        <w:br w:type="page"/>
      </w:r>
    </w:p>
    <w:p w:rsidR="000309D4" w:rsidRPr="00F759B1" w:rsidRDefault="000309D4" w:rsidP="00121F64">
      <w:pPr>
        <w:pBdr>
          <w:top w:val="none" w:sz="0" w:space="0" w:color="auto"/>
          <w:left w:val="none" w:sz="0" w:space="0" w:color="auto"/>
          <w:bottom w:val="none" w:sz="0" w:space="0" w:color="auto"/>
          <w:right w:val="none" w:sz="0" w:space="0" w:color="auto"/>
          <w:bar w:val="none" w:sz="0" w:color="auto"/>
        </w:pBdr>
        <w:tabs>
          <w:tab w:val="num" w:pos="0"/>
        </w:tabs>
        <w:spacing w:after="240"/>
        <w:ind w:firstLine="720"/>
        <w:jc w:val="both"/>
        <w:rPr>
          <w:rFonts w:ascii="Cambria" w:hAnsi="Cambria"/>
          <w:b/>
          <w:bCs/>
          <w:sz w:val="20"/>
          <w:szCs w:val="20"/>
          <w:lang w:val="es-ES"/>
        </w:rPr>
      </w:pPr>
      <w:r w:rsidRPr="00F759B1">
        <w:rPr>
          <w:rFonts w:ascii="Cambria" w:hAnsi="Cambria"/>
          <w:b/>
          <w:bCs/>
          <w:sz w:val="20"/>
          <w:szCs w:val="20"/>
          <w:lang w:val="es-ES"/>
        </w:rPr>
        <w:lastRenderedPageBreak/>
        <w:t>4.</w:t>
      </w:r>
      <w:r w:rsidRPr="00F759B1">
        <w:rPr>
          <w:rFonts w:ascii="Cambria" w:hAnsi="Cambria"/>
          <w:b/>
          <w:bCs/>
          <w:sz w:val="20"/>
          <w:szCs w:val="20"/>
          <w:lang w:val="es-ES"/>
        </w:rPr>
        <w:tab/>
        <w:t>Caracterización de los hechos alegados</w:t>
      </w:r>
    </w:p>
    <w:p w:rsidR="000309D4" w:rsidRPr="00F759B1" w:rsidRDefault="000309D4" w:rsidP="00121F64">
      <w:pPr>
        <w:numPr>
          <w:ilvl w:val="0"/>
          <w:numId w:val="51"/>
        </w:numPr>
        <w:pBdr>
          <w:top w:val="none" w:sz="0" w:space="0" w:color="auto"/>
          <w:left w:val="none" w:sz="0" w:space="0" w:color="auto"/>
          <w:bottom w:val="none" w:sz="0" w:space="0" w:color="auto"/>
          <w:right w:val="none" w:sz="0" w:space="0" w:color="auto"/>
          <w:bar w:val="none" w:sz="0" w:color="auto"/>
        </w:pBdr>
        <w:tabs>
          <w:tab w:val="clear" w:pos="720"/>
          <w:tab w:val="num" w:pos="0"/>
        </w:tabs>
        <w:suppressAutoHyphens/>
        <w:spacing w:after="240"/>
        <w:jc w:val="both"/>
        <w:rPr>
          <w:rFonts w:ascii="Cambria" w:hAnsi="Cambria"/>
          <w:sz w:val="20"/>
          <w:szCs w:val="20"/>
          <w:lang w:val="es-ES"/>
        </w:rPr>
      </w:pPr>
      <w:r w:rsidRPr="00F759B1">
        <w:rPr>
          <w:rFonts w:ascii="Cambria" w:hAnsi="Cambria"/>
          <w:sz w:val="20"/>
          <w:szCs w:val="20"/>
          <w:lang w:val="es-ES"/>
        </w:rPr>
        <w:t xml:space="preserve">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 El criterio para analizar la admisibilidad difiere del utilizado para el análisis del fondo de la petición dado que la Comisión sólo realiza un análisis </w:t>
      </w:r>
      <w:r w:rsidRPr="00F759B1">
        <w:rPr>
          <w:rFonts w:ascii="Cambria" w:hAnsi="Cambria"/>
          <w:i/>
          <w:sz w:val="20"/>
          <w:szCs w:val="20"/>
          <w:lang w:val="es-ES"/>
        </w:rPr>
        <w:t>prima facie</w:t>
      </w:r>
      <w:r w:rsidRPr="00F759B1">
        <w:rPr>
          <w:rFonts w:ascii="Cambria" w:hAnsi="Cambria"/>
          <w:sz w:val="20"/>
          <w:szCs w:val="20"/>
          <w:lang w:val="es-ES"/>
        </w:rPr>
        <w:t xml:space="preserve"> para determinar si los peticionarios establecen la aparente o posible violación de un derecho garantizado por la Convención Americana. Se trata de un análisis somero que no implica prejuzgar o emitir una opinión preliminar sobre el fondo del asunto.</w:t>
      </w:r>
    </w:p>
    <w:p w:rsidR="000309D4" w:rsidRPr="00F759B1" w:rsidRDefault="000309D4" w:rsidP="00121F64">
      <w:pPr>
        <w:numPr>
          <w:ilvl w:val="0"/>
          <w:numId w:val="51"/>
        </w:numPr>
        <w:pBdr>
          <w:top w:val="none" w:sz="0" w:space="0" w:color="auto"/>
          <w:left w:val="none" w:sz="0" w:space="0" w:color="auto"/>
          <w:bottom w:val="none" w:sz="0" w:space="0" w:color="auto"/>
          <w:right w:val="none" w:sz="0" w:space="0" w:color="auto"/>
          <w:bar w:val="none" w:sz="0" w:color="auto"/>
        </w:pBdr>
        <w:tabs>
          <w:tab w:val="clear" w:pos="720"/>
          <w:tab w:val="num" w:pos="0"/>
        </w:tabs>
        <w:suppressAutoHyphens/>
        <w:spacing w:after="240"/>
        <w:jc w:val="both"/>
        <w:rPr>
          <w:rFonts w:ascii="Cambria" w:hAnsi="Cambria"/>
          <w:sz w:val="20"/>
          <w:szCs w:val="20"/>
          <w:lang w:val="es-ES"/>
        </w:rPr>
      </w:pPr>
      <w:r w:rsidRPr="00F759B1">
        <w:rPr>
          <w:rFonts w:ascii="Cambria" w:hAnsi="Cambria"/>
          <w:sz w:val="20"/>
          <w:szCs w:val="20"/>
          <w:lang w:val="es-ES"/>
        </w:rPr>
        <w:t>Asimismo, 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0309D4" w:rsidRPr="00F759B1" w:rsidRDefault="000309D4" w:rsidP="00121F64">
      <w:pPr>
        <w:pStyle w:val="BodyText"/>
        <w:numPr>
          <w:ilvl w:val="0"/>
          <w:numId w:val="51"/>
        </w:numPr>
        <w:pBdr>
          <w:top w:val="none" w:sz="0" w:space="0" w:color="auto"/>
          <w:left w:val="none" w:sz="0" w:space="0" w:color="auto"/>
          <w:bottom w:val="none" w:sz="0" w:space="0" w:color="auto"/>
          <w:right w:val="none" w:sz="0" w:space="0" w:color="auto"/>
          <w:bar w:val="none" w:sz="0" w:color="auto"/>
        </w:pBdr>
        <w:tabs>
          <w:tab w:val="clear" w:pos="720"/>
          <w:tab w:val="num" w:pos="0"/>
        </w:tabs>
        <w:suppressAutoHyphens/>
        <w:spacing w:after="240"/>
        <w:jc w:val="both"/>
        <w:rPr>
          <w:rFonts w:ascii="Cambria" w:eastAsia="SimSun" w:hAnsi="Cambria"/>
          <w:bCs/>
          <w:iCs/>
          <w:sz w:val="20"/>
          <w:szCs w:val="20"/>
          <w:lang w:val="es-ES_tradnl"/>
        </w:rPr>
      </w:pPr>
      <w:r w:rsidRPr="00F759B1">
        <w:rPr>
          <w:rFonts w:ascii="Cambria" w:eastAsia="SimSun" w:hAnsi="Cambria"/>
          <w:sz w:val="20"/>
          <w:szCs w:val="20"/>
          <w:lang w:val="es-ES"/>
        </w:rPr>
        <w:t xml:space="preserve">El peticionario sostiene haber sido detenido ilegalmente, torturado con la finalidad de declarar su coparticipación en el homicidio de su entonces cónyuge y no haber contado con una defensa adecuada en el momento de su declaración. A su vez, el Estado manifiesta que </w:t>
      </w:r>
      <w:r w:rsidRPr="00F759B1">
        <w:rPr>
          <w:rFonts w:ascii="Cambria" w:hAnsi="Cambria"/>
          <w:sz w:val="20"/>
          <w:szCs w:val="20"/>
          <w:lang w:val="es-ES_tradnl"/>
        </w:rPr>
        <w:t>la petición debe ser declarada inadmisible, toda vez que no se exponen hechos que caractericen violaciones a los derechos humanos, y que el peticionario pretende que la Comisión revise las actuaciones de los órganos jurisdiccionales internos actuando como una cuarta instancia.</w:t>
      </w:r>
    </w:p>
    <w:p w:rsidR="000309D4" w:rsidRPr="00F759B1" w:rsidRDefault="000309D4" w:rsidP="001A5E49">
      <w:pPr>
        <w:pStyle w:val="BodyText"/>
        <w:numPr>
          <w:ilvl w:val="0"/>
          <w:numId w:val="51"/>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eastAsia="SimSun" w:hAnsi="Cambria"/>
          <w:sz w:val="20"/>
          <w:szCs w:val="20"/>
          <w:lang w:val="es-ES_tradnl"/>
        </w:rPr>
      </w:pPr>
      <w:r w:rsidRPr="00F759B1">
        <w:rPr>
          <w:rFonts w:ascii="Cambria" w:eastAsia="SimSun" w:hAnsi="Cambria"/>
          <w:sz w:val="20"/>
          <w:szCs w:val="20"/>
          <w:lang w:val="es-ES_tradnl"/>
        </w:rPr>
        <w:t>Al respecto, la Comisión ha indicado en forma consistente que no es competente para revisar cuestiones de</w:t>
      </w:r>
      <w:r w:rsidR="00093AD4" w:rsidRPr="00F759B1">
        <w:rPr>
          <w:rFonts w:ascii="Cambria" w:eastAsia="SimSun" w:hAnsi="Cambria"/>
          <w:sz w:val="20"/>
          <w:szCs w:val="20"/>
          <w:lang w:val="es-ES_tradnl"/>
        </w:rPr>
        <w:t xml:space="preserve"> derecho interno que corresponda</w:t>
      </w:r>
      <w:r w:rsidRPr="00F759B1">
        <w:rPr>
          <w:rFonts w:ascii="Cambria" w:eastAsia="SimSun" w:hAnsi="Cambria"/>
          <w:sz w:val="20"/>
          <w:szCs w:val="20"/>
          <w:lang w:val="es-ES_tradnl"/>
        </w:rPr>
        <w:t xml:space="preserve">n a la esfera de competencia de los tribunales </w:t>
      </w:r>
      <w:r w:rsidR="00093AD4" w:rsidRPr="00F759B1">
        <w:rPr>
          <w:rFonts w:ascii="Cambria" w:eastAsia="SimSun" w:hAnsi="Cambria"/>
          <w:sz w:val="20"/>
          <w:szCs w:val="20"/>
          <w:lang w:val="es-ES_tradnl"/>
        </w:rPr>
        <w:t>domésticos</w:t>
      </w:r>
      <w:r w:rsidRPr="00F759B1">
        <w:rPr>
          <w:rFonts w:ascii="Cambria" w:eastAsia="SimSun" w:hAnsi="Cambria"/>
          <w:sz w:val="20"/>
          <w:szCs w:val="20"/>
          <w:lang w:val="es-ES_tradnl"/>
        </w:rPr>
        <w:t xml:space="preserve">, y que sí es competente para declarar admisible una petición y fallar sobre su fundamento cuando ésta se refiere a una sentencia judicial nacional que habría sido dictada al margen del debido proceso o que alegadamente viola cualquier otro derecho garantizado por la Convención. Por lo tanto, la Comisión considera que en el presente caso el análisis en la etapa de fondo de las violaciones alegadas por el peticionario no constituye un ejercicio de “cuarta instancia”. </w:t>
      </w:r>
      <w:r w:rsidRPr="00F759B1">
        <w:rPr>
          <w:rFonts w:ascii="Cambria" w:eastAsia="SimSun" w:hAnsi="Cambria"/>
          <w:bCs/>
          <w:iCs/>
          <w:sz w:val="20"/>
          <w:szCs w:val="20"/>
          <w:lang w:val="es-ES_tradnl"/>
        </w:rPr>
        <w:t xml:space="preserve"> </w:t>
      </w:r>
    </w:p>
    <w:p w:rsidR="000309D4" w:rsidRPr="00F759B1" w:rsidRDefault="000309D4" w:rsidP="00121F64">
      <w:pPr>
        <w:pStyle w:val="BodyText"/>
        <w:numPr>
          <w:ilvl w:val="0"/>
          <w:numId w:val="51"/>
        </w:numPr>
        <w:pBdr>
          <w:top w:val="none" w:sz="0" w:space="0" w:color="auto"/>
          <w:left w:val="none" w:sz="0" w:space="0" w:color="auto"/>
          <w:bottom w:val="none" w:sz="0" w:space="0" w:color="auto"/>
          <w:right w:val="none" w:sz="0" w:space="0" w:color="auto"/>
          <w:bar w:val="none" w:sz="0" w:color="auto"/>
        </w:pBdr>
        <w:tabs>
          <w:tab w:val="num" w:pos="0"/>
        </w:tabs>
        <w:suppressAutoHyphens/>
        <w:spacing w:after="240"/>
        <w:jc w:val="both"/>
        <w:rPr>
          <w:rFonts w:ascii="Cambria" w:hAnsi="Cambria"/>
          <w:sz w:val="20"/>
          <w:szCs w:val="20"/>
          <w:lang w:val="es-ES"/>
        </w:rPr>
      </w:pPr>
      <w:r w:rsidRPr="00F759B1">
        <w:rPr>
          <w:rFonts w:ascii="Cambria" w:hAnsi="Cambria"/>
          <w:sz w:val="20"/>
          <w:szCs w:val="20"/>
          <w:lang w:val="es-ES"/>
        </w:rPr>
        <w:t xml:space="preserve">En este sentido, en vista de los elementos de hecho y de derecho presentados por las partes y la naturaleza del asunto puesto bajo su conocimiento, la CIDH considera que, de ser probados, los hechos alegados podrían caracterizar posibles violaciones a los derechos protegidos en los artículos </w:t>
      </w:r>
      <w:r w:rsidRPr="00F759B1">
        <w:rPr>
          <w:rFonts w:ascii="Cambria" w:hAnsi="Cambria"/>
          <w:sz w:val="20"/>
          <w:szCs w:val="20"/>
          <w:lang w:val="es-MX"/>
        </w:rPr>
        <w:t>5 (derecho a la integridad personal), 7 (derecho a la libertad personal), 8 (garantías judiciales) y 25 (protección judicial)</w:t>
      </w:r>
      <w:r w:rsidRPr="00F759B1">
        <w:rPr>
          <w:rFonts w:ascii="Cambria" w:hAnsi="Cambria"/>
          <w:sz w:val="20"/>
          <w:szCs w:val="20"/>
          <w:lang w:val="es-ES"/>
        </w:rPr>
        <w:t>de la Convención Americana, en concordancia con su artículo 1.1, y los artículos 1, 6 y 8 de la Convención Interamericana para Prevenir y Sancionar la Tortura en perjuicio del Sr. José Alejandro Reséndiz Olvera.</w:t>
      </w:r>
    </w:p>
    <w:p w:rsidR="000309D4" w:rsidRPr="00F759B1" w:rsidRDefault="000309D4" w:rsidP="00121F64">
      <w:pPr>
        <w:pStyle w:val="BodyText"/>
        <w:numPr>
          <w:ilvl w:val="0"/>
          <w:numId w:val="51"/>
        </w:numPr>
        <w:pBdr>
          <w:top w:val="none" w:sz="0" w:space="0" w:color="auto"/>
          <w:left w:val="none" w:sz="0" w:space="0" w:color="auto"/>
          <w:bottom w:val="none" w:sz="0" w:space="0" w:color="auto"/>
          <w:right w:val="none" w:sz="0" w:space="0" w:color="auto"/>
          <w:bar w:val="none" w:sz="0" w:color="auto"/>
        </w:pBdr>
        <w:tabs>
          <w:tab w:val="num" w:pos="0"/>
        </w:tabs>
        <w:suppressAutoHyphens/>
        <w:spacing w:after="240"/>
        <w:jc w:val="both"/>
        <w:rPr>
          <w:rFonts w:ascii="Cambria" w:eastAsia="SimSun" w:hAnsi="Cambria"/>
          <w:sz w:val="20"/>
          <w:szCs w:val="20"/>
          <w:lang w:val="es-ES"/>
        </w:rPr>
      </w:pPr>
      <w:r w:rsidRPr="00F759B1">
        <w:rPr>
          <w:rFonts w:ascii="Cambria" w:eastAsia="SimSun" w:hAnsi="Cambria"/>
          <w:sz w:val="20"/>
          <w:szCs w:val="20"/>
          <w:lang w:val="es-ES"/>
        </w:rPr>
        <w:t>En cuanto a la mención a la posible violación de los artículos 2, 3, 4, 9 y 24 de la Convención Americana alegada por el peticionario, la Comisión observa que el peticionario no ofrece alegatos o información que la sustenten, por lo que no corresponde declarar dicha pretensión admisible.</w:t>
      </w:r>
    </w:p>
    <w:p w:rsidR="00446EF2" w:rsidRDefault="00446EF2">
      <w:pPr>
        <w:pBdr>
          <w:top w:val="none" w:sz="0" w:space="0" w:color="auto"/>
          <w:left w:val="none" w:sz="0" w:space="0" w:color="auto"/>
          <w:bottom w:val="none" w:sz="0" w:space="0" w:color="auto"/>
          <w:right w:val="none" w:sz="0" w:space="0" w:color="auto"/>
          <w:bar w:val="none" w:sz="0" w:color="auto"/>
        </w:pBdr>
        <w:rPr>
          <w:rFonts w:ascii="Cambria" w:hAnsi="Cambria"/>
          <w:b/>
          <w:bCs/>
          <w:sz w:val="20"/>
          <w:szCs w:val="20"/>
          <w:lang w:val="es-ES"/>
        </w:rPr>
      </w:pPr>
      <w:r>
        <w:rPr>
          <w:rFonts w:ascii="Cambria" w:hAnsi="Cambria"/>
          <w:b/>
          <w:bCs/>
          <w:sz w:val="20"/>
          <w:szCs w:val="20"/>
          <w:lang w:val="es-ES"/>
        </w:rPr>
        <w:br w:type="page"/>
      </w:r>
    </w:p>
    <w:p w:rsidR="000309D4" w:rsidRPr="00F759B1" w:rsidRDefault="000309D4" w:rsidP="00121F64">
      <w:pPr>
        <w:pBdr>
          <w:top w:val="none" w:sz="0" w:space="0" w:color="auto"/>
          <w:left w:val="none" w:sz="0" w:space="0" w:color="auto"/>
          <w:bottom w:val="none" w:sz="0" w:space="0" w:color="auto"/>
          <w:right w:val="none" w:sz="0" w:space="0" w:color="auto"/>
          <w:bar w:val="none" w:sz="0" w:color="auto"/>
        </w:pBdr>
        <w:tabs>
          <w:tab w:val="num" w:pos="0"/>
        </w:tabs>
        <w:spacing w:after="240"/>
        <w:ind w:firstLine="720"/>
        <w:jc w:val="both"/>
        <w:rPr>
          <w:rFonts w:ascii="Cambria" w:hAnsi="Cambria"/>
          <w:b/>
          <w:bCs/>
          <w:sz w:val="20"/>
          <w:szCs w:val="20"/>
          <w:lang w:val="es-ES"/>
        </w:rPr>
      </w:pPr>
      <w:r w:rsidRPr="00F759B1">
        <w:rPr>
          <w:rFonts w:ascii="Cambria" w:hAnsi="Cambria"/>
          <w:b/>
          <w:bCs/>
          <w:sz w:val="20"/>
          <w:szCs w:val="20"/>
          <w:lang w:val="es-ES"/>
        </w:rPr>
        <w:lastRenderedPageBreak/>
        <w:t>V.</w:t>
      </w:r>
      <w:r w:rsidRPr="00F759B1">
        <w:rPr>
          <w:rFonts w:ascii="Cambria" w:hAnsi="Cambria"/>
          <w:b/>
          <w:bCs/>
          <w:sz w:val="20"/>
          <w:szCs w:val="20"/>
          <w:lang w:val="es-ES"/>
        </w:rPr>
        <w:tab/>
        <w:t>CONCLUSIONES</w:t>
      </w:r>
    </w:p>
    <w:p w:rsidR="000309D4" w:rsidRPr="00F759B1" w:rsidRDefault="000309D4" w:rsidP="00121F64">
      <w:pPr>
        <w:numPr>
          <w:ilvl w:val="0"/>
          <w:numId w:val="51"/>
        </w:numPr>
        <w:pBdr>
          <w:top w:val="none" w:sz="0" w:space="0" w:color="auto"/>
          <w:left w:val="none" w:sz="0" w:space="0" w:color="auto"/>
          <w:bottom w:val="none" w:sz="0" w:space="0" w:color="auto"/>
          <w:right w:val="none" w:sz="0" w:space="0" w:color="auto"/>
          <w:bar w:val="none" w:sz="0" w:color="auto"/>
        </w:pBdr>
        <w:tabs>
          <w:tab w:val="num" w:pos="0"/>
        </w:tabs>
        <w:suppressAutoHyphens/>
        <w:spacing w:after="240"/>
        <w:jc w:val="both"/>
        <w:rPr>
          <w:rFonts w:ascii="Cambria" w:hAnsi="Cambria"/>
          <w:sz w:val="20"/>
          <w:szCs w:val="20"/>
          <w:lang w:val="es-ES"/>
        </w:rPr>
      </w:pPr>
      <w:r w:rsidRPr="00F759B1">
        <w:rPr>
          <w:rFonts w:ascii="Cambria" w:hAnsi="Cambria"/>
          <w:sz w:val="20"/>
          <w:szCs w:val="20"/>
          <w:lang w:val="es-ES"/>
        </w:rPr>
        <w:t>Con fundamento en las consideraciones de hecho y de derecho expuestas, la Comisión Interamericana concluye que la presente petición satisface los requisitos de admisibilidad enunciados en los artículos 46 y 47 de la Convención Americana y, sin prejuzgar sobre el fondo del asunto,</w:t>
      </w:r>
    </w:p>
    <w:p w:rsidR="000309D4" w:rsidRPr="00F759B1" w:rsidRDefault="000309D4" w:rsidP="00446EF2">
      <w:pPr>
        <w:pBdr>
          <w:top w:val="none" w:sz="0" w:space="0" w:color="auto"/>
          <w:left w:val="none" w:sz="0" w:space="0" w:color="auto"/>
          <w:bottom w:val="none" w:sz="0" w:space="0" w:color="auto"/>
          <w:right w:val="none" w:sz="0" w:space="0" w:color="auto"/>
          <w:bar w:val="none" w:sz="0" w:color="auto"/>
        </w:pBdr>
        <w:tabs>
          <w:tab w:val="num" w:pos="0"/>
        </w:tabs>
        <w:spacing w:after="240"/>
        <w:jc w:val="center"/>
        <w:rPr>
          <w:rFonts w:ascii="Cambria" w:hAnsi="Cambria"/>
          <w:b/>
          <w:bCs/>
          <w:sz w:val="20"/>
          <w:szCs w:val="20"/>
          <w:lang w:val="es-ES"/>
        </w:rPr>
      </w:pPr>
      <w:r w:rsidRPr="00F759B1">
        <w:rPr>
          <w:rFonts w:ascii="Cambria" w:hAnsi="Cambria"/>
          <w:b/>
          <w:bCs/>
          <w:sz w:val="20"/>
          <w:szCs w:val="20"/>
          <w:lang w:val="es-ES"/>
        </w:rPr>
        <w:t>LA COMISIÓN INTERAMERICANA DE DERECHOS HUMANOS</w:t>
      </w:r>
    </w:p>
    <w:p w:rsidR="000309D4" w:rsidRPr="00F759B1" w:rsidRDefault="000309D4" w:rsidP="00446EF2">
      <w:pPr>
        <w:pBdr>
          <w:top w:val="none" w:sz="0" w:space="0" w:color="auto"/>
          <w:left w:val="none" w:sz="0" w:space="0" w:color="auto"/>
          <w:bottom w:val="none" w:sz="0" w:space="0" w:color="auto"/>
          <w:right w:val="none" w:sz="0" w:space="0" w:color="auto"/>
          <w:bar w:val="none" w:sz="0" w:color="auto"/>
        </w:pBdr>
        <w:tabs>
          <w:tab w:val="num" w:pos="0"/>
        </w:tabs>
        <w:spacing w:after="240"/>
        <w:jc w:val="both"/>
        <w:rPr>
          <w:rFonts w:ascii="Cambria" w:hAnsi="Cambria"/>
          <w:b/>
          <w:bCs/>
          <w:sz w:val="20"/>
          <w:szCs w:val="20"/>
          <w:lang w:val="es-ES"/>
        </w:rPr>
      </w:pPr>
      <w:r w:rsidRPr="00F759B1">
        <w:rPr>
          <w:rFonts w:ascii="Cambria" w:hAnsi="Cambria"/>
          <w:b/>
          <w:bCs/>
          <w:sz w:val="20"/>
          <w:szCs w:val="20"/>
          <w:lang w:val="es-ES"/>
        </w:rPr>
        <w:t>DECIDE:</w:t>
      </w:r>
    </w:p>
    <w:p w:rsidR="000309D4" w:rsidRPr="00F759B1" w:rsidRDefault="000309D4" w:rsidP="00121F64">
      <w:pPr>
        <w:pStyle w:val="ListParagraph"/>
        <w:numPr>
          <w:ilvl w:val="1"/>
          <w:numId w:val="52"/>
        </w:numPr>
        <w:pBdr>
          <w:top w:val="none" w:sz="0" w:space="0" w:color="auto"/>
          <w:left w:val="none" w:sz="0" w:space="0" w:color="auto"/>
          <w:bottom w:val="none" w:sz="0" w:space="0" w:color="auto"/>
          <w:right w:val="none" w:sz="0" w:space="0" w:color="auto"/>
          <w:bar w:val="none" w:sz="0" w:color="auto"/>
        </w:pBdr>
        <w:tabs>
          <w:tab w:val="clear" w:pos="1800"/>
          <w:tab w:val="num" w:pos="0"/>
        </w:tabs>
        <w:suppressAutoHyphens/>
        <w:spacing w:after="240"/>
        <w:ind w:left="0" w:firstLine="720"/>
        <w:jc w:val="both"/>
        <w:rPr>
          <w:color w:val="auto"/>
          <w:sz w:val="20"/>
          <w:szCs w:val="20"/>
          <w:lang w:val="es-ES"/>
        </w:rPr>
      </w:pPr>
      <w:r w:rsidRPr="00F759B1">
        <w:rPr>
          <w:color w:val="auto"/>
          <w:sz w:val="20"/>
          <w:szCs w:val="20"/>
          <w:lang w:val="es-ES"/>
        </w:rPr>
        <w:t xml:space="preserve">Declarar admisible la presente petición en relación con los artículos </w:t>
      </w:r>
      <w:r w:rsidRPr="00F759B1">
        <w:rPr>
          <w:color w:val="auto"/>
          <w:sz w:val="20"/>
          <w:szCs w:val="20"/>
          <w:lang w:val="es-MX"/>
        </w:rPr>
        <w:t xml:space="preserve">5, 7, 8 y 25 </w:t>
      </w:r>
      <w:r w:rsidRPr="00F759B1">
        <w:rPr>
          <w:color w:val="auto"/>
          <w:sz w:val="20"/>
          <w:szCs w:val="20"/>
          <w:lang w:val="es-ES"/>
        </w:rPr>
        <w:t>de la Convención Americana, en conexión con su artículo 1.1, así como los artículos 1, 6 y 8 de la Convención Interamericana para Prevenir y Sancionar la Tortura, en perjuicio del peticionario.</w:t>
      </w:r>
    </w:p>
    <w:p w:rsidR="000309D4" w:rsidRPr="00F759B1" w:rsidRDefault="000309D4" w:rsidP="00121F64">
      <w:pPr>
        <w:pStyle w:val="ListParagraph"/>
        <w:numPr>
          <w:ilvl w:val="1"/>
          <w:numId w:val="52"/>
        </w:numPr>
        <w:pBdr>
          <w:top w:val="none" w:sz="0" w:space="0" w:color="auto"/>
          <w:left w:val="none" w:sz="0" w:space="0" w:color="auto"/>
          <w:bottom w:val="none" w:sz="0" w:space="0" w:color="auto"/>
          <w:right w:val="none" w:sz="0" w:space="0" w:color="auto"/>
          <w:bar w:val="none" w:sz="0" w:color="auto"/>
        </w:pBdr>
        <w:tabs>
          <w:tab w:val="clear" w:pos="1800"/>
          <w:tab w:val="num" w:pos="0"/>
        </w:tabs>
        <w:suppressAutoHyphens/>
        <w:spacing w:after="240"/>
        <w:ind w:left="0" w:firstLine="720"/>
        <w:jc w:val="both"/>
        <w:rPr>
          <w:color w:val="auto"/>
          <w:sz w:val="20"/>
          <w:szCs w:val="20"/>
          <w:lang w:val="es-ES"/>
        </w:rPr>
      </w:pPr>
      <w:r w:rsidRPr="00F759B1">
        <w:rPr>
          <w:color w:val="auto"/>
          <w:sz w:val="20"/>
          <w:szCs w:val="20"/>
          <w:lang w:val="es-ES"/>
        </w:rPr>
        <w:t>Declarar inadmisible la presente petición en relación con los artículos 2, 3, 4, 9 y 24 de la Convención Americana;</w:t>
      </w:r>
    </w:p>
    <w:p w:rsidR="000309D4" w:rsidRPr="00F759B1" w:rsidRDefault="000309D4" w:rsidP="00121F64">
      <w:pPr>
        <w:pStyle w:val="ListParagraph"/>
        <w:numPr>
          <w:ilvl w:val="1"/>
          <w:numId w:val="52"/>
        </w:numPr>
        <w:pBdr>
          <w:top w:val="none" w:sz="0" w:space="0" w:color="auto"/>
          <w:left w:val="none" w:sz="0" w:space="0" w:color="auto"/>
          <w:bottom w:val="none" w:sz="0" w:space="0" w:color="auto"/>
          <w:right w:val="none" w:sz="0" w:space="0" w:color="auto"/>
          <w:bar w:val="none" w:sz="0" w:color="auto"/>
        </w:pBdr>
        <w:tabs>
          <w:tab w:val="clear" w:pos="1800"/>
          <w:tab w:val="num" w:pos="0"/>
        </w:tabs>
        <w:suppressAutoHyphens/>
        <w:spacing w:after="240"/>
        <w:ind w:left="0" w:firstLine="720"/>
        <w:jc w:val="both"/>
        <w:rPr>
          <w:color w:val="auto"/>
          <w:sz w:val="20"/>
          <w:szCs w:val="20"/>
          <w:lang w:val="es-ES"/>
        </w:rPr>
      </w:pPr>
      <w:r w:rsidRPr="00F759B1">
        <w:rPr>
          <w:color w:val="auto"/>
          <w:sz w:val="20"/>
          <w:szCs w:val="20"/>
          <w:lang w:val="es-ES"/>
        </w:rPr>
        <w:t>Notificar a las partes la presente decisión;</w:t>
      </w:r>
    </w:p>
    <w:p w:rsidR="00821FA2" w:rsidRPr="00F759B1" w:rsidRDefault="000309D4" w:rsidP="00821FA2">
      <w:pPr>
        <w:pStyle w:val="ListParagraph"/>
        <w:numPr>
          <w:ilvl w:val="1"/>
          <w:numId w:val="52"/>
        </w:numPr>
        <w:pBdr>
          <w:top w:val="none" w:sz="0" w:space="0" w:color="auto"/>
          <w:left w:val="none" w:sz="0" w:space="0" w:color="auto"/>
          <w:bottom w:val="none" w:sz="0" w:space="0" w:color="auto"/>
          <w:right w:val="none" w:sz="0" w:space="0" w:color="auto"/>
          <w:bar w:val="none" w:sz="0" w:color="auto"/>
        </w:pBdr>
        <w:tabs>
          <w:tab w:val="clear" w:pos="1800"/>
          <w:tab w:val="num" w:pos="0"/>
        </w:tabs>
        <w:suppressAutoHyphens/>
        <w:spacing w:after="240"/>
        <w:ind w:left="0" w:firstLine="720"/>
        <w:jc w:val="both"/>
        <w:rPr>
          <w:color w:val="auto"/>
          <w:sz w:val="20"/>
          <w:szCs w:val="20"/>
          <w:lang w:val="es-ES"/>
        </w:rPr>
      </w:pPr>
      <w:r w:rsidRPr="00F759B1">
        <w:rPr>
          <w:color w:val="auto"/>
          <w:sz w:val="20"/>
          <w:szCs w:val="20"/>
          <w:lang w:val="es-ES"/>
        </w:rPr>
        <w:t>Continuar con el análisis del fondo de la cuestión; y</w:t>
      </w:r>
    </w:p>
    <w:p w:rsidR="000309D4" w:rsidRDefault="000309D4" w:rsidP="00821FA2">
      <w:pPr>
        <w:pStyle w:val="ListParagraph"/>
        <w:numPr>
          <w:ilvl w:val="1"/>
          <w:numId w:val="52"/>
        </w:numPr>
        <w:pBdr>
          <w:top w:val="none" w:sz="0" w:space="0" w:color="auto"/>
          <w:left w:val="none" w:sz="0" w:space="0" w:color="auto"/>
          <w:bottom w:val="none" w:sz="0" w:space="0" w:color="auto"/>
          <w:right w:val="none" w:sz="0" w:space="0" w:color="auto"/>
          <w:bar w:val="none" w:sz="0" w:color="auto"/>
        </w:pBdr>
        <w:tabs>
          <w:tab w:val="clear" w:pos="1800"/>
          <w:tab w:val="num" w:pos="0"/>
        </w:tabs>
        <w:suppressAutoHyphens/>
        <w:spacing w:after="240"/>
        <w:ind w:left="0" w:firstLine="720"/>
        <w:jc w:val="both"/>
        <w:rPr>
          <w:color w:val="auto"/>
          <w:sz w:val="20"/>
          <w:szCs w:val="20"/>
          <w:lang w:val="es-ES"/>
        </w:rPr>
      </w:pPr>
      <w:r w:rsidRPr="00F759B1">
        <w:rPr>
          <w:color w:val="auto"/>
          <w:sz w:val="20"/>
          <w:szCs w:val="20"/>
          <w:lang w:val="es-ES"/>
        </w:rPr>
        <w:t>Publicar esta decisión e incluirla en su Informe Anual a la Asamblea General de la Organización de los Estados Americanos.</w:t>
      </w:r>
    </w:p>
    <w:p w:rsidR="00015494" w:rsidRPr="00A54507" w:rsidRDefault="00BF033B" w:rsidP="00015494">
      <w:pPr>
        <w:pBdr>
          <w:top w:val="none" w:sz="0" w:space="0" w:color="auto"/>
          <w:left w:val="none" w:sz="0" w:space="0" w:color="auto"/>
          <w:bottom w:val="none" w:sz="0" w:space="0" w:color="auto"/>
          <w:right w:val="none" w:sz="0" w:space="0" w:color="auto"/>
          <w:bar w:val="none" w:sz="0" w:color="auto"/>
        </w:pBdr>
        <w:suppressAutoHyphens/>
        <w:spacing w:after="240"/>
        <w:ind w:firstLine="720"/>
        <w:jc w:val="both"/>
        <w:rPr>
          <w:rFonts w:ascii="Cambria" w:hAnsi="Cambria"/>
          <w:spacing w:val="-2"/>
          <w:sz w:val="20"/>
          <w:szCs w:val="20"/>
          <w:lang w:val="es-ES_tradnl"/>
        </w:rPr>
      </w:pPr>
      <w:r>
        <w:rPr>
          <w:sz w:val="20"/>
          <w:szCs w:val="20"/>
          <w:lang w:val="es-ES"/>
        </w:rPr>
        <w:t>Dado y firmado en la ciudad de Washington, D.C., a los 15 días del mes de abril de 2016.</w:t>
      </w:r>
      <w:r w:rsidR="00015494">
        <w:rPr>
          <w:sz w:val="20"/>
          <w:szCs w:val="20"/>
          <w:lang w:val="es-ES"/>
        </w:rPr>
        <w:t xml:space="preserve"> (Fimado):  J</w:t>
      </w:r>
      <w:r w:rsidR="00015494" w:rsidRPr="00015494">
        <w:rPr>
          <w:rFonts w:ascii="Cambria" w:hAnsi="Cambria"/>
          <w:sz w:val="20"/>
          <w:szCs w:val="20"/>
          <w:lang w:val="es-ES"/>
        </w:rPr>
        <w:t>ames L. Cavallaro</w:t>
      </w:r>
      <w:r w:rsidR="00015494">
        <w:rPr>
          <w:rFonts w:ascii="Cambria" w:hAnsi="Cambria"/>
          <w:sz w:val="20"/>
          <w:szCs w:val="20"/>
          <w:lang w:val="es-ES"/>
        </w:rPr>
        <w:t xml:space="preserve">, </w:t>
      </w:r>
      <w:r w:rsidR="00015494" w:rsidRPr="00015494">
        <w:rPr>
          <w:rFonts w:ascii="Cambria" w:hAnsi="Cambria"/>
          <w:spacing w:val="-2"/>
          <w:sz w:val="20"/>
          <w:szCs w:val="20"/>
          <w:lang w:val="es-ES"/>
        </w:rPr>
        <w:t>Presidente</w:t>
      </w:r>
      <w:r w:rsidR="00015494">
        <w:rPr>
          <w:rFonts w:ascii="Cambria" w:hAnsi="Cambria"/>
          <w:spacing w:val="-2"/>
          <w:sz w:val="20"/>
          <w:szCs w:val="20"/>
          <w:lang w:val="es-ES"/>
        </w:rPr>
        <w:t xml:space="preserve">; </w:t>
      </w:r>
      <w:r w:rsidR="00015494" w:rsidRPr="00A54507">
        <w:rPr>
          <w:rFonts w:ascii="Cambria" w:hAnsi="Cambria"/>
          <w:spacing w:val="-2"/>
          <w:sz w:val="20"/>
          <w:szCs w:val="20"/>
          <w:lang w:val="es-ES_tradnl"/>
        </w:rPr>
        <w:t>Francisco José Eguiguren</w:t>
      </w:r>
      <w:r w:rsidR="00015494">
        <w:rPr>
          <w:rFonts w:ascii="Cambria" w:hAnsi="Cambria"/>
          <w:spacing w:val="-2"/>
          <w:sz w:val="20"/>
          <w:szCs w:val="20"/>
          <w:lang w:val="es-ES_tradnl"/>
        </w:rPr>
        <w:t xml:space="preserve">, </w:t>
      </w:r>
      <w:r w:rsidR="00015494" w:rsidRPr="00A54507">
        <w:rPr>
          <w:rFonts w:ascii="Cambria" w:hAnsi="Cambria"/>
          <w:spacing w:val="-2"/>
          <w:sz w:val="20"/>
          <w:szCs w:val="20"/>
          <w:lang w:val="es-ES"/>
        </w:rPr>
        <w:t>Primer Vicepresidente</w:t>
      </w:r>
      <w:r w:rsidR="00015494">
        <w:rPr>
          <w:rFonts w:ascii="Cambria" w:hAnsi="Cambria"/>
          <w:spacing w:val="-2"/>
          <w:sz w:val="20"/>
          <w:szCs w:val="20"/>
          <w:lang w:val="es-ES"/>
        </w:rPr>
        <w:t xml:space="preserve">;  </w:t>
      </w:r>
      <w:r w:rsidR="00015494" w:rsidRPr="00A54507">
        <w:rPr>
          <w:rFonts w:ascii="Cambria" w:hAnsi="Cambria"/>
          <w:spacing w:val="-2"/>
          <w:sz w:val="20"/>
          <w:szCs w:val="20"/>
          <w:lang w:val="es-ES_tradnl"/>
        </w:rPr>
        <w:t xml:space="preserve">Esmeralda E. Arosemena Bernal de Troitiño </w:t>
      </w:r>
      <w:r w:rsidR="00015494">
        <w:rPr>
          <w:rFonts w:ascii="Cambria" w:hAnsi="Cambria"/>
          <w:spacing w:val="-2"/>
          <w:sz w:val="20"/>
          <w:szCs w:val="20"/>
          <w:lang w:val="es-ES_tradnl"/>
        </w:rPr>
        <w:t xml:space="preserve">y </w:t>
      </w:r>
      <w:r w:rsidR="00015494" w:rsidRPr="00A54507">
        <w:rPr>
          <w:rFonts w:ascii="Cambria" w:hAnsi="Cambria"/>
          <w:spacing w:val="-2"/>
          <w:sz w:val="20"/>
          <w:szCs w:val="20"/>
          <w:lang w:val="es-ES"/>
        </w:rPr>
        <w:t>Enrique Gil Botero</w:t>
      </w:r>
      <w:r w:rsidR="00015494">
        <w:rPr>
          <w:rFonts w:ascii="Cambria" w:hAnsi="Cambria"/>
          <w:spacing w:val="-2"/>
          <w:sz w:val="20"/>
          <w:szCs w:val="20"/>
          <w:lang w:val="es-ES"/>
        </w:rPr>
        <w:t xml:space="preserve">, miembros de la Comisión </w:t>
      </w:r>
    </w:p>
    <w:sectPr w:rsidR="00015494" w:rsidRPr="00A54507" w:rsidSect="00121F64">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40A" w:rsidRDefault="0064040A">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64040A" w:rsidRDefault="0064040A">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178" w:rsidRDefault="008C21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9D4" w:rsidRPr="00934A2C" w:rsidRDefault="000309D4">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C2178">
      <w:rPr>
        <w:noProof/>
        <w:sz w:val="16"/>
        <w:szCs w:val="22"/>
      </w:rPr>
      <w:t>7</w:t>
    </w:r>
    <w:r w:rsidRPr="00934A2C">
      <w:rPr>
        <w:sz w:val="16"/>
        <w:szCs w:val="22"/>
      </w:rPr>
      <w:fldChar w:fldCharType="end"/>
    </w:r>
  </w:p>
  <w:p w:rsidR="000309D4" w:rsidRDefault="000309D4">
    <w:pPr>
      <w:pStyle w:val="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9D4" w:rsidRPr="00934A2C" w:rsidRDefault="000309D4">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p>
  <w:p w:rsidR="000309D4" w:rsidRDefault="000309D4">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40A" w:rsidRPr="000F35ED" w:rsidRDefault="0064040A">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footnote>
  <w:footnote w:type="continuationSeparator" w:id="0">
    <w:p w:rsidR="0064040A" w:rsidRPr="000F35ED" w:rsidRDefault="0064040A" w:rsidP="000F35ED">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p w:rsidR="0064040A" w:rsidRPr="000F35ED" w:rsidRDefault="0064040A" w:rsidP="000F35ED">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 c</w:t>
      </w:r>
      <w:r w:rsidRPr="000F35ED">
        <w:rPr>
          <w:sz w:val="16"/>
          <w:szCs w:val="16"/>
        </w:rPr>
        <w:t>ontinuación</w:t>
      </w:r>
      <w:r>
        <w:rPr>
          <w:sz w:val="16"/>
          <w:szCs w:val="16"/>
        </w:rPr>
        <w:t>]</w:t>
      </w:r>
    </w:p>
  </w:footnote>
  <w:footnote w:type="continuationNotice" w:id="1">
    <w:p w:rsidR="0064040A" w:rsidRPr="000F35ED" w:rsidRDefault="0064040A" w:rsidP="000F35E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
        </w:rPr>
      </w:pPr>
      <w:r>
        <w:rPr>
          <w:rFonts w:ascii="Cambria" w:hAnsi="Cambria"/>
          <w:sz w:val="16"/>
          <w:szCs w:val="16"/>
          <w:lang w:val="es-ES"/>
        </w:rPr>
        <w:t>[c</w:t>
      </w:r>
      <w:r w:rsidRPr="000F35ED">
        <w:rPr>
          <w:rFonts w:ascii="Cambria" w:hAnsi="Cambria"/>
          <w:sz w:val="16"/>
          <w:szCs w:val="16"/>
          <w:lang w:val="es-ES"/>
        </w:rPr>
        <w:t>ontinúa…</w:t>
      </w:r>
      <w:r>
        <w:rPr>
          <w:rFonts w:ascii="Cambria" w:hAnsi="Cambria"/>
          <w:sz w:val="16"/>
          <w:szCs w:val="16"/>
          <w:lang w:val="es-ES"/>
        </w:rPr>
        <w:t>]</w:t>
      </w:r>
    </w:p>
  </w:footnote>
  <w:footnote w:id="2">
    <w:p w:rsidR="000309D4" w:rsidRPr="002C1FEA" w:rsidRDefault="000309D4" w:rsidP="00537490">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ES"/>
        </w:rPr>
      </w:pPr>
      <w:r w:rsidRPr="00D474D8">
        <w:rPr>
          <w:rStyle w:val="FootnoteReference"/>
          <w:rFonts w:ascii="Cambria" w:hAnsi="Cambria"/>
          <w:color w:val="auto"/>
          <w:sz w:val="16"/>
          <w:szCs w:val="16"/>
        </w:rPr>
        <w:footnoteRef/>
      </w:r>
      <w:r w:rsidRPr="00537490">
        <w:rPr>
          <w:rFonts w:ascii="Cambria" w:hAnsi="Cambria"/>
          <w:color w:val="FF0000"/>
          <w:sz w:val="16"/>
          <w:szCs w:val="16"/>
          <w:lang w:val="es-MX"/>
        </w:rPr>
        <w:t xml:space="preserve"> </w:t>
      </w:r>
      <w:r w:rsidRPr="00D474D8">
        <w:rPr>
          <w:rFonts w:ascii="Cambria" w:hAnsi="Cambria"/>
          <w:color w:val="auto"/>
          <w:sz w:val="16"/>
          <w:szCs w:val="16"/>
          <w:lang w:val="es-MX"/>
        </w:rPr>
        <w:t xml:space="preserve">Conforme </w:t>
      </w:r>
      <w:r w:rsidRPr="00D474D8">
        <w:rPr>
          <w:rFonts w:ascii="Cambria" w:hAnsi="Cambria" w:cs="Arial"/>
          <w:color w:val="auto"/>
          <w:sz w:val="16"/>
          <w:szCs w:val="16"/>
          <w:lang w:val="es-ES"/>
        </w:rPr>
        <w:t xml:space="preserve">a lo dispuesto en el artículo 17.2.a del Reglamento de la Comisión, </w:t>
      </w:r>
      <w:r>
        <w:rPr>
          <w:rFonts w:ascii="Cambria" w:hAnsi="Cambria" w:cs="Arial"/>
          <w:color w:val="auto"/>
          <w:sz w:val="16"/>
          <w:szCs w:val="16"/>
          <w:lang w:val="es-ES"/>
        </w:rPr>
        <w:t>el</w:t>
      </w:r>
      <w:r w:rsidRPr="00D474D8">
        <w:rPr>
          <w:rFonts w:ascii="Cambria" w:hAnsi="Cambria" w:cs="Arial"/>
          <w:color w:val="auto"/>
          <w:sz w:val="16"/>
          <w:szCs w:val="16"/>
          <w:lang w:val="es-ES"/>
        </w:rPr>
        <w:t xml:space="preserve"> Comisionado </w:t>
      </w:r>
      <w:r w:rsidRPr="00D474D8">
        <w:rPr>
          <w:rFonts w:ascii="Cambria" w:hAnsi="Cambria" w:cs="Arial"/>
          <w:bCs/>
          <w:color w:val="auto"/>
          <w:sz w:val="16"/>
          <w:szCs w:val="16"/>
          <w:lang w:val="es-CL"/>
        </w:rPr>
        <w:t>José de Jesús Orozco Henríquez</w:t>
      </w:r>
      <w:r w:rsidRPr="00D474D8">
        <w:rPr>
          <w:rFonts w:ascii="Cambria" w:hAnsi="Cambria" w:cs="Arial"/>
          <w:color w:val="auto"/>
          <w:sz w:val="16"/>
          <w:szCs w:val="16"/>
          <w:lang w:val="es-ES"/>
        </w:rPr>
        <w:t>, de nacionalidad mexicana, no participó en el debate ni en la decisión del presente asunto.</w:t>
      </w:r>
    </w:p>
  </w:footnote>
  <w:footnote w:id="3">
    <w:p w:rsidR="000309D4" w:rsidRPr="002C1FEA" w:rsidRDefault="000309D4" w:rsidP="009860B0">
      <w:pPr>
        <w:pStyle w:val="FootnoteText"/>
        <w:pBdr>
          <w:top w:val="none" w:sz="0" w:space="0" w:color="auto"/>
          <w:left w:val="none" w:sz="0" w:space="0" w:color="auto"/>
          <w:bottom w:val="none" w:sz="0" w:space="0" w:color="auto"/>
          <w:right w:val="none" w:sz="0" w:space="0" w:color="auto"/>
          <w:bar w:val="none" w:sz="0" w:color="auto"/>
        </w:pBdr>
        <w:spacing w:after="120"/>
        <w:jc w:val="both"/>
        <w:rPr>
          <w:lang w:val="es-ES"/>
        </w:rPr>
      </w:pPr>
      <w:r>
        <w:rPr>
          <w:rFonts w:ascii="Cambria" w:hAnsi="Cambria"/>
          <w:sz w:val="16"/>
          <w:szCs w:val="16"/>
          <w:lang w:val="es-ES"/>
        </w:rPr>
        <w:tab/>
      </w:r>
      <w:r w:rsidRPr="00CE7096">
        <w:rPr>
          <w:rStyle w:val="FootnoteReference"/>
          <w:rFonts w:ascii="Cambria" w:hAnsi="Cambria"/>
          <w:sz w:val="16"/>
          <w:szCs w:val="16"/>
        </w:rPr>
        <w:footnoteRef/>
      </w:r>
      <w:r w:rsidRPr="00CE7096">
        <w:rPr>
          <w:rFonts w:ascii="Cambria" w:hAnsi="Cambria"/>
          <w:sz w:val="16"/>
          <w:szCs w:val="16"/>
          <w:lang w:val="es-ES"/>
        </w:rPr>
        <w:t xml:space="preserve"> Véase entre otros, </w:t>
      </w:r>
      <w:r>
        <w:rPr>
          <w:rFonts w:ascii="Cambria" w:hAnsi="Cambria"/>
          <w:sz w:val="16"/>
          <w:szCs w:val="16"/>
          <w:lang w:val="es-ES"/>
        </w:rPr>
        <w:t xml:space="preserve">CIDH, Informe No. 18/15 (Admisibilidad), Peticiones 929-04, 1082-07 y 1187-07, José Antonio Arrona Salazar y Familia, Luz Claudia Irozaqui Félix, Joel Gutiérrez Esquivel, México, 24 de marzo de 2015, párr. 33; </w:t>
      </w:r>
      <w:r w:rsidRPr="00CE7096">
        <w:rPr>
          <w:rFonts w:ascii="Cambria" w:hAnsi="Cambria"/>
          <w:sz w:val="16"/>
          <w:szCs w:val="16"/>
          <w:lang w:val="es-ES"/>
        </w:rPr>
        <w:t xml:space="preserve">CIDH, Informe Nº 7/15, (Admisibilidad), Petición 547/04, José Antonio Bolaños Juárez, México, 29 </w:t>
      </w:r>
      <w:r>
        <w:rPr>
          <w:rFonts w:ascii="Cambria" w:hAnsi="Cambria"/>
          <w:sz w:val="16"/>
          <w:szCs w:val="16"/>
          <w:lang w:val="es-ES"/>
        </w:rPr>
        <w:t>d</w:t>
      </w:r>
      <w:r w:rsidRPr="00CE7096">
        <w:rPr>
          <w:rFonts w:ascii="Cambria" w:hAnsi="Cambria"/>
          <w:sz w:val="16"/>
          <w:szCs w:val="16"/>
          <w:lang w:val="es-ES"/>
        </w:rPr>
        <w:t xml:space="preserve">e </w:t>
      </w:r>
      <w:r>
        <w:rPr>
          <w:rFonts w:ascii="Cambria" w:hAnsi="Cambria"/>
          <w:sz w:val="16"/>
          <w:szCs w:val="16"/>
          <w:lang w:val="es-ES"/>
        </w:rPr>
        <w:t>e</w:t>
      </w:r>
      <w:r w:rsidRPr="00CE7096">
        <w:rPr>
          <w:rFonts w:ascii="Cambria" w:hAnsi="Cambria"/>
          <w:sz w:val="16"/>
          <w:szCs w:val="16"/>
          <w:lang w:val="es-ES"/>
        </w:rPr>
        <w:t xml:space="preserve">nero </w:t>
      </w:r>
      <w:r>
        <w:rPr>
          <w:rFonts w:ascii="Cambria" w:hAnsi="Cambria"/>
          <w:sz w:val="16"/>
          <w:szCs w:val="16"/>
          <w:lang w:val="es-ES"/>
        </w:rPr>
        <w:t>de 2015, p</w:t>
      </w:r>
      <w:r w:rsidRPr="00CE7096">
        <w:rPr>
          <w:rFonts w:ascii="Cambria" w:hAnsi="Cambria"/>
          <w:sz w:val="16"/>
          <w:szCs w:val="16"/>
          <w:lang w:val="es-ES"/>
        </w:rPr>
        <w:t xml:space="preserve">árr. 22; </w:t>
      </w:r>
      <w:r w:rsidRPr="00CE7096">
        <w:rPr>
          <w:rFonts w:ascii="Cambria" w:hAnsi="Cambria"/>
          <w:sz w:val="16"/>
          <w:szCs w:val="16"/>
          <w:lang w:val="es-ES_tradnl"/>
        </w:rPr>
        <w:t xml:space="preserve">CIDH, Informe Nº 14/08, (Admisibilidad), Caso 652-04, </w:t>
      </w:r>
      <w:r w:rsidRPr="00CE7096">
        <w:rPr>
          <w:rFonts w:ascii="Cambria" w:hAnsi="Cambria" w:cs="Tahoma"/>
          <w:sz w:val="16"/>
          <w:szCs w:val="16"/>
          <w:shd w:val="clear" w:color="auto" w:fill="FFFFFF"/>
          <w:lang w:val="es-ES_tradnl"/>
        </w:rPr>
        <w:t>Hugo Humberto Ruiz Fuentes</w:t>
      </w:r>
      <w:r w:rsidRPr="00CE7096">
        <w:rPr>
          <w:rFonts w:ascii="Cambria" w:hAnsi="Cambria"/>
          <w:sz w:val="16"/>
          <w:szCs w:val="16"/>
          <w:lang w:val="es-ES_tradnl"/>
        </w:rPr>
        <w:t>, Guatemal</w:t>
      </w:r>
      <w:r w:rsidR="001A3294">
        <w:rPr>
          <w:rFonts w:ascii="Cambria" w:hAnsi="Cambria"/>
          <w:sz w:val="16"/>
          <w:szCs w:val="16"/>
          <w:lang w:val="es-ES_tradnl"/>
        </w:rPr>
        <w:t>a, 5 de marzo de 2008, párr. 64.</w:t>
      </w:r>
      <w:r w:rsidRPr="00CE7096">
        <w:rPr>
          <w:rFonts w:ascii="Cambria" w:hAnsi="Cambria"/>
          <w:sz w:val="16"/>
          <w:szCs w:val="16"/>
          <w:lang w:val="es-ES_tradn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9D4" w:rsidRDefault="000309D4" w:rsidP="00D57C19">
    <w:pPr>
      <w:pStyle w:val="Header"/>
      <w:framePr w:wrap="around" w:vAnchor="text" w:hAnchor="margin" w:xAlign="center" w:y="1"/>
      <w:rPr>
        <w:rStyle w:val="PageNumber"/>
        <w:rFonts w:cs="Univers"/>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rsidR="000309D4" w:rsidRDefault="000309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9D4" w:rsidRDefault="00675C44" w:rsidP="00A50FCF">
    <w:pPr>
      <w:pStyle w:val="Header"/>
      <w:tabs>
        <w:tab w:val="clear" w:pos="4320"/>
        <w:tab w:val="clear" w:pos="8640"/>
      </w:tabs>
      <w:jc w:val="center"/>
      <w:rPr>
        <w:sz w:val="22"/>
        <w:szCs w:val="22"/>
      </w:rPr>
    </w:pPr>
    <w:r>
      <w:rPr>
        <w:noProof/>
        <w:sz w:val="22"/>
        <w:szCs w:val="22"/>
      </w:rPr>
      <w:drawing>
        <wp:inline distT="0" distB="0" distL="0" distR="0" wp14:anchorId="2F6F6F0F" wp14:editId="61047102">
          <wp:extent cx="1953260" cy="102235"/>
          <wp:effectExtent l="0" t="0" r="889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3260" cy="102235"/>
                  </a:xfrm>
                  <a:prstGeom prst="rect">
                    <a:avLst/>
                  </a:prstGeom>
                  <a:noFill/>
                  <a:ln>
                    <a:noFill/>
                  </a:ln>
                </pic:spPr>
              </pic:pic>
            </a:graphicData>
          </a:graphic>
        </wp:inline>
      </w:drawing>
    </w:r>
  </w:p>
  <w:p w:rsidR="000309D4" w:rsidRPr="00EC7D62" w:rsidRDefault="0064040A"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178" w:rsidRDefault="008C21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firstLine="720"/>
      </w:pPr>
      <w:rPr>
        <w:rFonts w:ascii="Calibri" w:hAnsi="Calibri" w:cs="Calibri" w:hint="default"/>
        <w:b w:val="0"/>
        <w:bCs/>
        <w:i w:val="0"/>
        <w:color w:val="auto"/>
        <w:sz w:val="20"/>
        <w:szCs w:val="20"/>
      </w:rPr>
    </w:lvl>
    <w:lvl w:ilvl="1">
      <w:start w:val="2"/>
      <w:numFmt w:val="upperRoman"/>
      <w:lvlText w:val="%2."/>
      <w:lvlJc w:val="left"/>
      <w:pPr>
        <w:tabs>
          <w:tab w:val="num" w:pos="2520"/>
        </w:tabs>
        <w:ind w:left="2520" w:hanging="720"/>
      </w:pPr>
      <w:rPr>
        <w:rFonts w:cs="Times New Roman"/>
        <w:i w:val="0"/>
      </w:rPr>
    </w:lvl>
    <w:lvl w:ilvl="2">
      <w:start w:val="3"/>
      <w:numFmt w:val="decimal"/>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5">
    <w:nsid w:val="0E1D2261"/>
    <w:multiLevelType w:val="hybridMultilevel"/>
    <w:tmpl w:val="8BC6CB5C"/>
    <w:lvl w:ilvl="0" w:tplc="2F7AB9BE">
      <w:start w:val="1"/>
      <w:numFmt w:val="decimal"/>
      <w:pStyle w:val="NormalCambria"/>
      <w:lvlText w:val="%1."/>
      <w:lvlJc w:val="left"/>
      <w:pPr>
        <w:tabs>
          <w:tab w:val="num" w:pos="720"/>
        </w:tabs>
        <w:ind w:firstLine="720"/>
      </w:pPr>
      <w:rPr>
        <w:rFonts w:cs="Times New Roman" w:hint="default"/>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1">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2">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3">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4">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5">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26">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7">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8">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9">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1">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2">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33">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34">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6">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37">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3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39">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0">
    <w:nsid w:val="60561B8E"/>
    <w:multiLevelType w:val="hybridMultilevel"/>
    <w:tmpl w:val="46F485C8"/>
    <w:lvl w:ilvl="0" w:tplc="FD36897E">
      <w:start w:val="1"/>
      <w:numFmt w:val="decimal"/>
      <w:pStyle w:val="Normallatin"/>
      <w:lvlText w:val="%1."/>
      <w:lvlJc w:val="left"/>
      <w:pPr>
        <w:tabs>
          <w:tab w:val="num" w:pos="1429"/>
        </w:tabs>
        <w:ind w:left="1429" w:hanging="720"/>
      </w:pPr>
      <w:rPr>
        <w:rFonts w:ascii="Cambria" w:hAnsi="Cambria" w:cs="Times New Roman" w:hint="default"/>
        <w:b w:val="0"/>
        <w:color w:val="auto"/>
        <w:sz w:val="20"/>
        <w:szCs w:val="20"/>
      </w:rPr>
    </w:lvl>
    <w:lvl w:ilvl="1" w:tplc="04090019">
      <w:start w:val="1"/>
      <w:numFmt w:val="lowerLetter"/>
      <w:lvlText w:val="%2."/>
      <w:lvlJc w:val="left"/>
      <w:pPr>
        <w:tabs>
          <w:tab w:val="num" w:pos="1800"/>
        </w:tabs>
        <w:ind w:left="1800" w:hanging="360"/>
      </w:pPr>
      <w:rPr>
        <w:rFonts w:cs="Times New Roman"/>
      </w:rPr>
    </w:lvl>
    <w:lvl w:ilvl="2" w:tplc="3CA6FEDA">
      <w:start w:val="5"/>
      <w:numFmt w:val="upperRoman"/>
      <w:lvlText w:val="%3."/>
      <w:lvlJc w:val="left"/>
      <w:pPr>
        <w:tabs>
          <w:tab w:val="num" w:pos="3060"/>
        </w:tabs>
        <w:ind w:left="3060" w:hanging="720"/>
      </w:pPr>
      <w:rPr>
        <w:rFonts w:cs="Times New Roman" w:hint="default"/>
      </w:rPr>
    </w:lvl>
    <w:lvl w:ilvl="3" w:tplc="71681AC0">
      <w:start w:val="1"/>
      <w:numFmt w:val="upperLetter"/>
      <w:lvlText w:val="%4."/>
      <w:lvlJc w:val="left"/>
      <w:pPr>
        <w:tabs>
          <w:tab w:val="num" w:pos="3240"/>
        </w:tabs>
        <w:ind w:left="3240" w:hanging="360"/>
      </w:pPr>
      <w:rPr>
        <w:rFonts w:cs="Times New Roman" w:hint="default"/>
        <w:b w:val="0"/>
        <w:color w:val="auto"/>
        <w:sz w:val="20"/>
        <w:szCs w:val="20"/>
      </w:rPr>
    </w:lvl>
    <w:lvl w:ilvl="4" w:tplc="0409000F">
      <w:start w:val="1"/>
      <w:numFmt w:val="decimal"/>
      <w:lvlText w:val="%5."/>
      <w:lvlJc w:val="left"/>
      <w:pPr>
        <w:tabs>
          <w:tab w:val="num" w:pos="3960"/>
        </w:tabs>
        <w:ind w:left="3960" w:hanging="360"/>
      </w:pPr>
      <w:rPr>
        <w:rFonts w:cs="Times New Roman" w:hint="default"/>
        <w:b w:val="0"/>
        <w:color w:val="auto"/>
        <w:sz w:val="20"/>
        <w:szCs w:val="20"/>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2">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3">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4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5">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7">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8">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4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4"/>
  </w:num>
  <w:num w:numId="2">
    <w:abstractNumId w:val="48"/>
  </w:num>
  <w:num w:numId="3">
    <w:abstractNumId w:val="20"/>
  </w:num>
  <w:num w:numId="4">
    <w:abstractNumId w:val="42"/>
  </w:num>
  <w:num w:numId="5">
    <w:abstractNumId w:val="25"/>
  </w:num>
  <w:num w:numId="6">
    <w:abstractNumId w:val="6"/>
  </w:num>
  <w:num w:numId="7">
    <w:abstractNumId w:val="17"/>
  </w:num>
  <w:num w:numId="8">
    <w:abstractNumId w:val="37"/>
  </w:num>
  <w:num w:numId="9">
    <w:abstractNumId w:val="1"/>
  </w:num>
  <w:num w:numId="10">
    <w:abstractNumId w:val="32"/>
  </w:num>
  <w:num w:numId="11">
    <w:abstractNumId w:val="33"/>
  </w:num>
  <w:num w:numId="12">
    <w:abstractNumId w:val="38"/>
  </w:num>
  <w:num w:numId="13">
    <w:abstractNumId w:val="2"/>
  </w:num>
  <w:num w:numId="14">
    <w:abstractNumId w:val="3"/>
  </w:num>
  <w:num w:numId="15">
    <w:abstractNumId w:val="7"/>
  </w:num>
  <w:num w:numId="16">
    <w:abstractNumId w:val="8"/>
  </w:num>
  <w:num w:numId="17">
    <w:abstractNumId w:val="9"/>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8"/>
  </w:num>
  <w:num w:numId="25">
    <w:abstractNumId w:val="19"/>
  </w:num>
  <w:num w:numId="26">
    <w:abstractNumId w:val="21"/>
  </w:num>
  <w:num w:numId="27">
    <w:abstractNumId w:val="22"/>
  </w:num>
  <w:num w:numId="28">
    <w:abstractNumId w:val="23"/>
  </w:num>
  <w:num w:numId="29">
    <w:abstractNumId w:val="24"/>
  </w:num>
  <w:num w:numId="30">
    <w:abstractNumId w:val="26"/>
  </w:num>
  <w:num w:numId="31">
    <w:abstractNumId w:val="27"/>
  </w:num>
  <w:num w:numId="32">
    <w:abstractNumId w:val="28"/>
  </w:num>
  <w:num w:numId="33">
    <w:abstractNumId w:val="29"/>
  </w:num>
  <w:num w:numId="34">
    <w:abstractNumId w:val="30"/>
  </w:num>
  <w:num w:numId="35">
    <w:abstractNumId w:val="31"/>
  </w:num>
  <w:num w:numId="36">
    <w:abstractNumId w:val="34"/>
  </w:num>
  <w:num w:numId="37">
    <w:abstractNumId w:val="35"/>
  </w:num>
  <w:num w:numId="38">
    <w:abstractNumId w:val="41"/>
  </w:num>
  <w:num w:numId="39">
    <w:abstractNumId w:val="43"/>
  </w:num>
  <w:num w:numId="40">
    <w:abstractNumId w:val="44"/>
  </w:num>
  <w:num w:numId="41">
    <w:abstractNumId w:val="46"/>
  </w:num>
  <w:num w:numId="42">
    <w:abstractNumId w:val="47"/>
  </w:num>
  <w:num w:numId="43">
    <w:abstractNumId w:val="49"/>
  </w:num>
  <w:num w:numId="44">
    <w:abstractNumId w:val="50"/>
  </w:num>
  <w:num w:numId="45">
    <w:abstractNumId w:val="51"/>
  </w:num>
  <w:num w:numId="46">
    <w:abstractNumId w:val="52"/>
  </w:num>
  <w:num w:numId="47">
    <w:abstractNumId w:val="53"/>
  </w:num>
  <w:num w:numId="48">
    <w:abstractNumId w:val="36"/>
  </w:num>
  <w:num w:numId="49">
    <w:abstractNumId w:val="45"/>
  </w:num>
  <w:num w:numId="50">
    <w:abstractNumId w:val="39"/>
  </w:num>
  <w:num w:numId="51">
    <w:abstractNumId w:val="5"/>
  </w:num>
  <w:num w:numId="52">
    <w:abstractNumId w:val="10"/>
  </w:num>
  <w:num w:numId="53">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471D"/>
    <w:rsid w:val="00015494"/>
    <w:rsid w:val="0001788C"/>
    <w:rsid w:val="00017DF0"/>
    <w:rsid w:val="000216E1"/>
    <w:rsid w:val="00024654"/>
    <w:rsid w:val="00024661"/>
    <w:rsid w:val="000309D4"/>
    <w:rsid w:val="00040C3A"/>
    <w:rsid w:val="00046C6B"/>
    <w:rsid w:val="00056222"/>
    <w:rsid w:val="00056B8A"/>
    <w:rsid w:val="00057DD7"/>
    <w:rsid w:val="00064ACB"/>
    <w:rsid w:val="00067ED3"/>
    <w:rsid w:val="000716C5"/>
    <w:rsid w:val="000755A4"/>
    <w:rsid w:val="00075E23"/>
    <w:rsid w:val="00086FA2"/>
    <w:rsid w:val="0009344A"/>
    <w:rsid w:val="00093AD4"/>
    <w:rsid w:val="000A392E"/>
    <w:rsid w:val="000A575F"/>
    <w:rsid w:val="000B03D5"/>
    <w:rsid w:val="000B4DC1"/>
    <w:rsid w:val="000C4426"/>
    <w:rsid w:val="000C7827"/>
    <w:rsid w:val="000D10DB"/>
    <w:rsid w:val="000D423D"/>
    <w:rsid w:val="000D5012"/>
    <w:rsid w:val="000D7E9C"/>
    <w:rsid w:val="000E15C5"/>
    <w:rsid w:val="000E5EB5"/>
    <w:rsid w:val="000E7349"/>
    <w:rsid w:val="000F1C81"/>
    <w:rsid w:val="000F32E8"/>
    <w:rsid w:val="000F35ED"/>
    <w:rsid w:val="0010132C"/>
    <w:rsid w:val="00104312"/>
    <w:rsid w:val="00107131"/>
    <w:rsid w:val="0010736F"/>
    <w:rsid w:val="00112C36"/>
    <w:rsid w:val="00112D7A"/>
    <w:rsid w:val="00113F73"/>
    <w:rsid w:val="00117E00"/>
    <w:rsid w:val="00121CC2"/>
    <w:rsid w:val="00121F64"/>
    <w:rsid w:val="0012222C"/>
    <w:rsid w:val="00127572"/>
    <w:rsid w:val="0013283B"/>
    <w:rsid w:val="00133EE5"/>
    <w:rsid w:val="001356C5"/>
    <w:rsid w:val="00140E6D"/>
    <w:rsid w:val="00145FB1"/>
    <w:rsid w:val="0015186F"/>
    <w:rsid w:val="00151A6F"/>
    <w:rsid w:val="00152878"/>
    <w:rsid w:val="00157014"/>
    <w:rsid w:val="0016178E"/>
    <w:rsid w:val="001630ED"/>
    <w:rsid w:val="001679F7"/>
    <w:rsid w:val="00167A34"/>
    <w:rsid w:val="00181715"/>
    <w:rsid w:val="00182D70"/>
    <w:rsid w:val="00192D4A"/>
    <w:rsid w:val="00195BBE"/>
    <w:rsid w:val="001A162F"/>
    <w:rsid w:val="001A3294"/>
    <w:rsid w:val="001A353B"/>
    <w:rsid w:val="001A5E49"/>
    <w:rsid w:val="001A701C"/>
    <w:rsid w:val="001A7870"/>
    <w:rsid w:val="001B416D"/>
    <w:rsid w:val="001C1B41"/>
    <w:rsid w:val="001C7399"/>
    <w:rsid w:val="001D65EF"/>
    <w:rsid w:val="001D7361"/>
    <w:rsid w:val="001E0D1B"/>
    <w:rsid w:val="001E4267"/>
    <w:rsid w:val="001E7AC1"/>
    <w:rsid w:val="002039CB"/>
    <w:rsid w:val="00205E25"/>
    <w:rsid w:val="002250A3"/>
    <w:rsid w:val="00231C0B"/>
    <w:rsid w:val="002339E3"/>
    <w:rsid w:val="00235217"/>
    <w:rsid w:val="00235440"/>
    <w:rsid w:val="002405AB"/>
    <w:rsid w:val="00245497"/>
    <w:rsid w:val="00246D1F"/>
    <w:rsid w:val="00247403"/>
    <w:rsid w:val="00247542"/>
    <w:rsid w:val="00252DF3"/>
    <w:rsid w:val="00253C69"/>
    <w:rsid w:val="0026525D"/>
    <w:rsid w:val="00266B61"/>
    <w:rsid w:val="0026712A"/>
    <w:rsid w:val="002704DB"/>
    <w:rsid w:val="002720CB"/>
    <w:rsid w:val="00274317"/>
    <w:rsid w:val="00294030"/>
    <w:rsid w:val="002A0AAE"/>
    <w:rsid w:val="002A1955"/>
    <w:rsid w:val="002A5820"/>
    <w:rsid w:val="002B4C15"/>
    <w:rsid w:val="002C1E2E"/>
    <w:rsid w:val="002C1FEA"/>
    <w:rsid w:val="002D2B26"/>
    <w:rsid w:val="002D7EA2"/>
    <w:rsid w:val="002E0A91"/>
    <w:rsid w:val="002E187C"/>
    <w:rsid w:val="002E6FF7"/>
    <w:rsid w:val="002F1DA9"/>
    <w:rsid w:val="002F2850"/>
    <w:rsid w:val="002F3C58"/>
    <w:rsid w:val="002F3FEB"/>
    <w:rsid w:val="002F5839"/>
    <w:rsid w:val="002F6F9E"/>
    <w:rsid w:val="00300BDB"/>
    <w:rsid w:val="00300C26"/>
    <w:rsid w:val="00302733"/>
    <w:rsid w:val="00302AA1"/>
    <w:rsid w:val="00303272"/>
    <w:rsid w:val="003119E5"/>
    <w:rsid w:val="0031385F"/>
    <w:rsid w:val="00314078"/>
    <w:rsid w:val="00314426"/>
    <w:rsid w:val="0031535D"/>
    <w:rsid w:val="00323D95"/>
    <w:rsid w:val="0032653E"/>
    <w:rsid w:val="003267FA"/>
    <w:rsid w:val="0033169F"/>
    <w:rsid w:val="0033260A"/>
    <w:rsid w:val="0033467B"/>
    <w:rsid w:val="003352BC"/>
    <w:rsid w:val="003375DE"/>
    <w:rsid w:val="00340996"/>
    <w:rsid w:val="00340C2A"/>
    <w:rsid w:val="00343488"/>
    <w:rsid w:val="00346C95"/>
    <w:rsid w:val="003533F4"/>
    <w:rsid w:val="003534C3"/>
    <w:rsid w:val="00356185"/>
    <w:rsid w:val="00357AAC"/>
    <w:rsid w:val="00360380"/>
    <w:rsid w:val="00363A43"/>
    <w:rsid w:val="00365D51"/>
    <w:rsid w:val="003664B3"/>
    <w:rsid w:val="003675C3"/>
    <w:rsid w:val="00374BDC"/>
    <w:rsid w:val="0037519E"/>
    <w:rsid w:val="00377197"/>
    <w:rsid w:val="003775F8"/>
    <w:rsid w:val="00386CF0"/>
    <w:rsid w:val="00387F23"/>
    <w:rsid w:val="00394108"/>
    <w:rsid w:val="0039570A"/>
    <w:rsid w:val="003A12B2"/>
    <w:rsid w:val="003A5CC4"/>
    <w:rsid w:val="003A61E3"/>
    <w:rsid w:val="003A75BF"/>
    <w:rsid w:val="003B46BE"/>
    <w:rsid w:val="003B5412"/>
    <w:rsid w:val="003B75C0"/>
    <w:rsid w:val="003C5B4E"/>
    <w:rsid w:val="003C676B"/>
    <w:rsid w:val="003D10BE"/>
    <w:rsid w:val="003D2966"/>
    <w:rsid w:val="003D3BC2"/>
    <w:rsid w:val="003D5FB2"/>
    <w:rsid w:val="003D7075"/>
    <w:rsid w:val="003E543A"/>
    <w:rsid w:val="003E6CA1"/>
    <w:rsid w:val="003E6D34"/>
    <w:rsid w:val="003F0C5F"/>
    <w:rsid w:val="003F72A7"/>
    <w:rsid w:val="00406DA6"/>
    <w:rsid w:val="00407600"/>
    <w:rsid w:val="0040771B"/>
    <w:rsid w:val="00407CB0"/>
    <w:rsid w:val="00410FDE"/>
    <w:rsid w:val="004165C2"/>
    <w:rsid w:val="004167FA"/>
    <w:rsid w:val="00425629"/>
    <w:rsid w:val="00427CBB"/>
    <w:rsid w:val="00433C4C"/>
    <w:rsid w:val="004406DE"/>
    <w:rsid w:val="00440D2C"/>
    <w:rsid w:val="00441DBA"/>
    <w:rsid w:val="00441ECB"/>
    <w:rsid w:val="004425E0"/>
    <w:rsid w:val="00442E13"/>
    <w:rsid w:val="00446EF2"/>
    <w:rsid w:val="004602AC"/>
    <w:rsid w:val="00464FAF"/>
    <w:rsid w:val="00466A01"/>
    <w:rsid w:val="00467B7E"/>
    <w:rsid w:val="004700C1"/>
    <w:rsid w:val="00477592"/>
    <w:rsid w:val="00483147"/>
    <w:rsid w:val="00485810"/>
    <w:rsid w:val="00486F1C"/>
    <w:rsid w:val="0049419D"/>
    <w:rsid w:val="004944AA"/>
    <w:rsid w:val="004968C5"/>
    <w:rsid w:val="004A08DB"/>
    <w:rsid w:val="004A7CA6"/>
    <w:rsid w:val="004B7A65"/>
    <w:rsid w:val="004C20D2"/>
    <w:rsid w:val="004C44D7"/>
    <w:rsid w:val="004C4B62"/>
    <w:rsid w:val="004C54C9"/>
    <w:rsid w:val="004C5770"/>
    <w:rsid w:val="004D077C"/>
    <w:rsid w:val="004D240C"/>
    <w:rsid w:val="004D6025"/>
    <w:rsid w:val="004D7CEF"/>
    <w:rsid w:val="004E2649"/>
    <w:rsid w:val="004E29A1"/>
    <w:rsid w:val="004E6FEE"/>
    <w:rsid w:val="004F3C1A"/>
    <w:rsid w:val="00501399"/>
    <w:rsid w:val="00505CA5"/>
    <w:rsid w:val="0050633D"/>
    <w:rsid w:val="00507BC4"/>
    <w:rsid w:val="005116B7"/>
    <w:rsid w:val="005128E4"/>
    <w:rsid w:val="005133DB"/>
    <w:rsid w:val="00514503"/>
    <w:rsid w:val="005216D3"/>
    <w:rsid w:val="00522430"/>
    <w:rsid w:val="00525560"/>
    <w:rsid w:val="005314B0"/>
    <w:rsid w:val="005316A2"/>
    <w:rsid w:val="00531A90"/>
    <w:rsid w:val="00533FED"/>
    <w:rsid w:val="0053503F"/>
    <w:rsid w:val="00537490"/>
    <w:rsid w:val="005418F6"/>
    <w:rsid w:val="00541CA3"/>
    <w:rsid w:val="00543053"/>
    <w:rsid w:val="00543183"/>
    <w:rsid w:val="005440B8"/>
    <w:rsid w:val="00544C49"/>
    <w:rsid w:val="00547D7F"/>
    <w:rsid w:val="005516A1"/>
    <w:rsid w:val="00561975"/>
    <w:rsid w:val="00565EAA"/>
    <w:rsid w:val="0057402A"/>
    <w:rsid w:val="005771D0"/>
    <w:rsid w:val="00582C5C"/>
    <w:rsid w:val="00590678"/>
    <w:rsid w:val="0059191A"/>
    <w:rsid w:val="005921FF"/>
    <w:rsid w:val="00596831"/>
    <w:rsid w:val="005A11E3"/>
    <w:rsid w:val="005A2EF4"/>
    <w:rsid w:val="005A3067"/>
    <w:rsid w:val="005A5CFB"/>
    <w:rsid w:val="005A6D0E"/>
    <w:rsid w:val="005B47D1"/>
    <w:rsid w:val="005B52B0"/>
    <w:rsid w:val="005B6806"/>
    <w:rsid w:val="005C020B"/>
    <w:rsid w:val="005C4225"/>
    <w:rsid w:val="005D60C5"/>
    <w:rsid w:val="005D6865"/>
    <w:rsid w:val="005E7366"/>
    <w:rsid w:val="005F0DAD"/>
    <w:rsid w:val="005F0F33"/>
    <w:rsid w:val="005F1293"/>
    <w:rsid w:val="005F7C3D"/>
    <w:rsid w:val="006003F1"/>
    <w:rsid w:val="00600DEB"/>
    <w:rsid w:val="0060488A"/>
    <w:rsid w:val="0060669D"/>
    <w:rsid w:val="006110EB"/>
    <w:rsid w:val="006174BA"/>
    <w:rsid w:val="00627C9F"/>
    <w:rsid w:val="0063074C"/>
    <w:rsid w:val="006311E9"/>
    <w:rsid w:val="00632354"/>
    <w:rsid w:val="00636297"/>
    <w:rsid w:val="0063685A"/>
    <w:rsid w:val="0063724D"/>
    <w:rsid w:val="0064040A"/>
    <w:rsid w:val="00642810"/>
    <w:rsid w:val="0064691B"/>
    <w:rsid w:val="0065081B"/>
    <w:rsid w:val="00652333"/>
    <w:rsid w:val="0065419C"/>
    <w:rsid w:val="006563BC"/>
    <w:rsid w:val="006678DE"/>
    <w:rsid w:val="00673834"/>
    <w:rsid w:val="00674359"/>
    <w:rsid w:val="00675C44"/>
    <w:rsid w:val="00677BF0"/>
    <w:rsid w:val="0068009E"/>
    <w:rsid w:val="006870EE"/>
    <w:rsid w:val="0068738F"/>
    <w:rsid w:val="00692219"/>
    <w:rsid w:val="00693A3A"/>
    <w:rsid w:val="006A17D2"/>
    <w:rsid w:val="006A5197"/>
    <w:rsid w:val="006A6B39"/>
    <w:rsid w:val="006A73E6"/>
    <w:rsid w:val="006B2D5C"/>
    <w:rsid w:val="006B73C0"/>
    <w:rsid w:val="006C1FFC"/>
    <w:rsid w:val="006C4226"/>
    <w:rsid w:val="006C4EB1"/>
    <w:rsid w:val="006C7E8D"/>
    <w:rsid w:val="006D4C04"/>
    <w:rsid w:val="006E0166"/>
    <w:rsid w:val="006E0457"/>
    <w:rsid w:val="006E46A7"/>
    <w:rsid w:val="006E47D9"/>
    <w:rsid w:val="006E7B34"/>
    <w:rsid w:val="006F295D"/>
    <w:rsid w:val="006F2C2F"/>
    <w:rsid w:val="006F40CA"/>
    <w:rsid w:val="00702EBC"/>
    <w:rsid w:val="007048BC"/>
    <w:rsid w:val="0070697F"/>
    <w:rsid w:val="00711192"/>
    <w:rsid w:val="00715F0E"/>
    <w:rsid w:val="007178B7"/>
    <w:rsid w:val="0072199C"/>
    <w:rsid w:val="00722123"/>
    <w:rsid w:val="00722C9F"/>
    <w:rsid w:val="007253B8"/>
    <w:rsid w:val="007331A9"/>
    <w:rsid w:val="0073741F"/>
    <w:rsid w:val="0074325F"/>
    <w:rsid w:val="007458F4"/>
    <w:rsid w:val="007471E7"/>
    <w:rsid w:val="007539FB"/>
    <w:rsid w:val="00753EF8"/>
    <w:rsid w:val="007546F5"/>
    <w:rsid w:val="00754C56"/>
    <w:rsid w:val="007555E8"/>
    <w:rsid w:val="00755966"/>
    <w:rsid w:val="007579A7"/>
    <w:rsid w:val="0076643F"/>
    <w:rsid w:val="00775C31"/>
    <w:rsid w:val="00777F63"/>
    <w:rsid w:val="00780C5B"/>
    <w:rsid w:val="00785A16"/>
    <w:rsid w:val="00787F1E"/>
    <w:rsid w:val="007A312E"/>
    <w:rsid w:val="007A3CA9"/>
    <w:rsid w:val="007A5817"/>
    <w:rsid w:val="007B1182"/>
    <w:rsid w:val="007B60E9"/>
    <w:rsid w:val="007B6CC3"/>
    <w:rsid w:val="007C3334"/>
    <w:rsid w:val="007C64D2"/>
    <w:rsid w:val="007C655E"/>
    <w:rsid w:val="007C7975"/>
    <w:rsid w:val="007D286D"/>
    <w:rsid w:val="007D2B98"/>
    <w:rsid w:val="007D52EE"/>
    <w:rsid w:val="007D6258"/>
    <w:rsid w:val="007E1669"/>
    <w:rsid w:val="007E21BC"/>
    <w:rsid w:val="007E782D"/>
    <w:rsid w:val="007F62B7"/>
    <w:rsid w:val="00801421"/>
    <w:rsid w:val="00803F1C"/>
    <w:rsid w:val="00805E8D"/>
    <w:rsid w:val="0080600E"/>
    <w:rsid w:val="008070C3"/>
    <w:rsid w:val="008144B3"/>
    <w:rsid w:val="00817612"/>
    <w:rsid w:val="008218DD"/>
    <w:rsid w:val="00821FA2"/>
    <w:rsid w:val="00830702"/>
    <w:rsid w:val="00831155"/>
    <w:rsid w:val="008338A4"/>
    <w:rsid w:val="00837C45"/>
    <w:rsid w:val="00840E10"/>
    <w:rsid w:val="00840EA6"/>
    <w:rsid w:val="00842BFA"/>
    <w:rsid w:val="00844730"/>
    <w:rsid w:val="008457C2"/>
    <w:rsid w:val="00845C28"/>
    <w:rsid w:val="00847102"/>
    <w:rsid w:val="008555D5"/>
    <w:rsid w:val="00857A82"/>
    <w:rsid w:val="008645D0"/>
    <w:rsid w:val="008651FF"/>
    <w:rsid w:val="00870E84"/>
    <w:rsid w:val="00872E3A"/>
    <w:rsid w:val="00873836"/>
    <w:rsid w:val="008817AB"/>
    <w:rsid w:val="00885737"/>
    <w:rsid w:val="00890650"/>
    <w:rsid w:val="00893B0D"/>
    <w:rsid w:val="00897337"/>
    <w:rsid w:val="00897E12"/>
    <w:rsid w:val="008A1FE9"/>
    <w:rsid w:val="008A5CD5"/>
    <w:rsid w:val="008A7E0F"/>
    <w:rsid w:val="008B0087"/>
    <w:rsid w:val="008B12F5"/>
    <w:rsid w:val="008C07C9"/>
    <w:rsid w:val="008C2178"/>
    <w:rsid w:val="008C230D"/>
    <w:rsid w:val="008C2CC7"/>
    <w:rsid w:val="008C38E2"/>
    <w:rsid w:val="008D4D40"/>
    <w:rsid w:val="008D534E"/>
    <w:rsid w:val="008D768D"/>
    <w:rsid w:val="008E3759"/>
    <w:rsid w:val="008E5087"/>
    <w:rsid w:val="008F1912"/>
    <w:rsid w:val="008F504B"/>
    <w:rsid w:val="00902521"/>
    <w:rsid w:val="0090270B"/>
    <w:rsid w:val="009041DC"/>
    <w:rsid w:val="00905A89"/>
    <w:rsid w:val="00906FB0"/>
    <w:rsid w:val="009119EC"/>
    <w:rsid w:val="00913125"/>
    <w:rsid w:val="00913522"/>
    <w:rsid w:val="0091415F"/>
    <w:rsid w:val="00917B5A"/>
    <w:rsid w:val="00920A58"/>
    <w:rsid w:val="00920A8C"/>
    <w:rsid w:val="009215FC"/>
    <w:rsid w:val="00923A9E"/>
    <w:rsid w:val="00923FB2"/>
    <w:rsid w:val="00924AD0"/>
    <w:rsid w:val="009309AC"/>
    <w:rsid w:val="00934A2C"/>
    <w:rsid w:val="0093735E"/>
    <w:rsid w:val="0094270F"/>
    <w:rsid w:val="00944BF1"/>
    <w:rsid w:val="00946A6F"/>
    <w:rsid w:val="00950670"/>
    <w:rsid w:val="00950CA4"/>
    <w:rsid w:val="009568DB"/>
    <w:rsid w:val="00965657"/>
    <w:rsid w:val="0096706E"/>
    <w:rsid w:val="00967856"/>
    <w:rsid w:val="00970032"/>
    <w:rsid w:val="0097536E"/>
    <w:rsid w:val="00975C4E"/>
    <w:rsid w:val="00976E8F"/>
    <w:rsid w:val="00981FBA"/>
    <w:rsid w:val="009860B0"/>
    <w:rsid w:val="009964C2"/>
    <w:rsid w:val="00996E8A"/>
    <w:rsid w:val="00997BC5"/>
    <w:rsid w:val="009A07D8"/>
    <w:rsid w:val="009A4F41"/>
    <w:rsid w:val="009B2E24"/>
    <w:rsid w:val="009B381B"/>
    <w:rsid w:val="009B646B"/>
    <w:rsid w:val="009B775E"/>
    <w:rsid w:val="009C18B6"/>
    <w:rsid w:val="009C6022"/>
    <w:rsid w:val="009C61A8"/>
    <w:rsid w:val="009C7454"/>
    <w:rsid w:val="009D13FF"/>
    <w:rsid w:val="009D1753"/>
    <w:rsid w:val="009D1C38"/>
    <w:rsid w:val="009D331B"/>
    <w:rsid w:val="009D5C70"/>
    <w:rsid w:val="009D6130"/>
    <w:rsid w:val="009D7611"/>
    <w:rsid w:val="009E0B61"/>
    <w:rsid w:val="009E1049"/>
    <w:rsid w:val="009E53DE"/>
    <w:rsid w:val="009F0583"/>
    <w:rsid w:val="009F0B9A"/>
    <w:rsid w:val="009F6FAB"/>
    <w:rsid w:val="00A024DA"/>
    <w:rsid w:val="00A03ABC"/>
    <w:rsid w:val="00A1572D"/>
    <w:rsid w:val="00A2156D"/>
    <w:rsid w:val="00A22CDE"/>
    <w:rsid w:val="00A26818"/>
    <w:rsid w:val="00A26A7F"/>
    <w:rsid w:val="00A270AE"/>
    <w:rsid w:val="00A328B3"/>
    <w:rsid w:val="00A3513F"/>
    <w:rsid w:val="00A357C2"/>
    <w:rsid w:val="00A35EA5"/>
    <w:rsid w:val="00A407E6"/>
    <w:rsid w:val="00A42762"/>
    <w:rsid w:val="00A47F90"/>
    <w:rsid w:val="00A50FCF"/>
    <w:rsid w:val="00A528D1"/>
    <w:rsid w:val="00A52AF8"/>
    <w:rsid w:val="00A601D6"/>
    <w:rsid w:val="00A60F16"/>
    <w:rsid w:val="00A610CD"/>
    <w:rsid w:val="00A64E4A"/>
    <w:rsid w:val="00A72B47"/>
    <w:rsid w:val="00A7669B"/>
    <w:rsid w:val="00A85BAA"/>
    <w:rsid w:val="00A91DB9"/>
    <w:rsid w:val="00A94E21"/>
    <w:rsid w:val="00AA09A2"/>
    <w:rsid w:val="00AA6B69"/>
    <w:rsid w:val="00AA74F1"/>
    <w:rsid w:val="00AA7996"/>
    <w:rsid w:val="00AA7EEB"/>
    <w:rsid w:val="00AB7FCB"/>
    <w:rsid w:val="00AC19CB"/>
    <w:rsid w:val="00AC6548"/>
    <w:rsid w:val="00AC711F"/>
    <w:rsid w:val="00AC799C"/>
    <w:rsid w:val="00AD0ECC"/>
    <w:rsid w:val="00AD6491"/>
    <w:rsid w:val="00AE4DA0"/>
    <w:rsid w:val="00AE5488"/>
    <w:rsid w:val="00AE61D2"/>
    <w:rsid w:val="00AE63AC"/>
    <w:rsid w:val="00AE6D89"/>
    <w:rsid w:val="00AE6F91"/>
    <w:rsid w:val="00AF05C9"/>
    <w:rsid w:val="00AF14C6"/>
    <w:rsid w:val="00AF50BC"/>
    <w:rsid w:val="00AF5571"/>
    <w:rsid w:val="00B0498F"/>
    <w:rsid w:val="00B05658"/>
    <w:rsid w:val="00B056A5"/>
    <w:rsid w:val="00B05A5B"/>
    <w:rsid w:val="00B071E3"/>
    <w:rsid w:val="00B07341"/>
    <w:rsid w:val="00B12B52"/>
    <w:rsid w:val="00B135B4"/>
    <w:rsid w:val="00B206D2"/>
    <w:rsid w:val="00B26361"/>
    <w:rsid w:val="00B30539"/>
    <w:rsid w:val="00B314DB"/>
    <w:rsid w:val="00B36123"/>
    <w:rsid w:val="00B361F2"/>
    <w:rsid w:val="00B3718B"/>
    <w:rsid w:val="00B376EC"/>
    <w:rsid w:val="00B4632A"/>
    <w:rsid w:val="00B47D01"/>
    <w:rsid w:val="00B50C8F"/>
    <w:rsid w:val="00B52B63"/>
    <w:rsid w:val="00B530F1"/>
    <w:rsid w:val="00B53557"/>
    <w:rsid w:val="00B60338"/>
    <w:rsid w:val="00B66AE3"/>
    <w:rsid w:val="00B72E75"/>
    <w:rsid w:val="00B76577"/>
    <w:rsid w:val="00B77292"/>
    <w:rsid w:val="00B80AAF"/>
    <w:rsid w:val="00B851B0"/>
    <w:rsid w:val="00B96D15"/>
    <w:rsid w:val="00BA276C"/>
    <w:rsid w:val="00BA5897"/>
    <w:rsid w:val="00BB00D8"/>
    <w:rsid w:val="00BB306F"/>
    <w:rsid w:val="00BB6702"/>
    <w:rsid w:val="00BD0690"/>
    <w:rsid w:val="00BD4B89"/>
    <w:rsid w:val="00BD56A5"/>
    <w:rsid w:val="00BE4E2D"/>
    <w:rsid w:val="00BE7EEA"/>
    <w:rsid w:val="00BF033B"/>
    <w:rsid w:val="00BF64F4"/>
    <w:rsid w:val="00BF6FD8"/>
    <w:rsid w:val="00C00B36"/>
    <w:rsid w:val="00C024E6"/>
    <w:rsid w:val="00C03680"/>
    <w:rsid w:val="00C054DF"/>
    <w:rsid w:val="00C05965"/>
    <w:rsid w:val="00C15F94"/>
    <w:rsid w:val="00C21762"/>
    <w:rsid w:val="00C24543"/>
    <w:rsid w:val="00C256A2"/>
    <w:rsid w:val="00C25BB1"/>
    <w:rsid w:val="00C3070B"/>
    <w:rsid w:val="00C51515"/>
    <w:rsid w:val="00C52BD7"/>
    <w:rsid w:val="00C5660B"/>
    <w:rsid w:val="00C56F55"/>
    <w:rsid w:val="00C5701F"/>
    <w:rsid w:val="00C654E3"/>
    <w:rsid w:val="00C66B72"/>
    <w:rsid w:val="00C70929"/>
    <w:rsid w:val="00C715DE"/>
    <w:rsid w:val="00C76603"/>
    <w:rsid w:val="00C77B4F"/>
    <w:rsid w:val="00C8610C"/>
    <w:rsid w:val="00C9220C"/>
    <w:rsid w:val="00C931CE"/>
    <w:rsid w:val="00C9567A"/>
    <w:rsid w:val="00CA0010"/>
    <w:rsid w:val="00CA1278"/>
    <w:rsid w:val="00CA4B0F"/>
    <w:rsid w:val="00CA5993"/>
    <w:rsid w:val="00CA6034"/>
    <w:rsid w:val="00CB212D"/>
    <w:rsid w:val="00CB2660"/>
    <w:rsid w:val="00CB3063"/>
    <w:rsid w:val="00CB44B4"/>
    <w:rsid w:val="00CC5E90"/>
    <w:rsid w:val="00CC6163"/>
    <w:rsid w:val="00CC6244"/>
    <w:rsid w:val="00CC6E48"/>
    <w:rsid w:val="00CD046C"/>
    <w:rsid w:val="00CD192A"/>
    <w:rsid w:val="00CD312F"/>
    <w:rsid w:val="00CE076C"/>
    <w:rsid w:val="00CE21DE"/>
    <w:rsid w:val="00CE3B23"/>
    <w:rsid w:val="00CE5199"/>
    <w:rsid w:val="00CE5B64"/>
    <w:rsid w:val="00CE6553"/>
    <w:rsid w:val="00CE66D5"/>
    <w:rsid w:val="00CE7096"/>
    <w:rsid w:val="00CF637A"/>
    <w:rsid w:val="00D046C2"/>
    <w:rsid w:val="00D05515"/>
    <w:rsid w:val="00D059DE"/>
    <w:rsid w:val="00D110D7"/>
    <w:rsid w:val="00D13FCE"/>
    <w:rsid w:val="00D1656C"/>
    <w:rsid w:val="00D17C35"/>
    <w:rsid w:val="00D221BC"/>
    <w:rsid w:val="00D234DD"/>
    <w:rsid w:val="00D27E74"/>
    <w:rsid w:val="00D306D1"/>
    <w:rsid w:val="00D34786"/>
    <w:rsid w:val="00D377B9"/>
    <w:rsid w:val="00D37BFC"/>
    <w:rsid w:val="00D41E96"/>
    <w:rsid w:val="00D437CB"/>
    <w:rsid w:val="00D454E9"/>
    <w:rsid w:val="00D46254"/>
    <w:rsid w:val="00D474D8"/>
    <w:rsid w:val="00D47A8E"/>
    <w:rsid w:val="00D50ADB"/>
    <w:rsid w:val="00D52D14"/>
    <w:rsid w:val="00D57C19"/>
    <w:rsid w:val="00D62F47"/>
    <w:rsid w:val="00D62FEF"/>
    <w:rsid w:val="00D645F7"/>
    <w:rsid w:val="00D712D3"/>
    <w:rsid w:val="00D71422"/>
    <w:rsid w:val="00D71EF4"/>
    <w:rsid w:val="00D71F33"/>
    <w:rsid w:val="00D72DC6"/>
    <w:rsid w:val="00D7558D"/>
    <w:rsid w:val="00D77BE6"/>
    <w:rsid w:val="00D81D92"/>
    <w:rsid w:val="00D91341"/>
    <w:rsid w:val="00D91678"/>
    <w:rsid w:val="00D94106"/>
    <w:rsid w:val="00DA33F2"/>
    <w:rsid w:val="00DA48BB"/>
    <w:rsid w:val="00DA7B5F"/>
    <w:rsid w:val="00DB4833"/>
    <w:rsid w:val="00DC11E7"/>
    <w:rsid w:val="00DC7023"/>
    <w:rsid w:val="00DC769A"/>
    <w:rsid w:val="00DD3D86"/>
    <w:rsid w:val="00DE4C87"/>
    <w:rsid w:val="00DF1EC4"/>
    <w:rsid w:val="00E02FFA"/>
    <w:rsid w:val="00E0340B"/>
    <w:rsid w:val="00E04137"/>
    <w:rsid w:val="00E04A90"/>
    <w:rsid w:val="00E04C02"/>
    <w:rsid w:val="00E06668"/>
    <w:rsid w:val="00E11632"/>
    <w:rsid w:val="00E14276"/>
    <w:rsid w:val="00E219C7"/>
    <w:rsid w:val="00E23CF7"/>
    <w:rsid w:val="00E27C05"/>
    <w:rsid w:val="00E31463"/>
    <w:rsid w:val="00E31643"/>
    <w:rsid w:val="00E3297C"/>
    <w:rsid w:val="00E34EBA"/>
    <w:rsid w:val="00E3674E"/>
    <w:rsid w:val="00E4220D"/>
    <w:rsid w:val="00E43157"/>
    <w:rsid w:val="00E44DDB"/>
    <w:rsid w:val="00E461CE"/>
    <w:rsid w:val="00E50B6D"/>
    <w:rsid w:val="00E54532"/>
    <w:rsid w:val="00E56758"/>
    <w:rsid w:val="00E62A24"/>
    <w:rsid w:val="00E66124"/>
    <w:rsid w:val="00E66F6D"/>
    <w:rsid w:val="00E71531"/>
    <w:rsid w:val="00E717C1"/>
    <w:rsid w:val="00E720CA"/>
    <w:rsid w:val="00E80288"/>
    <w:rsid w:val="00E813E2"/>
    <w:rsid w:val="00E81D4E"/>
    <w:rsid w:val="00E84EB5"/>
    <w:rsid w:val="00E85662"/>
    <w:rsid w:val="00E8789F"/>
    <w:rsid w:val="00E91600"/>
    <w:rsid w:val="00E92A3C"/>
    <w:rsid w:val="00E941AC"/>
    <w:rsid w:val="00E97B71"/>
    <w:rsid w:val="00EA3D34"/>
    <w:rsid w:val="00EB0B49"/>
    <w:rsid w:val="00EB454D"/>
    <w:rsid w:val="00EB735B"/>
    <w:rsid w:val="00EC16CC"/>
    <w:rsid w:val="00EC7D62"/>
    <w:rsid w:val="00ED3A83"/>
    <w:rsid w:val="00ED6A0B"/>
    <w:rsid w:val="00ED76BE"/>
    <w:rsid w:val="00EE5B64"/>
    <w:rsid w:val="00EF1E7A"/>
    <w:rsid w:val="00EF3C32"/>
    <w:rsid w:val="00EF619B"/>
    <w:rsid w:val="00EF629E"/>
    <w:rsid w:val="00F00B55"/>
    <w:rsid w:val="00F01097"/>
    <w:rsid w:val="00F0299D"/>
    <w:rsid w:val="00F02AD1"/>
    <w:rsid w:val="00F15DD3"/>
    <w:rsid w:val="00F17D97"/>
    <w:rsid w:val="00F20D94"/>
    <w:rsid w:val="00F2241E"/>
    <w:rsid w:val="00F253CC"/>
    <w:rsid w:val="00F258BD"/>
    <w:rsid w:val="00F35A6D"/>
    <w:rsid w:val="00F36663"/>
    <w:rsid w:val="00F37106"/>
    <w:rsid w:val="00F51155"/>
    <w:rsid w:val="00F519CF"/>
    <w:rsid w:val="00F531A4"/>
    <w:rsid w:val="00F5361C"/>
    <w:rsid w:val="00F56BA5"/>
    <w:rsid w:val="00F60E22"/>
    <w:rsid w:val="00F659EE"/>
    <w:rsid w:val="00F67B0A"/>
    <w:rsid w:val="00F759B1"/>
    <w:rsid w:val="00F76F77"/>
    <w:rsid w:val="00F77FB5"/>
    <w:rsid w:val="00F81395"/>
    <w:rsid w:val="00F8242E"/>
    <w:rsid w:val="00F84C8E"/>
    <w:rsid w:val="00F9116A"/>
    <w:rsid w:val="00F917D1"/>
    <w:rsid w:val="00F95769"/>
    <w:rsid w:val="00F9653B"/>
    <w:rsid w:val="00FA1B42"/>
    <w:rsid w:val="00FA3FAB"/>
    <w:rsid w:val="00FB0317"/>
    <w:rsid w:val="00FB175C"/>
    <w:rsid w:val="00FB4804"/>
    <w:rsid w:val="00FB62CF"/>
    <w:rsid w:val="00FC24A5"/>
    <w:rsid w:val="00FC2BEC"/>
    <w:rsid w:val="00FC5670"/>
    <w:rsid w:val="00FC61E7"/>
    <w:rsid w:val="00FD3844"/>
    <w:rsid w:val="00FD3C3B"/>
    <w:rsid w:val="00FE045E"/>
    <w:rsid w:val="00FE4991"/>
    <w:rsid w:val="00FE6B45"/>
    <w:rsid w:val="00FE7051"/>
    <w:rsid w:val="00FE7789"/>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attachedSchema w:val="SmartTagTypeLegixLink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9F7"/>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paragraph" w:styleId="Heading1">
    <w:name w:val="heading 1"/>
    <w:basedOn w:val="Normal"/>
    <w:next w:val="Normal"/>
    <w:link w:val="Heading1Char"/>
    <w:uiPriority w:val="99"/>
    <w:qFormat/>
    <w:rsid w:val="00D81D92"/>
    <w:pPr>
      <w:keepNext/>
      <w:keepLines/>
      <w:numPr>
        <w:numId w:val="49"/>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hAnsi="Cambria" w:cs="Times New Roman"/>
      <w:b/>
      <w:bCs/>
      <w:color w:val="365F91"/>
      <w:sz w:val="28"/>
      <w:szCs w:val="28"/>
      <w:lang w:val="en-US" w:eastAsia="en-US" w:bidi="ar-SA"/>
    </w:rPr>
  </w:style>
  <w:style w:type="character" w:customStyle="1" w:styleId="Heading2Char">
    <w:name w:val="Heading 2 Char"/>
    <w:basedOn w:val="DefaultParagraphFont"/>
    <w:link w:val="Heading2"/>
    <w:uiPriority w:val="99"/>
    <w:locked/>
    <w:rsid w:val="00DF1EC4"/>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DF1EC4"/>
    <w:rPr>
      <w:rFonts w:ascii="Arial" w:hAnsi="Arial" w:cs="Arial"/>
      <w:b/>
      <w:bCs/>
      <w:sz w:val="26"/>
      <w:szCs w:val="26"/>
      <w:lang w:val="en-US" w:eastAsia="en-US"/>
    </w:rPr>
  </w:style>
  <w:style w:type="character" w:styleId="Hyperlink">
    <w:name w:val="Hyperlink"/>
    <w:basedOn w:val="DefaultParagraphFont"/>
    <w:uiPriority w:val="99"/>
    <w:rsid w:val="001679F7"/>
    <w:rPr>
      <w:rFonts w:cs="Times New Roman"/>
      <w:u w:val="single"/>
    </w:rPr>
  </w:style>
  <w:style w:type="paragraph" w:customStyle="1" w:styleId="Cabeceraypie">
    <w:name w:val="Cabecera y pie"/>
    <w:uiPriority w:val="99"/>
    <w:rsid w:val="001679F7"/>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1679F7"/>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A50FCF"/>
    <w:rPr>
      <w:rFonts w:ascii="Cambria" w:hAnsi="Cambria" w:cs="Cambria"/>
      <w:color w:val="000000"/>
      <w:sz w:val="24"/>
      <w:szCs w:val="24"/>
      <w:u w:color="000000"/>
      <w:lang w:val="en-US" w:eastAsia="es-ES" w:bidi="ar-SA"/>
    </w:rPr>
  </w:style>
  <w:style w:type="paragraph" w:customStyle="1" w:styleId="Cuerpo">
    <w:name w:val="Cuerpo"/>
    <w:uiPriority w:val="99"/>
    <w:rsid w:val="001679F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1679F7"/>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locked/>
    <w:rsid w:val="00407CB0"/>
    <w:rPr>
      <w:rFonts w:cs="Times New Roman"/>
      <w:sz w:val="24"/>
      <w:szCs w:val="24"/>
    </w:rPr>
  </w:style>
  <w:style w:type="paragraph" w:styleId="ListParagraph">
    <w:name w:val="List Paragraph"/>
    <w:basedOn w:val="Normal"/>
    <w:link w:val="ListParagraphChar"/>
    <w:uiPriority w:val="99"/>
    <w:qFormat/>
    <w:rsid w:val="001679F7"/>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ft,C"/>
    <w:basedOn w:val="Normal"/>
    <w:link w:val="FootnoteTextChar1"/>
    <w:uiPriority w:val="99"/>
    <w:rsid w:val="001679F7"/>
    <w:rPr>
      <w:rFonts w:ascii="Calibri" w:hAnsi="Calibri"/>
      <w:color w:val="000000"/>
      <w:sz w:val="20"/>
      <w:szCs w:val="20"/>
      <w:u w:color="00000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uiPriority w:val="99"/>
    <w:semiHidden/>
    <w:locked/>
    <w:rsid w:val="00407CB0"/>
    <w:rPr>
      <w:rFonts w:cs="Times New Roman"/>
      <w:sz w:val="20"/>
      <w:szCs w:val="20"/>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1,Footnote symbol,Footnote,4_G,16 Point,Superscript 6 Point,Texto nota al pie,Ref,de nota al pie,norm"/>
    <w:basedOn w:val="DefaultParagraphFont"/>
    <w:uiPriority w:val="99"/>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rsid w:val="0031535D"/>
    <w:pPr>
      <w:spacing w:after="120"/>
    </w:pPr>
  </w:style>
  <w:style w:type="character" w:customStyle="1" w:styleId="BodyTextChar">
    <w:name w:val="Body Text Char"/>
    <w:basedOn w:val="DefaultParagraphFont"/>
    <w:link w:val="BodyText"/>
    <w:uiPriority w:val="99"/>
    <w:locked/>
    <w:rsid w:val="0031535D"/>
    <w:rPr>
      <w:rFonts w:cs="Times New Roman"/>
      <w:sz w:val="24"/>
      <w:szCs w:val="24"/>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ink w:val="FootnoteText"/>
    <w:uiPriority w:val="99"/>
    <w:locked/>
    <w:rsid w:val="0031535D"/>
    <w:rPr>
      <w:rFonts w:ascii="Calibri" w:hAnsi="Calibri"/>
      <w:color w:val="000000"/>
      <w:u w:color="000000"/>
      <w:lang w:val="en-US"/>
    </w:rPr>
  </w:style>
  <w:style w:type="paragraph" w:customStyle="1" w:styleId="Default">
    <w:name w:val="Default"/>
    <w:link w:val="DefaultChar"/>
    <w:uiPriority w:val="99"/>
    <w:rsid w:val="00DF1EC4"/>
    <w:pPr>
      <w:pBdr>
        <w:top w:val="none" w:sz="96" w:space="31" w:color="FFFFFF" w:frame="1"/>
        <w:left w:val="none" w:sz="96" w:space="31" w:color="FFFFFF" w:frame="1"/>
        <w:bottom w:val="none" w:sz="96" w:space="31" w:color="FFFFFF" w:frame="1"/>
        <w:right w:val="none" w:sz="96" w:space="31" w:color="FFFFFF" w:frame="1"/>
        <w:bar w:val="none" w:sz="0" w:color="000000"/>
      </w:pBdr>
      <w:autoSpaceDE w:val="0"/>
      <w:autoSpaceDN w:val="0"/>
      <w:adjustRightInd w:val="0"/>
    </w:pPr>
    <w:rPr>
      <w:rFonts w:eastAsia="Times New Roman"/>
      <w:color w:val="000000"/>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2"/>
      <w:lang w:val="en-US" w:eastAsia="en-US"/>
    </w:rPr>
  </w:style>
  <w:style w:type="character" w:customStyle="1" w:styleId="apple-converted-space">
    <w:name w:val="apple-converted-space"/>
    <w:basedOn w:val="DefaultParagraphFont"/>
    <w:uiPriority w:val="99"/>
    <w:rsid w:val="00F01097"/>
    <w:rPr>
      <w:rFonts w:cs="Times New Roman"/>
    </w:rPr>
  </w:style>
  <w:style w:type="character" w:styleId="PlaceholderText">
    <w:name w:val="Placeholder Text"/>
    <w:basedOn w:val="DefaultParagraphFont"/>
    <w:uiPriority w:val="99"/>
    <w:semiHidden/>
    <w:rsid w:val="00E23CF7"/>
    <w:rPr>
      <w:rFonts w:cs="Times New Roman"/>
      <w:color w:val="808080"/>
    </w:rPr>
  </w:style>
  <w:style w:type="character" w:styleId="CommentReference">
    <w:name w:val="annotation reference"/>
    <w:basedOn w:val="DefaultParagraphFont"/>
    <w:uiPriority w:val="99"/>
    <w:semiHidden/>
    <w:rsid w:val="00406DA6"/>
    <w:rPr>
      <w:rFonts w:cs="Times New Roman"/>
      <w:sz w:val="16"/>
      <w:szCs w:val="16"/>
    </w:rPr>
  </w:style>
  <w:style w:type="paragraph" w:styleId="CommentText">
    <w:name w:val="annotation text"/>
    <w:basedOn w:val="Normal"/>
    <w:link w:val="CommentTextChar"/>
    <w:uiPriority w:val="99"/>
    <w:semiHidden/>
    <w:rsid w:val="00406DA6"/>
    <w:rPr>
      <w:sz w:val="20"/>
      <w:szCs w:val="20"/>
    </w:rPr>
  </w:style>
  <w:style w:type="character" w:customStyle="1" w:styleId="CommentTextChar">
    <w:name w:val="Comment Text Char"/>
    <w:basedOn w:val="DefaultParagraphFont"/>
    <w:link w:val="CommentText"/>
    <w:uiPriority w:val="99"/>
    <w:semiHidden/>
    <w:locked/>
    <w:rsid w:val="00406DA6"/>
    <w:rPr>
      <w:rFonts w:cs="Times New Roman"/>
      <w:lang w:val="en-US" w:eastAsia="en-US"/>
    </w:rPr>
  </w:style>
  <w:style w:type="paragraph" w:styleId="CommentSubject">
    <w:name w:val="annotation subject"/>
    <w:basedOn w:val="CommentText"/>
    <w:next w:val="CommentText"/>
    <w:link w:val="CommentSubjectChar"/>
    <w:uiPriority w:val="99"/>
    <w:semiHidden/>
    <w:rsid w:val="00406DA6"/>
    <w:rPr>
      <w:b/>
      <w:bCs/>
    </w:rPr>
  </w:style>
  <w:style w:type="character" w:customStyle="1" w:styleId="CommentSubjectChar">
    <w:name w:val="Comment Subject Char"/>
    <w:basedOn w:val="CommentTextChar"/>
    <w:link w:val="CommentSubject"/>
    <w:uiPriority w:val="99"/>
    <w:semiHidden/>
    <w:locked/>
    <w:rsid w:val="00406DA6"/>
    <w:rPr>
      <w:rFonts w:cs="Times New Roman"/>
      <w:b/>
      <w:bCs/>
      <w:lang w:val="en-US" w:eastAsia="en-US"/>
    </w:rPr>
  </w:style>
  <w:style w:type="paragraph" w:customStyle="1" w:styleId="Normallatin">
    <w:name w:val="Normal latin"/>
    <w:basedOn w:val="ListParagraph"/>
    <w:link w:val="NormallatinChar"/>
    <w:uiPriority w:val="99"/>
    <w:rsid w:val="00DE4C87"/>
    <w:pPr>
      <w:numPr>
        <w:numId w:val="53"/>
      </w:numPr>
      <w:pBdr>
        <w:top w:val="none" w:sz="0" w:space="0" w:color="auto"/>
        <w:left w:val="none" w:sz="0" w:space="0" w:color="auto"/>
        <w:bottom w:val="none" w:sz="0" w:space="0" w:color="auto"/>
        <w:right w:val="none" w:sz="0" w:space="0" w:color="auto"/>
        <w:bar w:val="none" w:sz="0" w:color="auto"/>
      </w:pBdr>
      <w:contextualSpacing/>
      <w:jc w:val="both"/>
    </w:pPr>
    <w:rPr>
      <w:color w:val="auto"/>
      <w:spacing w:val="-2"/>
      <w:sz w:val="20"/>
      <w:szCs w:val="20"/>
      <w:lang w:val="es-ES_tradnl"/>
    </w:rPr>
  </w:style>
  <w:style w:type="paragraph" w:customStyle="1" w:styleId="NormalCambria">
    <w:name w:val="Normal + Cambria"/>
    <w:aliases w:val="10 pt"/>
    <w:basedOn w:val="Normallatin"/>
    <w:link w:val="NormalCambriaChar"/>
    <w:uiPriority w:val="99"/>
    <w:rsid w:val="00CD192A"/>
    <w:pPr>
      <w:numPr>
        <w:numId w:val="51"/>
      </w:numPr>
      <w:tabs>
        <w:tab w:val="left" w:pos="1080"/>
      </w:tabs>
      <w:ind w:left="1080"/>
    </w:pPr>
    <w:rPr>
      <w:rFonts w:eastAsia="MS Mincho"/>
    </w:rPr>
  </w:style>
  <w:style w:type="character" w:customStyle="1" w:styleId="ListParagraphChar">
    <w:name w:val="List Paragraph Char"/>
    <w:basedOn w:val="DefaultParagraphFont"/>
    <w:link w:val="ListParagraph"/>
    <w:uiPriority w:val="99"/>
    <w:locked/>
    <w:rsid w:val="00CD192A"/>
    <w:rPr>
      <w:rFonts w:ascii="Cambria" w:hAnsi="Cambria" w:cs="Cambria"/>
      <w:color w:val="000000"/>
      <w:sz w:val="24"/>
      <w:szCs w:val="24"/>
      <w:u w:color="000000"/>
      <w:lang w:val="en-US" w:eastAsia="es-ES" w:bidi="ar-SA"/>
    </w:rPr>
  </w:style>
  <w:style w:type="character" w:customStyle="1" w:styleId="NormallatinChar">
    <w:name w:val="Normal latin Char"/>
    <w:basedOn w:val="ListParagraphChar"/>
    <w:link w:val="Normallatin"/>
    <w:uiPriority w:val="99"/>
    <w:locked/>
    <w:rsid w:val="00CD192A"/>
    <w:rPr>
      <w:rFonts w:ascii="Cambria" w:hAnsi="Cambria" w:cs="Cambria"/>
      <w:color w:val="000000"/>
      <w:spacing w:val="-2"/>
      <w:sz w:val="24"/>
      <w:szCs w:val="24"/>
      <w:u w:color="000000"/>
      <w:lang w:val="es-ES_tradnl" w:eastAsia="es-ES" w:bidi="ar-SA"/>
    </w:rPr>
  </w:style>
  <w:style w:type="character" w:customStyle="1" w:styleId="NormalCambriaChar">
    <w:name w:val="Normal + Cambria Char"/>
    <w:aliases w:val="10 pt Char"/>
    <w:basedOn w:val="NormallatinChar"/>
    <w:link w:val="NormalCambria"/>
    <w:uiPriority w:val="99"/>
    <w:locked/>
    <w:rsid w:val="00CD192A"/>
    <w:rPr>
      <w:rFonts w:ascii="Cambria" w:eastAsia="MS Mincho" w:hAnsi="Cambria" w:cs="Cambria"/>
      <w:color w:val="000000"/>
      <w:spacing w:val="-2"/>
      <w:sz w:val="24"/>
      <w:szCs w:val="24"/>
      <w:u w:color="000000"/>
      <w:lang w:val="es-ES_tradnl" w:eastAsia="es-ES" w:bidi="ar-SA"/>
    </w:rPr>
  </w:style>
  <w:style w:type="numbering" w:customStyle="1" w:styleId="List16">
    <w:name w:val="List 16"/>
    <w:rsid w:val="00FA6262"/>
    <w:pPr>
      <w:numPr>
        <w:numId w:val="9"/>
      </w:numPr>
    </w:pPr>
  </w:style>
  <w:style w:type="numbering" w:customStyle="1" w:styleId="List36">
    <w:name w:val="List 36"/>
    <w:rsid w:val="00FA6262"/>
    <w:pPr>
      <w:numPr>
        <w:numId w:val="13"/>
      </w:numPr>
    </w:pPr>
  </w:style>
  <w:style w:type="numbering" w:customStyle="1" w:styleId="List25">
    <w:name w:val="List 25"/>
    <w:rsid w:val="00FA6262"/>
    <w:pPr>
      <w:numPr>
        <w:numId w:val="14"/>
      </w:numPr>
    </w:pPr>
  </w:style>
  <w:style w:type="numbering" w:customStyle="1" w:styleId="List1">
    <w:name w:val="List 1"/>
    <w:rsid w:val="00FA6262"/>
    <w:pPr>
      <w:numPr>
        <w:numId w:val="1"/>
      </w:numPr>
    </w:pPr>
  </w:style>
  <w:style w:type="numbering" w:customStyle="1" w:styleId="List11">
    <w:name w:val="List 11"/>
    <w:rsid w:val="00FA6262"/>
    <w:pPr>
      <w:numPr>
        <w:numId w:val="6"/>
      </w:numPr>
    </w:pPr>
  </w:style>
  <w:style w:type="numbering" w:customStyle="1" w:styleId="List15">
    <w:name w:val="List 15"/>
    <w:rsid w:val="00FA6262"/>
    <w:pPr>
      <w:numPr>
        <w:numId w:val="15"/>
      </w:numPr>
    </w:pPr>
  </w:style>
  <w:style w:type="numbering" w:customStyle="1" w:styleId="List14">
    <w:name w:val="List 14"/>
    <w:rsid w:val="00FA6262"/>
    <w:pPr>
      <w:numPr>
        <w:numId w:val="16"/>
      </w:numPr>
    </w:pPr>
  </w:style>
  <w:style w:type="numbering" w:customStyle="1" w:styleId="List23">
    <w:name w:val="List 23"/>
    <w:rsid w:val="00FA6262"/>
    <w:pPr>
      <w:numPr>
        <w:numId w:val="17"/>
      </w:numPr>
    </w:pPr>
  </w:style>
  <w:style w:type="numbering" w:customStyle="1" w:styleId="List19">
    <w:name w:val="List 19"/>
    <w:rsid w:val="00FA6262"/>
    <w:pPr>
      <w:numPr>
        <w:numId w:val="18"/>
      </w:numPr>
    </w:pPr>
  </w:style>
  <w:style w:type="numbering" w:customStyle="1" w:styleId="List45">
    <w:name w:val="List 45"/>
    <w:rsid w:val="00FA6262"/>
    <w:pPr>
      <w:numPr>
        <w:numId w:val="19"/>
      </w:numPr>
    </w:pPr>
  </w:style>
  <w:style w:type="numbering" w:customStyle="1" w:styleId="List40">
    <w:name w:val="List 40"/>
    <w:rsid w:val="00FA6262"/>
    <w:pPr>
      <w:numPr>
        <w:numId w:val="20"/>
      </w:numPr>
    </w:pPr>
  </w:style>
  <w:style w:type="numbering" w:customStyle="1" w:styleId="List9">
    <w:name w:val="List 9"/>
    <w:rsid w:val="00FA6262"/>
    <w:pPr>
      <w:numPr>
        <w:numId w:val="21"/>
      </w:numPr>
    </w:pPr>
  </w:style>
  <w:style w:type="numbering" w:customStyle="1" w:styleId="List43">
    <w:name w:val="List 43"/>
    <w:rsid w:val="00FA6262"/>
    <w:pPr>
      <w:numPr>
        <w:numId w:val="22"/>
      </w:numPr>
    </w:pPr>
  </w:style>
  <w:style w:type="numbering" w:customStyle="1" w:styleId="List46">
    <w:name w:val="List 46"/>
    <w:rsid w:val="00FA6262"/>
    <w:pPr>
      <w:numPr>
        <w:numId w:val="23"/>
      </w:numPr>
    </w:pPr>
  </w:style>
  <w:style w:type="numbering" w:customStyle="1" w:styleId="List35">
    <w:name w:val="List 35"/>
    <w:rsid w:val="00FA6262"/>
    <w:pPr>
      <w:numPr>
        <w:numId w:val="7"/>
      </w:numPr>
    </w:pPr>
  </w:style>
  <w:style w:type="numbering" w:customStyle="1" w:styleId="List17">
    <w:name w:val="List 17"/>
    <w:rsid w:val="00FA6262"/>
    <w:pPr>
      <w:numPr>
        <w:numId w:val="24"/>
      </w:numPr>
    </w:pPr>
  </w:style>
  <w:style w:type="numbering" w:customStyle="1" w:styleId="List33">
    <w:name w:val="List 33"/>
    <w:rsid w:val="00FA6262"/>
    <w:pPr>
      <w:numPr>
        <w:numId w:val="25"/>
      </w:numPr>
    </w:pPr>
  </w:style>
  <w:style w:type="numbering" w:customStyle="1" w:styleId="List7">
    <w:name w:val="List 7"/>
    <w:rsid w:val="00FA6262"/>
    <w:pPr>
      <w:numPr>
        <w:numId w:val="3"/>
      </w:numPr>
    </w:pPr>
  </w:style>
  <w:style w:type="numbering" w:customStyle="1" w:styleId="List18">
    <w:name w:val="List 18"/>
    <w:rsid w:val="00FA6262"/>
    <w:pPr>
      <w:numPr>
        <w:numId w:val="26"/>
      </w:numPr>
    </w:pPr>
  </w:style>
  <w:style w:type="numbering" w:customStyle="1" w:styleId="List22">
    <w:name w:val="List 22"/>
    <w:rsid w:val="00FA6262"/>
    <w:pPr>
      <w:numPr>
        <w:numId w:val="27"/>
      </w:numPr>
    </w:pPr>
  </w:style>
  <w:style w:type="numbering" w:customStyle="1" w:styleId="List47">
    <w:name w:val="List 47"/>
    <w:rsid w:val="00FA6262"/>
    <w:pPr>
      <w:numPr>
        <w:numId w:val="28"/>
      </w:numPr>
    </w:pPr>
  </w:style>
  <w:style w:type="numbering" w:customStyle="1" w:styleId="List28">
    <w:name w:val="List 28"/>
    <w:rsid w:val="00FA6262"/>
    <w:pPr>
      <w:numPr>
        <w:numId w:val="29"/>
      </w:numPr>
    </w:pPr>
  </w:style>
  <w:style w:type="numbering" w:customStyle="1" w:styleId="List10">
    <w:name w:val="List 10"/>
    <w:rsid w:val="00FA6262"/>
    <w:pPr>
      <w:numPr>
        <w:numId w:val="5"/>
      </w:numPr>
    </w:pPr>
  </w:style>
  <w:style w:type="numbering" w:customStyle="1" w:styleId="List0">
    <w:name w:val="List 0"/>
    <w:rsid w:val="00FA6262"/>
    <w:pPr>
      <w:numPr>
        <w:numId w:val="30"/>
      </w:numPr>
    </w:pPr>
  </w:style>
  <w:style w:type="numbering" w:customStyle="1" w:styleId="List30">
    <w:name w:val="List 30"/>
    <w:rsid w:val="00FA6262"/>
    <w:pPr>
      <w:numPr>
        <w:numId w:val="31"/>
      </w:numPr>
    </w:pPr>
  </w:style>
  <w:style w:type="numbering" w:customStyle="1" w:styleId="List29">
    <w:name w:val="List 29"/>
    <w:rsid w:val="00FA6262"/>
    <w:pPr>
      <w:numPr>
        <w:numId w:val="32"/>
      </w:numPr>
    </w:pPr>
  </w:style>
  <w:style w:type="numbering" w:customStyle="1" w:styleId="List38">
    <w:name w:val="List 38"/>
    <w:rsid w:val="00FA6262"/>
    <w:pPr>
      <w:numPr>
        <w:numId w:val="33"/>
      </w:numPr>
    </w:pPr>
  </w:style>
  <w:style w:type="numbering" w:customStyle="1" w:styleId="List12">
    <w:name w:val="List 12"/>
    <w:rsid w:val="00FA6262"/>
    <w:pPr>
      <w:numPr>
        <w:numId w:val="34"/>
      </w:numPr>
    </w:pPr>
  </w:style>
  <w:style w:type="numbering" w:customStyle="1" w:styleId="List50">
    <w:name w:val="List 50"/>
    <w:rsid w:val="00FA6262"/>
    <w:pPr>
      <w:numPr>
        <w:numId w:val="35"/>
      </w:numPr>
    </w:pPr>
  </w:style>
  <w:style w:type="numbering" w:customStyle="1" w:styleId="List34">
    <w:name w:val="List 34"/>
    <w:rsid w:val="00FA6262"/>
    <w:pPr>
      <w:numPr>
        <w:numId w:val="10"/>
      </w:numPr>
    </w:pPr>
  </w:style>
  <w:style w:type="numbering" w:customStyle="1" w:styleId="List42">
    <w:name w:val="List 42"/>
    <w:rsid w:val="00FA6262"/>
    <w:pPr>
      <w:numPr>
        <w:numId w:val="11"/>
      </w:numPr>
    </w:pPr>
  </w:style>
  <w:style w:type="numbering" w:customStyle="1" w:styleId="List49">
    <w:name w:val="List 49"/>
    <w:rsid w:val="00FA6262"/>
    <w:pPr>
      <w:numPr>
        <w:numId w:val="36"/>
      </w:numPr>
    </w:pPr>
  </w:style>
  <w:style w:type="numbering" w:customStyle="1" w:styleId="List44">
    <w:name w:val="List 44"/>
    <w:rsid w:val="00FA6262"/>
    <w:pPr>
      <w:numPr>
        <w:numId w:val="37"/>
      </w:numPr>
    </w:pPr>
  </w:style>
  <w:style w:type="numbering" w:customStyle="1" w:styleId="List21">
    <w:name w:val="List 21"/>
    <w:rsid w:val="00FA6262"/>
    <w:pPr>
      <w:numPr>
        <w:numId w:val="48"/>
      </w:numPr>
    </w:pPr>
  </w:style>
  <w:style w:type="numbering" w:customStyle="1" w:styleId="List52">
    <w:name w:val="List 52"/>
    <w:rsid w:val="00FA6262"/>
    <w:pPr>
      <w:numPr>
        <w:numId w:val="8"/>
      </w:numPr>
    </w:pPr>
  </w:style>
  <w:style w:type="numbering" w:customStyle="1" w:styleId="List24">
    <w:name w:val="List 24"/>
    <w:rsid w:val="00FA6262"/>
    <w:pPr>
      <w:numPr>
        <w:numId w:val="12"/>
      </w:numPr>
    </w:pPr>
  </w:style>
  <w:style w:type="numbering" w:customStyle="1" w:styleId="List51">
    <w:name w:val="List 51"/>
    <w:rsid w:val="00FA6262"/>
    <w:pPr>
      <w:numPr>
        <w:numId w:val="50"/>
      </w:numPr>
    </w:pPr>
  </w:style>
  <w:style w:type="numbering" w:customStyle="1" w:styleId="List27">
    <w:name w:val="List 27"/>
    <w:rsid w:val="00FA6262"/>
    <w:pPr>
      <w:numPr>
        <w:numId w:val="38"/>
      </w:numPr>
    </w:pPr>
  </w:style>
  <w:style w:type="numbering" w:customStyle="1" w:styleId="List8">
    <w:name w:val="List 8"/>
    <w:rsid w:val="00FA6262"/>
    <w:pPr>
      <w:numPr>
        <w:numId w:val="4"/>
      </w:numPr>
    </w:pPr>
  </w:style>
  <w:style w:type="numbering" w:customStyle="1" w:styleId="List13">
    <w:name w:val="List 13"/>
    <w:rsid w:val="00FA6262"/>
    <w:pPr>
      <w:numPr>
        <w:numId w:val="39"/>
      </w:numPr>
    </w:pPr>
  </w:style>
  <w:style w:type="numbering" w:customStyle="1" w:styleId="List20">
    <w:name w:val="List 20"/>
    <w:rsid w:val="00FA6262"/>
    <w:pPr>
      <w:numPr>
        <w:numId w:val="40"/>
      </w:numPr>
    </w:pPr>
  </w:style>
  <w:style w:type="numbering" w:customStyle="1" w:styleId="List41">
    <w:name w:val="List 41"/>
    <w:rsid w:val="00FA6262"/>
    <w:pPr>
      <w:numPr>
        <w:numId w:val="41"/>
      </w:numPr>
    </w:pPr>
  </w:style>
  <w:style w:type="numbering" w:customStyle="1" w:styleId="List31">
    <w:name w:val="List 31"/>
    <w:rsid w:val="00FA6262"/>
    <w:pPr>
      <w:numPr>
        <w:numId w:val="42"/>
      </w:numPr>
    </w:pPr>
  </w:style>
  <w:style w:type="numbering" w:customStyle="1" w:styleId="List6">
    <w:name w:val="List 6"/>
    <w:rsid w:val="00FA6262"/>
    <w:pPr>
      <w:numPr>
        <w:numId w:val="2"/>
      </w:numPr>
    </w:pPr>
  </w:style>
  <w:style w:type="numbering" w:customStyle="1" w:styleId="List39">
    <w:name w:val="List 39"/>
    <w:rsid w:val="00FA6262"/>
    <w:pPr>
      <w:numPr>
        <w:numId w:val="43"/>
      </w:numPr>
    </w:pPr>
  </w:style>
  <w:style w:type="numbering" w:customStyle="1" w:styleId="List37">
    <w:name w:val="List 37"/>
    <w:rsid w:val="00FA6262"/>
    <w:pPr>
      <w:numPr>
        <w:numId w:val="44"/>
      </w:numPr>
    </w:pPr>
  </w:style>
  <w:style w:type="numbering" w:customStyle="1" w:styleId="List32">
    <w:name w:val="List 32"/>
    <w:rsid w:val="00FA6262"/>
    <w:pPr>
      <w:numPr>
        <w:numId w:val="45"/>
      </w:numPr>
    </w:pPr>
  </w:style>
  <w:style w:type="numbering" w:customStyle="1" w:styleId="List26">
    <w:name w:val="List 26"/>
    <w:rsid w:val="00FA6262"/>
    <w:pPr>
      <w:numPr>
        <w:numId w:val="46"/>
      </w:numPr>
    </w:pPr>
  </w:style>
  <w:style w:type="numbering" w:customStyle="1" w:styleId="List48">
    <w:name w:val="List 48"/>
    <w:rsid w:val="00FA6262"/>
    <w:pPr>
      <w:numPr>
        <w:numId w:val="47"/>
      </w:numPr>
    </w:pPr>
  </w:style>
  <w:style w:type="paragraph" w:customStyle="1" w:styleId="normalcambria0">
    <w:name w:val="normalcambria"/>
    <w:basedOn w:val="Normal"/>
    <w:rsid w:val="005A2EF4"/>
    <w:pPr>
      <w:pBdr>
        <w:top w:val="none" w:sz="0" w:space="0" w:color="auto"/>
        <w:left w:val="none" w:sz="0" w:space="0" w:color="auto"/>
        <w:bottom w:val="none" w:sz="0" w:space="0" w:color="auto"/>
        <w:right w:val="none" w:sz="0" w:space="0" w:color="auto"/>
        <w:bar w:val="none" w:sz="0" w:color="auto"/>
      </w:pBdr>
      <w:tabs>
        <w:tab w:val="num" w:pos="360"/>
      </w:tabs>
      <w:ind w:left="1080"/>
      <w:jc w:val="both"/>
    </w:pPr>
    <w:rPr>
      <w:rFonts w:ascii="Cambria" w:eastAsiaTheme="minorHAnsi" w:hAnsi="Cambria"/>
      <w:spacing w:val="-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9F7"/>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paragraph" w:styleId="Heading1">
    <w:name w:val="heading 1"/>
    <w:basedOn w:val="Normal"/>
    <w:next w:val="Normal"/>
    <w:link w:val="Heading1Char"/>
    <w:uiPriority w:val="99"/>
    <w:qFormat/>
    <w:rsid w:val="00D81D92"/>
    <w:pPr>
      <w:keepNext/>
      <w:keepLines/>
      <w:numPr>
        <w:numId w:val="49"/>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hAnsi="Cambria" w:cs="Times New Roman"/>
      <w:b/>
      <w:bCs/>
      <w:color w:val="365F91"/>
      <w:sz w:val="28"/>
      <w:szCs w:val="28"/>
      <w:lang w:val="en-US" w:eastAsia="en-US" w:bidi="ar-SA"/>
    </w:rPr>
  </w:style>
  <w:style w:type="character" w:customStyle="1" w:styleId="Heading2Char">
    <w:name w:val="Heading 2 Char"/>
    <w:basedOn w:val="DefaultParagraphFont"/>
    <w:link w:val="Heading2"/>
    <w:uiPriority w:val="99"/>
    <w:locked/>
    <w:rsid w:val="00DF1EC4"/>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DF1EC4"/>
    <w:rPr>
      <w:rFonts w:ascii="Arial" w:hAnsi="Arial" w:cs="Arial"/>
      <w:b/>
      <w:bCs/>
      <w:sz w:val="26"/>
      <w:szCs w:val="26"/>
      <w:lang w:val="en-US" w:eastAsia="en-US"/>
    </w:rPr>
  </w:style>
  <w:style w:type="character" w:styleId="Hyperlink">
    <w:name w:val="Hyperlink"/>
    <w:basedOn w:val="DefaultParagraphFont"/>
    <w:uiPriority w:val="99"/>
    <w:rsid w:val="001679F7"/>
    <w:rPr>
      <w:rFonts w:cs="Times New Roman"/>
      <w:u w:val="single"/>
    </w:rPr>
  </w:style>
  <w:style w:type="paragraph" w:customStyle="1" w:styleId="Cabeceraypie">
    <w:name w:val="Cabecera y pie"/>
    <w:uiPriority w:val="99"/>
    <w:rsid w:val="001679F7"/>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1679F7"/>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A50FCF"/>
    <w:rPr>
      <w:rFonts w:ascii="Cambria" w:hAnsi="Cambria" w:cs="Cambria"/>
      <w:color w:val="000000"/>
      <w:sz w:val="24"/>
      <w:szCs w:val="24"/>
      <w:u w:color="000000"/>
      <w:lang w:val="en-US" w:eastAsia="es-ES" w:bidi="ar-SA"/>
    </w:rPr>
  </w:style>
  <w:style w:type="paragraph" w:customStyle="1" w:styleId="Cuerpo">
    <w:name w:val="Cuerpo"/>
    <w:uiPriority w:val="99"/>
    <w:rsid w:val="001679F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1679F7"/>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locked/>
    <w:rsid w:val="00407CB0"/>
    <w:rPr>
      <w:rFonts w:cs="Times New Roman"/>
      <w:sz w:val="24"/>
      <w:szCs w:val="24"/>
    </w:rPr>
  </w:style>
  <w:style w:type="paragraph" w:styleId="ListParagraph">
    <w:name w:val="List Paragraph"/>
    <w:basedOn w:val="Normal"/>
    <w:link w:val="ListParagraphChar"/>
    <w:uiPriority w:val="99"/>
    <w:qFormat/>
    <w:rsid w:val="001679F7"/>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ft,C"/>
    <w:basedOn w:val="Normal"/>
    <w:link w:val="FootnoteTextChar1"/>
    <w:uiPriority w:val="99"/>
    <w:rsid w:val="001679F7"/>
    <w:rPr>
      <w:rFonts w:ascii="Calibri" w:hAnsi="Calibri"/>
      <w:color w:val="000000"/>
      <w:sz w:val="20"/>
      <w:szCs w:val="20"/>
      <w:u w:color="00000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uiPriority w:val="99"/>
    <w:semiHidden/>
    <w:locked/>
    <w:rsid w:val="00407CB0"/>
    <w:rPr>
      <w:rFonts w:cs="Times New Roman"/>
      <w:sz w:val="20"/>
      <w:szCs w:val="20"/>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1,Footnote symbol,Footnote,4_G,16 Point,Superscript 6 Point,Texto nota al pie,Ref,de nota al pie,norm"/>
    <w:basedOn w:val="DefaultParagraphFont"/>
    <w:uiPriority w:val="99"/>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rsid w:val="0031535D"/>
    <w:pPr>
      <w:spacing w:after="120"/>
    </w:pPr>
  </w:style>
  <w:style w:type="character" w:customStyle="1" w:styleId="BodyTextChar">
    <w:name w:val="Body Text Char"/>
    <w:basedOn w:val="DefaultParagraphFont"/>
    <w:link w:val="BodyText"/>
    <w:uiPriority w:val="99"/>
    <w:locked/>
    <w:rsid w:val="0031535D"/>
    <w:rPr>
      <w:rFonts w:cs="Times New Roman"/>
      <w:sz w:val="24"/>
      <w:szCs w:val="24"/>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ink w:val="FootnoteText"/>
    <w:uiPriority w:val="99"/>
    <w:locked/>
    <w:rsid w:val="0031535D"/>
    <w:rPr>
      <w:rFonts w:ascii="Calibri" w:hAnsi="Calibri"/>
      <w:color w:val="000000"/>
      <w:u w:color="000000"/>
      <w:lang w:val="en-US"/>
    </w:rPr>
  </w:style>
  <w:style w:type="paragraph" w:customStyle="1" w:styleId="Default">
    <w:name w:val="Default"/>
    <w:link w:val="DefaultChar"/>
    <w:uiPriority w:val="99"/>
    <w:rsid w:val="00DF1EC4"/>
    <w:pPr>
      <w:pBdr>
        <w:top w:val="none" w:sz="96" w:space="31" w:color="FFFFFF" w:frame="1"/>
        <w:left w:val="none" w:sz="96" w:space="31" w:color="FFFFFF" w:frame="1"/>
        <w:bottom w:val="none" w:sz="96" w:space="31" w:color="FFFFFF" w:frame="1"/>
        <w:right w:val="none" w:sz="96" w:space="31" w:color="FFFFFF" w:frame="1"/>
        <w:bar w:val="none" w:sz="0" w:color="000000"/>
      </w:pBdr>
      <w:autoSpaceDE w:val="0"/>
      <w:autoSpaceDN w:val="0"/>
      <w:adjustRightInd w:val="0"/>
    </w:pPr>
    <w:rPr>
      <w:rFonts w:eastAsia="Times New Roman"/>
      <w:color w:val="000000"/>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2"/>
      <w:lang w:val="en-US" w:eastAsia="en-US"/>
    </w:rPr>
  </w:style>
  <w:style w:type="character" w:customStyle="1" w:styleId="apple-converted-space">
    <w:name w:val="apple-converted-space"/>
    <w:basedOn w:val="DefaultParagraphFont"/>
    <w:uiPriority w:val="99"/>
    <w:rsid w:val="00F01097"/>
    <w:rPr>
      <w:rFonts w:cs="Times New Roman"/>
    </w:rPr>
  </w:style>
  <w:style w:type="character" w:styleId="PlaceholderText">
    <w:name w:val="Placeholder Text"/>
    <w:basedOn w:val="DefaultParagraphFont"/>
    <w:uiPriority w:val="99"/>
    <w:semiHidden/>
    <w:rsid w:val="00E23CF7"/>
    <w:rPr>
      <w:rFonts w:cs="Times New Roman"/>
      <w:color w:val="808080"/>
    </w:rPr>
  </w:style>
  <w:style w:type="character" w:styleId="CommentReference">
    <w:name w:val="annotation reference"/>
    <w:basedOn w:val="DefaultParagraphFont"/>
    <w:uiPriority w:val="99"/>
    <w:semiHidden/>
    <w:rsid w:val="00406DA6"/>
    <w:rPr>
      <w:rFonts w:cs="Times New Roman"/>
      <w:sz w:val="16"/>
      <w:szCs w:val="16"/>
    </w:rPr>
  </w:style>
  <w:style w:type="paragraph" w:styleId="CommentText">
    <w:name w:val="annotation text"/>
    <w:basedOn w:val="Normal"/>
    <w:link w:val="CommentTextChar"/>
    <w:uiPriority w:val="99"/>
    <w:semiHidden/>
    <w:rsid w:val="00406DA6"/>
    <w:rPr>
      <w:sz w:val="20"/>
      <w:szCs w:val="20"/>
    </w:rPr>
  </w:style>
  <w:style w:type="character" w:customStyle="1" w:styleId="CommentTextChar">
    <w:name w:val="Comment Text Char"/>
    <w:basedOn w:val="DefaultParagraphFont"/>
    <w:link w:val="CommentText"/>
    <w:uiPriority w:val="99"/>
    <w:semiHidden/>
    <w:locked/>
    <w:rsid w:val="00406DA6"/>
    <w:rPr>
      <w:rFonts w:cs="Times New Roman"/>
      <w:lang w:val="en-US" w:eastAsia="en-US"/>
    </w:rPr>
  </w:style>
  <w:style w:type="paragraph" w:styleId="CommentSubject">
    <w:name w:val="annotation subject"/>
    <w:basedOn w:val="CommentText"/>
    <w:next w:val="CommentText"/>
    <w:link w:val="CommentSubjectChar"/>
    <w:uiPriority w:val="99"/>
    <w:semiHidden/>
    <w:rsid w:val="00406DA6"/>
    <w:rPr>
      <w:b/>
      <w:bCs/>
    </w:rPr>
  </w:style>
  <w:style w:type="character" w:customStyle="1" w:styleId="CommentSubjectChar">
    <w:name w:val="Comment Subject Char"/>
    <w:basedOn w:val="CommentTextChar"/>
    <w:link w:val="CommentSubject"/>
    <w:uiPriority w:val="99"/>
    <w:semiHidden/>
    <w:locked/>
    <w:rsid w:val="00406DA6"/>
    <w:rPr>
      <w:rFonts w:cs="Times New Roman"/>
      <w:b/>
      <w:bCs/>
      <w:lang w:val="en-US" w:eastAsia="en-US"/>
    </w:rPr>
  </w:style>
  <w:style w:type="paragraph" w:customStyle="1" w:styleId="Normallatin">
    <w:name w:val="Normal latin"/>
    <w:basedOn w:val="ListParagraph"/>
    <w:link w:val="NormallatinChar"/>
    <w:uiPriority w:val="99"/>
    <w:rsid w:val="00DE4C87"/>
    <w:pPr>
      <w:numPr>
        <w:numId w:val="53"/>
      </w:numPr>
      <w:pBdr>
        <w:top w:val="none" w:sz="0" w:space="0" w:color="auto"/>
        <w:left w:val="none" w:sz="0" w:space="0" w:color="auto"/>
        <w:bottom w:val="none" w:sz="0" w:space="0" w:color="auto"/>
        <w:right w:val="none" w:sz="0" w:space="0" w:color="auto"/>
        <w:bar w:val="none" w:sz="0" w:color="auto"/>
      </w:pBdr>
      <w:contextualSpacing/>
      <w:jc w:val="both"/>
    </w:pPr>
    <w:rPr>
      <w:color w:val="auto"/>
      <w:spacing w:val="-2"/>
      <w:sz w:val="20"/>
      <w:szCs w:val="20"/>
      <w:lang w:val="es-ES_tradnl"/>
    </w:rPr>
  </w:style>
  <w:style w:type="paragraph" w:customStyle="1" w:styleId="NormalCambria">
    <w:name w:val="Normal + Cambria"/>
    <w:aliases w:val="10 pt"/>
    <w:basedOn w:val="Normallatin"/>
    <w:link w:val="NormalCambriaChar"/>
    <w:uiPriority w:val="99"/>
    <w:rsid w:val="00CD192A"/>
    <w:pPr>
      <w:numPr>
        <w:numId w:val="51"/>
      </w:numPr>
      <w:tabs>
        <w:tab w:val="left" w:pos="1080"/>
      </w:tabs>
      <w:ind w:left="1080"/>
    </w:pPr>
    <w:rPr>
      <w:rFonts w:eastAsia="MS Mincho"/>
    </w:rPr>
  </w:style>
  <w:style w:type="character" w:customStyle="1" w:styleId="ListParagraphChar">
    <w:name w:val="List Paragraph Char"/>
    <w:basedOn w:val="DefaultParagraphFont"/>
    <w:link w:val="ListParagraph"/>
    <w:uiPriority w:val="99"/>
    <w:locked/>
    <w:rsid w:val="00CD192A"/>
    <w:rPr>
      <w:rFonts w:ascii="Cambria" w:hAnsi="Cambria" w:cs="Cambria"/>
      <w:color w:val="000000"/>
      <w:sz w:val="24"/>
      <w:szCs w:val="24"/>
      <w:u w:color="000000"/>
      <w:lang w:val="en-US" w:eastAsia="es-ES" w:bidi="ar-SA"/>
    </w:rPr>
  </w:style>
  <w:style w:type="character" w:customStyle="1" w:styleId="NormallatinChar">
    <w:name w:val="Normal latin Char"/>
    <w:basedOn w:val="ListParagraphChar"/>
    <w:link w:val="Normallatin"/>
    <w:uiPriority w:val="99"/>
    <w:locked/>
    <w:rsid w:val="00CD192A"/>
    <w:rPr>
      <w:rFonts w:ascii="Cambria" w:hAnsi="Cambria" w:cs="Cambria"/>
      <w:color w:val="000000"/>
      <w:spacing w:val="-2"/>
      <w:sz w:val="24"/>
      <w:szCs w:val="24"/>
      <w:u w:color="000000"/>
      <w:lang w:val="es-ES_tradnl" w:eastAsia="es-ES" w:bidi="ar-SA"/>
    </w:rPr>
  </w:style>
  <w:style w:type="character" w:customStyle="1" w:styleId="NormalCambriaChar">
    <w:name w:val="Normal + Cambria Char"/>
    <w:aliases w:val="10 pt Char"/>
    <w:basedOn w:val="NormallatinChar"/>
    <w:link w:val="NormalCambria"/>
    <w:uiPriority w:val="99"/>
    <w:locked/>
    <w:rsid w:val="00CD192A"/>
    <w:rPr>
      <w:rFonts w:ascii="Cambria" w:eastAsia="MS Mincho" w:hAnsi="Cambria" w:cs="Cambria"/>
      <w:color w:val="000000"/>
      <w:spacing w:val="-2"/>
      <w:sz w:val="24"/>
      <w:szCs w:val="24"/>
      <w:u w:color="000000"/>
      <w:lang w:val="es-ES_tradnl" w:eastAsia="es-ES" w:bidi="ar-SA"/>
    </w:rPr>
  </w:style>
  <w:style w:type="numbering" w:customStyle="1" w:styleId="List16">
    <w:name w:val="List 16"/>
    <w:rsid w:val="00FA6262"/>
    <w:pPr>
      <w:numPr>
        <w:numId w:val="9"/>
      </w:numPr>
    </w:pPr>
  </w:style>
  <w:style w:type="numbering" w:customStyle="1" w:styleId="List36">
    <w:name w:val="List 36"/>
    <w:rsid w:val="00FA6262"/>
    <w:pPr>
      <w:numPr>
        <w:numId w:val="13"/>
      </w:numPr>
    </w:pPr>
  </w:style>
  <w:style w:type="numbering" w:customStyle="1" w:styleId="List25">
    <w:name w:val="List 25"/>
    <w:rsid w:val="00FA6262"/>
    <w:pPr>
      <w:numPr>
        <w:numId w:val="14"/>
      </w:numPr>
    </w:pPr>
  </w:style>
  <w:style w:type="numbering" w:customStyle="1" w:styleId="List1">
    <w:name w:val="List 1"/>
    <w:rsid w:val="00FA6262"/>
    <w:pPr>
      <w:numPr>
        <w:numId w:val="1"/>
      </w:numPr>
    </w:pPr>
  </w:style>
  <w:style w:type="numbering" w:customStyle="1" w:styleId="List11">
    <w:name w:val="List 11"/>
    <w:rsid w:val="00FA6262"/>
    <w:pPr>
      <w:numPr>
        <w:numId w:val="6"/>
      </w:numPr>
    </w:pPr>
  </w:style>
  <w:style w:type="numbering" w:customStyle="1" w:styleId="List15">
    <w:name w:val="List 15"/>
    <w:rsid w:val="00FA6262"/>
    <w:pPr>
      <w:numPr>
        <w:numId w:val="15"/>
      </w:numPr>
    </w:pPr>
  </w:style>
  <w:style w:type="numbering" w:customStyle="1" w:styleId="List14">
    <w:name w:val="List 14"/>
    <w:rsid w:val="00FA6262"/>
    <w:pPr>
      <w:numPr>
        <w:numId w:val="16"/>
      </w:numPr>
    </w:pPr>
  </w:style>
  <w:style w:type="numbering" w:customStyle="1" w:styleId="List23">
    <w:name w:val="List 23"/>
    <w:rsid w:val="00FA6262"/>
    <w:pPr>
      <w:numPr>
        <w:numId w:val="17"/>
      </w:numPr>
    </w:pPr>
  </w:style>
  <w:style w:type="numbering" w:customStyle="1" w:styleId="List19">
    <w:name w:val="List 19"/>
    <w:rsid w:val="00FA6262"/>
    <w:pPr>
      <w:numPr>
        <w:numId w:val="18"/>
      </w:numPr>
    </w:pPr>
  </w:style>
  <w:style w:type="numbering" w:customStyle="1" w:styleId="List45">
    <w:name w:val="List 45"/>
    <w:rsid w:val="00FA6262"/>
    <w:pPr>
      <w:numPr>
        <w:numId w:val="19"/>
      </w:numPr>
    </w:pPr>
  </w:style>
  <w:style w:type="numbering" w:customStyle="1" w:styleId="List40">
    <w:name w:val="List 40"/>
    <w:rsid w:val="00FA6262"/>
    <w:pPr>
      <w:numPr>
        <w:numId w:val="20"/>
      </w:numPr>
    </w:pPr>
  </w:style>
  <w:style w:type="numbering" w:customStyle="1" w:styleId="List9">
    <w:name w:val="List 9"/>
    <w:rsid w:val="00FA6262"/>
    <w:pPr>
      <w:numPr>
        <w:numId w:val="21"/>
      </w:numPr>
    </w:pPr>
  </w:style>
  <w:style w:type="numbering" w:customStyle="1" w:styleId="List43">
    <w:name w:val="List 43"/>
    <w:rsid w:val="00FA6262"/>
    <w:pPr>
      <w:numPr>
        <w:numId w:val="22"/>
      </w:numPr>
    </w:pPr>
  </w:style>
  <w:style w:type="numbering" w:customStyle="1" w:styleId="List46">
    <w:name w:val="List 46"/>
    <w:rsid w:val="00FA6262"/>
    <w:pPr>
      <w:numPr>
        <w:numId w:val="23"/>
      </w:numPr>
    </w:pPr>
  </w:style>
  <w:style w:type="numbering" w:customStyle="1" w:styleId="List35">
    <w:name w:val="List 35"/>
    <w:rsid w:val="00FA6262"/>
    <w:pPr>
      <w:numPr>
        <w:numId w:val="7"/>
      </w:numPr>
    </w:pPr>
  </w:style>
  <w:style w:type="numbering" w:customStyle="1" w:styleId="List17">
    <w:name w:val="List 17"/>
    <w:rsid w:val="00FA6262"/>
    <w:pPr>
      <w:numPr>
        <w:numId w:val="24"/>
      </w:numPr>
    </w:pPr>
  </w:style>
  <w:style w:type="numbering" w:customStyle="1" w:styleId="List33">
    <w:name w:val="List 33"/>
    <w:rsid w:val="00FA6262"/>
    <w:pPr>
      <w:numPr>
        <w:numId w:val="25"/>
      </w:numPr>
    </w:pPr>
  </w:style>
  <w:style w:type="numbering" w:customStyle="1" w:styleId="List7">
    <w:name w:val="List 7"/>
    <w:rsid w:val="00FA6262"/>
    <w:pPr>
      <w:numPr>
        <w:numId w:val="3"/>
      </w:numPr>
    </w:pPr>
  </w:style>
  <w:style w:type="numbering" w:customStyle="1" w:styleId="List18">
    <w:name w:val="List 18"/>
    <w:rsid w:val="00FA6262"/>
    <w:pPr>
      <w:numPr>
        <w:numId w:val="26"/>
      </w:numPr>
    </w:pPr>
  </w:style>
  <w:style w:type="numbering" w:customStyle="1" w:styleId="List22">
    <w:name w:val="List 22"/>
    <w:rsid w:val="00FA6262"/>
    <w:pPr>
      <w:numPr>
        <w:numId w:val="27"/>
      </w:numPr>
    </w:pPr>
  </w:style>
  <w:style w:type="numbering" w:customStyle="1" w:styleId="List47">
    <w:name w:val="List 47"/>
    <w:rsid w:val="00FA6262"/>
    <w:pPr>
      <w:numPr>
        <w:numId w:val="28"/>
      </w:numPr>
    </w:pPr>
  </w:style>
  <w:style w:type="numbering" w:customStyle="1" w:styleId="List28">
    <w:name w:val="List 28"/>
    <w:rsid w:val="00FA6262"/>
    <w:pPr>
      <w:numPr>
        <w:numId w:val="29"/>
      </w:numPr>
    </w:pPr>
  </w:style>
  <w:style w:type="numbering" w:customStyle="1" w:styleId="List10">
    <w:name w:val="List 10"/>
    <w:rsid w:val="00FA6262"/>
    <w:pPr>
      <w:numPr>
        <w:numId w:val="5"/>
      </w:numPr>
    </w:pPr>
  </w:style>
  <w:style w:type="numbering" w:customStyle="1" w:styleId="List0">
    <w:name w:val="List 0"/>
    <w:rsid w:val="00FA6262"/>
    <w:pPr>
      <w:numPr>
        <w:numId w:val="30"/>
      </w:numPr>
    </w:pPr>
  </w:style>
  <w:style w:type="numbering" w:customStyle="1" w:styleId="List30">
    <w:name w:val="List 30"/>
    <w:rsid w:val="00FA6262"/>
    <w:pPr>
      <w:numPr>
        <w:numId w:val="31"/>
      </w:numPr>
    </w:pPr>
  </w:style>
  <w:style w:type="numbering" w:customStyle="1" w:styleId="List29">
    <w:name w:val="List 29"/>
    <w:rsid w:val="00FA6262"/>
    <w:pPr>
      <w:numPr>
        <w:numId w:val="32"/>
      </w:numPr>
    </w:pPr>
  </w:style>
  <w:style w:type="numbering" w:customStyle="1" w:styleId="List38">
    <w:name w:val="List 38"/>
    <w:rsid w:val="00FA6262"/>
    <w:pPr>
      <w:numPr>
        <w:numId w:val="33"/>
      </w:numPr>
    </w:pPr>
  </w:style>
  <w:style w:type="numbering" w:customStyle="1" w:styleId="List12">
    <w:name w:val="List 12"/>
    <w:rsid w:val="00FA6262"/>
    <w:pPr>
      <w:numPr>
        <w:numId w:val="34"/>
      </w:numPr>
    </w:pPr>
  </w:style>
  <w:style w:type="numbering" w:customStyle="1" w:styleId="List50">
    <w:name w:val="List 50"/>
    <w:rsid w:val="00FA6262"/>
    <w:pPr>
      <w:numPr>
        <w:numId w:val="35"/>
      </w:numPr>
    </w:pPr>
  </w:style>
  <w:style w:type="numbering" w:customStyle="1" w:styleId="List34">
    <w:name w:val="List 34"/>
    <w:rsid w:val="00FA6262"/>
    <w:pPr>
      <w:numPr>
        <w:numId w:val="10"/>
      </w:numPr>
    </w:pPr>
  </w:style>
  <w:style w:type="numbering" w:customStyle="1" w:styleId="List42">
    <w:name w:val="List 42"/>
    <w:rsid w:val="00FA6262"/>
    <w:pPr>
      <w:numPr>
        <w:numId w:val="11"/>
      </w:numPr>
    </w:pPr>
  </w:style>
  <w:style w:type="numbering" w:customStyle="1" w:styleId="List49">
    <w:name w:val="List 49"/>
    <w:rsid w:val="00FA6262"/>
    <w:pPr>
      <w:numPr>
        <w:numId w:val="36"/>
      </w:numPr>
    </w:pPr>
  </w:style>
  <w:style w:type="numbering" w:customStyle="1" w:styleId="List44">
    <w:name w:val="List 44"/>
    <w:rsid w:val="00FA6262"/>
    <w:pPr>
      <w:numPr>
        <w:numId w:val="37"/>
      </w:numPr>
    </w:pPr>
  </w:style>
  <w:style w:type="numbering" w:customStyle="1" w:styleId="List21">
    <w:name w:val="List 21"/>
    <w:rsid w:val="00FA6262"/>
    <w:pPr>
      <w:numPr>
        <w:numId w:val="48"/>
      </w:numPr>
    </w:pPr>
  </w:style>
  <w:style w:type="numbering" w:customStyle="1" w:styleId="List52">
    <w:name w:val="List 52"/>
    <w:rsid w:val="00FA6262"/>
    <w:pPr>
      <w:numPr>
        <w:numId w:val="8"/>
      </w:numPr>
    </w:pPr>
  </w:style>
  <w:style w:type="numbering" w:customStyle="1" w:styleId="List24">
    <w:name w:val="List 24"/>
    <w:rsid w:val="00FA6262"/>
    <w:pPr>
      <w:numPr>
        <w:numId w:val="12"/>
      </w:numPr>
    </w:pPr>
  </w:style>
  <w:style w:type="numbering" w:customStyle="1" w:styleId="List51">
    <w:name w:val="List 51"/>
    <w:rsid w:val="00FA6262"/>
    <w:pPr>
      <w:numPr>
        <w:numId w:val="50"/>
      </w:numPr>
    </w:pPr>
  </w:style>
  <w:style w:type="numbering" w:customStyle="1" w:styleId="List27">
    <w:name w:val="List 27"/>
    <w:rsid w:val="00FA6262"/>
    <w:pPr>
      <w:numPr>
        <w:numId w:val="38"/>
      </w:numPr>
    </w:pPr>
  </w:style>
  <w:style w:type="numbering" w:customStyle="1" w:styleId="List8">
    <w:name w:val="List 8"/>
    <w:rsid w:val="00FA6262"/>
    <w:pPr>
      <w:numPr>
        <w:numId w:val="4"/>
      </w:numPr>
    </w:pPr>
  </w:style>
  <w:style w:type="numbering" w:customStyle="1" w:styleId="List13">
    <w:name w:val="List 13"/>
    <w:rsid w:val="00FA6262"/>
    <w:pPr>
      <w:numPr>
        <w:numId w:val="39"/>
      </w:numPr>
    </w:pPr>
  </w:style>
  <w:style w:type="numbering" w:customStyle="1" w:styleId="List20">
    <w:name w:val="List 20"/>
    <w:rsid w:val="00FA6262"/>
    <w:pPr>
      <w:numPr>
        <w:numId w:val="40"/>
      </w:numPr>
    </w:pPr>
  </w:style>
  <w:style w:type="numbering" w:customStyle="1" w:styleId="List41">
    <w:name w:val="List 41"/>
    <w:rsid w:val="00FA6262"/>
    <w:pPr>
      <w:numPr>
        <w:numId w:val="41"/>
      </w:numPr>
    </w:pPr>
  </w:style>
  <w:style w:type="numbering" w:customStyle="1" w:styleId="List31">
    <w:name w:val="List 31"/>
    <w:rsid w:val="00FA6262"/>
    <w:pPr>
      <w:numPr>
        <w:numId w:val="42"/>
      </w:numPr>
    </w:pPr>
  </w:style>
  <w:style w:type="numbering" w:customStyle="1" w:styleId="List6">
    <w:name w:val="List 6"/>
    <w:rsid w:val="00FA6262"/>
    <w:pPr>
      <w:numPr>
        <w:numId w:val="2"/>
      </w:numPr>
    </w:pPr>
  </w:style>
  <w:style w:type="numbering" w:customStyle="1" w:styleId="List39">
    <w:name w:val="List 39"/>
    <w:rsid w:val="00FA6262"/>
    <w:pPr>
      <w:numPr>
        <w:numId w:val="43"/>
      </w:numPr>
    </w:pPr>
  </w:style>
  <w:style w:type="numbering" w:customStyle="1" w:styleId="List37">
    <w:name w:val="List 37"/>
    <w:rsid w:val="00FA6262"/>
    <w:pPr>
      <w:numPr>
        <w:numId w:val="44"/>
      </w:numPr>
    </w:pPr>
  </w:style>
  <w:style w:type="numbering" w:customStyle="1" w:styleId="List32">
    <w:name w:val="List 32"/>
    <w:rsid w:val="00FA6262"/>
    <w:pPr>
      <w:numPr>
        <w:numId w:val="45"/>
      </w:numPr>
    </w:pPr>
  </w:style>
  <w:style w:type="numbering" w:customStyle="1" w:styleId="List26">
    <w:name w:val="List 26"/>
    <w:rsid w:val="00FA6262"/>
    <w:pPr>
      <w:numPr>
        <w:numId w:val="46"/>
      </w:numPr>
    </w:pPr>
  </w:style>
  <w:style w:type="numbering" w:customStyle="1" w:styleId="List48">
    <w:name w:val="List 48"/>
    <w:rsid w:val="00FA6262"/>
    <w:pPr>
      <w:numPr>
        <w:numId w:val="47"/>
      </w:numPr>
    </w:pPr>
  </w:style>
  <w:style w:type="paragraph" w:customStyle="1" w:styleId="normalcambria0">
    <w:name w:val="normalcambria"/>
    <w:basedOn w:val="Normal"/>
    <w:rsid w:val="005A2EF4"/>
    <w:pPr>
      <w:pBdr>
        <w:top w:val="none" w:sz="0" w:space="0" w:color="auto"/>
        <w:left w:val="none" w:sz="0" w:space="0" w:color="auto"/>
        <w:bottom w:val="none" w:sz="0" w:space="0" w:color="auto"/>
        <w:right w:val="none" w:sz="0" w:space="0" w:color="auto"/>
        <w:bar w:val="none" w:sz="0" w:color="auto"/>
      </w:pBdr>
      <w:tabs>
        <w:tab w:val="num" w:pos="360"/>
      </w:tabs>
      <w:ind w:left="1080"/>
      <w:jc w:val="both"/>
    </w:pPr>
    <w:rPr>
      <w:rFonts w:ascii="Cambria" w:eastAsiaTheme="minorHAnsi" w:hAnsi="Cambria"/>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536035">
      <w:marLeft w:val="0"/>
      <w:marRight w:val="0"/>
      <w:marTop w:val="0"/>
      <w:marBottom w:val="0"/>
      <w:divBdr>
        <w:top w:val="none" w:sz="0" w:space="0" w:color="auto"/>
        <w:left w:val="none" w:sz="0" w:space="0" w:color="auto"/>
        <w:bottom w:val="none" w:sz="0" w:space="0" w:color="auto"/>
        <w:right w:val="none" w:sz="0" w:space="0" w:color="auto"/>
      </w:divBdr>
    </w:div>
    <w:div w:id="623536036">
      <w:marLeft w:val="0"/>
      <w:marRight w:val="0"/>
      <w:marTop w:val="0"/>
      <w:marBottom w:val="0"/>
      <w:divBdr>
        <w:top w:val="none" w:sz="0" w:space="0" w:color="auto"/>
        <w:left w:val="none" w:sz="0" w:space="0" w:color="auto"/>
        <w:bottom w:val="none" w:sz="0" w:space="0" w:color="auto"/>
        <w:right w:val="none" w:sz="0" w:space="0" w:color="auto"/>
      </w:divBdr>
    </w:div>
    <w:div w:id="623536037">
      <w:marLeft w:val="0"/>
      <w:marRight w:val="0"/>
      <w:marTop w:val="0"/>
      <w:marBottom w:val="0"/>
      <w:divBdr>
        <w:top w:val="none" w:sz="0" w:space="0" w:color="auto"/>
        <w:left w:val="none" w:sz="0" w:space="0" w:color="auto"/>
        <w:bottom w:val="none" w:sz="0" w:space="0" w:color="auto"/>
        <w:right w:val="none" w:sz="0" w:space="0" w:color="auto"/>
      </w:divBdr>
    </w:div>
    <w:div w:id="623536038">
      <w:marLeft w:val="0"/>
      <w:marRight w:val="0"/>
      <w:marTop w:val="0"/>
      <w:marBottom w:val="0"/>
      <w:divBdr>
        <w:top w:val="none" w:sz="0" w:space="0" w:color="auto"/>
        <w:left w:val="none" w:sz="0" w:space="0" w:color="auto"/>
        <w:bottom w:val="none" w:sz="0" w:space="0" w:color="auto"/>
        <w:right w:val="none" w:sz="0" w:space="0" w:color="auto"/>
      </w:divBdr>
    </w:div>
    <w:div w:id="142595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3597</Words>
  <Characters>20506</Characters>
  <Application>Microsoft Office Word</Application>
  <DocSecurity>0</DocSecurity>
  <Lines>170</Lines>
  <Paragraphs>48</Paragraphs>
  <ScaleCrop>false</ScaleCrop>
  <Company/>
  <LinksUpToDate>false</LinksUpToDate>
  <CharactersWithSpaces>24055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23/16</dc:title>
  <dc:creator/>
  <cp:lastModifiedBy/>
  <cp:revision>1</cp:revision>
  <dcterms:created xsi:type="dcterms:W3CDTF">2016-10-07T15:34:00Z</dcterms:created>
  <dcterms:modified xsi:type="dcterms:W3CDTF">2016-10-07T15:35:00Z</dcterms:modified>
</cp:coreProperties>
</file>