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69" w:rsidRPr="00FB2D79" w:rsidRDefault="00E74B27"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sidRPr="00FB2D79">
        <w:rPr>
          <w:noProof/>
        </w:rPr>
        <mc:AlternateContent>
          <mc:Choice Requires="wps">
            <w:drawing>
              <wp:anchor distT="0" distB="0" distL="114300" distR="114300" simplePos="0" relativeHeight="251654144" behindDoc="0" locked="0" layoutInCell="1" allowOverlap="1" wp14:anchorId="38B815B4" wp14:editId="09256001">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FB2D79">
        <w:rPr>
          <w:noProof/>
        </w:rPr>
        <mc:AlternateContent>
          <mc:Choice Requires="wps">
            <w:drawing>
              <wp:anchor distT="0" distB="0" distL="114300" distR="114300" simplePos="0" relativeHeight="251658240" behindDoc="0" locked="0" layoutInCell="1" allowOverlap="1" wp14:anchorId="79E0B005" wp14:editId="3BCDAFB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169" w:rsidRDefault="00E74B27"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00E39C4" wp14:editId="5CCAC4D5">
                                  <wp:extent cx="2628900" cy="4953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r w:rsidR="00F60169">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F60169" w:rsidRDefault="00E74B27"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00E39C4" wp14:editId="5CCAC4D5">
                            <wp:extent cx="2628900" cy="4953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r w:rsidR="00F60169">
                        <w:tab/>
                        <w:t xml:space="preserve">                              </w:t>
                      </w:r>
                    </w:p>
                  </w:txbxContent>
                </v:textbox>
              </v:shape>
            </w:pict>
          </mc:Fallback>
        </mc:AlternateContent>
      </w: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F60169" w:rsidRPr="00FB2D79" w:rsidRDefault="00F60169"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E74B2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sidRPr="00FB2D79">
        <w:rPr>
          <w:noProof/>
        </w:rPr>
        <mc:AlternateContent>
          <mc:Choice Requires="wps">
            <w:drawing>
              <wp:anchor distT="0" distB="0" distL="114300" distR="114300" simplePos="0" relativeHeight="251655168" behindDoc="0" locked="0" layoutInCell="1" allowOverlap="1" wp14:anchorId="5CDB0214" wp14:editId="58EBAA1B">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5D60C5">
                              <w:rPr>
                                <w:rFonts w:ascii="Cambria" w:hAnsi="Cambria" w:cs="Arial"/>
                                <w:b/>
                                <w:bCs/>
                                <w:color w:val="0D0D0D"/>
                                <w:sz w:val="36"/>
                                <w:szCs w:val="22"/>
                                <w:lang w:val="es-ES_tradnl"/>
                              </w:rPr>
                              <w:t xml:space="preserve">INFORME </w:t>
                            </w:r>
                            <w:r w:rsidRPr="005D60C5">
                              <w:rPr>
                                <w:rFonts w:ascii="Cambria" w:hAnsi="Cambria" w:cs="Arial"/>
                                <w:b/>
                                <w:bCs/>
                                <w:color w:val="0D0D0D"/>
                                <w:sz w:val="36"/>
                                <w:szCs w:val="40"/>
                                <w:lang w:val="es-ES_tradnl"/>
                              </w:rPr>
                              <w:t>No.</w:t>
                            </w:r>
                            <w:r w:rsidR="00764287">
                              <w:rPr>
                                <w:rFonts w:ascii="Cambria" w:hAnsi="Cambria" w:cs="Arial"/>
                                <w:b/>
                                <w:bCs/>
                                <w:color w:val="0D0D0D"/>
                                <w:sz w:val="36"/>
                                <w:szCs w:val="22"/>
                                <w:lang w:val="es-ES_tradnl"/>
                              </w:rPr>
                              <w:t xml:space="preserve"> 40</w:t>
                            </w:r>
                            <w:r w:rsidRPr="005D60C5">
                              <w:rPr>
                                <w:rFonts w:ascii="Cambria" w:hAnsi="Cambria" w:cs="Arial"/>
                                <w:b/>
                                <w:bCs/>
                                <w:color w:val="0D0D0D"/>
                                <w:sz w:val="36"/>
                                <w:szCs w:val="22"/>
                                <w:lang w:val="es-ES_tradnl"/>
                              </w:rPr>
                              <w:t>/</w:t>
                            </w:r>
                            <w:r w:rsidR="00C97909">
                              <w:rPr>
                                <w:rFonts w:ascii="Cambria" w:hAnsi="Cambria" w:cs="Arial"/>
                                <w:b/>
                                <w:bCs/>
                                <w:color w:val="0D0D0D"/>
                                <w:sz w:val="36"/>
                                <w:szCs w:val="22"/>
                                <w:lang w:val="es-ES_tradnl"/>
                              </w:rPr>
                              <w:t>16</w:t>
                            </w:r>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P-468-02</w:t>
                            </w:r>
                            <w:r w:rsidRPr="005D60C5">
                              <w:rPr>
                                <w:rFonts w:ascii="Cambria" w:hAnsi="Cambria" w:cs="Arial"/>
                                <w:b/>
                                <w:color w:val="0D0D0D"/>
                                <w:sz w:val="36"/>
                                <w:szCs w:val="22"/>
                                <w:lang w:val="es-ES_tradnl"/>
                              </w:rPr>
                              <w:t xml:space="preserve"> </w:t>
                            </w:r>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D60C5">
                              <w:rPr>
                                <w:rFonts w:ascii="Cambria" w:hAnsi="Cambria" w:cs="Arial"/>
                                <w:color w:val="0D0D0D"/>
                                <w:szCs w:val="22"/>
                                <w:lang w:val="es-ES_tradnl"/>
                              </w:rPr>
                              <w:t xml:space="preserve">INFORME DE </w:t>
                            </w:r>
                            <w:r w:rsidRPr="00CF41B5">
                              <w:rPr>
                                <w:rFonts w:ascii="Cambria" w:hAnsi="Cambria" w:cs="Arial"/>
                                <w:color w:val="0D0D0D"/>
                                <w:szCs w:val="22"/>
                                <w:lang w:val="es-ES_tradnl"/>
                              </w:rPr>
                              <w:t>ADMISIBILIDAD</w:t>
                            </w:r>
                            <w:r w:rsidRPr="005D60C5">
                              <w:rPr>
                                <w:rFonts w:ascii="Cambria" w:hAnsi="Cambria" w:cs="Arial"/>
                                <w:color w:val="0D0D0D"/>
                                <w:szCs w:val="22"/>
                                <w:lang w:val="es-ES_tradnl"/>
                              </w:rPr>
                              <w:t xml:space="preserve"> </w:t>
                            </w:r>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GADALA MARÍA DADA Y OTROS</w:t>
                            </w:r>
                          </w:p>
                          <w:bookmarkEnd w:id="0"/>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REPÚBLICA DOMINICANA</w:t>
                            </w:r>
                          </w:p>
                          <w:p w:rsidR="00F60169" w:rsidRPr="005D60C5" w:rsidRDefault="00F60169"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5D60C5">
                        <w:rPr>
                          <w:rFonts w:ascii="Cambria" w:hAnsi="Cambria" w:cs="Arial"/>
                          <w:b/>
                          <w:bCs/>
                          <w:color w:val="0D0D0D"/>
                          <w:sz w:val="36"/>
                          <w:szCs w:val="22"/>
                          <w:lang w:val="es-ES_tradnl"/>
                        </w:rPr>
                        <w:t xml:space="preserve">INFORME </w:t>
                      </w:r>
                      <w:r w:rsidRPr="005D60C5">
                        <w:rPr>
                          <w:rFonts w:ascii="Cambria" w:hAnsi="Cambria" w:cs="Arial"/>
                          <w:b/>
                          <w:bCs/>
                          <w:color w:val="0D0D0D"/>
                          <w:sz w:val="36"/>
                          <w:szCs w:val="40"/>
                          <w:lang w:val="es-ES_tradnl"/>
                        </w:rPr>
                        <w:t>No.</w:t>
                      </w:r>
                      <w:r w:rsidR="00764287">
                        <w:rPr>
                          <w:rFonts w:ascii="Cambria" w:hAnsi="Cambria" w:cs="Arial"/>
                          <w:b/>
                          <w:bCs/>
                          <w:color w:val="0D0D0D"/>
                          <w:sz w:val="36"/>
                          <w:szCs w:val="22"/>
                          <w:lang w:val="es-ES_tradnl"/>
                        </w:rPr>
                        <w:t xml:space="preserve"> 40</w:t>
                      </w:r>
                      <w:r w:rsidRPr="005D60C5">
                        <w:rPr>
                          <w:rFonts w:ascii="Cambria" w:hAnsi="Cambria" w:cs="Arial"/>
                          <w:b/>
                          <w:bCs/>
                          <w:color w:val="0D0D0D"/>
                          <w:sz w:val="36"/>
                          <w:szCs w:val="22"/>
                          <w:lang w:val="es-ES_tradnl"/>
                        </w:rPr>
                        <w:t>/</w:t>
                      </w:r>
                      <w:r w:rsidR="00C97909">
                        <w:rPr>
                          <w:rFonts w:ascii="Cambria" w:hAnsi="Cambria" w:cs="Arial"/>
                          <w:b/>
                          <w:bCs/>
                          <w:color w:val="0D0D0D"/>
                          <w:sz w:val="36"/>
                          <w:szCs w:val="22"/>
                          <w:lang w:val="es-ES_tradnl"/>
                        </w:rPr>
                        <w:t>16</w:t>
                      </w:r>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PETICIÓN P-468-02</w:t>
                      </w:r>
                      <w:r w:rsidRPr="005D60C5">
                        <w:rPr>
                          <w:rFonts w:ascii="Cambria" w:hAnsi="Cambria" w:cs="Arial"/>
                          <w:b/>
                          <w:color w:val="0D0D0D"/>
                          <w:sz w:val="36"/>
                          <w:szCs w:val="22"/>
                          <w:lang w:val="es-ES_tradnl"/>
                        </w:rPr>
                        <w:t xml:space="preserve"> </w:t>
                      </w:r>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5D60C5">
                        <w:rPr>
                          <w:rFonts w:ascii="Cambria" w:hAnsi="Cambria" w:cs="Arial"/>
                          <w:color w:val="0D0D0D"/>
                          <w:szCs w:val="22"/>
                          <w:lang w:val="es-ES_tradnl"/>
                        </w:rPr>
                        <w:t xml:space="preserve">INFORME DE </w:t>
                      </w:r>
                      <w:r w:rsidRPr="00CF41B5">
                        <w:rPr>
                          <w:rFonts w:ascii="Cambria" w:hAnsi="Cambria" w:cs="Arial"/>
                          <w:color w:val="0D0D0D"/>
                          <w:szCs w:val="22"/>
                          <w:lang w:val="es-ES_tradnl"/>
                        </w:rPr>
                        <w:t>ADMISIBILIDAD</w:t>
                      </w:r>
                      <w:r w:rsidRPr="005D60C5">
                        <w:rPr>
                          <w:rFonts w:ascii="Cambria" w:hAnsi="Cambria" w:cs="Arial"/>
                          <w:color w:val="0D0D0D"/>
                          <w:szCs w:val="22"/>
                          <w:lang w:val="es-ES_tradnl"/>
                        </w:rPr>
                        <w:t xml:space="preserve"> </w:t>
                      </w:r>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GADALA MARÍA DADA Y OTROS</w:t>
                      </w:r>
                    </w:p>
                    <w:bookmarkEnd w:id="1"/>
                    <w:p w:rsidR="00F60169" w:rsidRPr="005D60C5" w:rsidRDefault="00F60169"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REPÚBLICA DOMINICANA</w:t>
                      </w:r>
                    </w:p>
                    <w:p w:rsidR="00F60169" w:rsidRPr="005D60C5" w:rsidRDefault="00F60169"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sidRPr="00FB2D79">
        <w:rPr>
          <w:noProof/>
        </w:rPr>
        <mc:AlternateContent>
          <mc:Choice Requires="wps">
            <w:drawing>
              <wp:anchor distT="0" distB="0" distL="114300" distR="114300" simplePos="0" relativeHeight="251657216" behindDoc="0" locked="0" layoutInCell="1" allowOverlap="1" wp14:anchorId="63E9BCC7" wp14:editId="18FBF88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169" w:rsidRPr="00114FD8" w:rsidRDefault="004376C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114FD8">
                              <w:rPr>
                                <w:rFonts w:ascii="Calibri" w:hAnsi="Calibri"/>
                                <w:color w:val="FFFFFF" w:themeColor="background1"/>
                                <w:sz w:val="22"/>
                                <w:lang w:val="pt-BR"/>
                              </w:rPr>
                              <w:t>OEA/Ser.L/V/II.</w:t>
                            </w:r>
                          </w:p>
                          <w:p w:rsidR="00F60169" w:rsidRPr="00114FD8" w:rsidRDefault="0076428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114FD8">
                              <w:rPr>
                                <w:rFonts w:ascii="Calibri" w:hAnsi="Calibri"/>
                                <w:color w:val="FFFFFF" w:themeColor="background1"/>
                                <w:sz w:val="22"/>
                                <w:lang w:val="pt-BR"/>
                              </w:rPr>
                              <w:t>Doc. 45</w:t>
                            </w:r>
                          </w:p>
                          <w:p w:rsidR="00F60169" w:rsidRPr="00FB2D79" w:rsidRDefault="004376C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Pr>
                                <w:rFonts w:ascii="Calibri" w:hAnsi="Calibri"/>
                                <w:color w:val="FFFFFF" w:themeColor="background1"/>
                                <w:sz w:val="22"/>
                                <w:lang w:val="es-CL"/>
                              </w:rPr>
                              <w:t>4 septiembre 2016</w:t>
                            </w:r>
                          </w:p>
                          <w:p w:rsidR="00F60169" w:rsidRPr="00FB2D79" w:rsidRDefault="00F60169"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FB2D79">
                              <w:rPr>
                                <w:rFonts w:ascii="Calibri" w:hAnsi="Calibr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F60169" w:rsidRPr="00114FD8" w:rsidRDefault="004376C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114FD8">
                        <w:rPr>
                          <w:rFonts w:ascii="Calibri" w:hAnsi="Calibri"/>
                          <w:color w:val="FFFFFF" w:themeColor="background1"/>
                          <w:sz w:val="22"/>
                          <w:lang w:val="pt-BR"/>
                        </w:rPr>
                        <w:t>OEA/Ser.L/V/II.</w:t>
                      </w:r>
                    </w:p>
                    <w:p w:rsidR="00F60169" w:rsidRPr="00114FD8" w:rsidRDefault="0076428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pt-BR"/>
                        </w:rPr>
                      </w:pPr>
                      <w:r w:rsidRPr="00114FD8">
                        <w:rPr>
                          <w:rFonts w:ascii="Calibri" w:hAnsi="Calibri"/>
                          <w:color w:val="FFFFFF" w:themeColor="background1"/>
                          <w:sz w:val="22"/>
                          <w:lang w:val="pt-BR"/>
                        </w:rPr>
                        <w:t>Doc. 45</w:t>
                      </w:r>
                    </w:p>
                    <w:p w:rsidR="00F60169" w:rsidRPr="00FB2D79" w:rsidRDefault="004376C0"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Pr>
                          <w:rFonts w:ascii="Calibri" w:hAnsi="Calibri"/>
                          <w:color w:val="FFFFFF" w:themeColor="background1"/>
                          <w:sz w:val="22"/>
                          <w:lang w:val="es-CL"/>
                        </w:rPr>
                        <w:t>4 septiembre 2016</w:t>
                      </w:r>
                    </w:p>
                    <w:p w:rsidR="00F60169" w:rsidRPr="00FB2D79" w:rsidRDefault="00F60169"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themeColor="background1"/>
                          <w:sz w:val="22"/>
                          <w:lang w:val="es-CL"/>
                        </w:rPr>
                      </w:pPr>
                      <w:r w:rsidRPr="00FB2D79">
                        <w:rPr>
                          <w:rFonts w:ascii="Calibri" w:hAnsi="Calibri"/>
                          <w:color w:val="FFFFFF" w:themeColor="background1"/>
                          <w:sz w:val="22"/>
                          <w:lang w:val="es-CL"/>
                        </w:rPr>
                        <w:t>Original: español</w:t>
                      </w:r>
                    </w:p>
                  </w:txbxContent>
                </v:textbox>
              </v:shape>
            </w:pict>
          </mc:Fallback>
        </mc:AlternateContent>
      </w: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E74B2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sidRPr="00FB2D79">
        <w:rPr>
          <w:noProof/>
        </w:rPr>
        <mc:AlternateContent>
          <mc:Choice Requires="wps">
            <w:drawing>
              <wp:anchor distT="0" distB="0" distL="114300" distR="114300" simplePos="0" relativeHeight="251656192" behindDoc="0" locked="0" layoutInCell="1" allowOverlap="1" wp14:anchorId="15796161" wp14:editId="6C998B0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169" w:rsidRPr="005D60C5" w:rsidRDefault="00F60169"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5D60C5">
                              <w:rPr>
                                <w:rFonts w:ascii="Cambria" w:hAnsi="Cambria"/>
                                <w:color w:val="0D0D0D"/>
                                <w:sz w:val="18"/>
                                <w:szCs w:val="20"/>
                                <w:lang w:val="es-ES"/>
                              </w:rPr>
                              <w:t xml:space="preserve">Aprobado </w:t>
                            </w:r>
                            <w:r w:rsidR="004376C0">
                              <w:rPr>
                                <w:rFonts w:ascii="Cambria" w:hAnsi="Cambria"/>
                                <w:color w:val="0D0D0D"/>
                                <w:sz w:val="18"/>
                                <w:szCs w:val="20"/>
                                <w:lang w:val="es-ES"/>
                              </w:rPr>
                              <w:t xml:space="preserve">electrónicamente </w:t>
                            </w:r>
                            <w:r w:rsidRPr="005D60C5">
                              <w:rPr>
                                <w:rFonts w:ascii="Cambria" w:hAnsi="Cambria"/>
                                <w:color w:val="0D0D0D"/>
                                <w:sz w:val="18"/>
                                <w:szCs w:val="20"/>
                                <w:lang w:val="es-ES"/>
                              </w:rPr>
                              <w:t xml:space="preserve">por la Comisión </w:t>
                            </w:r>
                            <w:r w:rsidR="004376C0">
                              <w:rPr>
                                <w:rFonts w:ascii="Cambria" w:hAnsi="Cambria"/>
                                <w:color w:val="0D0D0D"/>
                                <w:sz w:val="18"/>
                                <w:szCs w:val="20"/>
                                <w:lang w:val="es-ES"/>
                              </w:rPr>
                              <w:t>el 4</w:t>
                            </w:r>
                            <w:r w:rsidRPr="005D60C5">
                              <w:rPr>
                                <w:rFonts w:ascii="Cambria" w:hAnsi="Cambria"/>
                                <w:color w:val="0D0D0D"/>
                                <w:sz w:val="18"/>
                                <w:szCs w:val="20"/>
                                <w:lang w:val="es-ES"/>
                              </w:rPr>
                              <w:t xml:space="preserve"> de </w:t>
                            </w:r>
                            <w:r w:rsidR="004376C0">
                              <w:rPr>
                                <w:rFonts w:ascii="Cambria" w:hAnsi="Cambria"/>
                                <w:color w:val="0D0D0D"/>
                                <w:sz w:val="18"/>
                                <w:szCs w:val="20"/>
                                <w:lang w:val="es-ES"/>
                              </w:rPr>
                              <w:t>septiembre</w:t>
                            </w:r>
                            <w:r w:rsidRPr="005D60C5">
                              <w:rPr>
                                <w:rFonts w:ascii="Cambria" w:hAnsi="Cambria"/>
                                <w:color w:val="FF0000"/>
                                <w:sz w:val="18"/>
                                <w:szCs w:val="20"/>
                                <w:lang w:val="es-ES"/>
                              </w:rPr>
                              <w:t xml:space="preserve"> </w:t>
                            </w:r>
                            <w:r w:rsidR="004376C0">
                              <w:rPr>
                                <w:rFonts w:ascii="Cambria" w:hAnsi="Cambria"/>
                                <w:color w:val="0D0D0D"/>
                                <w:sz w:val="18"/>
                                <w:szCs w:val="20"/>
                                <w:lang w:val="es-ES"/>
                              </w:rPr>
                              <w:t>de 2016</w:t>
                            </w:r>
                            <w:r w:rsidR="00114FD8">
                              <w:rPr>
                                <w:rFonts w:ascii="Cambria" w:hAnsi="Cambria"/>
                                <w:color w:val="0D0D0D"/>
                                <w:sz w:val="18"/>
                                <w:szCs w:val="20"/>
                                <w:lang w:val="es-ES"/>
                              </w:rPr>
                              <w:t>.</w:t>
                            </w:r>
                            <w:r w:rsidRPr="005D60C5">
                              <w:rPr>
                                <w:rFonts w:ascii="Cambria" w:hAnsi="Cambria"/>
                                <w:color w:val="0D0D0D"/>
                                <w:sz w:val="18"/>
                                <w:szCs w:val="20"/>
                                <w:lang w:val="es-ES"/>
                              </w:rPr>
                              <w:br/>
                            </w:r>
                          </w:p>
                          <w:p w:rsidR="00F60169" w:rsidRPr="005D60C5" w:rsidRDefault="00F60169"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F60169" w:rsidRPr="005D60C5" w:rsidRDefault="00F60169"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s="Univers"/>
                          <w:color w:val="0D0D0D"/>
                          <w:sz w:val="18"/>
                          <w:szCs w:val="20"/>
                          <w:lang w:val="es-ES_tradnl"/>
                        </w:rPr>
                      </w:pPr>
                      <w:r w:rsidRPr="005D60C5">
                        <w:rPr>
                          <w:rFonts w:ascii="Cambria" w:hAnsi="Cambria"/>
                          <w:color w:val="0D0D0D"/>
                          <w:sz w:val="18"/>
                          <w:szCs w:val="20"/>
                          <w:lang w:val="es-ES"/>
                        </w:rPr>
                        <w:t xml:space="preserve">Aprobado </w:t>
                      </w:r>
                      <w:r w:rsidR="004376C0">
                        <w:rPr>
                          <w:rFonts w:ascii="Cambria" w:hAnsi="Cambria"/>
                          <w:color w:val="0D0D0D"/>
                          <w:sz w:val="18"/>
                          <w:szCs w:val="20"/>
                          <w:lang w:val="es-ES"/>
                        </w:rPr>
                        <w:t xml:space="preserve">electrónicamente </w:t>
                      </w:r>
                      <w:r w:rsidRPr="005D60C5">
                        <w:rPr>
                          <w:rFonts w:ascii="Cambria" w:hAnsi="Cambria"/>
                          <w:color w:val="0D0D0D"/>
                          <w:sz w:val="18"/>
                          <w:szCs w:val="20"/>
                          <w:lang w:val="es-ES"/>
                        </w:rPr>
                        <w:t xml:space="preserve">por la Comisión </w:t>
                      </w:r>
                      <w:r w:rsidR="004376C0">
                        <w:rPr>
                          <w:rFonts w:ascii="Cambria" w:hAnsi="Cambria"/>
                          <w:color w:val="0D0D0D"/>
                          <w:sz w:val="18"/>
                          <w:szCs w:val="20"/>
                          <w:lang w:val="es-ES"/>
                        </w:rPr>
                        <w:t>el 4</w:t>
                      </w:r>
                      <w:r w:rsidRPr="005D60C5">
                        <w:rPr>
                          <w:rFonts w:ascii="Cambria" w:hAnsi="Cambria"/>
                          <w:color w:val="0D0D0D"/>
                          <w:sz w:val="18"/>
                          <w:szCs w:val="20"/>
                          <w:lang w:val="es-ES"/>
                        </w:rPr>
                        <w:t xml:space="preserve"> de </w:t>
                      </w:r>
                      <w:r w:rsidR="004376C0">
                        <w:rPr>
                          <w:rFonts w:ascii="Cambria" w:hAnsi="Cambria"/>
                          <w:color w:val="0D0D0D"/>
                          <w:sz w:val="18"/>
                          <w:szCs w:val="20"/>
                          <w:lang w:val="es-ES"/>
                        </w:rPr>
                        <w:t>septiembre</w:t>
                      </w:r>
                      <w:r w:rsidRPr="005D60C5">
                        <w:rPr>
                          <w:rFonts w:ascii="Cambria" w:hAnsi="Cambria"/>
                          <w:color w:val="FF0000"/>
                          <w:sz w:val="18"/>
                          <w:szCs w:val="20"/>
                          <w:lang w:val="es-ES"/>
                        </w:rPr>
                        <w:t xml:space="preserve"> </w:t>
                      </w:r>
                      <w:r w:rsidR="004376C0">
                        <w:rPr>
                          <w:rFonts w:ascii="Cambria" w:hAnsi="Cambria"/>
                          <w:color w:val="0D0D0D"/>
                          <w:sz w:val="18"/>
                          <w:szCs w:val="20"/>
                          <w:lang w:val="es-ES"/>
                        </w:rPr>
                        <w:t>de 2016</w:t>
                      </w:r>
                      <w:r w:rsidR="00114FD8">
                        <w:rPr>
                          <w:rFonts w:ascii="Cambria" w:hAnsi="Cambria"/>
                          <w:color w:val="0D0D0D"/>
                          <w:sz w:val="18"/>
                          <w:szCs w:val="20"/>
                          <w:lang w:val="es-ES"/>
                        </w:rPr>
                        <w:t>.</w:t>
                      </w:r>
                      <w:r w:rsidRPr="005D60C5">
                        <w:rPr>
                          <w:rFonts w:ascii="Cambria" w:hAnsi="Cambria"/>
                          <w:color w:val="0D0D0D"/>
                          <w:sz w:val="18"/>
                          <w:szCs w:val="20"/>
                          <w:lang w:val="es-ES"/>
                        </w:rPr>
                        <w:br/>
                      </w:r>
                    </w:p>
                    <w:p w:rsidR="00F60169" w:rsidRPr="005D60C5" w:rsidRDefault="00F60169"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E74B2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sidRPr="00FB2D79">
        <w:rPr>
          <w:noProof/>
        </w:rPr>
        <mc:AlternateContent>
          <mc:Choice Requires="wps">
            <w:drawing>
              <wp:anchor distT="0" distB="0" distL="114300" distR="114300" simplePos="0" relativeHeight="251659264" behindDoc="0" locked="0" layoutInCell="1" allowOverlap="1" wp14:anchorId="59773547" wp14:editId="4D43C56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169" w:rsidRPr="005D60C5" w:rsidRDefault="00F60169"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5D60C5">
                              <w:rPr>
                                <w:rFonts w:ascii="Cambria" w:hAnsi="Cambria"/>
                                <w:b/>
                                <w:color w:val="595959"/>
                                <w:sz w:val="18"/>
                                <w:szCs w:val="18"/>
                                <w:lang w:val="pt-BR"/>
                              </w:rPr>
                              <w:t>Citar como:</w:t>
                            </w:r>
                            <w:r w:rsidRPr="005D60C5">
                              <w:rPr>
                                <w:rFonts w:ascii="Cambria" w:hAnsi="Cambria"/>
                                <w:color w:val="595959"/>
                                <w:sz w:val="18"/>
                                <w:szCs w:val="18"/>
                                <w:lang w:val="pt-BR"/>
                              </w:rPr>
                              <w:t xml:space="preserve"> CIDH, Informe No. </w:t>
                            </w:r>
                            <w:r w:rsidR="004376C0" w:rsidRPr="004376C0">
                              <w:rPr>
                                <w:rFonts w:ascii="Cambria" w:hAnsi="Cambria"/>
                                <w:color w:val="595959"/>
                                <w:sz w:val="18"/>
                                <w:szCs w:val="18"/>
                                <w:lang w:val="pt-BR"/>
                              </w:rPr>
                              <w:t xml:space="preserve">40/16. </w:t>
                            </w:r>
                            <w:r w:rsidRPr="005D60C5">
                              <w:rPr>
                                <w:rFonts w:ascii="Cambria" w:hAnsi="Cambria"/>
                                <w:color w:val="595959"/>
                                <w:sz w:val="18"/>
                                <w:szCs w:val="18"/>
                                <w:lang w:val="es-ES_tradnl"/>
                              </w:rPr>
                              <w:t xml:space="preserve">Petición </w:t>
                            </w:r>
                            <w:r w:rsidR="004376C0">
                              <w:rPr>
                                <w:rFonts w:ascii="Cambria" w:hAnsi="Cambria"/>
                                <w:color w:val="595959"/>
                                <w:sz w:val="18"/>
                                <w:szCs w:val="18"/>
                                <w:lang w:val="es-ES_tradnl"/>
                              </w:rPr>
                              <w:t>468-02. Admisibilidad. Gadala María Dada y Otros. República Dominicana</w:t>
                            </w:r>
                            <w:r w:rsidRPr="005D60C5">
                              <w:rPr>
                                <w:rFonts w:ascii="Cambria" w:hAnsi="Cambria"/>
                                <w:color w:val="595959"/>
                                <w:sz w:val="18"/>
                                <w:szCs w:val="18"/>
                                <w:lang w:val="es-ES_tradnl"/>
                              </w:rPr>
                              <w:t xml:space="preserve">. </w:t>
                            </w:r>
                            <w:r w:rsidR="004376C0">
                              <w:rPr>
                                <w:rFonts w:ascii="Cambria" w:hAnsi="Cambria"/>
                                <w:color w:val="595959"/>
                                <w:sz w:val="18"/>
                                <w:szCs w:val="18"/>
                                <w:lang w:val="es-ES_tradnl"/>
                              </w:rPr>
                              <w:t>4 de septiembre de 2016</w:t>
                            </w:r>
                            <w:r w:rsidRPr="005D60C5">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F60169" w:rsidRPr="005D60C5" w:rsidRDefault="00F60169"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5D60C5">
                        <w:rPr>
                          <w:rFonts w:ascii="Cambria" w:hAnsi="Cambria"/>
                          <w:b/>
                          <w:color w:val="595959"/>
                          <w:sz w:val="18"/>
                          <w:szCs w:val="18"/>
                          <w:lang w:val="pt-BR"/>
                        </w:rPr>
                        <w:t>Citar como:</w:t>
                      </w:r>
                      <w:r w:rsidRPr="005D60C5">
                        <w:rPr>
                          <w:rFonts w:ascii="Cambria" w:hAnsi="Cambria"/>
                          <w:color w:val="595959"/>
                          <w:sz w:val="18"/>
                          <w:szCs w:val="18"/>
                          <w:lang w:val="pt-BR"/>
                        </w:rPr>
                        <w:t xml:space="preserve"> CIDH, Informe No. </w:t>
                      </w:r>
                      <w:r w:rsidR="004376C0" w:rsidRPr="004376C0">
                        <w:rPr>
                          <w:rFonts w:ascii="Cambria" w:hAnsi="Cambria"/>
                          <w:color w:val="595959"/>
                          <w:sz w:val="18"/>
                          <w:szCs w:val="18"/>
                          <w:lang w:val="pt-BR"/>
                        </w:rPr>
                        <w:t xml:space="preserve">40/16. </w:t>
                      </w:r>
                      <w:r w:rsidRPr="005D60C5">
                        <w:rPr>
                          <w:rFonts w:ascii="Cambria" w:hAnsi="Cambria"/>
                          <w:color w:val="595959"/>
                          <w:sz w:val="18"/>
                          <w:szCs w:val="18"/>
                          <w:lang w:val="es-ES_tradnl"/>
                        </w:rPr>
                        <w:t xml:space="preserve">Petición </w:t>
                      </w:r>
                      <w:r w:rsidR="004376C0">
                        <w:rPr>
                          <w:rFonts w:ascii="Cambria" w:hAnsi="Cambria"/>
                          <w:color w:val="595959"/>
                          <w:sz w:val="18"/>
                          <w:szCs w:val="18"/>
                          <w:lang w:val="es-ES_tradnl"/>
                        </w:rPr>
                        <w:t>468-02. Admisibilidad. Gadala María Dada y Otros. República Dominicana</w:t>
                      </w:r>
                      <w:r w:rsidRPr="005D60C5">
                        <w:rPr>
                          <w:rFonts w:ascii="Cambria" w:hAnsi="Cambria"/>
                          <w:color w:val="595959"/>
                          <w:sz w:val="18"/>
                          <w:szCs w:val="18"/>
                          <w:lang w:val="es-ES_tradnl"/>
                        </w:rPr>
                        <w:t xml:space="preserve">. </w:t>
                      </w:r>
                      <w:r w:rsidR="004376C0">
                        <w:rPr>
                          <w:rFonts w:ascii="Cambria" w:hAnsi="Cambria"/>
                          <w:color w:val="595959"/>
                          <w:sz w:val="18"/>
                          <w:szCs w:val="18"/>
                          <w:lang w:val="es-ES_tradnl"/>
                        </w:rPr>
                        <w:t>4 de septiembre de 2016</w:t>
                      </w:r>
                      <w:r w:rsidRPr="005D60C5">
                        <w:rPr>
                          <w:rFonts w:ascii="Cambria" w:hAnsi="Cambria"/>
                          <w:color w:val="595959"/>
                          <w:sz w:val="18"/>
                          <w:szCs w:val="18"/>
                          <w:lang w:val="es-ES"/>
                        </w:rPr>
                        <w:t>.</w:t>
                      </w:r>
                    </w:p>
                  </w:txbxContent>
                </v:textbox>
              </v:shape>
            </w:pict>
          </mc:Fallback>
        </mc:AlternateContent>
      </w:r>
    </w:p>
    <w:p w:rsidR="00F60169" w:rsidRPr="00FB2D79" w:rsidRDefault="00F6016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60169" w:rsidRPr="00FB2D79" w:rsidRDefault="00E74B27"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sidRPr="00FB2D79">
        <w:rPr>
          <w:noProof/>
        </w:rPr>
        <mc:AlternateContent>
          <mc:Choice Requires="wps">
            <w:drawing>
              <wp:anchor distT="0" distB="0" distL="114300" distR="114300" simplePos="0" relativeHeight="251660288" behindDoc="0" locked="0" layoutInCell="1" allowOverlap="1" wp14:anchorId="3BF7D2E2" wp14:editId="2D620E3B">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0169" w:rsidRPr="005D60C5" w:rsidRDefault="00E74B27"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0AF22420" wp14:editId="0660A53D">
                                  <wp:extent cx="1325880" cy="350520"/>
                                  <wp:effectExtent l="0" t="0" r="762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350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F60169" w:rsidRPr="005D60C5" w:rsidRDefault="00E74B27"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14:anchorId="0AF22420" wp14:editId="0660A53D">
                            <wp:extent cx="1325880" cy="350520"/>
                            <wp:effectExtent l="0" t="0" r="762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350520"/>
                                    </a:xfrm>
                                    <a:prstGeom prst="rect">
                                      <a:avLst/>
                                    </a:prstGeom>
                                    <a:noFill/>
                                    <a:ln>
                                      <a:noFill/>
                                    </a:ln>
                                  </pic:spPr>
                                </pic:pic>
                              </a:graphicData>
                            </a:graphic>
                          </wp:inline>
                        </w:drawing>
                      </w:r>
                    </w:p>
                  </w:txbxContent>
                </v:textbox>
              </v:shape>
            </w:pict>
          </mc:Fallback>
        </mc:AlternateContent>
      </w:r>
      <w:r w:rsidRPr="00FB2D79">
        <w:rPr>
          <w:noProof/>
        </w:rPr>
        <mc:AlternateContent>
          <mc:Choice Requires="wps">
            <w:drawing>
              <wp:anchor distT="0" distB="0" distL="114300" distR="114300" simplePos="0" relativeHeight="251661312" behindDoc="0" locked="0" layoutInCell="1" allowOverlap="1" wp14:anchorId="25C8B704" wp14:editId="2021D62B">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169" w:rsidRPr="005D60C5" w:rsidRDefault="00F60169"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5D60C5">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F60169" w:rsidRPr="005D60C5" w:rsidRDefault="00F60169"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5D60C5">
                        <w:rPr>
                          <w:rFonts w:ascii="Calibri" w:hAnsi="Calibri"/>
                          <w:b/>
                          <w:color w:val="FFFFFF"/>
                          <w:lang w:val="pt-BR"/>
                        </w:rPr>
                        <w:t>www.cidh.org</w:t>
                      </w:r>
                    </w:p>
                  </w:txbxContent>
                </v:textbox>
              </v:shape>
            </w:pict>
          </mc:Fallback>
        </mc:AlternateContent>
      </w:r>
    </w:p>
    <w:p w:rsidR="00F60169" w:rsidRPr="00FB2D79" w:rsidRDefault="00F60169"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F60169" w:rsidRPr="00FB2D7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p>
    <w:p w:rsidR="00F60169" w:rsidRPr="00FB2D79" w:rsidRDefault="004376C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
        </w:rPr>
      </w:pPr>
      <w:r>
        <w:rPr>
          <w:rFonts w:ascii="Cambria" w:hAnsi="Cambria"/>
          <w:b/>
          <w:sz w:val="18"/>
          <w:szCs w:val="20"/>
          <w:lang w:val="es-ES"/>
        </w:rPr>
        <w:lastRenderedPageBreak/>
        <w:t xml:space="preserve">INFORME No. </w:t>
      </w:r>
      <w:r w:rsidR="00764287">
        <w:rPr>
          <w:rFonts w:ascii="Cambria" w:hAnsi="Cambria"/>
          <w:b/>
          <w:sz w:val="18"/>
          <w:szCs w:val="20"/>
          <w:lang w:val="es-ES"/>
        </w:rPr>
        <w:t>40</w:t>
      </w:r>
      <w:r w:rsidR="00F60169" w:rsidRPr="00FB2D79">
        <w:rPr>
          <w:rFonts w:ascii="Cambria" w:hAnsi="Cambria"/>
          <w:b/>
          <w:sz w:val="18"/>
          <w:szCs w:val="20"/>
          <w:lang w:val="es-ES"/>
        </w:rPr>
        <w:t>/1</w:t>
      </w:r>
      <w:r w:rsidR="00C97909" w:rsidRPr="00FB2D79">
        <w:rPr>
          <w:rFonts w:ascii="Cambria" w:hAnsi="Cambria"/>
          <w:b/>
          <w:sz w:val="18"/>
          <w:szCs w:val="20"/>
          <w:lang w:val="es-ES"/>
        </w:rPr>
        <w:t>6</w:t>
      </w:r>
    </w:p>
    <w:p w:rsidR="00F60169" w:rsidRPr="00FB2D79" w:rsidRDefault="00F60169"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lang w:val="es-ES"/>
        </w:rPr>
      </w:pPr>
      <w:r w:rsidRPr="00FB2D79">
        <w:rPr>
          <w:rFonts w:ascii="Cambria" w:hAnsi="Cambria"/>
          <w:b/>
          <w:sz w:val="18"/>
          <w:szCs w:val="20"/>
          <w:lang w:val="es-ES"/>
        </w:rPr>
        <w:t>PETICIÓN P-468-02</w:t>
      </w:r>
    </w:p>
    <w:p w:rsidR="00F60169" w:rsidRPr="00FB2D79" w:rsidRDefault="00F60169"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sidRPr="00FB2D79">
        <w:rPr>
          <w:rFonts w:ascii="Cambria" w:hAnsi="Cambria"/>
          <w:sz w:val="18"/>
          <w:szCs w:val="20"/>
          <w:lang w:val="es-ES"/>
        </w:rPr>
        <w:t>INFORME DE ADMISIBILIDAD</w:t>
      </w:r>
    </w:p>
    <w:p w:rsidR="00F60169" w:rsidRPr="00FB2D79" w:rsidRDefault="00F60169"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sidRPr="00FB2D79">
        <w:rPr>
          <w:rFonts w:ascii="Cambria" w:hAnsi="Cambria"/>
          <w:sz w:val="18"/>
          <w:szCs w:val="20"/>
          <w:lang w:val="es-ES"/>
        </w:rPr>
        <w:t>GADALA MARÍA DADA Y OTROS</w:t>
      </w:r>
    </w:p>
    <w:p w:rsidR="00F60169" w:rsidRPr="00FB2D79" w:rsidRDefault="00F60169"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sidRPr="00FB2D79">
        <w:rPr>
          <w:rFonts w:ascii="Cambria" w:hAnsi="Cambria"/>
          <w:sz w:val="18"/>
          <w:szCs w:val="20"/>
          <w:lang w:val="es-ES"/>
        </w:rPr>
        <w:t>REPÚBLICA DOMINICANA</w:t>
      </w:r>
    </w:p>
    <w:p w:rsidR="00F60169" w:rsidRPr="00A258C7" w:rsidRDefault="004376C0"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r>
        <w:rPr>
          <w:rFonts w:ascii="Cambria" w:hAnsi="Cambria"/>
          <w:sz w:val="18"/>
          <w:szCs w:val="20"/>
          <w:lang w:val="es-ES"/>
        </w:rPr>
        <w:t>4 DE SEPTIEMBRE DE</w:t>
      </w:r>
      <w:r w:rsidR="00A258C7" w:rsidRPr="00A258C7">
        <w:rPr>
          <w:rFonts w:ascii="Cambria" w:hAnsi="Cambria"/>
          <w:sz w:val="18"/>
          <w:szCs w:val="20"/>
          <w:lang w:val="es-ES"/>
        </w:rPr>
        <w:t xml:space="preserve"> 2016</w:t>
      </w:r>
    </w:p>
    <w:p w:rsidR="00F60169" w:rsidRDefault="00F60169"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p>
    <w:p w:rsidR="00FB2D79" w:rsidRPr="00FB2D79" w:rsidRDefault="00FB2D79" w:rsidP="00722C9F">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lang w:val="es-ES"/>
        </w:rPr>
      </w:pP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I.</w:t>
      </w:r>
      <w:r w:rsidRPr="00FB2D79">
        <w:rPr>
          <w:rFonts w:ascii="Cambria" w:hAnsi="Cambria"/>
          <w:b/>
          <w:bCs/>
          <w:sz w:val="20"/>
          <w:szCs w:val="20"/>
          <w:lang w:val="es-ES"/>
        </w:rPr>
        <w:tab/>
        <w:t>RESUMEN</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El 17 de junio de 2002 la Comisión Interamericana de Derechos Humanos (en adelante, “la Comisión Interamericana”, “la Comisión” o “la CIDH”) recibió una petición presentada por Juan Miguel Castillo Pantaleón (en adelante, “el peticionario”) contra República Dominicana (en adelante, “República Dominicana” o “el Estado”). La petición fue presentada en representación de Arturo Elías Gadala María Dada, Mauricio Roberto Gadala María Dada, Ricardo Gadala María Dada, Eduardo Gadala María Dada y Carolina Alicia Gadala María Dada (en adelante, “las presuntas víctimas”)</w:t>
      </w:r>
      <w:r w:rsidR="00B519D4" w:rsidRPr="00FB2D79">
        <w:rPr>
          <w:rStyle w:val="FootnoteReference"/>
          <w:rFonts w:ascii="Cambria" w:hAnsi="Cambria"/>
          <w:sz w:val="20"/>
          <w:szCs w:val="20"/>
          <w:lang w:val="es-ES"/>
        </w:rPr>
        <w:footnoteReference w:id="2"/>
      </w:r>
      <w:r w:rsidRPr="00FB2D79">
        <w:rPr>
          <w:rFonts w:ascii="Cambria" w:hAnsi="Cambria"/>
          <w:sz w:val="20"/>
          <w:szCs w:val="20"/>
          <w:lang w:val="es-ES"/>
        </w:rPr>
        <w:t xml:space="preserve">, quienes denuncian la responsabilidad internacional del Estado por violaciones a su derecho a la propiedad privada por la inejecución de una sentencia emitida por la </w:t>
      </w:r>
      <w:r w:rsidRPr="00FB2D79">
        <w:rPr>
          <w:rFonts w:ascii="Cambria" w:hAnsi="Cambria" w:cs="Arial"/>
          <w:sz w:val="20"/>
          <w:szCs w:val="20"/>
          <w:lang w:val="es-ES"/>
        </w:rPr>
        <w:t xml:space="preserve">Corte de Apelación de Santiago y confirmada por </w:t>
      </w:r>
      <w:r w:rsidRPr="00FB2D79">
        <w:rPr>
          <w:rFonts w:ascii="Cambria" w:hAnsi="Cambria"/>
          <w:sz w:val="20"/>
          <w:szCs w:val="20"/>
          <w:lang w:val="es-ES"/>
        </w:rPr>
        <w:t>la Suprema Corte de Justicia; así como el retardo injustificado en otros procesos judiciales.</w:t>
      </w:r>
    </w:p>
    <w:p w:rsidR="00F60169" w:rsidRPr="00FB2D79" w:rsidRDefault="00F60169" w:rsidP="00CF41B5">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eastAsia="SimSun" w:hAnsi="Cambria"/>
          <w:sz w:val="20"/>
          <w:szCs w:val="20"/>
          <w:lang w:val="es-ES"/>
        </w:rPr>
        <w:t xml:space="preserve">El peticionario sostiene que el Estado se ha negado a ejecutar una sentencia </w:t>
      </w:r>
      <w:r w:rsidRPr="00FB2D79">
        <w:rPr>
          <w:rFonts w:ascii="Cambria" w:hAnsi="Cambria"/>
          <w:sz w:val="20"/>
          <w:szCs w:val="20"/>
          <w:lang w:val="es-ES"/>
        </w:rPr>
        <w:t xml:space="preserve">emitida por la </w:t>
      </w:r>
      <w:r w:rsidRPr="00FB2D79">
        <w:rPr>
          <w:rFonts w:ascii="Cambria" w:hAnsi="Cambria" w:cs="Arial"/>
          <w:sz w:val="20"/>
          <w:szCs w:val="20"/>
          <w:lang w:val="es-ES"/>
        </w:rPr>
        <w:t>Corte de Apelación de Santiago y confirmada por la</w:t>
      </w:r>
      <w:r w:rsidRPr="00FB2D79">
        <w:rPr>
          <w:rFonts w:ascii="Cambria" w:hAnsi="Cambria"/>
          <w:sz w:val="20"/>
          <w:szCs w:val="20"/>
          <w:lang w:val="es-ES"/>
        </w:rPr>
        <w:t xml:space="preserve"> Suprema Corte de Justicia de República Dominica</w:t>
      </w:r>
      <w:r w:rsidRPr="00FB2D79">
        <w:rPr>
          <w:rFonts w:ascii="Cambria" w:eastAsia="SimSun" w:hAnsi="Cambria"/>
          <w:sz w:val="20"/>
          <w:szCs w:val="20"/>
          <w:lang w:val="es-ES"/>
        </w:rPr>
        <w:t xml:space="preserve">, en la que se ordenó la devolución de bienes expropiados y confiscados a las presuntas víctimas al terminar la dictadura de Rafael L. Trujillo, </w:t>
      </w:r>
      <w:r w:rsidRPr="00FB2D79">
        <w:rPr>
          <w:rFonts w:ascii="Cambria" w:hAnsi="Cambria"/>
          <w:sz w:val="20"/>
          <w:szCs w:val="20"/>
          <w:lang w:val="es-ES"/>
        </w:rPr>
        <w:t xml:space="preserve">violentando así sus derechos a la propiedad privada y a la protección judicial. </w:t>
      </w:r>
      <w:r w:rsidR="00CF41B5" w:rsidRPr="00FB2D79">
        <w:rPr>
          <w:rFonts w:ascii="Cambria" w:hAnsi="Cambria"/>
          <w:sz w:val="20"/>
          <w:szCs w:val="20"/>
          <w:lang w:val="es-ES"/>
        </w:rPr>
        <w:t xml:space="preserve">Alega que la negación, no obstante múltiples recursos e intentos por parte de la familia, constituye una denegación continuada de justicia que sigue en el tiempo. </w:t>
      </w:r>
      <w:r w:rsidRPr="00FB2D79">
        <w:rPr>
          <w:rFonts w:ascii="Cambria" w:eastAsia="SimSun" w:hAnsi="Cambria"/>
          <w:sz w:val="20"/>
          <w:szCs w:val="20"/>
          <w:lang w:val="es-ES"/>
        </w:rPr>
        <w:t xml:space="preserve">Al momento de la redacción del presente informe el </w:t>
      </w:r>
      <w:r w:rsidRPr="00FB2D79">
        <w:rPr>
          <w:rFonts w:ascii="Cambria" w:hAnsi="Cambria"/>
          <w:sz w:val="20"/>
          <w:szCs w:val="20"/>
          <w:lang w:val="es-ES"/>
        </w:rPr>
        <w:t>Estado</w:t>
      </w:r>
      <w:r w:rsidRPr="00FB2D79">
        <w:rPr>
          <w:rFonts w:ascii="Cambria" w:eastAsia="SimSun" w:hAnsi="Cambria"/>
          <w:sz w:val="20"/>
          <w:szCs w:val="20"/>
          <w:lang w:val="es-ES"/>
        </w:rPr>
        <w:t xml:space="preserve"> no ha presentado sus observaciones.</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 xml:space="preserve">Sin prejuzgar sobre el fondo de la denuncia, tras analizar la posición del peticionario </w:t>
      </w:r>
      <w:r w:rsidRPr="00FB2D79">
        <w:rPr>
          <w:rFonts w:ascii="Cambria" w:eastAsia="SimSun" w:hAnsi="Cambria"/>
          <w:sz w:val="20"/>
          <w:szCs w:val="20"/>
          <w:lang w:val="es-ES"/>
        </w:rPr>
        <w:t>y de conformidad con los requisitos establecidos en los artículo 46 y 47 de la Convención Americana sobre Derechos Humanos  (en adelante “la Convención Americana” o “la Convención”) y los artículos 31 a 34 de su Reglamento (en adelante “Reglamento”)</w:t>
      </w:r>
      <w:r w:rsidRPr="00FB2D79">
        <w:rPr>
          <w:rFonts w:ascii="Cambria" w:hAnsi="Cambria"/>
          <w:sz w:val="20"/>
          <w:szCs w:val="20"/>
          <w:lang w:val="es-ES"/>
        </w:rPr>
        <w:t>, la Comisión decide declarar la petición admisible a efectos del examen de los alegatos relativos a la presunta violación de los derechos consagrados en los artículos 8 (garantías judiciales)</w:t>
      </w:r>
      <w:r w:rsidR="00C64B5F" w:rsidRPr="00FB2D79">
        <w:rPr>
          <w:rFonts w:ascii="Cambria" w:hAnsi="Cambria"/>
          <w:sz w:val="20"/>
          <w:szCs w:val="20"/>
          <w:lang w:val="es-ES"/>
        </w:rPr>
        <w:t>, 21 (</w:t>
      </w:r>
      <w:r w:rsidR="00E21B5D" w:rsidRPr="00FB2D79">
        <w:rPr>
          <w:rFonts w:ascii="Cambria" w:hAnsi="Cambria"/>
          <w:sz w:val="20"/>
          <w:szCs w:val="20"/>
          <w:lang w:val="es-ES"/>
        </w:rPr>
        <w:t xml:space="preserve">derecho a la </w:t>
      </w:r>
      <w:r w:rsidR="00C64B5F" w:rsidRPr="00FB2D79">
        <w:rPr>
          <w:rFonts w:ascii="Cambria" w:hAnsi="Cambria"/>
          <w:sz w:val="20"/>
          <w:szCs w:val="20"/>
          <w:lang w:val="es-ES"/>
        </w:rPr>
        <w:t>propiedad</w:t>
      </w:r>
      <w:r w:rsidR="00E21B5D" w:rsidRPr="00FB2D79">
        <w:rPr>
          <w:rFonts w:ascii="Cambria" w:hAnsi="Cambria"/>
          <w:sz w:val="20"/>
          <w:szCs w:val="20"/>
          <w:lang w:val="es-ES"/>
        </w:rPr>
        <w:t xml:space="preserve"> privada</w:t>
      </w:r>
      <w:r w:rsidR="00C64B5F" w:rsidRPr="00FB2D79">
        <w:rPr>
          <w:rFonts w:ascii="Cambria" w:hAnsi="Cambria"/>
          <w:sz w:val="20"/>
          <w:szCs w:val="20"/>
          <w:lang w:val="es-ES"/>
        </w:rPr>
        <w:t>)</w:t>
      </w:r>
      <w:r w:rsidRPr="00FB2D79">
        <w:rPr>
          <w:rFonts w:ascii="Cambria" w:hAnsi="Cambria"/>
          <w:sz w:val="20"/>
          <w:szCs w:val="20"/>
          <w:lang w:val="es-ES"/>
        </w:rPr>
        <w:t xml:space="preserve"> y 25 (protección judicial) de la Convención Americana, en conexión con el artículo 1 de la misma. Así como en relación con los artículos XXIII (derecho a la propiedad) y XVIII (derecho de justicia) </w:t>
      </w:r>
      <w:r w:rsidRPr="00FB2D79">
        <w:rPr>
          <w:rFonts w:ascii="Cambria" w:hAnsi="Cambria"/>
          <w:sz w:val="20"/>
          <w:szCs w:val="20"/>
          <w:lang w:val="es-ES_tradnl"/>
        </w:rPr>
        <w:t>de la Declaración Americana de los Derechos y Deberes del Hombre</w:t>
      </w:r>
      <w:r w:rsidRPr="00FB2D79">
        <w:rPr>
          <w:rFonts w:ascii="Cambria" w:hAnsi="Cambria"/>
          <w:sz w:val="20"/>
          <w:szCs w:val="20"/>
          <w:lang w:val="es-ES"/>
        </w:rPr>
        <w:t xml:space="preserve"> (en adelante “la Declaración Americana”). La CIDH decide además notificar esta decisión a las partes, publicarla e incluirla en su Informe Anual para la Asamblea General de la O</w:t>
      </w:r>
      <w:r w:rsidR="00942C4D" w:rsidRPr="00FB2D79">
        <w:rPr>
          <w:rFonts w:ascii="Cambria" w:hAnsi="Cambria"/>
          <w:sz w:val="20"/>
          <w:szCs w:val="20"/>
          <w:lang w:val="es-ES"/>
        </w:rPr>
        <w:t xml:space="preserve">rganización de </w:t>
      </w:r>
      <w:r w:rsidRPr="00FB2D79">
        <w:rPr>
          <w:rFonts w:ascii="Cambria" w:hAnsi="Cambria"/>
          <w:sz w:val="20"/>
          <w:szCs w:val="20"/>
          <w:lang w:val="es-ES"/>
        </w:rPr>
        <w:t>E</w:t>
      </w:r>
      <w:r w:rsidR="00942C4D" w:rsidRPr="00FB2D79">
        <w:rPr>
          <w:rFonts w:ascii="Cambria" w:hAnsi="Cambria"/>
          <w:sz w:val="20"/>
          <w:szCs w:val="20"/>
          <w:lang w:val="es-ES"/>
        </w:rPr>
        <w:t xml:space="preserve">stados </w:t>
      </w:r>
      <w:r w:rsidRPr="00FB2D79">
        <w:rPr>
          <w:rFonts w:ascii="Cambria" w:hAnsi="Cambria"/>
          <w:sz w:val="20"/>
          <w:szCs w:val="20"/>
          <w:lang w:val="es-ES"/>
        </w:rPr>
        <w:t>A</w:t>
      </w:r>
      <w:r w:rsidR="00942C4D" w:rsidRPr="00FB2D79">
        <w:rPr>
          <w:rFonts w:ascii="Cambria" w:hAnsi="Cambria"/>
          <w:sz w:val="20"/>
          <w:szCs w:val="20"/>
          <w:lang w:val="es-ES"/>
        </w:rPr>
        <w:t>mericanos</w:t>
      </w:r>
      <w:r w:rsidRPr="00FB2D79">
        <w:rPr>
          <w:rFonts w:ascii="Cambria" w:hAnsi="Cambria"/>
          <w:sz w:val="20"/>
          <w:szCs w:val="20"/>
          <w:lang w:val="es-ES"/>
        </w:rPr>
        <w:t xml:space="preserve">. </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II.</w:t>
      </w:r>
      <w:r w:rsidRPr="00FB2D79">
        <w:rPr>
          <w:rFonts w:ascii="Cambria" w:hAnsi="Cambria"/>
          <w:b/>
          <w:bCs/>
          <w:sz w:val="20"/>
          <w:szCs w:val="20"/>
          <w:lang w:val="es-ES"/>
        </w:rPr>
        <w:tab/>
        <w:t>TRÁMITE ANTE LA CIDH</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La CIDH recibió la petición el 17 de junio de 2002. Tras haber completado el estudio previsto en el artículo 26 del Reglamento, el 31 de julio de 2002, la Secretaría Ejecutiva de la CIDH se dirigió al peticionario para informarle que de acuerdo con la información disponible no era posible dar trámite a la petición, debido que la misma no cumplía con el requisito de admisibilidad relativo al plazo de presentación establecido en el artículo 46.1.b de la Convención.</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 xml:space="preserve">El 19 de noviembre de 2002 la CIDH recibió un escrito en el que el peticionario presentó información adicional. Tras analizarse los nuevos elementos presentados, el 18 de noviembre de 2013 la CIDH transmitió al Estado las partes pertinentes de la petición, otorgándole un plazo de tres meses para </w:t>
      </w:r>
      <w:r w:rsidRPr="00FB2D79">
        <w:rPr>
          <w:rFonts w:ascii="Cambria" w:hAnsi="Cambria"/>
          <w:sz w:val="20"/>
          <w:szCs w:val="20"/>
          <w:lang w:val="es-ES"/>
        </w:rPr>
        <w:lastRenderedPageBreak/>
        <w:t xml:space="preserve">someter sus observaciones, con base en el artículo 30.3 de su Reglamento. El 14 de noviembre de 2014 la CIDH reiteró la solicitud de información al Estado. Sin embargo, a la fecha de adopción del presente informe el Estado no ha presentado observaciones. </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eastAsia="SimSun" w:hAnsi="Cambria"/>
          <w:sz w:val="20"/>
          <w:szCs w:val="20"/>
          <w:lang w:val="es-ES"/>
        </w:rPr>
        <w:t>El peticionario</w:t>
      </w:r>
      <w:r w:rsidRPr="00FB2D79">
        <w:rPr>
          <w:rFonts w:ascii="Cambria" w:hAnsi="Cambria"/>
          <w:sz w:val="20"/>
          <w:szCs w:val="20"/>
          <w:lang w:val="es-ES"/>
        </w:rPr>
        <w:t xml:space="preserve"> presentó observaciones adicionales en las siguientes fechas: 22 de septiembre de 2014, 28 de febrero de 2014 y 13 de febrero de 2015. E</w:t>
      </w:r>
      <w:r w:rsidRPr="00FB2D79">
        <w:rPr>
          <w:rFonts w:ascii="Cambria" w:hAnsi="Cambria"/>
          <w:bCs/>
          <w:sz w:val="20"/>
          <w:szCs w:val="20"/>
          <w:lang w:val="es-ES"/>
        </w:rPr>
        <w:t>stas comunicaciones fueron debidamente trasladadas al Estado.</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III.</w:t>
      </w:r>
      <w:r w:rsidRPr="00FB2D79">
        <w:rPr>
          <w:rFonts w:ascii="Cambria" w:hAnsi="Cambria"/>
          <w:b/>
          <w:bCs/>
          <w:sz w:val="20"/>
          <w:szCs w:val="20"/>
          <w:lang w:val="es-ES"/>
        </w:rPr>
        <w:tab/>
        <w:t>POSICIÓN DE LAS PARTES</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b/>
          <w:bCs/>
          <w:sz w:val="20"/>
          <w:szCs w:val="20"/>
          <w:lang w:val="es-ES"/>
        </w:rPr>
      </w:pPr>
      <w:r w:rsidRPr="00FB2D79">
        <w:rPr>
          <w:rFonts w:ascii="Cambria" w:hAnsi="Cambria"/>
          <w:b/>
          <w:bCs/>
          <w:sz w:val="20"/>
          <w:szCs w:val="20"/>
          <w:lang w:val="es-ES"/>
        </w:rPr>
        <w:t>A.</w:t>
      </w:r>
      <w:r w:rsidRPr="00FB2D79">
        <w:rPr>
          <w:rFonts w:ascii="Cambria" w:hAnsi="Cambria"/>
          <w:b/>
          <w:bCs/>
          <w:sz w:val="20"/>
          <w:szCs w:val="20"/>
          <w:lang w:val="es-ES"/>
        </w:rPr>
        <w:tab/>
        <w:t>Posición del peticionario</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El peticionario refiere que en 1953 llegó a República Dominicana el inversionista salvadoreño Arturo Elías Gadala María Dada, quien entre 1957 y 1960 fue designado encargado de negocios de Costa Rica en República Dominica. Indica que, durante su residencia en este país adquirió de forma legal la mayoría de las acciones de las empresas “Indu</w:t>
      </w:r>
      <w:r w:rsidR="00E74B27" w:rsidRPr="00FB2D79">
        <w:rPr>
          <w:rFonts w:ascii="Cambria" w:hAnsi="Cambria" w:cs="Arial"/>
          <w:sz w:val="20"/>
          <w:szCs w:val="20"/>
          <w:lang w:val="es-ES"/>
        </w:rPr>
        <w:t>stria Nacional del Vidrio” y “Fá</w:t>
      </w:r>
      <w:r w:rsidRPr="00FB2D79">
        <w:rPr>
          <w:rFonts w:ascii="Cambria" w:hAnsi="Cambria" w:cs="Arial"/>
          <w:sz w:val="20"/>
          <w:szCs w:val="20"/>
          <w:lang w:val="es-ES"/>
        </w:rPr>
        <w:t>brica de Sacos y Cordelerías (Fasaco), además fundó “Sacos y Tejidos Dominicanos” (hoy Tejidos Antillanos), “Sal y Yeso Dominicanos”, “Fábricas de Aceite Ámbar”, “Refinería de Sal”, “Consorcio Algodonero Dominicano” y “Sisal Dominicano”.</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El peticionario manifiesta que después del asesinato del dictador Rafael L. Trujillo, el 30 mayo de 1961, el nuevo presidente de la República Joaquín Balaguer L. emitió el 25 de julio de 1961 el decreto No. 6957, mediante el cual expropió en perjuicio de Elías Gadala María las empresas “Sal y Yeso Dominicanos” y “Sisal Dominicano”.</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El 15 de febrero de 1962 se promulgó la ley No. 5816, en la que se tipificó el delito de enriquecimiento ilícito como el abuso o usurpación del poder o cualquier función pública para enriquecerse o enriquecer a otros. Esta norma estableció además que los bienes adquiridos al amparo de la dictadura serían confiscados, y  en el supuesto de demostrarse que los bienes no habían sido adquiridos a expensas del pueblo y el Estado, serían devueltos. El peticionario manifiesta que a través de esta ley fueron confiscados los bienes restantes de Elías Gadala.</w:t>
      </w:r>
    </w:p>
    <w:p w:rsidR="00F60169" w:rsidRPr="00FB2D79" w:rsidRDefault="00942C4D" w:rsidP="008645D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Segú</w:t>
      </w:r>
      <w:r w:rsidR="001361DA">
        <w:rPr>
          <w:rFonts w:ascii="Cambria" w:hAnsi="Cambria" w:cs="Arial"/>
          <w:sz w:val="20"/>
          <w:szCs w:val="20"/>
          <w:lang w:val="es-ES"/>
        </w:rPr>
        <w:t>n</w:t>
      </w:r>
      <w:r w:rsidRPr="00FB2D79">
        <w:rPr>
          <w:rFonts w:ascii="Cambria" w:hAnsi="Cambria" w:cs="Arial"/>
          <w:sz w:val="20"/>
          <w:szCs w:val="20"/>
          <w:lang w:val="es-ES"/>
        </w:rPr>
        <w:t xml:space="preserve"> la petición, e</w:t>
      </w:r>
      <w:r w:rsidR="00F60169" w:rsidRPr="00FB2D79">
        <w:rPr>
          <w:rFonts w:ascii="Cambria" w:hAnsi="Cambria" w:cs="Arial"/>
          <w:sz w:val="20"/>
          <w:szCs w:val="20"/>
          <w:lang w:val="es-ES"/>
        </w:rPr>
        <w:t xml:space="preserve">l 26 de mayo de 1962 se promulgó la ley No. 5924 (Confiscación General de Bienes), en la que se estableció un Tribunal de Confiscaciones competente para determinar la legalidad de los bienes y la legitimidad de las confiscaciones realizadas por el Estado. </w:t>
      </w:r>
      <w:r w:rsidR="001361DA">
        <w:rPr>
          <w:rFonts w:ascii="Cambria" w:hAnsi="Cambria" w:cs="Arial"/>
          <w:sz w:val="20"/>
          <w:szCs w:val="20"/>
          <w:lang w:val="es-ES"/>
        </w:rPr>
        <w:t>A este respecto</w:t>
      </w:r>
      <w:r w:rsidR="00F60169" w:rsidRPr="00FB2D79">
        <w:rPr>
          <w:rFonts w:ascii="Cambria" w:hAnsi="Cambria" w:cs="Arial"/>
          <w:sz w:val="20"/>
          <w:szCs w:val="20"/>
          <w:lang w:val="es-ES"/>
        </w:rPr>
        <w:t>, el peticionario manifiesta que Elías Gadala acudió ante dicho tribunal con la finalidad de establecer su inocencia y que en consecuencia se le devolvieran  sus bienes expropiados y confiscados.</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El 30 de junio de 1966 se promulgó la ley No. 289 (Ley Orgánica de la Corporación  Dominica de Empresas Estatales), mediante la cual se creó la Corporación Dominica</w:t>
      </w:r>
      <w:r w:rsidR="000B5AEA" w:rsidRPr="00FB2D79">
        <w:rPr>
          <w:rFonts w:ascii="Cambria" w:hAnsi="Cambria" w:cs="Arial"/>
          <w:sz w:val="20"/>
          <w:szCs w:val="20"/>
          <w:lang w:val="es-ES"/>
        </w:rPr>
        <w:t>na</w:t>
      </w:r>
      <w:r w:rsidRPr="00FB2D79">
        <w:rPr>
          <w:rFonts w:ascii="Cambria" w:hAnsi="Cambria" w:cs="Arial"/>
          <w:sz w:val="20"/>
          <w:szCs w:val="20"/>
          <w:lang w:val="es-ES"/>
        </w:rPr>
        <w:t xml:space="preserve"> de Empresas Estatales (en adelante “CORDE”), institución de derecho privado destinada a administrar, dirigir y desarrollar las empresas, bienes y derechos cedidos por el Estado. En este sentido, el peticionario afirma que los bienes de Elías Gadala formaron parte importante de lo cedido a CORDE, </w:t>
      </w:r>
      <w:r w:rsidR="00EB089D" w:rsidRPr="00FB2D79">
        <w:rPr>
          <w:rFonts w:ascii="Cambria" w:hAnsi="Cambria" w:cs="Arial"/>
          <w:sz w:val="20"/>
          <w:szCs w:val="20"/>
          <w:lang w:val="es-ES"/>
        </w:rPr>
        <w:t>aun</w:t>
      </w:r>
      <w:r w:rsidRPr="00FB2D79">
        <w:rPr>
          <w:rFonts w:ascii="Cambria" w:hAnsi="Cambria" w:cs="Arial"/>
          <w:sz w:val="20"/>
          <w:szCs w:val="20"/>
          <w:lang w:val="es-ES"/>
        </w:rPr>
        <w:t xml:space="preserve"> cuando estaban siendo objeto de reclamaciones ante el Tribunal de Confiscaciones.</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El 9 julio de 1969 la Corte de Apelación de Santiago emitió la sentencia correccional No. 184, en la que se resolvió que Elías Gadala María no había cometido el delito de enriquecimiento ilícito, y en consecuencia se ordenó al Estado, o a quien fuere a lugar, la devolución de sus bienes. Esta sentencia fue recurrida por el representante del Ministerio Público mediante recurso de casación ante la Suprema Corte de Justicia, mismo que no fue admitido por ser presentado de manera extemporánea, confirmándose así la sentencia correccional, la cual</w:t>
      </w:r>
      <w:r w:rsidR="00C5259F" w:rsidRPr="00FB2D79">
        <w:rPr>
          <w:rFonts w:ascii="Cambria" w:hAnsi="Cambria" w:cs="Arial"/>
          <w:sz w:val="20"/>
          <w:szCs w:val="20"/>
          <w:lang w:val="es-ES"/>
        </w:rPr>
        <w:t>,</w:t>
      </w:r>
      <w:r w:rsidRPr="00FB2D79">
        <w:rPr>
          <w:rFonts w:ascii="Cambria" w:hAnsi="Cambria" w:cs="Arial"/>
          <w:sz w:val="20"/>
          <w:szCs w:val="20"/>
          <w:lang w:val="es-ES"/>
        </w:rPr>
        <w:t xml:space="preserve"> </w:t>
      </w:r>
      <w:r w:rsidR="00C5259F" w:rsidRPr="00FB2D79">
        <w:rPr>
          <w:rFonts w:ascii="Cambria" w:hAnsi="Cambria" w:cs="Arial"/>
          <w:sz w:val="20"/>
          <w:szCs w:val="20"/>
          <w:lang w:val="es-ES"/>
        </w:rPr>
        <w:t xml:space="preserve">según el peticionario, </w:t>
      </w:r>
      <w:r w:rsidRPr="00FB2D79">
        <w:rPr>
          <w:rFonts w:ascii="Cambria" w:hAnsi="Cambria" w:cs="Arial"/>
          <w:sz w:val="20"/>
          <w:szCs w:val="20"/>
          <w:lang w:val="es-ES"/>
        </w:rPr>
        <w:t>adquirió el carácter de cosa juzgada el 15 de abril de 1970.</w:t>
      </w:r>
    </w:p>
    <w:p w:rsidR="00F60169" w:rsidRPr="00FB2D79" w:rsidRDefault="00F60169" w:rsidP="00793A17">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 xml:space="preserve">El peticionario refiere que el 20 de enero de 1989 falleció Arturo Elías Gadala María Dada, dejando como únicos herederos y continuadores jurídicos a sus hijos </w:t>
      </w:r>
      <w:r w:rsidRPr="00FB2D79">
        <w:rPr>
          <w:rFonts w:ascii="Cambria" w:hAnsi="Cambria"/>
          <w:sz w:val="20"/>
          <w:szCs w:val="20"/>
          <w:lang w:val="es-ES"/>
        </w:rPr>
        <w:t xml:space="preserve">Arturo Elías Gadala María Dada, </w:t>
      </w:r>
      <w:r w:rsidRPr="00FB2D79">
        <w:rPr>
          <w:rFonts w:ascii="Cambria" w:hAnsi="Cambria"/>
          <w:sz w:val="20"/>
          <w:szCs w:val="20"/>
          <w:lang w:val="es-ES"/>
        </w:rPr>
        <w:lastRenderedPageBreak/>
        <w:t>Mauricio Roberto Gadala María Dada, Ricardo Gadala María Dada, Eduardo Gadala María Dada y Carolina Alicia Gadala María Dada, mismos que en el presente informe se constituyen como presuntas víctimas.</w:t>
      </w:r>
    </w:p>
    <w:p w:rsidR="00F60169" w:rsidRPr="00FB2D79" w:rsidRDefault="00F60169" w:rsidP="00B3493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 xml:space="preserve">El peticionario afirma que ninguna autoridad ha ejecutado el mandamiento emitido en sentencia correccional No. 184, donde se ordenó la devolución de todos los bienes de las presuntas víctimas. Indica que a lo largo de los años éstas han acudido a todas las instancias y autoridades públicas que en razón de sus funciones pudieran tener vinculación con el caso. Por ejemplo: mediante acto de alguacil del 27 de junio de 1980 la Corte de Apelación de Santiago ordenó el acatamiento y ejecución de sentencia al Director General de CORDE, </w:t>
      </w:r>
      <w:r w:rsidR="00EF2B70" w:rsidRPr="00FB2D79">
        <w:rPr>
          <w:rFonts w:ascii="Cambria" w:hAnsi="Cambria" w:cs="Arial"/>
          <w:sz w:val="20"/>
          <w:szCs w:val="20"/>
          <w:lang w:val="es-ES"/>
        </w:rPr>
        <w:t xml:space="preserve">al </w:t>
      </w:r>
      <w:r w:rsidRPr="00FB2D79">
        <w:rPr>
          <w:rFonts w:ascii="Cambria" w:hAnsi="Cambria" w:cs="Arial"/>
          <w:sz w:val="20"/>
          <w:szCs w:val="20"/>
          <w:lang w:val="es-ES"/>
        </w:rPr>
        <w:t xml:space="preserve">Consejo Administrativo de la “Fabrica de Sacos y Tejidos”, </w:t>
      </w:r>
      <w:r w:rsidR="00EF2B70" w:rsidRPr="00FB2D79">
        <w:rPr>
          <w:rFonts w:ascii="Cambria" w:hAnsi="Cambria" w:cs="Arial"/>
          <w:sz w:val="20"/>
          <w:szCs w:val="20"/>
          <w:lang w:val="es-ES"/>
        </w:rPr>
        <w:t xml:space="preserve">al </w:t>
      </w:r>
      <w:r w:rsidRPr="00FB2D79">
        <w:rPr>
          <w:rFonts w:ascii="Cambria" w:hAnsi="Cambria" w:cs="Arial"/>
          <w:sz w:val="20"/>
          <w:szCs w:val="20"/>
          <w:lang w:val="es-ES"/>
        </w:rPr>
        <w:t>Consejo Administración de “Fábrica de Aceites de Vegetales” y al “Instituto del Algodón”. Asimismo</w:t>
      </w:r>
      <w:r w:rsidR="00EF2B70" w:rsidRPr="00FB2D79">
        <w:rPr>
          <w:rFonts w:ascii="Cambria" w:hAnsi="Cambria" w:cs="Arial"/>
          <w:sz w:val="20"/>
          <w:szCs w:val="20"/>
          <w:lang w:val="es-ES"/>
        </w:rPr>
        <w:t>,</w:t>
      </w:r>
      <w:r w:rsidRPr="00FB2D79">
        <w:rPr>
          <w:rFonts w:ascii="Cambria" w:hAnsi="Cambria" w:cs="Arial"/>
          <w:sz w:val="20"/>
          <w:szCs w:val="20"/>
          <w:lang w:val="es-ES"/>
        </w:rPr>
        <w:t xml:space="preserve"> mediante acto de alguacil del 23 de noviembre de 1990 la Corte de Apelación de Santiago ordenó el acatamiento y ejecución de sentencia al Procurador General de la República, Secretario de Finanzas, Secretario de Industria y Comercio y  al Director General de CORDE. Finalmente, mediante acto de alguacil del 21 de febrero de 1995 la Corte de Apelación de Santiago ordenó el acatamiento y ejecución de sentencia al Presidente de la República, Consultoría Jurídica del Poder Ejecutivo, Procurador General de la República, Secretario de Finanzas, Secretario de Industria y Comercio, al Director General de CORDE, Presidente del Senado de la República, Presidente de la Cámara de Diputados de la República, Dirección General de Bienes Nacionales, Registro de Títulos del Distritito Nacional y al Tribunal Superior de Tierras. Sin embargo, estos mandatos judiciales no devinieron en acción concreta alguna, por lo que el peticionario alega que se han agotado todas las instancias domésticas.</w:t>
      </w:r>
    </w:p>
    <w:p w:rsidR="00F60169" w:rsidRPr="00FB2D79" w:rsidRDefault="00F60169" w:rsidP="00BC25FA">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 xml:space="preserve">El 15 de mayo de 1998 mediante los decretos No. 180-98 y 181-98 emitidos por el </w:t>
      </w:r>
      <w:r w:rsidR="0066612C" w:rsidRPr="00FB2D79">
        <w:rPr>
          <w:rFonts w:ascii="Cambria" w:hAnsi="Cambria" w:cs="Arial"/>
          <w:sz w:val="20"/>
          <w:szCs w:val="20"/>
          <w:lang w:val="es-ES"/>
        </w:rPr>
        <w:t>P</w:t>
      </w:r>
      <w:r w:rsidRPr="00FB2D79">
        <w:rPr>
          <w:rFonts w:ascii="Cambria" w:hAnsi="Cambria" w:cs="Arial"/>
          <w:sz w:val="20"/>
          <w:szCs w:val="20"/>
          <w:lang w:val="es-ES"/>
        </w:rPr>
        <w:t xml:space="preserve">residente </w:t>
      </w:r>
      <w:hyperlink r:id="rId17" w:tooltip="Leonel Antonio Fernández Reyna" w:history="1">
        <w:r w:rsidRPr="00FB2D79">
          <w:rPr>
            <w:rStyle w:val="Hyperlink"/>
            <w:rFonts w:ascii="Cambria" w:hAnsi="Cambria" w:cs="Arial"/>
            <w:sz w:val="20"/>
            <w:szCs w:val="20"/>
            <w:u w:val="none"/>
            <w:lang w:val="es-CL"/>
          </w:rPr>
          <w:t>Leonel Antonio Fernández Reyna</w:t>
        </w:r>
      </w:hyperlink>
      <w:r w:rsidRPr="00FB2D79">
        <w:rPr>
          <w:rFonts w:ascii="Cambria" w:hAnsi="Cambria" w:cs="Arial"/>
          <w:sz w:val="20"/>
          <w:szCs w:val="20"/>
          <w:lang w:val="es-ES"/>
        </w:rPr>
        <w:t>, se expropiaron una serie de bienes detentados por CORDE, entre ellos “Sacos y Tejidos Dominicanos” (hoy Tejidos Antillanos)”, “Consorcio Algodonero Dominicano” y “Fábricas de Aceite Ámbar”, mismos que previamente habían sido confiscados a Arturo Elías Gadala María Dada mediante la ley No. 5816 del 15 de febrero de 1962. El peticionario aduce que mediante esta triangulación el Estado se estaría pagando a sí mismo parte de las compensaciones debidas a las presuntas víctimas, ya que el pago no saldría de las arcas del Estado, pues CORDE es una empresa paraestatal encargada de administrar, dirigir y desarrollar bienes y derechos cedidos por el propio Estado. Por lo anterior demandaron la nulidad de los decretos el 24 de mayo de 1998</w:t>
      </w:r>
      <w:r w:rsidR="0066612C" w:rsidRPr="00FB2D79">
        <w:rPr>
          <w:rFonts w:ascii="Cambria" w:hAnsi="Cambria" w:cs="Arial"/>
          <w:sz w:val="20"/>
          <w:szCs w:val="20"/>
          <w:lang w:val="es-ES"/>
        </w:rPr>
        <w:t xml:space="preserve"> </w:t>
      </w:r>
      <w:r w:rsidRPr="00FB2D79">
        <w:rPr>
          <w:rFonts w:ascii="Cambria" w:hAnsi="Cambria" w:cs="Arial"/>
          <w:sz w:val="20"/>
          <w:szCs w:val="20"/>
          <w:lang w:val="es-ES"/>
        </w:rPr>
        <w:t xml:space="preserve">ante el Tribunal de Tierras, el cual se negó a conocer el caso. </w:t>
      </w:r>
    </w:p>
    <w:p w:rsidR="00F60169" w:rsidRPr="00FB2D79" w:rsidRDefault="00F60169" w:rsidP="0072437B">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 xml:space="preserve">En relación con lo anterior, el peticionario afirma que las presuntas víctimas acudieron de forma reiterada ante la Suprema Corte de Justicia promoviendo acciones de inconstitucionalidad contra los decretos No. 180-98 y 181-98 durante un periodo de cinco años (1998-2003), mismas que no generaron ningún efecto concreto, ya que no se fijó fecha de audiencia, y por tanto, no se llegó a emitir ningún pronunciamiento sobre el fondo del asunto. El peticionario indica que, buscando formas alternas de solucionar el caso, el 18 de febrero de 2000 CORDE planteó a las presuntas víctimas una propuesta de acuerdo transaccional, con la finalidad de cubrir el supuesto adeudo correspondiente a los bienes “Sacos y Tejidos Dominicanos” (hoy Tejidos Antillanos)”, “Consorcio Algodonero Dominicano” y “Fábricas de Aceite Ámbar”. Sin embargo, esta operación no se concretó debido al cambio de autoridades en la empresa. </w:t>
      </w:r>
    </w:p>
    <w:p w:rsidR="00F60169" w:rsidRPr="00FB2D79" w:rsidRDefault="00F60169" w:rsidP="004551F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El peticionario mediante solicitud de consulta ante el gobierno de República Dominica, bajo el artículo 15 del capítulo 10 del Acuerdo de Intercambio Comercial entre los Estados Unidos de Norte América, República Dominica y varios Estado</w:t>
      </w:r>
      <w:r w:rsidR="0026628E" w:rsidRPr="00FB2D79">
        <w:rPr>
          <w:rFonts w:ascii="Cambria" w:hAnsi="Cambria" w:cs="Arial"/>
          <w:sz w:val="20"/>
          <w:szCs w:val="20"/>
          <w:lang w:val="es-ES"/>
        </w:rPr>
        <w:t>s</w:t>
      </w:r>
      <w:r w:rsidRPr="00FB2D79">
        <w:rPr>
          <w:rFonts w:ascii="Cambria" w:hAnsi="Cambria" w:cs="Arial"/>
          <w:sz w:val="20"/>
          <w:szCs w:val="20"/>
          <w:lang w:val="es-ES"/>
        </w:rPr>
        <w:t xml:space="preserve"> de Centroamérica (“DF-CAFTA”), estableció que las autoridades de República Dominica adeudan a las presuntas víctimas la cantidad de USD$ 1.437.000.000 (casi un billón y medio de dólares) hasta el 3 de marzo de 2008.</w:t>
      </w:r>
    </w:p>
    <w:p w:rsidR="00F60169" w:rsidRPr="00FB2D79" w:rsidRDefault="00F60169" w:rsidP="0029374E">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cs="Arial"/>
          <w:sz w:val="20"/>
          <w:szCs w:val="20"/>
          <w:lang w:val="es-ES"/>
        </w:rPr>
      </w:pPr>
      <w:r w:rsidRPr="00FB2D79">
        <w:rPr>
          <w:rFonts w:ascii="Cambria" w:hAnsi="Cambria" w:cs="Arial"/>
          <w:sz w:val="20"/>
          <w:szCs w:val="20"/>
          <w:lang w:val="es-ES"/>
        </w:rPr>
        <w:t xml:space="preserve">En este contexto, el peticionario refiere que mediante una mesa de trabajo ante la Secretaria de Estado de Industria y Comercio el 13 de agosto de 2008 se intentó llegar a un arreglo, pero encontrando diversas dificultades, ya que los representantes del Estado manifestaron que el monto de la deuda representa aproximadamente la totalidad de las reservas en divisas de la República Dominica; y que aun cuando las presuntas víctimas manifestaron que su intención no era afectar la economía nacional, sino más bien promoverla mediante el uso de los recursos que recibieran, el referido acuerdo no pudo concretarse. </w:t>
      </w:r>
    </w:p>
    <w:p w:rsidR="00F60169" w:rsidRPr="00FB2D79" w:rsidRDefault="00F60169" w:rsidP="0066612C">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s="Arial"/>
          <w:sz w:val="20"/>
          <w:szCs w:val="20"/>
          <w:lang w:val="es-ES"/>
        </w:rPr>
      </w:pPr>
      <w:r w:rsidRPr="00FB2D79">
        <w:rPr>
          <w:rFonts w:ascii="Cambria" w:hAnsi="Cambria" w:cs="Arial"/>
          <w:sz w:val="20"/>
          <w:szCs w:val="20"/>
          <w:lang w:val="es-ES"/>
        </w:rPr>
        <w:lastRenderedPageBreak/>
        <w:t>El peticionario afirma que el Estado no ha dado cumplimiento a la sentencia de</w:t>
      </w:r>
      <w:r w:rsidR="0026628E" w:rsidRPr="00FB2D79">
        <w:rPr>
          <w:rFonts w:ascii="Cambria" w:hAnsi="Cambria" w:cs="Arial"/>
          <w:sz w:val="20"/>
          <w:szCs w:val="20"/>
          <w:lang w:val="es-ES"/>
        </w:rPr>
        <w:t>l</w:t>
      </w:r>
      <w:r w:rsidRPr="00FB2D79">
        <w:rPr>
          <w:rFonts w:ascii="Cambria" w:hAnsi="Cambria" w:cs="Arial"/>
          <w:sz w:val="20"/>
          <w:szCs w:val="20"/>
          <w:lang w:val="es-ES"/>
        </w:rPr>
        <w:t xml:space="preserve"> 15 de abril de 1970 emitida por la Suprema Corte de Justicia de República Dominicana, la cual confirmó la sentencia de la Corte de Apelación de Santiago absolviendo a Arturo Elías Gadala María Dada del delito de enriquecimiento ilícito y </w:t>
      </w:r>
      <w:r w:rsidR="0026628E" w:rsidRPr="00FB2D79">
        <w:rPr>
          <w:rFonts w:ascii="Cambria" w:hAnsi="Cambria" w:cs="Arial"/>
          <w:sz w:val="20"/>
          <w:szCs w:val="20"/>
          <w:lang w:val="es-ES"/>
        </w:rPr>
        <w:t>ordenó</w:t>
      </w:r>
      <w:r w:rsidRPr="00FB2D79">
        <w:rPr>
          <w:rFonts w:ascii="Cambria" w:hAnsi="Cambria" w:cs="Arial"/>
          <w:sz w:val="20"/>
          <w:szCs w:val="20"/>
          <w:lang w:val="es-ES"/>
        </w:rPr>
        <w:t xml:space="preserve"> la devolución de sus bienes.</w:t>
      </w:r>
      <w:r w:rsidR="0066612C" w:rsidRPr="00FB2D79">
        <w:rPr>
          <w:rFonts w:ascii="Cambria" w:hAnsi="Cambria" w:cs="Arial"/>
          <w:sz w:val="20"/>
          <w:szCs w:val="20"/>
          <w:lang w:val="es-ES"/>
        </w:rPr>
        <w:t xml:space="preserve"> Alega que la conducta del Estado frente a la totalidad de los recursos y esfuerzos intentados sin éxito constituye una denegación continuada de la justicia que </w:t>
      </w:r>
      <w:r w:rsidR="001361DA">
        <w:rPr>
          <w:rFonts w:ascii="Cambria" w:hAnsi="Cambria" w:cs="Arial"/>
          <w:sz w:val="20"/>
          <w:szCs w:val="20"/>
          <w:lang w:val="es-ES"/>
        </w:rPr>
        <w:t xml:space="preserve">se </w:t>
      </w:r>
      <w:r w:rsidR="0066612C" w:rsidRPr="00FB2D79">
        <w:rPr>
          <w:rFonts w:ascii="Cambria" w:hAnsi="Cambria" w:cs="Arial"/>
          <w:sz w:val="20"/>
          <w:szCs w:val="20"/>
          <w:lang w:val="es-ES"/>
        </w:rPr>
        <w:t>extiende hasta la presente</w:t>
      </w:r>
      <w:r w:rsidR="00A34059" w:rsidRPr="00FB2D79">
        <w:rPr>
          <w:rFonts w:ascii="Cambria" w:hAnsi="Cambria" w:cs="Arial"/>
          <w:sz w:val="20"/>
          <w:szCs w:val="20"/>
          <w:lang w:val="es-ES"/>
        </w:rPr>
        <w:t>.</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s="Arial"/>
          <w:sz w:val="20"/>
          <w:szCs w:val="20"/>
          <w:lang w:val="es-ES"/>
        </w:rPr>
      </w:pPr>
      <w:r w:rsidRPr="00FB2D79">
        <w:rPr>
          <w:rFonts w:ascii="Cambria" w:hAnsi="Cambria" w:cs="Arial"/>
          <w:sz w:val="20"/>
          <w:szCs w:val="20"/>
          <w:lang w:val="es-ES"/>
        </w:rPr>
        <w:t>Con base en lo anterior, el peticionario alega que el Estado violó, en perjuicio de las presuntas víctimas</w:t>
      </w:r>
      <w:r w:rsidR="0026628E" w:rsidRPr="00FB2D79">
        <w:rPr>
          <w:rFonts w:ascii="Cambria" w:hAnsi="Cambria" w:cs="Arial"/>
          <w:sz w:val="20"/>
          <w:szCs w:val="20"/>
          <w:lang w:val="es-ES"/>
        </w:rPr>
        <w:t>,</w:t>
      </w:r>
      <w:r w:rsidRPr="00FB2D79">
        <w:rPr>
          <w:rFonts w:ascii="Cambria" w:hAnsi="Cambria" w:cs="Arial"/>
          <w:sz w:val="20"/>
          <w:szCs w:val="20"/>
          <w:lang w:val="es-ES"/>
        </w:rPr>
        <w:t xml:space="preserve"> los derechos consagrados en los artículos 1.1, 21.1, 21.2, 25.c.2 y 63.1 de la Convención Americana.</w:t>
      </w:r>
    </w:p>
    <w:p w:rsidR="00F60169" w:rsidRPr="00FB2D79" w:rsidRDefault="00F60169" w:rsidP="00060E82">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B.</w:t>
      </w:r>
      <w:r w:rsidRPr="00FB2D79">
        <w:rPr>
          <w:rFonts w:ascii="Cambria" w:hAnsi="Cambria"/>
          <w:b/>
          <w:bCs/>
          <w:sz w:val="20"/>
          <w:szCs w:val="20"/>
          <w:lang w:val="es-ES"/>
        </w:rPr>
        <w:tab/>
        <w:t xml:space="preserve">Posición del Estado </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pacing w:after="240"/>
        <w:jc w:val="both"/>
        <w:rPr>
          <w:rFonts w:ascii="Cambria" w:hAnsi="Cambria"/>
          <w:sz w:val="20"/>
          <w:szCs w:val="20"/>
          <w:lang w:val="es-ES"/>
        </w:rPr>
      </w:pPr>
      <w:r w:rsidRPr="00FB2D79">
        <w:rPr>
          <w:rFonts w:ascii="Cambria" w:hAnsi="Cambria"/>
          <w:sz w:val="20"/>
          <w:szCs w:val="20"/>
          <w:lang w:val="es-ES"/>
        </w:rPr>
        <w:t>Al momento de la adopción del presente informe, e</w:t>
      </w:r>
      <w:r w:rsidRPr="00FB2D79">
        <w:rPr>
          <w:rFonts w:ascii="Cambria" w:hAnsi="Cambria" w:cs="Arial"/>
          <w:sz w:val="20"/>
          <w:szCs w:val="20"/>
          <w:lang w:val="es-ES"/>
        </w:rPr>
        <w:t>l Estado no ha proporcionado sus observaciones respecto de la presente petición.</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IV.</w:t>
      </w:r>
      <w:r w:rsidRPr="00FB2D79">
        <w:rPr>
          <w:rFonts w:ascii="Cambria" w:hAnsi="Cambria"/>
          <w:b/>
          <w:bCs/>
          <w:sz w:val="20"/>
          <w:szCs w:val="20"/>
          <w:lang w:val="es-ES"/>
        </w:rPr>
        <w:tab/>
        <w:t>ANÁLISIS SOBRE COMPETENCIA Y ADMISIBILIDAD</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sz w:val="20"/>
          <w:szCs w:val="20"/>
          <w:lang w:val="es-ES"/>
        </w:rPr>
      </w:pPr>
      <w:r w:rsidRPr="00FB2D79">
        <w:rPr>
          <w:rFonts w:ascii="Cambria" w:hAnsi="Cambria"/>
          <w:b/>
          <w:bCs/>
          <w:sz w:val="20"/>
          <w:szCs w:val="20"/>
          <w:lang w:val="es-ES"/>
        </w:rPr>
        <w:t>A.</w:t>
      </w:r>
      <w:r w:rsidRPr="00FB2D79">
        <w:rPr>
          <w:rFonts w:ascii="Cambria" w:hAnsi="Cambria"/>
          <w:b/>
          <w:bCs/>
          <w:sz w:val="20"/>
          <w:szCs w:val="20"/>
          <w:lang w:val="es-ES"/>
        </w:rPr>
        <w:tab/>
        <w:t xml:space="preserve">Competencia </w:t>
      </w:r>
    </w:p>
    <w:p w:rsidR="00F60169" w:rsidRPr="00FB2D79" w:rsidRDefault="00F60169" w:rsidP="00A34059">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lang w:val="es-CL"/>
        </w:rPr>
      </w:pPr>
      <w:r w:rsidRPr="00FB2D79">
        <w:rPr>
          <w:rFonts w:ascii="Cambria" w:eastAsia="SimSun" w:hAnsi="Cambria"/>
          <w:sz w:val="20"/>
          <w:szCs w:val="20"/>
          <w:lang w:val="es-ES"/>
        </w:rPr>
        <w:t>El peticionario se encuentra facultado, en principio, por el artículo 44 de la Convención Americana, en concordancia con el artículo 23 del Reglamento. La</w:t>
      </w:r>
      <w:r w:rsidRPr="00FB2D79">
        <w:rPr>
          <w:rFonts w:ascii="Cambria" w:eastAsia="SimSun" w:hAnsi="Cambria"/>
          <w:sz w:val="20"/>
          <w:szCs w:val="20"/>
          <w:lang w:val="es-AR"/>
        </w:rPr>
        <w:t xml:space="preserve"> petición señala como presuntas víctimas a  personas individuales, respecto a </w:t>
      </w:r>
      <w:r w:rsidR="001361DA">
        <w:rPr>
          <w:rFonts w:ascii="Cambria" w:eastAsia="SimSun" w:hAnsi="Cambria"/>
          <w:sz w:val="20"/>
          <w:szCs w:val="20"/>
          <w:lang w:val="es-AR"/>
        </w:rPr>
        <w:t>quienes</w:t>
      </w:r>
      <w:r w:rsidRPr="00FB2D79">
        <w:rPr>
          <w:rFonts w:ascii="Cambria" w:eastAsia="SimSun" w:hAnsi="Cambria"/>
          <w:sz w:val="20"/>
          <w:szCs w:val="20"/>
          <w:lang w:val="es-AR"/>
        </w:rPr>
        <w:t xml:space="preserve"> República Dominicana se comprometió a respetar y garantizar los derechos consagrados en la Convención Americana. </w:t>
      </w:r>
      <w:r w:rsidR="00A34059" w:rsidRPr="00FB2D79">
        <w:rPr>
          <w:rFonts w:ascii="Cambria" w:eastAsia="SimSun" w:hAnsi="Cambria"/>
          <w:sz w:val="20"/>
          <w:szCs w:val="20"/>
          <w:lang w:val="es-AR"/>
        </w:rPr>
        <w:t>Desde la fecha de ratificación el 18 de julio de 1978</w:t>
      </w:r>
      <w:r w:rsidRPr="00FB2D79">
        <w:rPr>
          <w:rFonts w:ascii="Cambria" w:eastAsia="SimSun" w:hAnsi="Cambria"/>
          <w:sz w:val="20"/>
          <w:szCs w:val="20"/>
          <w:lang w:val="es-AR"/>
        </w:rPr>
        <w:t xml:space="preserve">, la Comisión tiene competencia </w:t>
      </w:r>
      <w:r w:rsidRPr="00FB2D79">
        <w:rPr>
          <w:rFonts w:ascii="Cambria" w:eastAsia="SimSun" w:hAnsi="Cambria"/>
          <w:i/>
          <w:iCs/>
          <w:sz w:val="20"/>
          <w:szCs w:val="20"/>
          <w:lang w:val="es-AR"/>
        </w:rPr>
        <w:t xml:space="preserve">ratione personae </w:t>
      </w:r>
      <w:r w:rsidRPr="00FB2D79">
        <w:rPr>
          <w:rFonts w:ascii="Cambria" w:eastAsia="SimSun" w:hAnsi="Cambria"/>
          <w:sz w:val="20"/>
          <w:szCs w:val="20"/>
          <w:lang w:val="es-AR"/>
        </w:rPr>
        <w:t>para examinar la petición.</w:t>
      </w:r>
      <w:r w:rsidRPr="00FB2D79">
        <w:rPr>
          <w:rFonts w:ascii="Cambria" w:eastAsia="SimSun" w:hAnsi="Cambria"/>
          <w:sz w:val="20"/>
          <w:szCs w:val="20"/>
          <w:lang w:val="es-CL"/>
        </w:rPr>
        <w:t xml:space="preserve"> </w:t>
      </w:r>
      <w:r w:rsidRPr="00FB2D79">
        <w:rPr>
          <w:rFonts w:ascii="Cambria" w:eastAsia="SimSun" w:hAnsi="Cambria"/>
          <w:sz w:val="20"/>
          <w:szCs w:val="20"/>
          <w:lang w:val="es-ES"/>
        </w:rPr>
        <w:t xml:space="preserve">La petición señala la supuesta violación a derechos consagrados en la Convención Americana en perjuicio de personas individuales, respecto de quienes República Dominicana se comprometió a respetar y garantizar estos derechos. Con base en lo anterior, la CIDH concluye que tiene competencia </w:t>
      </w:r>
      <w:r w:rsidRPr="00FB2D79">
        <w:rPr>
          <w:rFonts w:ascii="Cambria" w:eastAsia="SimSun" w:hAnsi="Cambria"/>
          <w:i/>
          <w:iCs/>
          <w:sz w:val="20"/>
          <w:szCs w:val="20"/>
          <w:lang w:val="es-UY"/>
        </w:rPr>
        <w:t>ratione personae</w:t>
      </w:r>
      <w:r w:rsidRPr="00FB2D79">
        <w:rPr>
          <w:rFonts w:ascii="Cambria" w:eastAsia="SimSun" w:hAnsi="Cambria"/>
          <w:sz w:val="20"/>
          <w:szCs w:val="20"/>
          <w:lang w:val="es-UY"/>
        </w:rPr>
        <w:t xml:space="preserve">, </w:t>
      </w:r>
      <w:r w:rsidRPr="00FB2D79">
        <w:rPr>
          <w:rFonts w:ascii="Cambria" w:eastAsia="SimSun" w:hAnsi="Cambria"/>
          <w:i/>
          <w:iCs/>
          <w:sz w:val="20"/>
          <w:szCs w:val="20"/>
          <w:lang w:val="es-UY"/>
        </w:rPr>
        <w:t>ratione loci</w:t>
      </w:r>
      <w:r w:rsidRPr="00FB2D79">
        <w:rPr>
          <w:rFonts w:ascii="Cambria" w:eastAsia="SimSun" w:hAnsi="Cambria"/>
          <w:sz w:val="20"/>
          <w:szCs w:val="20"/>
          <w:lang w:val="es-UY"/>
        </w:rPr>
        <w:t xml:space="preserve">, </w:t>
      </w:r>
      <w:r w:rsidRPr="00FB2D79">
        <w:rPr>
          <w:rFonts w:ascii="Cambria" w:eastAsia="SimSun" w:hAnsi="Cambria"/>
          <w:i/>
          <w:iCs/>
          <w:sz w:val="20"/>
          <w:szCs w:val="20"/>
          <w:lang w:val="es-UY"/>
        </w:rPr>
        <w:t xml:space="preserve">ratione temporis </w:t>
      </w:r>
      <w:r w:rsidRPr="00FB2D79">
        <w:rPr>
          <w:rFonts w:ascii="Cambria" w:eastAsia="SimSun" w:hAnsi="Cambria"/>
          <w:sz w:val="20"/>
          <w:szCs w:val="20"/>
          <w:lang w:val="es-UY"/>
        </w:rPr>
        <w:t xml:space="preserve">y </w:t>
      </w:r>
      <w:r w:rsidRPr="00FB2D79">
        <w:rPr>
          <w:rFonts w:ascii="Cambria" w:eastAsia="SimSun" w:hAnsi="Cambria"/>
          <w:i/>
          <w:iCs/>
          <w:sz w:val="20"/>
          <w:szCs w:val="20"/>
          <w:lang w:val="es-UY"/>
        </w:rPr>
        <w:t xml:space="preserve">ratione materiae </w:t>
      </w:r>
      <w:r w:rsidRPr="00FB2D79">
        <w:rPr>
          <w:rFonts w:ascii="Cambria" w:eastAsia="SimSun" w:hAnsi="Cambria"/>
          <w:sz w:val="20"/>
          <w:szCs w:val="20"/>
          <w:lang w:val="es-UY"/>
        </w:rPr>
        <w:t xml:space="preserve">para examinar </w:t>
      </w:r>
      <w:r w:rsidR="00933A41" w:rsidRPr="00FB2D79">
        <w:rPr>
          <w:rFonts w:ascii="Cambria" w:eastAsia="SimSun" w:hAnsi="Cambria"/>
          <w:sz w:val="20"/>
          <w:szCs w:val="20"/>
          <w:lang w:val="es-UY"/>
        </w:rPr>
        <w:t>los hechos alegados en la presente</w:t>
      </w:r>
      <w:r w:rsidRPr="00FB2D79">
        <w:rPr>
          <w:rFonts w:ascii="Cambria" w:eastAsia="SimSun" w:hAnsi="Cambria"/>
          <w:sz w:val="20"/>
          <w:szCs w:val="20"/>
          <w:lang w:val="es-UY"/>
        </w:rPr>
        <w:t xml:space="preserve"> petición. </w:t>
      </w:r>
    </w:p>
    <w:p w:rsidR="00F60169" w:rsidRPr="00FB2D79" w:rsidRDefault="00F60169" w:rsidP="008645D0">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lang w:val="es-ES"/>
        </w:rPr>
      </w:pPr>
      <w:r w:rsidRPr="00FB2D79">
        <w:rPr>
          <w:rFonts w:ascii="Cambria" w:eastAsia="SimSun" w:hAnsi="Cambria"/>
          <w:sz w:val="20"/>
          <w:szCs w:val="20"/>
          <w:lang w:val="es-ES"/>
        </w:rPr>
        <w:t xml:space="preserve">Por </w:t>
      </w:r>
      <w:r w:rsidR="00736DCA" w:rsidRPr="00FB2D79">
        <w:rPr>
          <w:rFonts w:ascii="Cambria" w:eastAsia="SimSun" w:hAnsi="Cambria"/>
          <w:sz w:val="20"/>
          <w:szCs w:val="20"/>
          <w:lang w:val="es-ES"/>
        </w:rPr>
        <w:t>otra parte</w:t>
      </w:r>
      <w:r w:rsidRPr="00FB2D79">
        <w:rPr>
          <w:rFonts w:ascii="Cambria" w:eastAsia="SimSun" w:hAnsi="Cambria"/>
          <w:sz w:val="20"/>
          <w:szCs w:val="20"/>
          <w:lang w:val="es-ES"/>
        </w:rPr>
        <w:t xml:space="preserve">, la CIDH observa que no tiene competencia </w:t>
      </w:r>
      <w:r w:rsidRPr="00FB2D79">
        <w:rPr>
          <w:rFonts w:ascii="Cambria" w:eastAsia="SimSun" w:hAnsi="Cambria"/>
          <w:i/>
          <w:iCs/>
          <w:sz w:val="20"/>
          <w:szCs w:val="20"/>
          <w:lang w:val="es-UY"/>
        </w:rPr>
        <w:t>ratione temporis</w:t>
      </w:r>
      <w:r w:rsidRPr="00FB2D79">
        <w:rPr>
          <w:rFonts w:ascii="Cambria" w:eastAsia="SimSun" w:hAnsi="Cambria"/>
          <w:iCs/>
          <w:sz w:val="20"/>
          <w:szCs w:val="20"/>
          <w:lang w:val="es-UY"/>
        </w:rPr>
        <w:t xml:space="preserve"> para aplicar la Convención Americana</w:t>
      </w:r>
      <w:r w:rsidRPr="00FB2D79">
        <w:rPr>
          <w:rFonts w:ascii="Cambria" w:eastAsia="SimSun" w:hAnsi="Cambria"/>
          <w:i/>
          <w:iCs/>
          <w:sz w:val="20"/>
          <w:szCs w:val="20"/>
          <w:lang w:val="es-UY"/>
        </w:rPr>
        <w:t xml:space="preserve"> </w:t>
      </w:r>
      <w:r w:rsidRPr="00FB2D79">
        <w:rPr>
          <w:rFonts w:ascii="Cambria" w:eastAsia="SimSun" w:hAnsi="Cambria"/>
          <w:iCs/>
          <w:sz w:val="20"/>
          <w:szCs w:val="20"/>
          <w:lang w:val="es-UY"/>
        </w:rPr>
        <w:t xml:space="preserve">respecto de aquellos hechos ocurridos con anterioridad al 18 de julio de 1978, fecha en la que dicho tratado entró en vigor para República Dominicana. </w:t>
      </w:r>
      <w:r w:rsidR="00933A41" w:rsidRPr="00FB2D79">
        <w:rPr>
          <w:rFonts w:ascii="Cambria" w:eastAsia="SimSun" w:hAnsi="Cambria"/>
          <w:iCs/>
          <w:sz w:val="20"/>
          <w:szCs w:val="20"/>
          <w:lang w:val="es-UY"/>
        </w:rPr>
        <w:t xml:space="preserve">Respecto a estos hechos, resulta aplicable la </w:t>
      </w:r>
      <w:r w:rsidRPr="00FB2D79">
        <w:rPr>
          <w:rFonts w:ascii="Cambria" w:eastAsia="SimSun" w:hAnsi="Cambria"/>
          <w:sz w:val="20"/>
          <w:szCs w:val="20"/>
          <w:lang w:val="es-ES"/>
        </w:rPr>
        <w:t>Declaració</w:t>
      </w:r>
      <w:r w:rsidR="00933A41" w:rsidRPr="00FB2D79">
        <w:rPr>
          <w:rFonts w:ascii="Cambria" w:eastAsia="SimSun" w:hAnsi="Cambria"/>
          <w:sz w:val="20"/>
          <w:szCs w:val="20"/>
          <w:lang w:val="es-ES"/>
        </w:rPr>
        <w:t>n Americana</w:t>
      </w:r>
      <w:r w:rsidRPr="00FB2D79">
        <w:rPr>
          <w:rFonts w:ascii="Cambria" w:eastAsia="SimSun" w:hAnsi="Cambria"/>
          <w:sz w:val="20"/>
          <w:szCs w:val="20"/>
          <w:lang w:val="es-ES"/>
        </w:rPr>
        <w:t>.</w:t>
      </w:r>
    </w:p>
    <w:p w:rsidR="00F60169" w:rsidRPr="00FB2D79" w:rsidRDefault="00F60169" w:rsidP="008645D0">
      <w:pPr>
        <w:numPr>
          <w:ilvl w:val="0"/>
          <w:numId w:val="57"/>
        </w:numPr>
        <w:pBdr>
          <w:top w:val="none" w:sz="0" w:space="0" w:color="auto"/>
          <w:left w:val="none" w:sz="0" w:space="0" w:color="auto"/>
          <w:bottom w:val="none" w:sz="0" w:space="0" w:color="auto"/>
          <w:right w:val="none" w:sz="0" w:space="0" w:color="auto"/>
          <w:bar w:val="none" w:sz="0" w:color="auto"/>
        </w:pBdr>
        <w:spacing w:after="240"/>
        <w:ind w:left="0" w:firstLine="720"/>
        <w:jc w:val="both"/>
        <w:rPr>
          <w:rFonts w:ascii="Cambria" w:hAnsi="Cambria"/>
          <w:b/>
          <w:sz w:val="20"/>
          <w:szCs w:val="20"/>
          <w:lang w:val="es-ES"/>
        </w:rPr>
      </w:pPr>
      <w:r w:rsidRPr="00FB2D79">
        <w:rPr>
          <w:rFonts w:ascii="Cambria" w:hAnsi="Cambria"/>
          <w:b/>
          <w:bCs/>
          <w:sz w:val="20"/>
          <w:szCs w:val="20"/>
          <w:lang w:val="es-ES"/>
        </w:rPr>
        <w:t xml:space="preserve">Requisitos de </w:t>
      </w:r>
      <w:r w:rsidRPr="00FB2D79">
        <w:rPr>
          <w:rFonts w:ascii="Cambria" w:hAnsi="Cambria"/>
          <w:b/>
          <w:sz w:val="20"/>
          <w:szCs w:val="20"/>
          <w:lang w:val="es-ES"/>
        </w:rPr>
        <w:t>Admisibilidad</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lang w:val="es-ES"/>
        </w:rPr>
      </w:pPr>
      <w:r w:rsidRPr="00FB2D79">
        <w:rPr>
          <w:rFonts w:ascii="Cambria" w:hAnsi="Cambria"/>
          <w:b/>
          <w:sz w:val="20"/>
          <w:szCs w:val="20"/>
          <w:lang w:val="es-ES"/>
        </w:rPr>
        <w:t>1.</w:t>
      </w:r>
      <w:r w:rsidRPr="00FB2D79">
        <w:rPr>
          <w:rFonts w:ascii="Cambria" w:hAnsi="Cambria"/>
          <w:b/>
          <w:sz w:val="20"/>
          <w:szCs w:val="20"/>
          <w:lang w:val="es-ES"/>
        </w:rPr>
        <w:tab/>
        <w:t>Agotamiento de los recursos internos</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i/>
          <w:sz w:val="20"/>
          <w:szCs w:val="20"/>
          <w:lang w:val="es-ES"/>
        </w:rPr>
      </w:pPr>
      <w:r w:rsidRPr="00FB2D79">
        <w:rPr>
          <w:rFonts w:ascii="Cambria" w:hAnsi="Cambria" w:cs="Arial"/>
          <w:sz w:val="20"/>
          <w:szCs w:val="20"/>
          <w:lang w:val="es-ES"/>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FB2D79">
        <w:rPr>
          <w:rFonts w:ascii="Cambria" w:hAnsi="Cambria"/>
          <w:sz w:val="20"/>
          <w:szCs w:val="20"/>
          <w:lang w:val="es-ES"/>
        </w:rPr>
        <w:t xml:space="preserve">Este requisito tiene como objeto permitir que las autoridades nacionales conozcan sobre la supuesta violación de un derecho protegido y, de ser apropiado, solucionen la situación antes de que sea conocida por una instancia internacional. </w:t>
      </w:r>
    </w:p>
    <w:p w:rsidR="00F60169" w:rsidRPr="00FB2D79" w:rsidRDefault="0026628E" w:rsidP="002954EB">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_tradnl"/>
        </w:rPr>
      </w:pPr>
      <w:r w:rsidRPr="00FB2D79">
        <w:rPr>
          <w:rFonts w:ascii="Cambria" w:hAnsi="Cambria"/>
          <w:sz w:val="20"/>
          <w:szCs w:val="20"/>
          <w:lang w:val="es-CL"/>
        </w:rPr>
        <w:t>El objet</w:t>
      </w:r>
      <w:r w:rsidR="00F60169" w:rsidRPr="00FB2D79">
        <w:rPr>
          <w:rFonts w:ascii="Cambria" w:hAnsi="Cambria"/>
          <w:sz w:val="20"/>
          <w:szCs w:val="20"/>
          <w:lang w:val="es-CL"/>
        </w:rPr>
        <w:t>o de la presente petición es el alegado incumplimiento de la sentencia dictada por la Corte de Apelación de Santiago el 9 de julio de 1969</w:t>
      </w:r>
      <w:r w:rsidRPr="00FB2D79">
        <w:rPr>
          <w:rFonts w:ascii="Cambria" w:hAnsi="Cambria"/>
          <w:sz w:val="20"/>
          <w:szCs w:val="20"/>
          <w:lang w:val="es-CL"/>
        </w:rPr>
        <w:t xml:space="preserve"> ordenando</w:t>
      </w:r>
      <w:r w:rsidR="00F60169" w:rsidRPr="00FB2D79">
        <w:rPr>
          <w:rFonts w:ascii="Cambria" w:hAnsi="Cambria"/>
          <w:sz w:val="20"/>
          <w:szCs w:val="20"/>
          <w:lang w:val="es-CL"/>
        </w:rPr>
        <w:t xml:space="preserve"> la devolución de los bi</w:t>
      </w:r>
      <w:r w:rsidRPr="00FB2D79">
        <w:rPr>
          <w:rFonts w:ascii="Cambria" w:hAnsi="Cambria"/>
          <w:sz w:val="20"/>
          <w:szCs w:val="20"/>
          <w:lang w:val="es-CL"/>
        </w:rPr>
        <w:t>e</w:t>
      </w:r>
      <w:r w:rsidR="00F60169" w:rsidRPr="00FB2D79">
        <w:rPr>
          <w:rFonts w:ascii="Cambria" w:hAnsi="Cambria"/>
          <w:sz w:val="20"/>
          <w:szCs w:val="20"/>
          <w:lang w:val="es-CL"/>
        </w:rPr>
        <w:t xml:space="preserve">nes del señor </w:t>
      </w:r>
      <w:r w:rsidR="00F60169" w:rsidRPr="00FB2D79">
        <w:rPr>
          <w:rFonts w:ascii="Cambria" w:hAnsi="Cambria" w:cs="Arial"/>
          <w:sz w:val="20"/>
          <w:szCs w:val="20"/>
          <w:lang w:val="es-ES"/>
        </w:rPr>
        <w:t>Arturo Elías Gadala María Dada</w:t>
      </w:r>
      <w:r w:rsidRPr="00FB2D79">
        <w:rPr>
          <w:rFonts w:ascii="Cambria" w:hAnsi="Cambria" w:cs="Arial"/>
          <w:sz w:val="20"/>
          <w:szCs w:val="20"/>
          <w:lang w:val="es-ES"/>
        </w:rPr>
        <w:t>,</w:t>
      </w:r>
      <w:r w:rsidR="00F60169" w:rsidRPr="00FB2D79">
        <w:rPr>
          <w:rFonts w:ascii="Cambria" w:hAnsi="Cambria" w:cs="Arial"/>
          <w:sz w:val="20"/>
          <w:szCs w:val="20"/>
          <w:lang w:val="es-ES"/>
        </w:rPr>
        <w:t xml:space="preserve"> la cual </w:t>
      </w:r>
      <w:r w:rsidR="002954EB" w:rsidRPr="00FB2D79">
        <w:rPr>
          <w:rFonts w:ascii="Cambria" w:hAnsi="Cambria" w:cs="Arial"/>
          <w:sz w:val="20"/>
          <w:szCs w:val="20"/>
          <w:lang w:val="es-ES"/>
        </w:rPr>
        <w:t xml:space="preserve">alegadamente </w:t>
      </w:r>
      <w:r w:rsidR="00F60169" w:rsidRPr="00FB2D79">
        <w:rPr>
          <w:rFonts w:ascii="Cambria" w:hAnsi="Cambria" w:cs="Arial"/>
          <w:sz w:val="20"/>
          <w:szCs w:val="20"/>
          <w:lang w:val="es-ES"/>
        </w:rPr>
        <w:t>adquirió carácter de cosa juzgada con la sentencia de la Suprema Corte de Justicia del 15 de abril de 1970</w:t>
      </w:r>
      <w:r w:rsidR="002954EB" w:rsidRPr="00FB2D79">
        <w:rPr>
          <w:rFonts w:ascii="Cambria" w:hAnsi="Cambria"/>
          <w:sz w:val="20"/>
          <w:szCs w:val="20"/>
          <w:lang w:val="es-CL"/>
        </w:rPr>
        <w:t>, y ha sido objeto de una serie de medidas y recursos posteriores con el fin de obtener el cumplimiento</w:t>
      </w:r>
      <w:r w:rsidR="00C5259F" w:rsidRPr="00FB2D79">
        <w:rPr>
          <w:rFonts w:ascii="Cambria" w:hAnsi="Cambria"/>
          <w:sz w:val="20"/>
          <w:szCs w:val="20"/>
          <w:lang w:val="es-CL"/>
        </w:rPr>
        <w:t>.</w:t>
      </w:r>
    </w:p>
    <w:p w:rsidR="00F60169" w:rsidRPr="00FB2D79" w:rsidRDefault="00F60169" w:rsidP="004A445E">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CL"/>
        </w:rPr>
      </w:pPr>
      <w:r w:rsidRPr="00FB2D79">
        <w:rPr>
          <w:rFonts w:ascii="Cambria" w:hAnsi="Cambria" w:cs="Arial"/>
          <w:sz w:val="20"/>
          <w:szCs w:val="20"/>
          <w:lang w:val="es-ES"/>
        </w:rPr>
        <w:t>De acuerdo con la información brindada por el peticionario</w:t>
      </w:r>
      <w:r w:rsidR="0026628E" w:rsidRPr="00FB2D79">
        <w:rPr>
          <w:rFonts w:ascii="Cambria" w:hAnsi="Cambria" w:cs="Arial"/>
          <w:sz w:val="20"/>
          <w:szCs w:val="20"/>
          <w:lang w:val="es-ES"/>
        </w:rPr>
        <w:t>,</w:t>
      </w:r>
      <w:r w:rsidRPr="00FB2D79">
        <w:rPr>
          <w:rFonts w:ascii="Cambria" w:hAnsi="Cambria" w:cs="Arial"/>
          <w:sz w:val="20"/>
          <w:szCs w:val="20"/>
          <w:lang w:val="es-ES"/>
        </w:rPr>
        <w:t xml:space="preserve"> en los años 1980, 1990 y 1995 la Corte de Apelaciones de Santiago ordenó a distintas autoridades públicas dar cumplimiento a su sentencia. </w:t>
      </w:r>
      <w:r w:rsidRPr="00FB2D79">
        <w:rPr>
          <w:rFonts w:ascii="Cambria" w:hAnsi="Cambria" w:cs="Arial"/>
          <w:sz w:val="20"/>
          <w:szCs w:val="20"/>
          <w:lang w:val="es-ES"/>
        </w:rPr>
        <w:lastRenderedPageBreak/>
        <w:t xml:space="preserve">Asimismo, con posterioridad a la emisión de los decretos 180-98 y 181-98, los cuales según los peticionarios constituirían una triangulación del Estado para pagarse a sí mismo con parte de los bienes de las presuntas víctimas, presentaron una acción de nulidad contra </w:t>
      </w:r>
      <w:r w:rsidR="0026628E" w:rsidRPr="00FB2D79">
        <w:rPr>
          <w:rFonts w:ascii="Cambria" w:hAnsi="Cambria" w:cs="Arial"/>
          <w:sz w:val="20"/>
          <w:szCs w:val="20"/>
          <w:lang w:val="es-ES"/>
        </w:rPr>
        <w:t>dichos</w:t>
      </w:r>
      <w:r w:rsidRPr="00FB2D79">
        <w:rPr>
          <w:rFonts w:ascii="Cambria" w:hAnsi="Cambria" w:cs="Arial"/>
          <w:sz w:val="20"/>
          <w:szCs w:val="20"/>
          <w:lang w:val="es-ES"/>
        </w:rPr>
        <w:t xml:space="preserve"> decretos</w:t>
      </w:r>
      <w:r w:rsidR="0026628E" w:rsidRPr="00FB2D79">
        <w:rPr>
          <w:rFonts w:ascii="Cambria" w:hAnsi="Cambria" w:cs="Arial"/>
          <w:sz w:val="20"/>
          <w:szCs w:val="20"/>
          <w:lang w:val="es-ES"/>
        </w:rPr>
        <w:t xml:space="preserve"> ante el Tribunal de Tierras</w:t>
      </w:r>
      <w:r w:rsidRPr="00FB2D79">
        <w:rPr>
          <w:rFonts w:ascii="Cambria" w:hAnsi="Cambria" w:cs="Arial"/>
          <w:sz w:val="20"/>
          <w:szCs w:val="20"/>
          <w:lang w:val="es-ES"/>
        </w:rPr>
        <w:t>, la cual fue rechazada.</w:t>
      </w:r>
    </w:p>
    <w:p w:rsidR="00F60169" w:rsidRPr="00FB2D79" w:rsidRDefault="00F60169" w:rsidP="009577AF">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Por último, entre 1998 y 2003 las pre</w:t>
      </w:r>
      <w:r w:rsidR="0026628E" w:rsidRPr="00FB2D79">
        <w:rPr>
          <w:rFonts w:ascii="Cambria" w:hAnsi="Cambria"/>
          <w:sz w:val="20"/>
          <w:szCs w:val="20"/>
          <w:lang w:val="es-ES"/>
        </w:rPr>
        <w:t>suntas víctimas promovieron vari</w:t>
      </w:r>
      <w:r w:rsidRPr="00FB2D79">
        <w:rPr>
          <w:rFonts w:ascii="Cambria" w:hAnsi="Cambria"/>
          <w:sz w:val="20"/>
          <w:szCs w:val="20"/>
          <w:lang w:val="es-ES"/>
        </w:rPr>
        <w:t>as acciones de inconstitucionalidad ante la</w:t>
      </w:r>
      <w:r w:rsidR="002954EB" w:rsidRPr="00FB2D79">
        <w:rPr>
          <w:rFonts w:ascii="Cambria" w:hAnsi="Cambria"/>
          <w:sz w:val="20"/>
          <w:szCs w:val="20"/>
          <w:lang w:val="es-ES"/>
        </w:rPr>
        <w:t xml:space="preserve"> Suprema Corte de Justicia, sin</w:t>
      </w:r>
      <w:r w:rsidR="004C4CFC" w:rsidRPr="00FB2D79">
        <w:rPr>
          <w:rFonts w:ascii="Cambria" w:hAnsi="Cambria"/>
          <w:sz w:val="20"/>
          <w:szCs w:val="20"/>
          <w:lang w:val="es-ES"/>
        </w:rPr>
        <w:t xml:space="preserve"> presuntamente</w:t>
      </w:r>
      <w:r w:rsidR="002954EB" w:rsidRPr="00FB2D79">
        <w:rPr>
          <w:rFonts w:ascii="Cambria" w:hAnsi="Cambria"/>
          <w:sz w:val="20"/>
          <w:szCs w:val="20"/>
          <w:lang w:val="es-ES"/>
        </w:rPr>
        <w:t xml:space="preserve"> </w:t>
      </w:r>
      <w:r w:rsidRPr="00FB2D79">
        <w:rPr>
          <w:rFonts w:ascii="Cambria" w:hAnsi="Cambria"/>
          <w:sz w:val="20"/>
          <w:szCs w:val="20"/>
          <w:lang w:val="es-ES"/>
        </w:rPr>
        <w:t xml:space="preserve">lograr un </w:t>
      </w:r>
      <w:r w:rsidR="0026628E" w:rsidRPr="00FB2D79">
        <w:rPr>
          <w:rFonts w:ascii="Cambria" w:hAnsi="Cambria"/>
          <w:sz w:val="20"/>
          <w:szCs w:val="20"/>
          <w:lang w:val="es-ES"/>
        </w:rPr>
        <w:t>pronunciamiento al respecto. Asi</w:t>
      </w:r>
      <w:r w:rsidRPr="00FB2D79">
        <w:rPr>
          <w:rFonts w:ascii="Cambria" w:hAnsi="Cambria"/>
          <w:sz w:val="20"/>
          <w:szCs w:val="20"/>
          <w:lang w:val="es-ES"/>
        </w:rPr>
        <w:t>mismo</w:t>
      </w:r>
      <w:r w:rsidR="0026628E" w:rsidRPr="00FB2D79">
        <w:rPr>
          <w:rFonts w:ascii="Cambria" w:hAnsi="Cambria"/>
          <w:sz w:val="20"/>
          <w:szCs w:val="20"/>
          <w:lang w:val="es-ES"/>
        </w:rPr>
        <w:t>,</w:t>
      </w:r>
      <w:r w:rsidRPr="00FB2D79">
        <w:rPr>
          <w:rFonts w:ascii="Cambria" w:hAnsi="Cambria"/>
          <w:sz w:val="20"/>
          <w:szCs w:val="20"/>
          <w:lang w:val="es-ES"/>
        </w:rPr>
        <w:t xml:space="preserve"> </w:t>
      </w:r>
      <w:r w:rsidR="002A466A">
        <w:rPr>
          <w:rFonts w:ascii="Cambria" w:hAnsi="Cambria"/>
          <w:sz w:val="20"/>
          <w:szCs w:val="20"/>
          <w:lang w:val="es-ES"/>
        </w:rPr>
        <w:t>el</w:t>
      </w:r>
      <w:r w:rsidRPr="00FB2D79">
        <w:rPr>
          <w:rFonts w:ascii="Cambria" w:hAnsi="Cambria"/>
          <w:sz w:val="20"/>
          <w:szCs w:val="20"/>
          <w:lang w:val="es-ES"/>
        </w:rPr>
        <w:t xml:space="preserve"> peticionario indica que en los años 2000 y 2008 hubo intentos de negociación con las autoridades, </w:t>
      </w:r>
      <w:r w:rsidR="0026628E" w:rsidRPr="00FB2D79">
        <w:rPr>
          <w:rFonts w:ascii="Cambria" w:hAnsi="Cambria"/>
          <w:sz w:val="20"/>
          <w:szCs w:val="20"/>
          <w:lang w:val="es-ES"/>
        </w:rPr>
        <w:t>los cuales no prosperaron</w:t>
      </w:r>
      <w:r w:rsidRPr="00FB2D79">
        <w:rPr>
          <w:rFonts w:ascii="Cambria" w:hAnsi="Cambria"/>
          <w:sz w:val="20"/>
          <w:szCs w:val="20"/>
          <w:lang w:val="es-ES"/>
        </w:rPr>
        <w:t>.</w:t>
      </w:r>
    </w:p>
    <w:p w:rsidR="00F60169" w:rsidRPr="00FB2D79" w:rsidRDefault="00F60169" w:rsidP="0090475F">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CL"/>
        </w:rPr>
      </w:pPr>
      <w:r w:rsidRPr="00FB2D79">
        <w:rPr>
          <w:rFonts w:ascii="Cambria" w:hAnsi="Cambria"/>
          <w:sz w:val="20"/>
          <w:szCs w:val="20"/>
          <w:lang w:val="es-ES"/>
        </w:rPr>
        <w:t>De dicha información, la cual no ha sido controvertida por el Estado, surge que a la fecha la sentencia dictada por la Corte de Apelaciones de Santiago el 9 de julio de 1969, en la que se ordena reintegrar los bienes a las presuntas víctimas, no ha sido cumplida. Asimismo</w:t>
      </w:r>
      <w:r w:rsidR="00517B31" w:rsidRPr="00FB2D79">
        <w:rPr>
          <w:rFonts w:ascii="Cambria" w:hAnsi="Cambria"/>
          <w:sz w:val="20"/>
          <w:szCs w:val="20"/>
          <w:lang w:val="es-ES"/>
        </w:rPr>
        <w:t>,</w:t>
      </w:r>
      <w:r w:rsidRPr="00FB2D79">
        <w:rPr>
          <w:rFonts w:ascii="Cambria" w:hAnsi="Cambria"/>
          <w:sz w:val="20"/>
          <w:szCs w:val="20"/>
          <w:lang w:val="es-ES"/>
        </w:rPr>
        <w:t xml:space="preserve"> </w:t>
      </w:r>
      <w:r w:rsidR="0090475F" w:rsidRPr="00FB2D79">
        <w:rPr>
          <w:rFonts w:ascii="Cambria" w:hAnsi="Cambria"/>
          <w:sz w:val="20"/>
          <w:szCs w:val="20"/>
          <w:lang w:val="es-ES"/>
        </w:rPr>
        <w:t xml:space="preserve">de la información proporcionada, se puede concluir </w:t>
      </w:r>
      <w:r w:rsidR="0090475F" w:rsidRPr="001361DA">
        <w:rPr>
          <w:rFonts w:ascii="Cambria" w:hAnsi="Cambria"/>
          <w:i/>
          <w:sz w:val="20"/>
          <w:szCs w:val="20"/>
          <w:lang w:val="es-ES"/>
        </w:rPr>
        <w:t>prima facie</w:t>
      </w:r>
      <w:r w:rsidR="0090475F" w:rsidRPr="00FB2D79">
        <w:rPr>
          <w:rFonts w:ascii="Cambria" w:hAnsi="Cambria"/>
          <w:sz w:val="20"/>
          <w:szCs w:val="20"/>
          <w:lang w:val="es-ES"/>
        </w:rPr>
        <w:t xml:space="preserve"> </w:t>
      </w:r>
      <w:r w:rsidRPr="00FB2D79">
        <w:rPr>
          <w:rFonts w:ascii="Cambria" w:hAnsi="Cambria"/>
          <w:sz w:val="20"/>
          <w:szCs w:val="20"/>
          <w:lang w:val="es-ES"/>
        </w:rPr>
        <w:t xml:space="preserve">que las presuntas víctimas presentaron las acciones judiciales disponibles a nivel interno </w:t>
      </w:r>
      <w:r w:rsidR="00517B31" w:rsidRPr="00FB2D79">
        <w:rPr>
          <w:rFonts w:ascii="Cambria" w:hAnsi="Cambria"/>
          <w:sz w:val="20"/>
          <w:szCs w:val="20"/>
          <w:lang w:val="es-ES"/>
        </w:rPr>
        <w:t xml:space="preserve">para hacer cumplir la sentencia, </w:t>
      </w:r>
      <w:r w:rsidRPr="00FB2D79">
        <w:rPr>
          <w:rFonts w:ascii="Cambria" w:hAnsi="Cambria"/>
          <w:sz w:val="20"/>
          <w:szCs w:val="20"/>
          <w:lang w:val="es-ES"/>
        </w:rPr>
        <w:t xml:space="preserve">sin que </w:t>
      </w:r>
      <w:r w:rsidR="00A10445" w:rsidRPr="00FB2D79">
        <w:rPr>
          <w:rFonts w:ascii="Cambria" w:hAnsi="Cambria"/>
          <w:sz w:val="20"/>
          <w:szCs w:val="20"/>
          <w:lang w:val="es-ES"/>
        </w:rPr>
        <w:t>dichos recursos</w:t>
      </w:r>
      <w:r w:rsidRPr="00FB2D79">
        <w:rPr>
          <w:rFonts w:ascii="Cambria" w:hAnsi="Cambria"/>
          <w:sz w:val="20"/>
          <w:szCs w:val="20"/>
          <w:lang w:val="es-ES"/>
        </w:rPr>
        <w:t xml:space="preserve"> resultaran eficaces. Por otra parte, </w:t>
      </w:r>
      <w:r w:rsidR="00517B31" w:rsidRPr="00FB2D79">
        <w:rPr>
          <w:rFonts w:ascii="Cambria" w:hAnsi="Cambria"/>
          <w:sz w:val="20"/>
          <w:szCs w:val="20"/>
          <w:lang w:val="es-ES"/>
        </w:rPr>
        <w:t xml:space="preserve">de la información disponible </w:t>
      </w:r>
      <w:r w:rsidRPr="00FB2D79">
        <w:rPr>
          <w:rFonts w:ascii="Cambria" w:hAnsi="Cambria"/>
          <w:sz w:val="20"/>
          <w:szCs w:val="20"/>
          <w:lang w:val="es-ES"/>
        </w:rPr>
        <w:t xml:space="preserve">no se desprende que exista </w:t>
      </w:r>
      <w:r w:rsidR="00517B31" w:rsidRPr="00FB2D79">
        <w:rPr>
          <w:rFonts w:ascii="Cambria" w:hAnsi="Cambria"/>
          <w:sz w:val="20"/>
          <w:szCs w:val="20"/>
          <w:lang w:val="es-ES"/>
        </w:rPr>
        <w:t xml:space="preserve">en la legislación interna </w:t>
      </w:r>
      <w:r w:rsidR="0096490B" w:rsidRPr="00FB2D79">
        <w:rPr>
          <w:rFonts w:ascii="Cambria" w:hAnsi="Cambria"/>
          <w:sz w:val="20"/>
          <w:szCs w:val="20"/>
          <w:lang w:val="es-ES"/>
        </w:rPr>
        <w:t>otras medidas de</w:t>
      </w:r>
      <w:r w:rsidRPr="00FB2D79">
        <w:rPr>
          <w:rFonts w:ascii="Cambria" w:hAnsi="Cambria"/>
          <w:sz w:val="20"/>
          <w:szCs w:val="20"/>
          <w:lang w:val="es-ES"/>
        </w:rPr>
        <w:t xml:space="preserve"> ejecución de s</w:t>
      </w:r>
      <w:r w:rsidR="00517B31" w:rsidRPr="00FB2D79">
        <w:rPr>
          <w:rFonts w:ascii="Cambria" w:hAnsi="Cambria"/>
          <w:sz w:val="20"/>
          <w:szCs w:val="20"/>
          <w:lang w:val="es-ES"/>
        </w:rPr>
        <w:t>entencia</w:t>
      </w:r>
      <w:r w:rsidR="00A10445" w:rsidRPr="00FB2D79">
        <w:rPr>
          <w:rFonts w:ascii="Cambria" w:hAnsi="Cambria"/>
          <w:sz w:val="20"/>
          <w:szCs w:val="20"/>
          <w:lang w:val="es-ES"/>
        </w:rPr>
        <w:t xml:space="preserve"> que las presuntas víctimas hubieran debido agotar</w:t>
      </w:r>
      <w:r w:rsidRPr="00FB2D79">
        <w:rPr>
          <w:rFonts w:ascii="Cambria" w:hAnsi="Cambria"/>
          <w:sz w:val="20"/>
          <w:szCs w:val="20"/>
          <w:lang w:val="es-ES"/>
        </w:rPr>
        <w:t>. Por lo tanto, la CIDH concluye que es aplicable la excepción al agotamiento de los recursos internos prevista en el artículo 46.2.a de la Convención Americana.</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lang w:val="es-ES"/>
        </w:rPr>
      </w:pPr>
      <w:r w:rsidRPr="00FB2D79">
        <w:rPr>
          <w:rFonts w:ascii="Cambria" w:hAnsi="Cambria"/>
          <w:b/>
          <w:sz w:val="20"/>
          <w:szCs w:val="20"/>
          <w:lang w:val="es-ES"/>
        </w:rPr>
        <w:t>2.</w:t>
      </w:r>
      <w:r w:rsidRPr="00FB2D79">
        <w:rPr>
          <w:rFonts w:ascii="Cambria" w:hAnsi="Cambria"/>
          <w:b/>
          <w:sz w:val="20"/>
          <w:szCs w:val="20"/>
          <w:lang w:val="es-ES"/>
        </w:rPr>
        <w:tab/>
        <w:t>Plazo de presentación de la petición</w:t>
      </w:r>
    </w:p>
    <w:p w:rsidR="00F60169" w:rsidRPr="00FB2D79" w:rsidRDefault="00F60169" w:rsidP="00A86C52">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cs="Arial"/>
          <w:sz w:val="20"/>
          <w:szCs w:val="20"/>
          <w:lang w:val="es-ES"/>
        </w:rPr>
        <w:t>El artículo 46.1.b de l</w:t>
      </w:r>
      <w:r w:rsidRPr="00FB2D79">
        <w:rPr>
          <w:rFonts w:ascii="Cambria" w:hAnsi="Cambria"/>
          <w:sz w:val="20"/>
          <w:szCs w:val="20"/>
          <w:lang w:val="es-ES"/>
        </w:rPr>
        <w:t>a Convención Americana establece que para que una petición resulte admisible por la Comisión se requerirá que sea presentada dentro del plazo de seis meses a partir de la fecha en que el presunto lesionado haya sido notificado de la decisión definitiva.</w:t>
      </w:r>
      <w:r w:rsidRPr="00FB2D79">
        <w:rPr>
          <w:rFonts w:ascii="Cambria" w:hAnsi="Cambria"/>
          <w:color w:val="FF0000"/>
          <w:sz w:val="20"/>
          <w:szCs w:val="20"/>
          <w:lang w:val="es-ES"/>
        </w:rPr>
        <w:t xml:space="preserve"> </w:t>
      </w:r>
      <w:r w:rsidRPr="00FB2D79">
        <w:rPr>
          <w:rFonts w:ascii="Cambria" w:hAnsi="Cambria"/>
          <w:sz w:val="20"/>
          <w:szCs w:val="20"/>
          <w:lang w:val="es-ES"/>
        </w:rPr>
        <w:t>En el reclamo bajo análisis, la CIDH ha establecido la aplicación de la excepción al agotamiento de los recursos internos conforme al artículo 46.2.a de la Convención Americana. Al respecto, el artículo 32.2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F60169" w:rsidRPr="00FB2D79" w:rsidRDefault="00F60169" w:rsidP="008A7BB7">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 xml:space="preserve">La petición ante la CIDH fue presentada el 17 de junio de 2002. Como ya se indicó, luego de la sentencia cuyo incumplimiento es el objeto de la presente petición, la Corte de Apelaciones de Santiago emitió tres órdenes entre 1980 y 1995 para hacer cumplir la sentencia. Asimismo, las presuntas víctimas presentaron acciones de inconstitucionalidad entre 1998 y 2003 sin obtener un pronunciamiento al respecto. </w:t>
      </w:r>
      <w:r w:rsidR="008A7BB7" w:rsidRPr="00FB2D79">
        <w:rPr>
          <w:rFonts w:ascii="Cambria" w:hAnsi="Cambria"/>
          <w:sz w:val="20"/>
          <w:szCs w:val="20"/>
          <w:lang w:val="es-ES"/>
        </w:rPr>
        <w:t xml:space="preserve">Por otra parte, según lo alegado, el propio Estado habría reconocido que </w:t>
      </w:r>
      <w:r w:rsidR="00E67801" w:rsidRPr="00FB2D79">
        <w:rPr>
          <w:rFonts w:ascii="Cambria" w:hAnsi="Cambria"/>
          <w:sz w:val="20"/>
          <w:szCs w:val="20"/>
          <w:lang w:val="es-ES"/>
        </w:rPr>
        <w:t>tuvo</w:t>
      </w:r>
      <w:r w:rsidR="008A7BB7" w:rsidRPr="00FB2D79">
        <w:rPr>
          <w:rFonts w:ascii="Cambria" w:hAnsi="Cambria"/>
          <w:sz w:val="20"/>
          <w:szCs w:val="20"/>
          <w:lang w:val="es-ES"/>
        </w:rPr>
        <w:t xml:space="preserve"> la obligación de resolver la presunta situación de expropiación en varias oportunidades, sin supuestamente haber adoptado las medidas necesarias para resolver la situación denunciada.</w:t>
      </w:r>
    </w:p>
    <w:p w:rsidR="00F60169" w:rsidRPr="00FB2D79" w:rsidRDefault="00F60169" w:rsidP="00A86C52">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Por lo tanto, de la actividad de las presuntas víctimas se desprende que éstos tenían la expectativa legítima de que el asunto fuera resuelto a nivel interno. Con base en las circunstancias del caso y teniendo en cuenta que el incumplimiento de una sentencia judicial firme configura una violación continuada del derecho a la tutela judicial efectiva</w:t>
      </w:r>
      <w:r w:rsidRPr="00FB2D79">
        <w:rPr>
          <w:rFonts w:ascii="Cambria" w:hAnsi="Cambria"/>
          <w:sz w:val="20"/>
          <w:szCs w:val="20"/>
          <w:vertAlign w:val="superscript"/>
          <w:lang w:val="es-ES"/>
        </w:rPr>
        <w:footnoteReference w:id="3"/>
      </w:r>
      <w:r w:rsidRPr="00FB2D79">
        <w:rPr>
          <w:rFonts w:ascii="Cambria" w:hAnsi="Cambria"/>
          <w:sz w:val="20"/>
          <w:szCs w:val="20"/>
          <w:lang w:val="es-ES"/>
        </w:rPr>
        <w:t>, la CIDH concluye que la petición cumple con el requisito previsto en el artículo 32.2 del Reglamento de la Comisión.</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3.</w:t>
      </w:r>
      <w:r w:rsidRPr="00FB2D79">
        <w:rPr>
          <w:rFonts w:ascii="Cambria" w:hAnsi="Cambria"/>
          <w:b/>
          <w:bCs/>
          <w:sz w:val="20"/>
          <w:szCs w:val="20"/>
          <w:lang w:val="es-ES"/>
        </w:rPr>
        <w:tab/>
        <w:t>Duplicación de procedimientos y cosa juzgada</w:t>
      </w:r>
      <w:r w:rsidRPr="00FB2D79">
        <w:rPr>
          <w:rFonts w:ascii="Cambria" w:hAnsi="Cambria"/>
          <w:b/>
          <w:bCs/>
          <w:i/>
          <w:sz w:val="20"/>
          <w:szCs w:val="20"/>
          <w:lang w:val="es-ES"/>
        </w:rPr>
        <w:t xml:space="preserve"> </w:t>
      </w:r>
      <w:r w:rsidRPr="00FB2D79">
        <w:rPr>
          <w:rFonts w:ascii="Cambria" w:hAnsi="Cambria"/>
          <w:b/>
          <w:bCs/>
          <w:sz w:val="20"/>
          <w:szCs w:val="20"/>
          <w:lang w:val="es-ES"/>
        </w:rPr>
        <w:t>internacional</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 xml:space="preserve">No surge del expediente que la materia de la petición se encuentre pendiente de otro procedimiento de arreglo internacional, ni que reproduzca una petición ya examinada por éste u otro órgano </w:t>
      </w:r>
      <w:r w:rsidRPr="00FB2D79">
        <w:rPr>
          <w:rFonts w:ascii="Cambria" w:hAnsi="Cambria"/>
          <w:sz w:val="20"/>
          <w:szCs w:val="20"/>
          <w:lang w:val="es-ES"/>
        </w:rPr>
        <w:lastRenderedPageBreak/>
        <w:t xml:space="preserve">internacional. Por lo tanto, no son aplicables las causales de inadmisibilidad establecidas en los artículos 46.1.c y 47.d de la Convención. </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4.</w:t>
      </w:r>
      <w:r w:rsidRPr="00FB2D79">
        <w:rPr>
          <w:rFonts w:ascii="Cambria" w:hAnsi="Cambria"/>
          <w:b/>
          <w:bCs/>
          <w:sz w:val="20"/>
          <w:szCs w:val="20"/>
          <w:lang w:val="es-ES"/>
        </w:rPr>
        <w:tab/>
        <w:t>Caracterización de los hechos alegados</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El criterio para analizar la admisibilidad difiere del utilizado para el análisis del fondo de la petición dado que la Comisión sólo realiza un análisis </w:t>
      </w:r>
      <w:r w:rsidRPr="00FB2D79">
        <w:rPr>
          <w:rFonts w:ascii="Cambria" w:hAnsi="Cambria"/>
          <w:i/>
          <w:sz w:val="20"/>
          <w:szCs w:val="20"/>
          <w:lang w:val="es-ES"/>
        </w:rPr>
        <w:t>prima facie</w:t>
      </w:r>
      <w:r w:rsidRPr="00FB2D79">
        <w:rPr>
          <w:rFonts w:ascii="Cambria" w:hAnsi="Cambria"/>
          <w:sz w:val="20"/>
          <w:szCs w:val="20"/>
          <w:lang w:val="es-ES"/>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F60169" w:rsidRPr="00FB2D79" w:rsidRDefault="00F60169" w:rsidP="008645D0">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lang w:val="es-ES"/>
        </w:rPr>
      </w:pPr>
      <w:r w:rsidRPr="00FB2D79">
        <w:rPr>
          <w:rFonts w:ascii="Cambria" w:eastAsia="SimSun" w:hAnsi="Cambria"/>
          <w:sz w:val="20"/>
          <w:szCs w:val="20"/>
          <w:lang w:val="es-ES"/>
        </w:rPr>
        <w:t>El peticionario</w:t>
      </w:r>
      <w:r w:rsidRPr="00FB2D79">
        <w:rPr>
          <w:rFonts w:ascii="Cambria" w:eastAsia="SimSun" w:hAnsi="Cambria"/>
          <w:color w:val="FF0000"/>
          <w:sz w:val="20"/>
          <w:szCs w:val="20"/>
          <w:lang w:val="es-ES"/>
        </w:rPr>
        <w:t xml:space="preserve"> </w:t>
      </w:r>
      <w:r w:rsidRPr="00FB2D79">
        <w:rPr>
          <w:rFonts w:ascii="Cambria" w:eastAsia="SimSun" w:hAnsi="Cambria"/>
          <w:sz w:val="20"/>
          <w:szCs w:val="20"/>
          <w:lang w:val="es-ES"/>
        </w:rPr>
        <w:t xml:space="preserve">sostiene que las presuntas víctimas han buscado por diversas vías legales la ejecución de </w:t>
      </w:r>
      <w:r w:rsidR="008238F1" w:rsidRPr="00FB2D79">
        <w:rPr>
          <w:rFonts w:ascii="Cambria" w:eastAsia="SimSun" w:hAnsi="Cambria"/>
          <w:sz w:val="20"/>
          <w:szCs w:val="20"/>
          <w:lang w:val="es-ES"/>
        </w:rPr>
        <w:t xml:space="preserve">la </w:t>
      </w:r>
      <w:r w:rsidRPr="00FB2D79">
        <w:rPr>
          <w:rFonts w:ascii="Cambria" w:eastAsia="SimSun" w:hAnsi="Cambria"/>
          <w:sz w:val="20"/>
          <w:szCs w:val="20"/>
          <w:lang w:val="es-ES"/>
        </w:rPr>
        <w:t xml:space="preserve">sentencia emitida por la Corte de Apelaciones de Santiago que adquirió firmeza con la decisión de la Suprema Corte de Justicia, donde se decide la devolución de </w:t>
      </w:r>
      <w:r w:rsidR="008238F1" w:rsidRPr="00FB2D79">
        <w:rPr>
          <w:rFonts w:ascii="Cambria" w:eastAsia="SimSun" w:hAnsi="Cambria"/>
          <w:sz w:val="20"/>
          <w:szCs w:val="20"/>
          <w:lang w:val="es-ES"/>
        </w:rPr>
        <w:t>los</w:t>
      </w:r>
      <w:r w:rsidRPr="00FB2D79">
        <w:rPr>
          <w:rFonts w:ascii="Cambria" w:eastAsia="SimSun" w:hAnsi="Cambria"/>
          <w:sz w:val="20"/>
          <w:szCs w:val="20"/>
          <w:lang w:val="es-ES"/>
        </w:rPr>
        <w:t xml:space="preserve"> bienes que les fueron expropiados y confiscados</w:t>
      </w:r>
      <w:r w:rsidR="008238F1" w:rsidRPr="00FB2D79">
        <w:rPr>
          <w:rFonts w:ascii="Cambria" w:eastAsia="SimSun" w:hAnsi="Cambria"/>
          <w:sz w:val="20"/>
          <w:szCs w:val="20"/>
          <w:lang w:val="es-ES"/>
        </w:rPr>
        <w:t xml:space="preserve"> a las presuntas víctimas, e indica</w:t>
      </w:r>
      <w:r w:rsidRPr="00FB2D79">
        <w:rPr>
          <w:rFonts w:ascii="Cambria" w:eastAsia="SimSun" w:hAnsi="Cambria"/>
          <w:sz w:val="20"/>
          <w:szCs w:val="20"/>
          <w:lang w:val="es-ES"/>
        </w:rPr>
        <w:t xml:space="preserve"> que el Estado no ha acatado la resolución. Por lo anterior el peticionario afirma que se han violado los derechos de las presuntas víctimas consagrados en los artículos 1, 21, 25 y 63 de la Convención Americana. El Estado, por su parte, no ha presentado observaciones respecto de la presente petición, a pesar de haber tenido la oportunidad procesal de hacerlo</w:t>
      </w:r>
      <w:r w:rsidR="004C6D7B" w:rsidRPr="00FB2D79">
        <w:rPr>
          <w:rFonts w:ascii="Cambria" w:eastAsia="SimSun" w:hAnsi="Cambria"/>
          <w:sz w:val="20"/>
          <w:szCs w:val="20"/>
          <w:lang w:val="es-ES"/>
        </w:rPr>
        <w:t>.</w:t>
      </w:r>
      <w:r w:rsidRPr="00FB2D79">
        <w:rPr>
          <w:rFonts w:ascii="Cambria" w:eastAsia="SimSun" w:hAnsi="Cambria"/>
          <w:sz w:val="20"/>
          <w:szCs w:val="20"/>
          <w:lang w:val="es-ES"/>
        </w:rPr>
        <w:t xml:space="preserve"> </w:t>
      </w:r>
    </w:p>
    <w:p w:rsidR="00F60169" w:rsidRPr="00FB2D79" w:rsidRDefault="00F60169" w:rsidP="007C0488">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 xml:space="preserve">En vista de los elementos de hecho y de derecho presentados por el peticionario y la naturaleza del asunto puesto bajo su conocimiento, </w:t>
      </w:r>
      <w:r w:rsidR="007C0488" w:rsidRPr="00FB2D79">
        <w:rPr>
          <w:rFonts w:ascii="Cambria" w:hAnsi="Cambria"/>
          <w:sz w:val="20"/>
          <w:szCs w:val="20"/>
          <w:lang w:val="es-ES"/>
        </w:rPr>
        <w:t xml:space="preserve">que presuntamente plantea una situación continuada de denegación de justicia, </w:t>
      </w:r>
      <w:r w:rsidRPr="00FB2D79">
        <w:rPr>
          <w:rFonts w:ascii="Cambria" w:hAnsi="Cambria"/>
          <w:sz w:val="20"/>
          <w:szCs w:val="20"/>
          <w:lang w:val="es-ES"/>
        </w:rPr>
        <w:t>la CIDH considera que, de ser probados, los hechos alegados podrían caracterizar posibles violaciones a los derechos protegidos en los artículos 8</w:t>
      </w:r>
      <w:r w:rsidR="00C64B5F" w:rsidRPr="00FB2D79">
        <w:rPr>
          <w:rFonts w:ascii="Cambria" w:hAnsi="Cambria"/>
          <w:sz w:val="20"/>
          <w:szCs w:val="20"/>
          <w:lang w:val="es-ES"/>
        </w:rPr>
        <w:t>, 21</w:t>
      </w:r>
      <w:r w:rsidRPr="00FB2D79">
        <w:rPr>
          <w:rFonts w:ascii="Cambria" w:hAnsi="Cambria"/>
          <w:sz w:val="20"/>
          <w:szCs w:val="20"/>
          <w:lang w:val="es-ES"/>
        </w:rPr>
        <w:t xml:space="preserve"> y 25 de la Convención Americana, en concordancia con el artículo </w:t>
      </w:r>
      <w:r w:rsidRPr="00FB2D79">
        <w:rPr>
          <w:sz w:val="20"/>
          <w:szCs w:val="20"/>
          <w:lang w:val="es-ES"/>
        </w:rPr>
        <w:t xml:space="preserve">1 </w:t>
      </w:r>
      <w:r w:rsidRPr="00FB2D79">
        <w:rPr>
          <w:rFonts w:ascii="Cambria" w:hAnsi="Cambria"/>
          <w:sz w:val="20"/>
          <w:szCs w:val="20"/>
          <w:lang w:val="es-ES"/>
        </w:rPr>
        <w:t>de dicho tratado; así como de los artículos XVIII y XXIII de la Declaración Americana respecto a las alegadas violaciones al derecho a la propiedad y a la falta de acceso a la justicia que habrían tenido lugar antes de la entrada en vigor de la Convención en República Dominicana.</w:t>
      </w:r>
    </w:p>
    <w:p w:rsidR="00F60169" w:rsidRPr="00FB2D79" w:rsidRDefault="00F60169" w:rsidP="008645D0">
      <w:pPr>
        <w:pStyle w:val="BodyText"/>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eastAsia="SimSun" w:hAnsi="Cambria"/>
          <w:sz w:val="20"/>
          <w:szCs w:val="20"/>
          <w:lang w:val="es-ES"/>
        </w:rPr>
      </w:pPr>
      <w:r w:rsidRPr="00FB2D79">
        <w:rPr>
          <w:rFonts w:ascii="Cambria" w:eastAsia="SimSun" w:hAnsi="Cambria"/>
          <w:sz w:val="20"/>
          <w:szCs w:val="20"/>
          <w:lang w:val="es-ES"/>
        </w:rPr>
        <w:t>En cuanto al reclamo del peticionario sobre la presunta violación del artículo 63</w:t>
      </w:r>
      <w:r w:rsidR="001421B7" w:rsidRPr="00FB2D79">
        <w:rPr>
          <w:rFonts w:ascii="Cambria" w:eastAsia="SimSun" w:hAnsi="Cambria"/>
          <w:sz w:val="20"/>
          <w:szCs w:val="20"/>
          <w:lang w:val="es-ES"/>
        </w:rPr>
        <w:t>.1</w:t>
      </w:r>
      <w:r w:rsidRPr="00FB2D79">
        <w:rPr>
          <w:rFonts w:ascii="Cambria" w:eastAsia="SimSun" w:hAnsi="Cambria"/>
          <w:sz w:val="20"/>
          <w:szCs w:val="20"/>
          <w:lang w:val="es-ES"/>
        </w:rPr>
        <w:t xml:space="preserve"> de la Convención Americana, </w:t>
      </w:r>
      <w:r w:rsidR="001421B7" w:rsidRPr="00FB2D79">
        <w:rPr>
          <w:rFonts w:ascii="Cambria" w:eastAsia="SimSun" w:hAnsi="Cambria"/>
          <w:sz w:val="20"/>
          <w:szCs w:val="20"/>
          <w:lang w:val="es-ES"/>
        </w:rPr>
        <w:t xml:space="preserve">relativo a la facultad de la Corte Interamericana de ordenar reparaciones, </w:t>
      </w:r>
      <w:r w:rsidRPr="00FB2D79">
        <w:rPr>
          <w:rFonts w:ascii="Cambria" w:eastAsia="SimSun" w:hAnsi="Cambria"/>
          <w:sz w:val="20"/>
          <w:szCs w:val="20"/>
          <w:lang w:val="es-ES"/>
        </w:rPr>
        <w:t>la Comisión observa que dicha norma no es aplicable en la presente etapa del procedimiento ante el Sistema Interamericano</w:t>
      </w:r>
      <w:r w:rsidR="001421B7" w:rsidRPr="00FB2D79">
        <w:rPr>
          <w:rFonts w:ascii="Cambria" w:eastAsia="SimSun" w:hAnsi="Cambria"/>
          <w:sz w:val="20"/>
          <w:szCs w:val="20"/>
          <w:lang w:val="es-ES"/>
        </w:rPr>
        <w:t>.</w:t>
      </w:r>
    </w:p>
    <w:p w:rsidR="00F60169" w:rsidRPr="00FB2D79" w:rsidRDefault="00F60169" w:rsidP="008645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FB2D79">
        <w:rPr>
          <w:rFonts w:ascii="Cambria" w:hAnsi="Cambria"/>
          <w:b/>
          <w:bCs/>
          <w:sz w:val="20"/>
          <w:szCs w:val="20"/>
          <w:lang w:val="es-ES"/>
        </w:rPr>
        <w:t>V.</w:t>
      </w:r>
      <w:r w:rsidRPr="00FB2D79">
        <w:rPr>
          <w:rFonts w:ascii="Cambria" w:hAnsi="Cambria"/>
          <w:b/>
          <w:bCs/>
          <w:sz w:val="20"/>
          <w:szCs w:val="20"/>
          <w:lang w:val="es-ES"/>
        </w:rPr>
        <w:tab/>
        <w:t>CONCLUSIONES</w:t>
      </w:r>
    </w:p>
    <w:p w:rsidR="00F60169" w:rsidRPr="00FB2D79" w:rsidRDefault="00F60169" w:rsidP="008645D0">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FB2D79">
        <w:rPr>
          <w:rFonts w:ascii="Cambria" w:hAnsi="Cambria"/>
          <w:sz w:val="20"/>
          <w:szCs w:val="20"/>
          <w:lang w:val="es-ES"/>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114FD8" w:rsidRDefault="00F60169" w:rsidP="00114FD8">
      <w:pPr>
        <w:pBdr>
          <w:top w:val="none" w:sz="0" w:space="0" w:color="auto"/>
          <w:left w:val="none" w:sz="0" w:space="0" w:color="auto"/>
          <w:bottom w:val="none" w:sz="0" w:space="0" w:color="auto"/>
          <w:right w:val="none" w:sz="0" w:space="0" w:color="auto"/>
          <w:bar w:val="none" w:sz="0" w:color="auto"/>
        </w:pBdr>
        <w:spacing w:after="240"/>
        <w:jc w:val="center"/>
        <w:rPr>
          <w:rFonts w:ascii="Cambria" w:hAnsi="Cambria"/>
          <w:b/>
          <w:bCs/>
          <w:sz w:val="20"/>
          <w:szCs w:val="20"/>
          <w:lang w:val="es-ES"/>
        </w:rPr>
      </w:pPr>
      <w:r w:rsidRPr="00FB2D79">
        <w:rPr>
          <w:rFonts w:ascii="Cambria" w:hAnsi="Cambria"/>
          <w:b/>
          <w:bCs/>
          <w:sz w:val="20"/>
          <w:szCs w:val="20"/>
          <w:lang w:val="es-ES"/>
        </w:rPr>
        <w:t>LA COMISIÓN INTERAMERICANA DE DERECHOS HUMANOS</w:t>
      </w:r>
      <w:r w:rsidR="00764287">
        <w:rPr>
          <w:rFonts w:ascii="Cambria" w:hAnsi="Cambria"/>
          <w:b/>
          <w:bCs/>
          <w:sz w:val="20"/>
          <w:szCs w:val="20"/>
          <w:lang w:val="es-ES"/>
        </w:rPr>
        <w:t>,</w:t>
      </w:r>
    </w:p>
    <w:p w:rsidR="00F60169" w:rsidRPr="00FB2D79" w:rsidRDefault="00F60169" w:rsidP="00114FD8">
      <w:pPr>
        <w:pBdr>
          <w:top w:val="none" w:sz="0" w:space="0" w:color="auto"/>
          <w:left w:val="none" w:sz="0" w:space="0" w:color="auto"/>
          <w:bottom w:val="none" w:sz="0" w:space="0" w:color="auto"/>
          <w:right w:val="none" w:sz="0" w:space="0" w:color="auto"/>
          <w:bar w:val="none" w:sz="0" w:color="auto"/>
        </w:pBdr>
        <w:spacing w:after="240"/>
        <w:rPr>
          <w:rFonts w:ascii="Cambria" w:hAnsi="Cambria"/>
          <w:b/>
          <w:bCs/>
          <w:sz w:val="20"/>
          <w:szCs w:val="20"/>
          <w:lang w:val="es-ES"/>
        </w:rPr>
      </w:pPr>
      <w:r w:rsidRPr="00FB2D79">
        <w:rPr>
          <w:rFonts w:ascii="Cambria" w:hAnsi="Cambria"/>
          <w:b/>
          <w:bCs/>
          <w:sz w:val="20"/>
          <w:szCs w:val="20"/>
          <w:lang w:val="es-ES"/>
        </w:rPr>
        <w:t>DECIDE:</w:t>
      </w:r>
    </w:p>
    <w:p w:rsidR="00F60169" w:rsidRDefault="00F60169" w:rsidP="008645D0">
      <w:pPr>
        <w:pStyle w:val="ListParagraph"/>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B2D79">
        <w:rPr>
          <w:color w:val="auto"/>
          <w:sz w:val="20"/>
          <w:szCs w:val="20"/>
          <w:lang w:val="es-ES"/>
        </w:rPr>
        <w:t xml:space="preserve">Declarar admisible la presente petición en relación con los artículos </w:t>
      </w:r>
      <w:r w:rsidRPr="00FB2D79">
        <w:rPr>
          <w:color w:val="auto"/>
          <w:sz w:val="20"/>
          <w:szCs w:val="20"/>
          <w:lang w:val="es-MX"/>
        </w:rPr>
        <w:t>1, 8</w:t>
      </w:r>
      <w:r w:rsidR="00C64B5F" w:rsidRPr="00FB2D79">
        <w:rPr>
          <w:color w:val="auto"/>
          <w:sz w:val="20"/>
          <w:szCs w:val="20"/>
          <w:lang w:val="es-MX"/>
        </w:rPr>
        <w:t>, 21</w:t>
      </w:r>
      <w:r w:rsidRPr="00FB2D79">
        <w:rPr>
          <w:color w:val="auto"/>
          <w:sz w:val="20"/>
          <w:szCs w:val="20"/>
          <w:lang w:val="es-MX"/>
        </w:rPr>
        <w:t xml:space="preserve"> y 25 </w:t>
      </w:r>
      <w:r w:rsidRPr="00FB2D79">
        <w:rPr>
          <w:color w:val="auto"/>
          <w:sz w:val="20"/>
          <w:szCs w:val="20"/>
          <w:lang w:val="es-ES"/>
        </w:rPr>
        <w:t>de la Convención Americana en conexión con las obligaciones establecidas en el artículo 1 del mismo instrumento;</w:t>
      </w:r>
      <w:r w:rsidR="008238F1" w:rsidRPr="00FB2D79">
        <w:rPr>
          <w:color w:val="auto"/>
          <w:sz w:val="20"/>
          <w:szCs w:val="20"/>
          <w:lang w:val="es-ES"/>
        </w:rPr>
        <w:t xml:space="preserve"> y</w:t>
      </w:r>
      <w:r w:rsidRPr="00FB2D79">
        <w:rPr>
          <w:color w:val="auto"/>
          <w:sz w:val="20"/>
          <w:szCs w:val="20"/>
          <w:lang w:val="es-ES"/>
        </w:rPr>
        <w:t xml:space="preserve"> en relación con los artículos </w:t>
      </w:r>
      <w:r w:rsidRPr="00FB2D79">
        <w:rPr>
          <w:color w:val="auto"/>
          <w:sz w:val="20"/>
          <w:szCs w:val="20"/>
          <w:lang w:val="es-MX"/>
        </w:rPr>
        <w:t xml:space="preserve">XVIII y XXIII </w:t>
      </w:r>
      <w:r w:rsidRPr="00FB2D79">
        <w:rPr>
          <w:color w:val="auto"/>
          <w:sz w:val="20"/>
          <w:szCs w:val="20"/>
          <w:lang w:val="es-ES"/>
        </w:rPr>
        <w:t>de la Declaración Americana;</w:t>
      </w:r>
    </w:p>
    <w:p w:rsidR="00764287" w:rsidRPr="00FB2D79" w:rsidRDefault="00764287" w:rsidP="00764287">
      <w:pPr>
        <w:pStyle w:val="ListParagraph"/>
        <w:pBdr>
          <w:top w:val="none" w:sz="0" w:space="0" w:color="auto"/>
          <w:left w:val="none" w:sz="0" w:space="0" w:color="auto"/>
          <w:bottom w:val="none" w:sz="0" w:space="0" w:color="auto"/>
          <w:right w:val="none" w:sz="0" w:space="0" w:color="auto"/>
          <w:bar w:val="none" w:sz="0" w:color="auto"/>
        </w:pBdr>
        <w:suppressAutoHyphens/>
        <w:spacing w:after="240"/>
        <w:jc w:val="both"/>
        <w:rPr>
          <w:color w:val="auto"/>
          <w:sz w:val="20"/>
          <w:szCs w:val="20"/>
          <w:lang w:val="es-ES"/>
        </w:rPr>
      </w:pPr>
    </w:p>
    <w:p w:rsidR="00F60169" w:rsidRPr="00FB2D79" w:rsidRDefault="00F60169" w:rsidP="008645D0">
      <w:pPr>
        <w:pStyle w:val="ListParagraph"/>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B2D79">
        <w:rPr>
          <w:color w:val="auto"/>
          <w:sz w:val="20"/>
          <w:szCs w:val="20"/>
          <w:lang w:val="es-ES"/>
        </w:rPr>
        <w:t>Notificar a las partes la presente decisión;</w:t>
      </w:r>
    </w:p>
    <w:p w:rsidR="00F60169" w:rsidRPr="00FB2D79" w:rsidRDefault="00F60169" w:rsidP="008645D0">
      <w:pPr>
        <w:pStyle w:val="ListParagraph"/>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B2D79">
        <w:rPr>
          <w:color w:val="auto"/>
          <w:sz w:val="20"/>
          <w:szCs w:val="20"/>
          <w:lang w:val="es-ES"/>
        </w:rPr>
        <w:t>Continuar con el análisis del fondo de la cuestión; y</w:t>
      </w:r>
    </w:p>
    <w:p w:rsidR="00764287" w:rsidRDefault="00F60169" w:rsidP="00764287">
      <w:pPr>
        <w:pStyle w:val="ListParagraph"/>
        <w:numPr>
          <w:ilvl w:val="1"/>
          <w:numId w:val="57"/>
        </w:numPr>
        <w:pBdr>
          <w:top w:val="none" w:sz="0" w:space="0" w:color="auto"/>
          <w:left w:val="none" w:sz="0" w:space="0" w:color="auto"/>
          <w:bottom w:val="none" w:sz="0" w:space="0" w:color="auto"/>
          <w:right w:val="none" w:sz="0" w:space="0" w:color="auto"/>
          <w:bar w:val="none" w:sz="0" w:color="auto"/>
        </w:pBdr>
        <w:tabs>
          <w:tab w:val="clear" w:pos="1800"/>
          <w:tab w:val="num" w:pos="0"/>
        </w:tabs>
        <w:suppressAutoHyphens/>
        <w:spacing w:after="240"/>
        <w:ind w:left="0" w:firstLine="720"/>
        <w:jc w:val="both"/>
        <w:rPr>
          <w:color w:val="auto"/>
          <w:sz w:val="20"/>
          <w:szCs w:val="20"/>
          <w:lang w:val="es-ES"/>
        </w:rPr>
      </w:pPr>
      <w:r w:rsidRPr="00FB2D79">
        <w:rPr>
          <w:color w:val="auto"/>
          <w:sz w:val="20"/>
          <w:szCs w:val="20"/>
          <w:lang w:val="es-ES"/>
        </w:rPr>
        <w:t>Publicar esta decisión e incluirla en su Informe Anual a la Asamblea General de la Organización de los Estados Americanos.</w:t>
      </w:r>
    </w:p>
    <w:p w:rsidR="00114FD8" w:rsidRPr="00B9302B" w:rsidRDefault="00114FD8" w:rsidP="00114FD8">
      <w:pPr>
        <w:pStyle w:val="ListParagraph"/>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color w:val="auto"/>
          <w:sz w:val="20"/>
          <w:szCs w:val="20"/>
          <w:lang w:val="es-CL"/>
        </w:rPr>
      </w:pPr>
      <w:r w:rsidRPr="00114FD8">
        <w:rPr>
          <w:color w:val="auto"/>
          <w:sz w:val="20"/>
          <w:szCs w:val="20"/>
          <w:lang w:val="es-ES"/>
        </w:rPr>
        <w:t xml:space="preserve">Aprobado por la Comisión a los 4 días del mes de septiembre de 2016.  </w:t>
      </w:r>
      <w:r w:rsidR="00B9302B" w:rsidRPr="00B9302B">
        <w:rPr>
          <w:color w:val="auto"/>
          <w:sz w:val="20"/>
          <w:szCs w:val="20"/>
          <w:lang w:val="es-ES"/>
        </w:rPr>
        <w:t>(Firmado): James L. Cavallaro, Presidente; Francisco José Eguiguren, Primer Vicepresidente; Margarette May Macaulay, Segunda Vicepresidenta; José de Jesús Orozco Henríquez, Paulo Vannuchi, Esmeralda E. Arosemena Bernal de Troitiño, y Enrique Gil Botero, Miembros de la Comisión.</w:t>
      </w:r>
      <w:bookmarkStart w:id="2" w:name="_GoBack"/>
      <w:bookmarkEnd w:id="2"/>
    </w:p>
    <w:sectPr w:rsidR="00114FD8" w:rsidRPr="00B9302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85" w:rsidRDefault="0089348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93485" w:rsidRDefault="0089348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7B" w:rsidRDefault="00EA7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69" w:rsidRPr="00934A2C" w:rsidRDefault="00F60169">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9302B">
      <w:rPr>
        <w:noProof/>
        <w:sz w:val="16"/>
        <w:szCs w:val="22"/>
      </w:rPr>
      <w:t>7</w:t>
    </w:r>
    <w:r w:rsidRPr="00934A2C">
      <w:rPr>
        <w:sz w:val="16"/>
        <w:szCs w:val="22"/>
      </w:rPr>
      <w:fldChar w:fldCharType="end"/>
    </w:r>
  </w:p>
  <w:p w:rsidR="00F60169" w:rsidRDefault="00F60169">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69" w:rsidRPr="00934A2C" w:rsidRDefault="00F60169">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F60169" w:rsidRDefault="00F60169">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85" w:rsidRPr="000F35ED" w:rsidRDefault="00893485">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893485" w:rsidRPr="000F35ED" w:rsidRDefault="00893485"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893485" w:rsidRPr="000F35ED" w:rsidRDefault="00893485"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c</w:t>
      </w:r>
      <w:r w:rsidRPr="000F35ED">
        <w:rPr>
          <w:sz w:val="16"/>
          <w:szCs w:val="16"/>
        </w:rPr>
        <w:t>ontinuación</w:t>
      </w:r>
      <w:r>
        <w:rPr>
          <w:sz w:val="16"/>
          <w:szCs w:val="16"/>
        </w:rPr>
        <w:t>]</w:t>
      </w:r>
    </w:p>
  </w:footnote>
  <w:footnote w:type="continuationNotice" w:id="1">
    <w:p w:rsidR="00893485" w:rsidRPr="000F35ED" w:rsidRDefault="00893485"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[c</w:t>
      </w:r>
      <w:r w:rsidRPr="000F35ED">
        <w:rPr>
          <w:rFonts w:ascii="Cambria" w:hAnsi="Cambria"/>
          <w:sz w:val="16"/>
          <w:szCs w:val="16"/>
          <w:lang w:val="es-ES"/>
        </w:rPr>
        <w:t>ontinúa…</w:t>
      </w:r>
      <w:r>
        <w:rPr>
          <w:rFonts w:ascii="Cambria" w:hAnsi="Cambria"/>
          <w:sz w:val="16"/>
          <w:szCs w:val="16"/>
          <w:lang w:val="es-ES"/>
        </w:rPr>
        <w:t>]</w:t>
      </w:r>
    </w:p>
  </w:footnote>
  <w:footnote w:id="2">
    <w:p w:rsidR="00B519D4" w:rsidRPr="00B519D4" w:rsidRDefault="00B519D4" w:rsidP="00B519D4">
      <w:pPr>
        <w:pBdr>
          <w:top w:val="none" w:sz="0" w:space="0" w:color="auto"/>
          <w:left w:val="none" w:sz="0" w:space="0" w:color="auto"/>
          <w:bottom w:val="none" w:sz="0" w:space="0" w:color="auto"/>
          <w:right w:val="none" w:sz="0" w:space="0" w:color="auto"/>
          <w:bar w:val="none" w:sz="0" w:color="auto"/>
        </w:pBdr>
        <w:spacing w:before="120"/>
        <w:ind w:firstLine="720"/>
        <w:jc w:val="both"/>
        <w:rPr>
          <w:rFonts w:ascii="Cambria" w:hAnsi="Cambria" w:cs="Arial"/>
          <w:sz w:val="20"/>
          <w:szCs w:val="20"/>
          <w:lang w:val="es-ES"/>
        </w:rPr>
      </w:pPr>
      <w:r w:rsidRPr="00B519D4">
        <w:rPr>
          <w:rStyle w:val="FootnoteReference"/>
          <w:rFonts w:asciiTheme="majorHAnsi" w:hAnsiTheme="majorHAnsi"/>
          <w:sz w:val="16"/>
          <w:szCs w:val="16"/>
        </w:rPr>
        <w:footnoteRef/>
      </w:r>
      <w:r w:rsidRPr="00B519D4">
        <w:rPr>
          <w:rFonts w:asciiTheme="majorHAnsi" w:hAnsiTheme="majorHAnsi"/>
          <w:sz w:val="16"/>
          <w:szCs w:val="16"/>
          <w:lang w:val="es-ES"/>
        </w:rPr>
        <w:t xml:space="preserve"> </w:t>
      </w:r>
      <w:r w:rsidRPr="00B519D4">
        <w:rPr>
          <w:rFonts w:ascii="Cambria" w:hAnsi="Cambria" w:cs="Arial"/>
          <w:sz w:val="16"/>
          <w:szCs w:val="16"/>
          <w:lang w:val="es-ES"/>
        </w:rPr>
        <w:t xml:space="preserve">Mediante comunicación de 21 de agosto de 2003 el peticionario informó a la CIDH </w:t>
      </w:r>
      <w:r>
        <w:rPr>
          <w:rFonts w:ascii="Cambria" w:hAnsi="Cambria" w:cs="Arial"/>
          <w:sz w:val="16"/>
          <w:szCs w:val="16"/>
          <w:lang w:val="es-ES"/>
        </w:rPr>
        <w:t>respecto del</w:t>
      </w:r>
      <w:r w:rsidRPr="00B519D4">
        <w:rPr>
          <w:rFonts w:ascii="Cambria" w:hAnsi="Cambria" w:cs="Arial"/>
          <w:sz w:val="16"/>
          <w:szCs w:val="16"/>
          <w:lang w:val="es-ES"/>
        </w:rPr>
        <w:t xml:space="preserve"> fallecimiento de</w:t>
      </w:r>
      <w:r>
        <w:rPr>
          <w:rFonts w:ascii="Cambria" w:hAnsi="Cambria" w:cs="Arial"/>
          <w:sz w:val="16"/>
          <w:szCs w:val="16"/>
          <w:lang w:val="es-ES"/>
        </w:rPr>
        <w:t xml:space="preserve"> Arturo Elías Gadala María Dada</w:t>
      </w:r>
      <w:r w:rsidRPr="00B519D4">
        <w:rPr>
          <w:rFonts w:ascii="Cambria" w:hAnsi="Cambria" w:cs="Arial"/>
          <w:sz w:val="16"/>
          <w:szCs w:val="16"/>
          <w:lang w:val="es-ES"/>
        </w:rPr>
        <w:t>.</w:t>
      </w:r>
    </w:p>
  </w:footnote>
  <w:footnote w:id="3">
    <w:p w:rsidR="00F60169" w:rsidRPr="00CF41B5" w:rsidRDefault="00F60169" w:rsidP="00B519D4">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sidRPr="0085242B">
        <w:rPr>
          <w:rStyle w:val="FootnoteReference"/>
          <w:rFonts w:ascii="Cambria" w:hAnsi="Cambria"/>
          <w:sz w:val="16"/>
          <w:szCs w:val="16"/>
        </w:rPr>
        <w:footnoteRef/>
      </w:r>
      <w:r w:rsidRPr="0085242B">
        <w:rPr>
          <w:rFonts w:ascii="Cambria" w:hAnsi="Cambria"/>
          <w:sz w:val="16"/>
          <w:szCs w:val="16"/>
          <w:lang w:val="es-ES"/>
        </w:rPr>
        <w:t xml:space="preserve"> CIDH, Informe No. 42/06, Inadmisibilidad, Petición 12.215, Santiago Luis Chávez Córdova, Perú, 15 de marzo de 2006, párr. 16; CIDH, Informe No. 82/05, Inadmisibilidad, Petición 12.169, Efraín Echeverría y Amílcar Mario Acosta Luna, Ecuador, 24</w:t>
      </w:r>
      <w:r>
        <w:rPr>
          <w:rFonts w:ascii="Cambria" w:hAnsi="Cambria"/>
          <w:sz w:val="16"/>
          <w:szCs w:val="16"/>
          <w:lang w:val="es-ES"/>
        </w:rPr>
        <w:t xml:space="preserve"> de octubre de 2005, párr. 33.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69" w:rsidRDefault="00F60169" w:rsidP="00D57C19">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F60169" w:rsidRDefault="00F60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169" w:rsidRDefault="00E74B27" w:rsidP="00A50FCF">
    <w:pPr>
      <w:pStyle w:val="Header"/>
      <w:tabs>
        <w:tab w:val="clear" w:pos="4320"/>
        <w:tab w:val="clear" w:pos="8640"/>
      </w:tabs>
      <w:jc w:val="center"/>
      <w:rPr>
        <w:sz w:val="22"/>
        <w:szCs w:val="22"/>
      </w:rPr>
    </w:pPr>
    <w:r>
      <w:rPr>
        <w:noProof/>
        <w:sz w:val="22"/>
        <w:szCs w:val="22"/>
      </w:rPr>
      <w:drawing>
        <wp:inline distT="0" distB="0" distL="0" distR="0" wp14:anchorId="3CD9D3C9" wp14:editId="0B9E8F01">
          <wp:extent cx="1950720" cy="106680"/>
          <wp:effectExtent l="0" t="0" r="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106680"/>
                  </a:xfrm>
                  <a:prstGeom prst="rect">
                    <a:avLst/>
                  </a:prstGeom>
                  <a:noFill/>
                  <a:ln>
                    <a:noFill/>
                  </a:ln>
                </pic:spPr>
              </pic:pic>
            </a:graphicData>
          </a:graphic>
        </wp:inline>
      </w:drawing>
    </w:r>
  </w:p>
  <w:p w:rsidR="00F60169" w:rsidRPr="00EC7D62" w:rsidRDefault="00893485"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7B" w:rsidRDefault="00EA7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i w:val="0"/>
        <w:color w:val="auto"/>
        <w:sz w:val="20"/>
        <w:szCs w:val="20"/>
      </w:rPr>
    </w:lvl>
    <w:lvl w:ilvl="1">
      <w:start w:val="2"/>
      <w:numFmt w:val="upperRoman"/>
      <w:lvlText w:val="%2."/>
      <w:lvlJc w:val="left"/>
      <w:pPr>
        <w:tabs>
          <w:tab w:val="num" w:pos="2520"/>
        </w:tabs>
        <w:ind w:left="2520" w:hanging="720"/>
      </w:pPr>
      <w:rPr>
        <w:rFonts w:cs="Times New Roman"/>
        <w:i w:val="0"/>
      </w:rPr>
    </w:lvl>
    <w:lvl w:ilvl="2">
      <w:start w:val="3"/>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nsid w:val="0E1D2261"/>
    <w:multiLevelType w:val="hybridMultilevel"/>
    <w:tmpl w:val="A5E491BA"/>
    <w:lvl w:ilvl="0" w:tplc="11044AE4">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nsid w:val="255E314A"/>
    <w:multiLevelType w:val="hybridMultilevel"/>
    <w:tmpl w:val="30942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nsid w:val="6ED81DD2"/>
    <w:multiLevelType w:val="hybridMultilevel"/>
    <w:tmpl w:val="17209BEA"/>
    <w:lvl w:ilvl="0" w:tplc="0409000F">
      <w:start w:val="1"/>
      <w:numFmt w:val="decimal"/>
      <w:lvlText w:val="%1."/>
      <w:lvlJc w:val="left"/>
      <w:pPr>
        <w:ind w:left="477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4"/>
  </w:num>
  <w:num w:numId="4">
    <w:abstractNumId w:val="23"/>
  </w:num>
  <w:num w:numId="5">
    <w:abstractNumId w:val="47"/>
  </w:num>
  <w:num w:numId="6">
    <w:abstractNumId w:val="28"/>
  </w:num>
  <w:num w:numId="7">
    <w:abstractNumId w:val="7"/>
  </w:num>
  <w:num w:numId="8">
    <w:abstractNumId w:val="19"/>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F50"/>
    <w:rsid w:val="00006E1F"/>
    <w:rsid w:val="000070D7"/>
    <w:rsid w:val="000107F8"/>
    <w:rsid w:val="000139DB"/>
    <w:rsid w:val="00013A09"/>
    <w:rsid w:val="0001788C"/>
    <w:rsid w:val="00017C08"/>
    <w:rsid w:val="00017DF0"/>
    <w:rsid w:val="00024654"/>
    <w:rsid w:val="0003729E"/>
    <w:rsid w:val="00040011"/>
    <w:rsid w:val="00040C3A"/>
    <w:rsid w:val="00047222"/>
    <w:rsid w:val="00056B8A"/>
    <w:rsid w:val="00057DD7"/>
    <w:rsid w:val="00060E82"/>
    <w:rsid w:val="0006238A"/>
    <w:rsid w:val="000716C5"/>
    <w:rsid w:val="00075E23"/>
    <w:rsid w:val="00093209"/>
    <w:rsid w:val="0009344A"/>
    <w:rsid w:val="00095F02"/>
    <w:rsid w:val="000A0ECF"/>
    <w:rsid w:val="000A392E"/>
    <w:rsid w:val="000A575F"/>
    <w:rsid w:val="000A7366"/>
    <w:rsid w:val="000B03D5"/>
    <w:rsid w:val="000B4320"/>
    <w:rsid w:val="000B5AEA"/>
    <w:rsid w:val="000B758B"/>
    <w:rsid w:val="000D10DB"/>
    <w:rsid w:val="000D7E9C"/>
    <w:rsid w:val="000E1C52"/>
    <w:rsid w:val="000E5EB5"/>
    <w:rsid w:val="000F2EEB"/>
    <w:rsid w:val="000F35ED"/>
    <w:rsid w:val="000F59F7"/>
    <w:rsid w:val="00105D5F"/>
    <w:rsid w:val="00107131"/>
    <w:rsid w:val="0010736F"/>
    <w:rsid w:val="001121A9"/>
    <w:rsid w:val="00112D7A"/>
    <w:rsid w:val="00113F73"/>
    <w:rsid w:val="0011475A"/>
    <w:rsid w:val="00114FD8"/>
    <w:rsid w:val="0012147D"/>
    <w:rsid w:val="00121CC2"/>
    <w:rsid w:val="00132C24"/>
    <w:rsid w:val="0013349C"/>
    <w:rsid w:val="00133EE5"/>
    <w:rsid w:val="00134CC6"/>
    <w:rsid w:val="001361DA"/>
    <w:rsid w:val="00140687"/>
    <w:rsid w:val="001421B7"/>
    <w:rsid w:val="00144B6F"/>
    <w:rsid w:val="00153071"/>
    <w:rsid w:val="00160896"/>
    <w:rsid w:val="00166707"/>
    <w:rsid w:val="001679F7"/>
    <w:rsid w:val="00167A34"/>
    <w:rsid w:val="00174E84"/>
    <w:rsid w:val="001800BC"/>
    <w:rsid w:val="00181715"/>
    <w:rsid w:val="00182D70"/>
    <w:rsid w:val="001835A2"/>
    <w:rsid w:val="00183C21"/>
    <w:rsid w:val="00185939"/>
    <w:rsid w:val="00192052"/>
    <w:rsid w:val="001A701C"/>
    <w:rsid w:val="001A7870"/>
    <w:rsid w:val="001B416D"/>
    <w:rsid w:val="001C1B41"/>
    <w:rsid w:val="001C3DBC"/>
    <w:rsid w:val="001C3E1B"/>
    <w:rsid w:val="001D1C4A"/>
    <w:rsid w:val="001D43EF"/>
    <w:rsid w:val="001D65EF"/>
    <w:rsid w:val="001E2424"/>
    <w:rsid w:val="001F62A6"/>
    <w:rsid w:val="001F6724"/>
    <w:rsid w:val="001F700C"/>
    <w:rsid w:val="0020181F"/>
    <w:rsid w:val="002025E2"/>
    <w:rsid w:val="00220833"/>
    <w:rsid w:val="002250A3"/>
    <w:rsid w:val="00235217"/>
    <w:rsid w:val="00245497"/>
    <w:rsid w:val="00246D1F"/>
    <w:rsid w:val="00247403"/>
    <w:rsid w:val="00247542"/>
    <w:rsid w:val="00247DC7"/>
    <w:rsid w:val="002527DA"/>
    <w:rsid w:val="00254496"/>
    <w:rsid w:val="0025731A"/>
    <w:rsid w:val="0026525D"/>
    <w:rsid w:val="0026628E"/>
    <w:rsid w:val="00266B61"/>
    <w:rsid w:val="0026712A"/>
    <w:rsid w:val="002704DB"/>
    <w:rsid w:val="00292841"/>
    <w:rsid w:val="0029374E"/>
    <w:rsid w:val="00294030"/>
    <w:rsid w:val="002954EB"/>
    <w:rsid w:val="0029692B"/>
    <w:rsid w:val="002A0AAE"/>
    <w:rsid w:val="002A2065"/>
    <w:rsid w:val="002A2D5D"/>
    <w:rsid w:val="002A466A"/>
    <w:rsid w:val="002A5820"/>
    <w:rsid w:val="002A7C35"/>
    <w:rsid w:val="002C2E21"/>
    <w:rsid w:val="002D2B26"/>
    <w:rsid w:val="002D7163"/>
    <w:rsid w:val="002D7EA2"/>
    <w:rsid w:val="002E0A91"/>
    <w:rsid w:val="002E187C"/>
    <w:rsid w:val="002E20D4"/>
    <w:rsid w:val="002E6A80"/>
    <w:rsid w:val="002F02A4"/>
    <w:rsid w:val="002F1DA9"/>
    <w:rsid w:val="00302733"/>
    <w:rsid w:val="00303272"/>
    <w:rsid w:val="00304C5D"/>
    <w:rsid w:val="00314078"/>
    <w:rsid w:val="0031535D"/>
    <w:rsid w:val="00326194"/>
    <w:rsid w:val="003267FA"/>
    <w:rsid w:val="0033169F"/>
    <w:rsid w:val="0033260A"/>
    <w:rsid w:val="0033467B"/>
    <w:rsid w:val="003375DE"/>
    <w:rsid w:val="00344749"/>
    <w:rsid w:val="00346C95"/>
    <w:rsid w:val="0035094D"/>
    <w:rsid w:val="003534C3"/>
    <w:rsid w:val="00353BEB"/>
    <w:rsid w:val="00356185"/>
    <w:rsid w:val="0035638E"/>
    <w:rsid w:val="0035708B"/>
    <w:rsid w:val="00357E95"/>
    <w:rsid w:val="00357F72"/>
    <w:rsid w:val="00360380"/>
    <w:rsid w:val="00363A43"/>
    <w:rsid w:val="00365D51"/>
    <w:rsid w:val="003664B3"/>
    <w:rsid w:val="00371A7F"/>
    <w:rsid w:val="0037519E"/>
    <w:rsid w:val="0037555F"/>
    <w:rsid w:val="003813B1"/>
    <w:rsid w:val="00385F01"/>
    <w:rsid w:val="00386CF0"/>
    <w:rsid w:val="00390EF9"/>
    <w:rsid w:val="003911FF"/>
    <w:rsid w:val="003923F3"/>
    <w:rsid w:val="0039570A"/>
    <w:rsid w:val="003A4588"/>
    <w:rsid w:val="003A59B7"/>
    <w:rsid w:val="003B0291"/>
    <w:rsid w:val="003B23FB"/>
    <w:rsid w:val="003B75C0"/>
    <w:rsid w:val="003C5362"/>
    <w:rsid w:val="003C676B"/>
    <w:rsid w:val="003D2966"/>
    <w:rsid w:val="003D3BC2"/>
    <w:rsid w:val="003D53C5"/>
    <w:rsid w:val="003D7075"/>
    <w:rsid w:val="003E3324"/>
    <w:rsid w:val="003E6CA1"/>
    <w:rsid w:val="003F0D34"/>
    <w:rsid w:val="003F44D2"/>
    <w:rsid w:val="00406DA6"/>
    <w:rsid w:val="0040771B"/>
    <w:rsid w:val="004165C2"/>
    <w:rsid w:val="00422D6D"/>
    <w:rsid w:val="00427CBB"/>
    <w:rsid w:val="004311D6"/>
    <w:rsid w:val="00433C4C"/>
    <w:rsid w:val="004376C0"/>
    <w:rsid w:val="00440D2C"/>
    <w:rsid w:val="00441DBA"/>
    <w:rsid w:val="00441ECB"/>
    <w:rsid w:val="004524DD"/>
    <w:rsid w:val="004551F0"/>
    <w:rsid w:val="00467B7E"/>
    <w:rsid w:val="004700C1"/>
    <w:rsid w:val="00477592"/>
    <w:rsid w:val="00477FE3"/>
    <w:rsid w:val="00485810"/>
    <w:rsid w:val="00485C73"/>
    <w:rsid w:val="00486F1C"/>
    <w:rsid w:val="00487647"/>
    <w:rsid w:val="004918F5"/>
    <w:rsid w:val="0049419D"/>
    <w:rsid w:val="00494ED0"/>
    <w:rsid w:val="004A10BE"/>
    <w:rsid w:val="004A445E"/>
    <w:rsid w:val="004A4CDD"/>
    <w:rsid w:val="004B64BB"/>
    <w:rsid w:val="004B7A65"/>
    <w:rsid w:val="004C20D2"/>
    <w:rsid w:val="004C2EFA"/>
    <w:rsid w:val="004C44D7"/>
    <w:rsid w:val="004C4B62"/>
    <w:rsid w:val="004C4CFC"/>
    <w:rsid w:val="004C5298"/>
    <w:rsid w:val="004C54C9"/>
    <w:rsid w:val="004C6A42"/>
    <w:rsid w:val="004C6B16"/>
    <w:rsid w:val="004C6D7B"/>
    <w:rsid w:val="004D077C"/>
    <w:rsid w:val="004D1568"/>
    <w:rsid w:val="004D240C"/>
    <w:rsid w:val="004D5139"/>
    <w:rsid w:val="004D6025"/>
    <w:rsid w:val="004E2649"/>
    <w:rsid w:val="004E529F"/>
    <w:rsid w:val="004E6662"/>
    <w:rsid w:val="004F2096"/>
    <w:rsid w:val="004F4C18"/>
    <w:rsid w:val="004F7D95"/>
    <w:rsid w:val="00501399"/>
    <w:rsid w:val="00502511"/>
    <w:rsid w:val="00505CA5"/>
    <w:rsid w:val="0050633D"/>
    <w:rsid w:val="00507BC4"/>
    <w:rsid w:val="005128E4"/>
    <w:rsid w:val="005133DB"/>
    <w:rsid w:val="00517B31"/>
    <w:rsid w:val="00525560"/>
    <w:rsid w:val="005316A2"/>
    <w:rsid w:val="00531A90"/>
    <w:rsid w:val="00537490"/>
    <w:rsid w:val="00540C8D"/>
    <w:rsid w:val="00541CA3"/>
    <w:rsid w:val="005444B7"/>
    <w:rsid w:val="00544C49"/>
    <w:rsid w:val="00547D7F"/>
    <w:rsid w:val="005516A1"/>
    <w:rsid w:val="00557120"/>
    <w:rsid w:val="00560556"/>
    <w:rsid w:val="00560B99"/>
    <w:rsid w:val="00561975"/>
    <w:rsid w:val="00565EAA"/>
    <w:rsid w:val="00567272"/>
    <w:rsid w:val="0057402A"/>
    <w:rsid w:val="005771D0"/>
    <w:rsid w:val="005863BF"/>
    <w:rsid w:val="0059191A"/>
    <w:rsid w:val="005921FF"/>
    <w:rsid w:val="00596831"/>
    <w:rsid w:val="005A3067"/>
    <w:rsid w:val="005A46AB"/>
    <w:rsid w:val="005A5CFB"/>
    <w:rsid w:val="005A6D0E"/>
    <w:rsid w:val="005A78D5"/>
    <w:rsid w:val="005B320F"/>
    <w:rsid w:val="005B3F92"/>
    <w:rsid w:val="005B47D1"/>
    <w:rsid w:val="005B52B0"/>
    <w:rsid w:val="005B6806"/>
    <w:rsid w:val="005B6F35"/>
    <w:rsid w:val="005C4225"/>
    <w:rsid w:val="005C5BDB"/>
    <w:rsid w:val="005D1197"/>
    <w:rsid w:val="005D4025"/>
    <w:rsid w:val="005D60C5"/>
    <w:rsid w:val="005D6865"/>
    <w:rsid w:val="005D7244"/>
    <w:rsid w:val="005D7519"/>
    <w:rsid w:val="005E0EC4"/>
    <w:rsid w:val="005E387F"/>
    <w:rsid w:val="005F0711"/>
    <w:rsid w:val="005F0DAD"/>
    <w:rsid w:val="005F0F33"/>
    <w:rsid w:val="005F1293"/>
    <w:rsid w:val="005F1458"/>
    <w:rsid w:val="005F36EF"/>
    <w:rsid w:val="005F62B7"/>
    <w:rsid w:val="005F7C3D"/>
    <w:rsid w:val="006003F1"/>
    <w:rsid w:val="00600DEB"/>
    <w:rsid w:val="00610172"/>
    <w:rsid w:val="006110EB"/>
    <w:rsid w:val="00614421"/>
    <w:rsid w:val="006222D6"/>
    <w:rsid w:val="00622CDB"/>
    <w:rsid w:val="00627C9F"/>
    <w:rsid w:val="006311E9"/>
    <w:rsid w:val="0063192F"/>
    <w:rsid w:val="00632354"/>
    <w:rsid w:val="0063685A"/>
    <w:rsid w:val="0063724D"/>
    <w:rsid w:val="00642020"/>
    <w:rsid w:val="00642810"/>
    <w:rsid w:val="00642E67"/>
    <w:rsid w:val="0065081B"/>
    <w:rsid w:val="00652333"/>
    <w:rsid w:val="00662900"/>
    <w:rsid w:val="0066612C"/>
    <w:rsid w:val="00666654"/>
    <w:rsid w:val="006743AD"/>
    <w:rsid w:val="00675A1D"/>
    <w:rsid w:val="0068009E"/>
    <w:rsid w:val="00680116"/>
    <w:rsid w:val="00692219"/>
    <w:rsid w:val="00694BEC"/>
    <w:rsid w:val="006A17D2"/>
    <w:rsid w:val="006A32BD"/>
    <w:rsid w:val="006A5197"/>
    <w:rsid w:val="006A73E6"/>
    <w:rsid w:val="006B2D5C"/>
    <w:rsid w:val="006C4B33"/>
    <w:rsid w:val="006C4EB1"/>
    <w:rsid w:val="006C7228"/>
    <w:rsid w:val="006C787A"/>
    <w:rsid w:val="006D3611"/>
    <w:rsid w:val="006E0166"/>
    <w:rsid w:val="006E0457"/>
    <w:rsid w:val="006E7B34"/>
    <w:rsid w:val="006F295D"/>
    <w:rsid w:val="006F2C2F"/>
    <w:rsid w:val="00702474"/>
    <w:rsid w:val="00703326"/>
    <w:rsid w:val="00706908"/>
    <w:rsid w:val="0070697F"/>
    <w:rsid w:val="00711192"/>
    <w:rsid w:val="00711223"/>
    <w:rsid w:val="00711E6C"/>
    <w:rsid w:val="00715D4A"/>
    <w:rsid w:val="00715F0E"/>
    <w:rsid w:val="00716227"/>
    <w:rsid w:val="007178B7"/>
    <w:rsid w:val="00717AE7"/>
    <w:rsid w:val="0072199C"/>
    <w:rsid w:val="00722C9F"/>
    <w:rsid w:val="007240A3"/>
    <w:rsid w:val="007241E6"/>
    <w:rsid w:val="0072437B"/>
    <w:rsid w:val="007253B8"/>
    <w:rsid w:val="00733198"/>
    <w:rsid w:val="00736DCA"/>
    <w:rsid w:val="0073741F"/>
    <w:rsid w:val="007426CD"/>
    <w:rsid w:val="007471E7"/>
    <w:rsid w:val="00752B89"/>
    <w:rsid w:val="007537F2"/>
    <w:rsid w:val="007539FB"/>
    <w:rsid w:val="007555E8"/>
    <w:rsid w:val="00755966"/>
    <w:rsid w:val="00763D17"/>
    <w:rsid w:val="00764287"/>
    <w:rsid w:val="0076643F"/>
    <w:rsid w:val="00777F63"/>
    <w:rsid w:val="00781FB4"/>
    <w:rsid w:val="007824F8"/>
    <w:rsid w:val="0078411D"/>
    <w:rsid w:val="00787F1E"/>
    <w:rsid w:val="00792A7E"/>
    <w:rsid w:val="00793A17"/>
    <w:rsid w:val="007A5817"/>
    <w:rsid w:val="007B2E68"/>
    <w:rsid w:val="007B42AB"/>
    <w:rsid w:val="007B60E9"/>
    <w:rsid w:val="007B6CC3"/>
    <w:rsid w:val="007C0488"/>
    <w:rsid w:val="007C3334"/>
    <w:rsid w:val="007C655E"/>
    <w:rsid w:val="007C7975"/>
    <w:rsid w:val="007D0C52"/>
    <w:rsid w:val="007D286D"/>
    <w:rsid w:val="007D2B98"/>
    <w:rsid w:val="007D3FF6"/>
    <w:rsid w:val="007D5171"/>
    <w:rsid w:val="007D52EE"/>
    <w:rsid w:val="007E0413"/>
    <w:rsid w:val="007E1669"/>
    <w:rsid w:val="007E21BC"/>
    <w:rsid w:val="007E3A3D"/>
    <w:rsid w:val="007E782D"/>
    <w:rsid w:val="007E7AEC"/>
    <w:rsid w:val="0080035A"/>
    <w:rsid w:val="00803F1C"/>
    <w:rsid w:val="008047B7"/>
    <w:rsid w:val="00805E8D"/>
    <w:rsid w:val="00805FCA"/>
    <w:rsid w:val="0080600E"/>
    <w:rsid w:val="00811140"/>
    <w:rsid w:val="008144B3"/>
    <w:rsid w:val="00817612"/>
    <w:rsid w:val="00822A9D"/>
    <w:rsid w:val="00823538"/>
    <w:rsid w:val="008238F1"/>
    <w:rsid w:val="00830393"/>
    <w:rsid w:val="00831155"/>
    <w:rsid w:val="008338A4"/>
    <w:rsid w:val="00837C45"/>
    <w:rsid w:val="00840EA6"/>
    <w:rsid w:val="00842A0A"/>
    <w:rsid w:val="00844730"/>
    <w:rsid w:val="008457C2"/>
    <w:rsid w:val="00847102"/>
    <w:rsid w:val="0085242B"/>
    <w:rsid w:val="008549B9"/>
    <w:rsid w:val="00856404"/>
    <w:rsid w:val="00857A82"/>
    <w:rsid w:val="00862B01"/>
    <w:rsid w:val="008645D0"/>
    <w:rsid w:val="008651FF"/>
    <w:rsid w:val="0086716C"/>
    <w:rsid w:val="00870E84"/>
    <w:rsid w:val="00872E3A"/>
    <w:rsid w:val="00873836"/>
    <w:rsid w:val="008817AB"/>
    <w:rsid w:val="00885737"/>
    <w:rsid w:val="00890650"/>
    <w:rsid w:val="00893485"/>
    <w:rsid w:val="00894DA5"/>
    <w:rsid w:val="00897E12"/>
    <w:rsid w:val="008A743E"/>
    <w:rsid w:val="008A7904"/>
    <w:rsid w:val="008A7BB7"/>
    <w:rsid w:val="008A7E0F"/>
    <w:rsid w:val="008B12F5"/>
    <w:rsid w:val="008B3C85"/>
    <w:rsid w:val="008B7E4D"/>
    <w:rsid w:val="008C78CE"/>
    <w:rsid w:val="008D50EA"/>
    <w:rsid w:val="008D534E"/>
    <w:rsid w:val="008D768D"/>
    <w:rsid w:val="008E2015"/>
    <w:rsid w:val="008E283A"/>
    <w:rsid w:val="008E3759"/>
    <w:rsid w:val="008E4359"/>
    <w:rsid w:val="008E5087"/>
    <w:rsid w:val="008E5F5E"/>
    <w:rsid w:val="008F0071"/>
    <w:rsid w:val="008F1912"/>
    <w:rsid w:val="008F5ADA"/>
    <w:rsid w:val="009010BA"/>
    <w:rsid w:val="009016B2"/>
    <w:rsid w:val="0090270B"/>
    <w:rsid w:val="009041DC"/>
    <w:rsid w:val="0090475F"/>
    <w:rsid w:val="009071F4"/>
    <w:rsid w:val="00910F33"/>
    <w:rsid w:val="00913125"/>
    <w:rsid w:val="00913522"/>
    <w:rsid w:val="009162DE"/>
    <w:rsid w:val="00917B5A"/>
    <w:rsid w:val="00920A58"/>
    <w:rsid w:val="00920A8C"/>
    <w:rsid w:val="00925B1F"/>
    <w:rsid w:val="009309AC"/>
    <w:rsid w:val="00930D35"/>
    <w:rsid w:val="00933A41"/>
    <w:rsid w:val="00934A2C"/>
    <w:rsid w:val="00936B59"/>
    <w:rsid w:val="0094270F"/>
    <w:rsid w:val="00942C4D"/>
    <w:rsid w:val="00946A6F"/>
    <w:rsid w:val="00946AB2"/>
    <w:rsid w:val="00950B1B"/>
    <w:rsid w:val="00952A80"/>
    <w:rsid w:val="00953519"/>
    <w:rsid w:val="0095375E"/>
    <w:rsid w:val="009568DB"/>
    <w:rsid w:val="009577AF"/>
    <w:rsid w:val="0096490B"/>
    <w:rsid w:val="00964FAE"/>
    <w:rsid w:val="009652A4"/>
    <w:rsid w:val="00965657"/>
    <w:rsid w:val="0096706E"/>
    <w:rsid w:val="00970CFF"/>
    <w:rsid w:val="0097536E"/>
    <w:rsid w:val="0097584B"/>
    <w:rsid w:val="00975C4E"/>
    <w:rsid w:val="00976E8F"/>
    <w:rsid w:val="00976F90"/>
    <w:rsid w:val="00980920"/>
    <w:rsid w:val="00981FBA"/>
    <w:rsid w:val="009829E5"/>
    <w:rsid w:val="00996E8A"/>
    <w:rsid w:val="00997BC5"/>
    <w:rsid w:val="009A16F8"/>
    <w:rsid w:val="009A4F41"/>
    <w:rsid w:val="009A7353"/>
    <w:rsid w:val="009A746F"/>
    <w:rsid w:val="009B2E24"/>
    <w:rsid w:val="009B2F6A"/>
    <w:rsid w:val="009B381B"/>
    <w:rsid w:val="009B646B"/>
    <w:rsid w:val="009C4761"/>
    <w:rsid w:val="009C5B38"/>
    <w:rsid w:val="009C61A8"/>
    <w:rsid w:val="009D13FF"/>
    <w:rsid w:val="009D1753"/>
    <w:rsid w:val="009D2F6C"/>
    <w:rsid w:val="009D7611"/>
    <w:rsid w:val="009E0B61"/>
    <w:rsid w:val="009E53DE"/>
    <w:rsid w:val="009E5E19"/>
    <w:rsid w:val="009F0583"/>
    <w:rsid w:val="009F0B9A"/>
    <w:rsid w:val="009F47A3"/>
    <w:rsid w:val="00A07091"/>
    <w:rsid w:val="00A10445"/>
    <w:rsid w:val="00A16C04"/>
    <w:rsid w:val="00A17ACE"/>
    <w:rsid w:val="00A258C7"/>
    <w:rsid w:val="00A26EA7"/>
    <w:rsid w:val="00A31C3B"/>
    <w:rsid w:val="00A3203D"/>
    <w:rsid w:val="00A324EF"/>
    <w:rsid w:val="00A328B3"/>
    <w:rsid w:val="00A34059"/>
    <w:rsid w:val="00A357C2"/>
    <w:rsid w:val="00A4783B"/>
    <w:rsid w:val="00A47F90"/>
    <w:rsid w:val="00A50FCF"/>
    <w:rsid w:val="00A528D1"/>
    <w:rsid w:val="00A57059"/>
    <w:rsid w:val="00A60F16"/>
    <w:rsid w:val="00A610CD"/>
    <w:rsid w:val="00A65ADB"/>
    <w:rsid w:val="00A72129"/>
    <w:rsid w:val="00A72B47"/>
    <w:rsid w:val="00A7441A"/>
    <w:rsid w:val="00A86C52"/>
    <w:rsid w:val="00A96C6F"/>
    <w:rsid w:val="00A96F7F"/>
    <w:rsid w:val="00AA09A2"/>
    <w:rsid w:val="00AA2B2D"/>
    <w:rsid w:val="00AA2E50"/>
    <w:rsid w:val="00AA6B69"/>
    <w:rsid w:val="00AA7996"/>
    <w:rsid w:val="00AB7DE6"/>
    <w:rsid w:val="00AC19CB"/>
    <w:rsid w:val="00AC2FC1"/>
    <w:rsid w:val="00AC452C"/>
    <w:rsid w:val="00AC4908"/>
    <w:rsid w:val="00AC70C9"/>
    <w:rsid w:val="00AD528F"/>
    <w:rsid w:val="00AE4DA0"/>
    <w:rsid w:val="00AE5488"/>
    <w:rsid w:val="00AE61D2"/>
    <w:rsid w:val="00AE68D4"/>
    <w:rsid w:val="00AE6D89"/>
    <w:rsid w:val="00AE6F91"/>
    <w:rsid w:val="00AF481D"/>
    <w:rsid w:val="00AF5571"/>
    <w:rsid w:val="00B0498F"/>
    <w:rsid w:val="00B05658"/>
    <w:rsid w:val="00B056A5"/>
    <w:rsid w:val="00B06FBC"/>
    <w:rsid w:val="00B071E3"/>
    <w:rsid w:val="00B07341"/>
    <w:rsid w:val="00B10F52"/>
    <w:rsid w:val="00B206D2"/>
    <w:rsid w:val="00B26361"/>
    <w:rsid w:val="00B27065"/>
    <w:rsid w:val="00B30539"/>
    <w:rsid w:val="00B30D66"/>
    <w:rsid w:val="00B314DB"/>
    <w:rsid w:val="00B33F87"/>
    <w:rsid w:val="00B34930"/>
    <w:rsid w:val="00B361F2"/>
    <w:rsid w:val="00B37146"/>
    <w:rsid w:val="00B3718B"/>
    <w:rsid w:val="00B37526"/>
    <w:rsid w:val="00B376EC"/>
    <w:rsid w:val="00B4632A"/>
    <w:rsid w:val="00B519D4"/>
    <w:rsid w:val="00B530F1"/>
    <w:rsid w:val="00B738CF"/>
    <w:rsid w:val="00B77D15"/>
    <w:rsid w:val="00B80AAF"/>
    <w:rsid w:val="00B851B0"/>
    <w:rsid w:val="00B91DCA"/>
    <w:rsid w:val="00B9302B"/>
    <w:rsid w:val="00BA19FE"/>
    <w:rsid w:val="00BA276C"/>
    <w:rsid w:val="00BB0AC9"/>
    <w:rsid w:val="00BB306F"/>
    <w:rsid w:val="00BC25FA"/>
    <w:rsid w:val="00BC2B76"/>
    <w:rsid w:val="00BC3B69"/>
    <w:rsid w:val="00BD4B89"/>
    <w:rsid w:val="00BD56A5"/>
    <w:rsid w:val="00BD65AD"/>
    <w:rsid w:val="00BE5B2C"/>
    <w:rsid w:val="00BE6D16"/>
    <w:rsid w:val="00BF64F4"/>
    <w:rsid w:val="00BF6FD8"/>
    <w:rsid w:val="00BF7C43"/>
    <w:rsid w:val="00C00B36"/>
    <w:rsid w:val="00C03680"/>
    <w:rsid w:val="00C054DF"/>
    <w:rsid w:val="00C155FD"/>
    <w:rsid w:val="00C21762"/>
    <w:rsid w:val="00C24164"/>
    <w:rsid w:val="00C24543"/>
    <w:rsid w:val="00C24B5D"/>
    <w:rsid w:val="00C256A2"/>
    <w:rsid w:val="00C32122"/>
    <w:rsid w:val="00C40E83"/>
    <w:rsid w:val="00C46A18"/>
    <w:rsid w:val="00C51515"/>
    <w:rsid w:val="00C5259F"/>
    <w:rsid w:val="00C535AA"/>
    <w:rsid w:val="00C5660B"/>
    <w:rsid w:val="00C62B43"/>
    <w:rsid w:val="00C64B5F"/>
    <w:rsid w:val="00C66B72"/>
    <w:rsid w:val="00C674ED"/>
    <w:rsid w:val="00C76603"/>
    <w:rsid w:val="00C77B4F"/>
    <w:rsid w:val="00C819B1"/>
    <w:rsid w:val="00C82741"/>
    <w:rsid w:val="00C934F1"/>
    <w:rsid w:val="00C94B14"/>
    <w:rsid w:val="00C9567A"/>
    <w:rsid w:val="00C97909"/>
    <w:rsid w:val="00CA1278"/>
    <w:rsid w:val="00CA1F47"/>
    <w:rsid w:val="00CA3C2B"/>
    <w:rsid w:val="00CA4B0F"/>
    <w:rsid w:val="00CA56D0"/>
    <w:rsid w:val="00CA76FF"/>
    <w:rsid w:val="00CB12AF"/>
    <w:rsid w:val="00CB212D"/>
    <w:rsid w:val="00CB2660"/>
    <w:rsid w:val="00CB44B4"/>
    <w:rsid w:val="00CC34BC"/>
    <w:rsid w:val="00CC5E90"/>
    <w:rsid w:val="00CC69C7"/>
    <w:rsid w:val="00CC6E48"/>
    <w:rsid w:val="00CD046C"/>
    <w:rsid w:val="00CE076C"/>
    <w:rsid w:val="00CE26AD"/>
    <w:rsid w:val="00CE5199"/>
    <w:rsid w:val="00CE6081"/>
    <w:rsid w:val="00CE6553"/>
    <w:rsid w:val="00CE66D5"/>
    <w:rsid w:val="00CF41B5"/>
    <w:rsid w:val="00CF637A"/>
    <w:rsid w:val="00D059DE"/>
    <w:rsid w:val="00D05DDA"/>
    <w:rsid w:val="00D110D7"/>
    <w:rsid w:val="00D13F94"/>
    <w:rsid w:val="00D13FCE"/>
    <w:rsid w:val="00D1656C"/>
    <w:rsid w:val="00D221BC"/>
    <w:rsid w:val="00D234DD"/>
    <w:rsid w:val="00D279A3"/>
    <w:rsid w:val="00D306D1"/>
    <w:rsid w:val="00D31DD2"/>
    <w:rsid w:val="00D32689"/>
    <w:rsid w:val="00D34786"/>
    <w:rsid w:val="00D377B9"/>
    <w:rsid w:val="00D37BFC"/>
    <w:rsid w:val="00D41E96"/>
    <w:rsid w:val="00D454E9"/>
    <w:rsid w:val="00D47A8E"/>
    <w:rsid w:val="00D50ADB"/>
    <w:rsid w:val="00D52D14"/>
    <w:rsid w:val="00D576BA"/>
    <w:rsid w:val="00D57C19"/>
    <w:rsid w:val="00D62035"/>
    <w:rsid w:val="00D62F47"/>
    <w:rsid w:val="00D67F67"/>
    <w:rsid w:val="00D712D3"/>
    <w:rsid w:val="00D71422"/>
    <w:rsid w:val="00D72DC6"/>
    <w:rsid w:val="00D7558D"/>
    <w:rsid w:val="00D76A5E"/>
    <w:rsid w:val="00D77BE6"/>
    <w:rsid w:val="00D81346"/>
    <w:rsid w:val="00D81D92"/>
    <w:rsid w:val="00D85F88"/>
    <w:rsid w:val="00D91341"/>
    <w:rsid w:val="00DA3CC5"/>
    <w:rsid w:val="00DA7B5F"/>
    <w:rsid w:val="00DB4833"/>
    <w:rsid w:val="00DB629F"/>
    <w:rsid w:val="00DC11E7"/>
    <w:rsid w:val="00DC7023"/>
    <w:rsid w:val="00DC769A"/>
    <w:rsid w:val="00DD3D86"/>
    <w:rsid w:val="00DE27D7"/>
    <w:rsid w:val="00DE5321"/>
    <w:rsid w:val="00DE5B3E"/>
    <w:rsid w:val="00DF1EC4"/>
    <w:rsid w:val="00E02FFA"/>
    <w:rsid w:val="00E0340B"/>
    <w:rsid w:val="00E04A90"/>
    <w:rsid w:val="00E068BF"/>
    <w:rsid w:val="00E14276"/>
    <w:rsid w:val="00E16C0F"/>
    <w:rsid w:val="00E17612"/>
    <w:rsid w:val="00E219C7"/>
    <w:rsid w:val="00E21B5D"/>
    <w:rsid w:val="00E23CF7"/>
    <w:rsid w:val="00E27F95"/>
    <w:rsid w:val="00E43157"/>
    <w:rsid w:val="00E44C1C"/>
    <w:rsid w:val="00E461CE"/>
    <w:rsid w:val="00E62A24"/>
    <w:rsid w:val="00E66D62"/>
    <w:rsid w:val="00E67801"/>
    <w:rsid w:val="00E71531"/>
    <w:rsid w:val="00E720CA"/>
    <w:rsid w:val="00E72506"/>
    <w:rsid w:val="00E74B27"/>
    <w:rsid w:val="00E7764A"/>
    <w:rsid w:val="00E80288"/>
    <w:rsid w:val="00E8461C"/>
    <w:rsid w:val="00E84EB5"/>
    <w:rsid w:val="00E850BA"/>
    <w:rsid w:val="00E85662"/>
    <w:rsid w:val="00E8789F"/>
    <w:rsid w:val="00E932FC"/>
    <w:rsid w:val="00E97B71"/>
    <w:rsid w:val="00EA3687"/>
    <w:rsid w:val="00EA3D34"/>
    <w:rsid w:val="00EA5E3D"/>
    <w:rsid w:val="00EA747B"/>
    <w:rsid w:val="00EB089D"/>
    <w:rsid w:val="00EB454D"/>
    <w:rsid w:val="00EC0E27"/>
    <w:rsid w:val="00EC16CC"/>
    <w:rsid w:val="00EC7D62"/>
    <w:rsid w:val="00ED354B"/>
    <w:rsid w:val="00ED3A83"/>
    <w:rsid w:val="00ED5D09"/>
    <w:rsid w:val="00ED6E3A"/>
    <w:rsid w:val="00ED76BE"/>
    <w:rsid w:val="00EE04BB"/>
    <w:rsid w:val="00EE4F2E"/>
    <w:rsid w:val="00EE6604"/>
    <w:rsid w:val="00EE7A40"/>
    <w:rsid w:val="00EF043F"/>
    <w:rsid w:val="00EF1E7A"/>
    <w:rsid w:val="00EF2B70"/>
    <w:rsid w:val="00EF4C97"/>
    <w:rsid w:val="00EF619B"/>
    <w:rsid w:val="00EF629E"/>
    <w:rsid w:val="00F00B55"/>
    <w:rsid w:val="00F01097"/>
    <w:rsid w:val="00F02AD1"/>
    <w:rsid w:val="00F03B17"/>
    <w:rsid w:val="00F05905"/>
    <w:rsid w:val="00F10400"/>
    <w:rsid w:val="00F10D62"/>
    <w:rsid w:val="00F128E4"/>
    <w:rsid w:val="00F15DD3"/>
    <w:rsid w:val="00F171F1"/>
    <w:rsid w:val="00F17D97"/>
    <w:rsid w:val="00F2241E"/>
    <w:rsid w:val="00F253CC"/>
    <w:rsid w:val="00F258BD"/>
    <w:rsid w:val="00F318F8"/>
    <w:rsid w:val="00F36663"/>
    <w:rsid w:val="00F37106"/>
    <w:rsid w:val="00F372BA"/>
    <w:rsid w:val="00F50C12"/>
    <w:rsid w:val="00F519CF"/>
    <w:rsid w:val="00F5210F"/>
    <w:rsid w:val="00F531A4"/>
    <w:rsid w:val="00F56BA5"/>
    <w:rsid w:val="00F60169"/>
    <w:rsid w:val="00F60E22"/>
    <w:rsid w:val="00F62F8E"/>
    <w:rsid w:val="00F67B0A"/>
    <w:rsid w:val="00F67EBC"/>
    <w:rsid w:val="00F70C5C"/>
    <w:rsid w:val="00F7412C"/>
    <w:rsid w:val="00F76180"/>
    <w:rsid w:val="00F77FB5"/>
    <w:rsid w:val="00F81395"/>
    <w:rsid w:val="00F8242E"/>
    <w:rsid w:val="00F82C8C"/>
    <w:rsid w:val="00F86711"/>
    <w:rsid w:val="00F917D1"/>
    <w:rsid w:val="00F9305D"/>
    <w:rsid w:val="00F9653B"/>
    <w:rsid w:val="00FA4B39"/>
    <w:rsid w:val="00FA4E53"/>
    <w:rsid w:val="00FB2D79"/>
    <w:rsid w:val="00FB4D38"/>
    <w:rsid w:val="00FB62CF"/>
    <w:rsid w:val="00FC2BEC"/>
    <w:rsid w:val="00FC3941"/>
    <w:rsid w:val="00FD0631"/>
    <w:rsid w:val="00FD2838"/>
    <w:rsid w:val="00FD3C3B"/>
    <w:rsid w:val="00FE0915"/>
    <w:rsid w:val="00FE1D29"/>
    <w:rsid w:val="00FE6B45"/>
    <w:rsid w:val="00FE7051"/>
    <w:rsid w:val="00FF55F3"/>
    <w:rsid w:val="00FF5851"/>
    <w:rsid w:val="00FF660B"/>
    <w:rsid w:val="00FF7B79"/>
  </w:rsids>
  <m:mathPr>
    <m:mathFont m:val="Cambria Math"/>
    <m:brkBin m:val="before"/>
    <m:brkBinSub m:val="--"/>
    <m:smallFrac m:val="0"/>
    <m:dispDef/>
    <m:lMargin m:val="0"/>
    <m:rMargin m:val="0"/>
    <m:defJc m:val="centerGroup"/>
    <m:wrapIndent m:val="1440"/>
    <m:intLim m:val="subSup"/>
    <m:naryLim m:val="undOvr"/>
  </m:mathPr>
  <w:attachedSchema w:val="SmartTagTypeLegixLink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1679F7"/>
    <w:rPr>
      <w:rFonts w:cs="Times New Roman"/>
      <w:u w:val="single"/>
    </w:rPr>
  </w:style>
  <w:style w:type="paragraph" w:customStyle="1" w:styleId="Cabeceraypie">
    <w:name w:val="Cabecera y pie"/>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1679F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1679F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1F700C"/>
    <w:rPr>
      <w:rFonts w:cs="Times New Roman"/>
      <w:sz w:val="24"/>
      <w:szCs w:val="24"/>
    </w:rPr>
  </w:style>
  <w:style w:type="paragraph" w:styleId="ListParagraph">
    <w:name w:val="List Paragraph"/>
    <w:basedOn w:val="Normal"/>
    <w:uiPriority w:val="99"/>
    <w:qFormat/>
    <w:rsid w:val="001679F7"/>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1679F7"/>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1F700C"/>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PlaceholderText">
    <w:name w:val="Placeholder Text"/>
    <w:basedOn w:val="DefaultParagraphFont"/>
    <w:uiPriority w:val="99"/>
    <w:semiHidden/>
    <w:rsid w:val="00E23CF7"/>
    <w:rPr>
      <w:rFonts w:cs="Times New Roman"/>
      <w:color w:val="808080"/>
    </w:rPr>
  </w:style>
  <w:style w:type="character" w:styleId="CommentReference">
    <w:name w:val="annotation reference"/>
    <w:basedOn w:val="DefaultParagraphFont"/>
    <w:uiPriority w:val="99"/>
    <w:semiHidden/>
    <w:rsid w:val="00406DA6"/>
    <w:rPr>
      <w:rFonts w:cs="Times New Roman"/>
      <w:sz w:val="16"/>
      <w:szCs w:val="16"/>
    </w:rPr>
  </w:style>
  <w:style w:type="paragraph" w:styleId="CommentText">
    <w:name w:val="annotation text"/>
    <w:basedOn w:val="Normal"/>
    <w:link w:val="CommentTextChar"/>
    <w:uiPriority w:val="99"/>
    <w:semiHidden/>
    <w:rsid w:val="00406DA6"/>
    <w:rPr>
      <w:sz w:val="20"/>
      <w:szCs w:val="20"/>
    </w:rPr>
  </w:style>
  <w:style w:type="character" w:customStyle="1" w:styleId="CommentTextChar">
    <w:name w:val="Comment Text Char"/>
    <w:basedOn w:val="DefaultParagraphFont"/>
    <w:link w:val="CommentText"/>
    <w:uiPriority w:val="99"/>
    <w:semiHidden/>
    <w:locked/>
    <w:rsid w:val="00406DA6"/>
    <w:rPr>
      <w:rFonts w:cs="Times New Roman"/>
      <w:lang w:val="en-US" w:eastAsia="en-US"/>
    </w:rPr>
  </w:style>
  <w:style w:type="paragraph" w:styleId="CommentSubject">
    <w:name w:val="annotation subject"/>
    <w:basedOn w:val="CommentText"/>
    <w:next w:val="CommentText"/>
    <w:link w:val="CommentSubjectChar"/>
    <w:uiPriority w:val="99"/>
    <w:semiHidden/>
    <w:rsid w:val="00406DA6"/>
    <w:rPr>
      <w:b/>
      <w:bCs/>
    </w:rPr>
  </w:style>
  <w:style w:type="character" w:customStyle="1" w:styleId="CommentSubjectChar">
    <w:name w:val="Comment Subject Char"/>
    <w:basedOn w:val="CommentTextChar"/>
    <w:link w:val="CommentSubject"/>
    <w:uiPriority w:val="99"/>
    <w:semiHidden/>
    <w:locked/>
    <w:rsid w:val="00406DA6"/>
    <w:rPr>
      <w:rFonts w:cs="Times New Roman"/>
      <w:b/>
      <w:bCs/>
      <w:lang w:val="en-US" w:eastAsia="en-US"/>
    </w:rPr>
  </w:style>
  <w:style w:type="numbering" w:customStyle="1" w:styleId="List16">
    <w:name w:val="List 16"/>
    <w:rsid w:val="001E7991"/>
    <w:pPr>
      <w:numPr>
        <w:numId w:val="10"/>
      </w:numPr>
    </w:pPr>
  </w:style>
  <w:style w:type="numbering" w:customStyle="1" w:styleId="List36">
    <w:name w:val="List 36"/>
    <w:rsid w:val="001E7991"/>
    <w:pPr>
      <w:numPr>
        <w:numId w:val="14"/>
      </w:numPr>
    </w:pPr>
  </w:style>
  <w:style w:type="numbering" w:customStyle="1" w:styleId="List25">
    <w:name w:val="List 25"/>
    <w:rsid w:val="001E7991"/>
    <w:pPr>
      <w:numPr>
        <w:numId w:val="15"/>
      </w:numPr>
    </w:pPr>
  </w:style>
  <w:style w:type="numbering" w:customStyle="1" w:styleId="List1">
    <w:name w:val="List 1"/>
    <w:rsid w:val="001E7991"/>
    <w:pPr>
      <w:numPr>
        <w:numId w:val="1"/>
      </w:numPr>
    </w:pPr>
  </w:style>
  <w:style w:type="numbering" w:customStyle="1" w:styleId="List11">
    <w:name w:val="List 11"/>
    <w:rsid w:val="001E7991"/>
    <w:pPr>
      <w:numPr>
        <w:numId w:val="7"/>
      </w:numPr>
    </w:pPr>
  </w:style>
  <w:style w:type="numbering" w:customStyle="1" w:styleId="List15">
    <w:name w:val="List 15"/>
    <w:rsid w:val="001E7991"/>
    <w:pPr>
      <w:numPr>
        <w:numId w:val="16"/>
      </w:numPr>
    </w:pPr>
  </w:style>
  <w:style w:type="numbering" w:customStyle="1" w:styleId="List14">
    <w:name w:val="List 14"/>
    <w:rsid w:val="001E7991"/>
    <w:pPr>
      <w:numPr>
        <w:numId w:val="17"/>
      </w:numPr>
    </w:pPr>
  </w:style>
  <w:style w:type="numbering" w:customStyle="1" w:styleId="List23">
    <w:name w:val="List 23"/>
    <w:rsid w:val="001E7991"/>
    <w:pPr>
      <w:numPr>
        <w:numId w:val="18"/>
      </w:numPr>
    </w:pPr>
  </w:style>
  <w:style w:type="numbering" w:customStyle="1" w:styleId="List19">
    <w:name w:val="List 19"/>
    <w:rsid w:val="001E7991"/>
    <w:pPr>
      <w:numPr>
        <w:numId w:val="19"/>
      </w:numPr>
    </w:pPr>
  </w:style>
  <w:style w:type="numbering" w:customStyle="1" w:styleId="List45">
    <w:name w:val="List 45"/>
    <w:rsid w:val="001E7991"/>
    <w:pPr>
      <w:numPr>
        <w:numId w:val="20"/>
      </w:numPr>
    </w:pPr>
  </w:style>
  <w:style w:type="numbering" w:customStyle="1" w:styleId="List40">
    <w:name w:val="List 40"/>
    <w:rsid w:val="001E7991"/>
    <w:pPr>
      <w:numPr>
        <w:numId w:val="21"/>
      </w:numPr>
    </w:pPr>
  </w:style>
  <w:style w:type="numbering" w:customStyle="1" w:styleId="List9">
    <w:name w:val="List 9"/>
    <w:rsid w:val="001E7991"/>
    <w:pPr>
      <w:numPr>
        <w:numId w:val="22"/>
      </w:numPr>
    </w:pPr>
  </w:style>
  <w:style w:type="numbering" w:customStyle="1" w:styleId="List43">
    <w:name w:val="List 43"/>
    <w:rsid w:val="001E7991"/>
    <w:pPr>
      <w:numPr>
        <w:numId w:val="23"/>
      </w:numPr>
    </w:pPr>
  </w:style>
  <w:style w:type="numbering" w:customStyle="1" w:styleId="List46">
    <w:name w:val="List 46"/>
    <w:rsid w:val="001E7991"/>
    <w:pPr>
      <w:numPr>
        <w:numId w:val="24"/>
      </w:numPr>
    </w:pPr>
  </w:style>
  <w:style w:type="numbering" w:customStyle="1" w:styleId="List35">
    <w:name w:val="List 35"/>
    <w:rsid w:val="001E7991"/>
    <w:pPr>
      <w:numPr>
        <w:numId w:val="8"/>
      </w:numPr>
    </w:pPr>
  </w:style>
  <w:style w:type="numbering" w:customStyle="1" w:styleId="List17">
    <w:name w:val="List 17"/>
    <w:rsid w:val="001E7991"/>
    <w:pPr>
      <w:numPr>
        <w:numId w:val="25"/>
      </w:numPr>
    </w:pPr>
  </w:style>
  <w:style w:type="numbering" w:customStyle="1" w:styleId="List33">
    <w:name w:val="List 33"/>
    <w:rsid w:val="001E7991"/>
    <w:pPr>
      <w:numPr>
        <w:numId w:val="26"/>
      </w:numPr>
    </w:pPr>
  </w:style>
  <w:style w:type="numbering" w:customStyle="1" w:styleId="List7">
    <w:name w:val="List 7"/>
    <w:rsid w:val="001E7991"/>
    <w:pPr>
      <w:numPr>
        <w:numId w:val="4"/>
      </w:numPr>
    </w:pPr>
  </w:style>
  <w:style w:type="numbering" w:customStyle="1" w:styleId="List18">
    <w:name w:val="List 18"/>
    <w:rsid w:val="001E7991"/>
    <w:pPr>
      <w:numPr>
        <w:numId w:val="27"/>
      </w:numPr>
    </w:pPr>
  </w:style>
  <w:style w:type="numbering" w:customStyle="1" w:styleId="List22">
    <w:name w:val="List 22"/>
    <w:rsid w:val="001E7991"/>
    <w:pPr>
      <w:numPr>
        <w:numId w:val="28"/>
      </w:numPr>
    </w:pPr>
  </w:style>
  <w:style w:type="numbering" w:customStyle="1" w:styleId="List47">
    <w:name w:val="List 47"/>
    <w:rsid w:val="001E7991"/>
    <w:pPr>
      <w:numPr>
        <w:numId w:val="29"/>
      </w:numPr>
    </w:pPr>
  </w:style>
  <w:style w:type="numbering" w:customStyle="1" w:styleId="List28">
    <w:name w:val="List 28"/>
    <w:rsid w:val="001E7991"/>
    <w:pPr>
      <w:numPr>
        <w:numId w:val="30"/>
      </w:numPr>
    </w:pPr>
  </w:style>
  <w:style w:type="numbering" w:customStyle="1" w:styleId="List10">
    <w:name w:val="List 10"/>
    <w:rsid w:val="001E7991"/>
    <w:pPr>
      <w:numPr>
        <w:numId w:val="6"/>
      </w:numPr>
    </w:pPr>
  </w:style>
  <w:style w:type="numbering" w:customStyle="1" w:styleId="List0">
    <w:name w:val="List 0"/>
    <w:rsid w:val="001E7991"/>
    <w:pPr>
      <w:numPr>
        <w:numId w:val="31"/>
      </w:numPr>
    </w:pPr>
  </w:style>
  <w:style w:type="numbering" w:customStyle="1" w:styleId="List30">
    <w:name w:val="List 30"/>
    <w:rsid w:val="001E7991"/>
    <w:pPr>
      <w:numPr>
        <w:numId w:val="32"/>
      </w:numPr>
    </w:pPr>
  </w:style>
  <w:style w:type="numbering" w:customStyle="1" w:styleId="List29">
    <w:name w:val="List 29"/>
    <w:rsid w:val="001E7991"/>
    <w:pPr>
      <w:numPr>
        <w:numId w:val="34"/>
      </w:numPr>
    </w:pPr>
  </w:style>
  <w:style w:type="numbering" w:customStyle="1" w:styleId="List38">
    <w:name w:val="List 38"/>
    <w:rsid w:val="001E7991"/>
    <w:pPr>
      <w:numPr>
        <w:numId w:val="35"/>
      </w:numPr>
    </w:pPr>
  </w:style>
  <w:style w:type="numbering" w:customStyle="1" w:styleId="List12">
    <w:name w:val="List 12"/>
    <w:rsid w:val="001E7991"/>
    <w:pPr>
      <w:numPr>
        <w:numId w:val="36"/>
      </w:numPr>
    </w:pPr>
  </w:style>
  <w:style w:type="numbering" w:customStyle="1" w:styleId="List50">
    <w:name w:val="List 50"/>
    <w:rsid w:val="001E7991"/>
    <w:pPr>
      <w:numPr>
        <w:numId w:val="37"/>
      </w:numPr>
    </w:pPr>
  </w:style>
  <w:style w:type="numbering" w:customStyle="1" w:styleId="List34">
    <w:name w:val="List 34"/>
    <w:rsid w:val="001E7991"/>
    <w:pPr>
      <w:numPr>
        <w:numId w:val="11"/>
      </w:numPr>
    </w:pPr>
  </w:style>
  <w:style w:type="numbering" w:customStyle="1" w:styleId="List42">
    <w:name w:val="List 42"/>
    <w:rsid w:val="001E7991"/>
    <w:pPr>
      <w:numPr>
        <w:numId w:val="12"/>
      </w:numPr>
    </w:pPr>
  </w:style>
  <w:style w:type="numbering" w:customStyle="1" w:styleId="List49">
    <w:name w:val="List 49"/>
    <w:rsid w:val="001E7991"/>
    <w:pPr>
      <w:numPr>
        <w:numId w:val="39"/>
      </w:numPr>
    </w:pPr>
  </w:style>
  <w:style w:type="numbering" w:customStyle="1" w:styleId="List44">
    <w:name w:val="List 44"/>
    <w:rsid w:val="001E7991"/>
    <w:pPr>
      <w:numPr>
        <w:numId w:val="40"/>
      </w:numPr>
    </w:pPr>
  </w:style>
  <w:style w:type="numbering" w:customStyle="1" w:styleId="List21">
    <w:name w:val="List 21"/>
    <w:rsid w:val="001E7991"/>
    <w:pPr>
      <w:numPr>
        <w:numId w:val="52"/>
      </w:numPr>
    </w:pPr>
  </w:style>
  <w:style w:type="numbering" w:customStyle="1" w:styleId="List52">
    <w:name w:val="List 52"/>
    <w:rsid w:val="001E7991"/>
    <w:pPr>
      <w:numPr>
        <w:numId w:val="9"/>
      </w:numPr>
    </w:pPr>
  </w:style>
  <w:style w:type="numbering" w:customStyle="1" w:styleId="List24">
    <w:name w:val="List 24"/>
    <w:rsid w:val="001E7991"/>
    <w:pPr>
      <w:numPr>
        <w:numId w:val="13"/>
      </w:numPr>
    </w:pPr>
  </w:style>
  <w:style w:type="numbering" w:customStyle="1" w:styleId="List51">
    <w:name w:val="List 51"/>
    <w:rsid w:val="001E7991"/>
    <w:pPr>
      <w:numPr>
        <w:numId w:val="54"/>
      </w:numPr>
    </w:pPr>
  </w:style>
  <w:style w:type="numbering" w:customStyle="1" w:styleId="List27">
    <w:name w:val="List 27"/>
    <w:rsid w:val="001E7991"/>
    <w:pPr>
      <w:numPr>
        <w:numId w:val="41"/>
      </w:numPr>
    </w:pPr>
  </w:style>
  <w:style w:type="numbering" w:customStyle="1" w:styleId="List8">
    <w:name w:val="List 8"/>
    <w:rsid w:val="001E7991"/>
    <w:pPr>
      <w:numPr>
        <w:numId w:val="5"/>
      </w:numPr>
    </w:pPr>
  </w:style>
  <w:style w:type="numbering" w:customStyle="1" w:styleId="List13">
    <w:name w:val="List 13"/>
    <w:rsid w:val="001E7991"/>
    <w:pPr>
      <w:numPr>
        <w:numId w:val="42"/>
      </w:numPr>
    </w:pPr>
  </w:style>
  <w:style w:type="numbering" w:customStyle="1" w:styleId="List20">
    <w:name w:val="List 20"/>
    <w:rsid w:val="001E7991"/>
    <w:pPr>
      <w:numPr>
        <w:numId w:val="43"/>
      </w:numPr>
    </w:pPr>
  </w:style>
  <w:style w:type="numbering" w:customStyle="1" w:styleId="List41">
    <w:name w:val="List 41"/>
    <w:rsid w:val="001E7991"/>
    <w:pPr>
      <w:numPr>
        <w:numId w:val="44"/>
      </w:numPr>
    </w:pPr>
  </w:style>
  <w:style w:type="numbering" w:customStyle="1" w:styleId="List31">
    <w:name w:val="List 31"/>
    <w:rsid w:val="001E7991"/>
    <w:pPr>
      <w:numPr>
        <w:numId w:val="45"/>
      </w:numPr>
    </w:pPr>
  </w:style>
  <w:style w:type="numbering" w:customStyle="1" w:styleId="List6">
    <w:name w:val="List 6"/>
    <w:rsid w:val="001E7991"/>
    <w:pPr>
      <w:numPr>
        <w:numId w:val="3"/>
      </w:numPr>
    </w:pPr>
  </w:style>
  <w:style w:type="numbering" w:customStyle="1" w:styleId="List39">
    <w:name w:val="List 39"/>
    <w:rsid w:val="001E7991"/>
    <w:pPr>
      <w:numPr>
        <w:numId w:val="46"/>
      </w:numPr>
    </w:pPr>
  </w:style>
  <w:style w:type="numbering" w:customStyle="1" w:styleId="List37">
    <w:name w:val="List 37"/>
    <w:rsid w:val="001E7991"/>
    <w:pPr>
      <w:numPr>
        <w:numId w:val="47"/>
      </w:numPr>
    </w:pPr>
  </w:style>
  <w:style w:type="numbering" w:customStyle="1" w:styleId="List32">
    <w:name w:val="List 32"/>
    <w:rsid w:val="001E7991"/>
    <w:pPr>
      <w:numPr>
        <w:numId w:val="48"/>
      </w:numPr>
    </w:pPr>
  </w:style>
  <w:style w:type="numbering" w:customStyle="1" w:styleId="List26">
    <w:name w:val="List 26"/>
    <w:rsid w:val="001E7991"/>
    <w:pPr>
      <w:numPr>
        <w:numId w:val="49"/>
      </w:numPr>
    </w:pPr>
  </w:style>
  <w:style w:type="numbering" w:customStyle="1" w:styleId="List48">
    <w:name w:val="List 48"/>
    <w:rsid w:val="001E7991"/>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1679F7"/>
    <w:rPr>
      <w:rFonts w:cs="Times New Roman"/>
      <w:u w:val="single"/>
    </w:rPr>
  </w:style>
  <w:style w:type="paragraph" w:customStyle="1" w:styleId="Cabeceraypie">
    <w:name w:val="Cabecera y pie"/>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1679F7"/>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1679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1679F7"/>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1F700C"/>
    <w:rPr>
      <w:rFonts w:cs="Times New Roman"/>
      <w:sz w:val="24"/>
      <w:szCs w:val="24"/>
    </w:rPr>
  </w:style>
  <w:style w:type="paragraph" w:styleId="ListParagraph">
    <w:name w:val="List Paragraph"/>
    <w:basedOn w:val="Normal"/>
    <w:uiPriority w:val="99"/>
    <w:qFormat/>
    <w:rsid w:val="001679F7"/>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1679F7"/>
    <w:rPr>
      <w:rFonts w:ascii="Calibri" w:hAnsi="Calibri"/>
      <w:color w:val="000000"/>
      <w:sz w:val="20"/>
      <w:szCs w:val="20"/>
      <w:u w:color="00000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1F700C"/>
    <w:rPr>
      <w:rFonts w:cs="Times New Roman"/>
      <w:sz w:val="20"/>
      <w:szCs w:val="20"/>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rsid w:val="0031535D"/>
    <w:pPr>
      <w:spacing w:after="120"/>
    </w:pPr>
  </w:style>
  <w:style w:type="character" w:customStyle="1" w:styleId="BodyTextChar">
    <w:name w:val="Body Text Char"/>
    <w:basedOn w:val="DefaultParagraphFont"/>
    <w:link w:val="BodyText"/>
    <w:uiPriority w:val="99"/>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character" w:customStyle="1" w:styleId="apple-converted-space">
    <w:name w:val="apple-converted-space"/>
    <w:basedOn w:val="DefaultParagraphFont"/>
    <w:uiPriority w:val="99"/>
    <w:rsid w:val="00F01097"/>
    <w:rPr>
      <w:rFonts w:cs="Times New Roman"/>
    </w:rPr>
  </w:style>
  <w:style w:type="character" w:styleId="PlaceholderText">
    <w:name w:val="Placeholder Text"/>
    <w:basedOn w:val="DefaultParagraphFont"/>
    <w:uiPriority w:val="99"/>
    <w:semiHidden/>
    <w:rsid w:val="00E23CF7"/>
    <w:rPr>
      <w:rFonts w:cs="Times New Roman"/>
      <w:color w:val="808080"/>
    </w:rPr>
  </w:style>
  <w:style w:type="character" w:styleId="CommentReference">
    <w:name w:val="annotation reference"/>
    <w:basedOn w:val="DefaultParagraphFont"/>
    <w:uiPriority w:val="99"/>
    <w:semiHidden/>
    <w:rsid w:val="00406DA6"/>
    <w:rPr>
      <w:rFonts w:cs="Times New Roman"/>
      <w:sz w:val="16"/>
      <w:szCs w:val="16"/>
    </w:rPr>
  </w:style>
  <w:style w:type="paragraph" w:styleId="CommentText">
    <w:name w:val="annotation text"/>
    <w:basedOn w:val="Normal"/>
    <w:link w:val="CommentTextChar"/>
    <w:uiPriority w:val="99"/>
    <w:semiHidden/>
    <w:rsid w:val="00406DA6"/>
    <w:rPr>
      <w:sz w:val="20"/>
      <w:szCs w:val="20"/>
    </w:rPr>
  </w:style>
  <w:style w:type="character" w:customStyle="1" w:styleId="CommentTextChar">
    <w:name w:val="Comment Text Char"/>
    <w:basedOn w:val="DefaultParagraphFont"/>
    <w:link w:val="CommentText"/>
    <w:uiPriority w:val="99"/>
    <w:semiHidden/>
    <w:locked/>
    <w:rsid w:val="00406DA6"/>
    <w:rPr>
      <w:rFonts w:cs="Times New Roman"/>
      <w:lang w:val="en-US" w:eastAsia="en-US"/>
    </w:rPr>
  </w:style>
  <w:style w:type="paragraph" w:styleId="CommentSubject">
    <w:name w:val="annotation subject"/>
    <w:basedOn w:val="CommentText"/>
    <w:next w:val="CommentText"/>
    <w:link w:val="CommentSubjectChar"/>
    <w:uiPriority w:val="99"/>
    <w:semiHidden/>
    <w:rsid w:val="00406DA6"/>
    <w:rPr>
      <w:b/>
      <w:bCs/>
    </w:rPr>
  </w:style>
  <w:style w:type="character" w:customStyle="1" w:styleId="CommentSubjectChar">
    <w:name w:val="Comment Subject Char"/>
    <w:basedOn w:val="CommentTextChar"/>
    <w:link w:val="CommentSubject"/>
    <w:uiPriority w:val="99"/>
    <w:semiHidden/>
    <w:locked/>
    <w:rsid w:val="00406DA6"/>
    <w:rPr>
      <w:rFonts w:cs="Times New Roman"/>
      <w:b/>
      <w:bCs/>
      <w:lang w:val="en-US" w:eastAsia="en-US"/>
    </w:rPr>
  </w:style>
  <w:style w:type="numbering" w:customStyle="1" w:styleId="List16">
    <w:name w:val="List 16"/>
    <w:rsid w:val="001E7991"/>
    <w:pPr>
      <w:numPr>
        <w:numId w:val="10"/>
      </w:numPr>
    </w:pPr>
  </w:style>
  <w:style w:type="numbering" w:customStyle="1" w:styleId="List36">
    <w:name w:val="List 36"/>
    <w:rsid w:val="001E7991"/>
    <w:pPr>
      <w:numPr>
        <w:numId w:val="14"/>
      </w:numPr>
    </w:pPr>
  </w:style>
  <w:style w:type="numbering" w:customStyle="1" w:styleId="List25">
    <w:name w:val="List 25"/>
    <w:rsid w:val="001E7991"/>
    <w:pPr>
      <w:numPr>
        <w:numId w:val="15"/>
      </w:numPr>
    </w:pPr>
  </w:style>
  <w:style w:type="numbering" w:customStyle="1" w:styleId="List1">
    <w:name w:val="List 1"/>
    <w:rsid w:val="001E7991"/>
    <w:pPr>
      <w:numPr>
        <w:numId w:val="1"/>
      </w:numPr>
    </w:pPr>
  </w:style>
  <w:style w:type="numbering" w:customStyle="1" w:styleId="List11">
    <w:name w:val="List 11"/>
    <w:rsid w:val="001E7991"/>
    <w:pPr>
      <w:numPr>
        <w:numId w:val="7"/>
      </w:numPr>
    </w:pPr>
  </w:style>
  <w:style w:type="numbering" w:customStyle="1" w:styleId="List15">
    <w:name w:val="List 15"/>
    <w:rsid w:val="001E7991"/>
    <w:pPr>
      <w:numPr>
        <w:numId w:val="16"/>
      </w:numPr>
    </w:pPr>
  </w:style>
  <w:style w:type="numbering" w:customStyle="1" w:styleId="List14">
    <w:name w:val="List 14"/>
    <w:rsid w:val="001E7991"/>
    <w:pPr>
      <w:numPr>
        <w:numId w:val="17"/>
      </w:numPr>
    </w:pPr>
  </w:style>
  <w:style w:type="numbering" w:customStyle="1" w:styleId="List23">
    <w:name w:val="List 23"/>
    <w:rsid w:val="001E7991"/>
    <w:pPr>
      <w:numPr>
        <w:numId w:val="18"/>
      </w:numPr>
    </w:pPr>
  </w:style>
  <w:style w:type="numbering" w:customStyle="1" w:styleId="List19">
    <w:name w:val="List 19"/>
    <w:rsid w:val="001E7991"/>
    <w:pPr>
      <w:numPr>
        <w:numId w:val="19"/>
      </w:numPr>
    </w:pPr>
  </w:style>
  <w:style w:type="numbering" w:customStyle="1" w:styleId="List45">
    <w:name w:val="List 45"/>
    <w:rsid w:val="001E7991"/>
    <w:pPr>
      <w:numPr>
        <w:numId w:val="20"/>
      </w:numPr>
    </w:pPr>
  </w:style>
  <w:style w:type="numbering" w:customStyle="1" w:styleId="List40">
    <w:name w:val="List 40"/>
    <w:rsid w:val="001E7991"/>
    <w:pPr>
      <w:numPr>
        <w:numId w:val="21"/>
      </w:numPr>
    </w:pPr>
  </w:style>
  <w:style w:type="numbering" w:customStyle="1" w:styleId="List9">
    <w:name w:val="List 9"/>
    <w:rsid w:val="001E7991"/>
    <w:pPr>
      <w:numPr>
        <w:numId w:val="22"/>
      </w:numPr>
    </w:pPr>
  </w:style>
  <w:style w:type="numbering" w:customStyle="1" w:styleId="List43">
    <w:name w:val="List 43"/>
    <w:rsid w:val="001E7991"/>
    <w:pPr>
      <w:numPr>
        <w:numId w:val="23"/>
      </w:numPr>
    </w:pPr>
  </w:style>
  <w:style w:type="numbering" w:customStyle="1" w:styleId="List46">
    <w:name w:val="List 46"/>
    <w:rsid w:val="001E7991"/>
    <w:pPr>
      <w:numPr>
        <w:numId w:val="24"/>
      </w:numPr>
    </w:pPr>
  </w:style>
  <w:style w:type="numbering" w:customStyle="1" w:styleId="List35">
    <w:name w:val="List 35"/>
    <w:rsid w:val="001E7991"/>
    <w:pPr>
      <w:numPr>
        <w:numId w:val="8"/>
      </w:numPr>
    </w:pPr>
  </w:style>
  <w:style w:type="numbering" w:customStyle="1" w:styleId="List17">
    <w:name w:val="List 17"/>
    <w:rsid w:val="001E7991"/>
    <w:pPr>
      <w:numPr>
        <w:numId w:val="25"/>
      </w:numPr>
    </w:pPr>
  </w:style>
  <w:style w:type="numbering" w:customStyle="1" w:styleId="List33">
    <w:name w:val="List 33"/>
    <w:rsid w:val="001E7991"/>
    <w:pPr>
      <w:numPr>
        <w:numId w:val="26"/>
      </w:numPr>
    </w:pPr>
  </w:style>
  <w:style w:type="numbering" w:customStyle="1" w:styleId="List7">
    <w:name w:val="List 7"/>
    <w:rsid w:val="001E7991"/>
    <w:pPr>
      <w:numPr>
        <w:numId w:val="4"/>
      </w:numPr>
    </w:pPr>
  </w:style>
  <w:style w:type="numbering" w:customStyle="1" w:styleId="List18">
    <w:name w:val="List 18"/>
    <w:rsid w:val="001E7991"/>
    <w:pPr>
      <w:numPr>
        <w:numId w:val="27"/>
      </w:numPr>
    </w:pPr>
  </w:style>
  <w:style w:type="numbering" w:customStyle="1" w:styleId="List22">
    <w:name w:val="List 22"/>
    <w:rsid w:val="001E7991"/>
    <w:pPr>
      <w:numPr>
        <w:numId w:val="28"/>
      </w:numPr>
    </w:pPr>
  </w:style>
  <w:style w:type="numbering" w:customStyle="1" w:styleId="List47">
    <w:name w:val="List 47"/>
    <w:rsid w:val="001E7991"/>
    <w:pPr>
      <w:numPr>
        <w:numId w:val="29"/>
      </w:numPr>
    </w:pPr>
  </w:style>
  <w:style w:type="numbering" w:customStyle="1" w:styleId="List28">
    <w:name w:val="List 28"/>
    <w:rsid w:val="001E7991"/>
    <w:pPr>
      <w:numPr>
        <w:numId w:val="30"/>
      </w:numPr>
    </w:pPr>
  </w:style>
  <w:style w:type="numbering" w:customStyle="1" w:styleId="List10">
    <w:name w:val="List 10"/>
    <w:rsid w:val="001E7991"/>
    <w:pPr>
      <w:numPr>
        <w:numId w:val="6"/>
      </w:numPr>
    </w:pPr>
  </w:style>
  <w:style w:type="numbering" w:customStyle="1" w:styleId="List0">
    <w:name w:val="List 0"/>
    <w:rsid w:val="001E7991"/>
    <w:pPr>
      <w:numPr>
        <w:numId w:val="31"/>
      </w:numPr>
    </w:pPr>
  </w:style>
  <w:style w:type="numbering" w:customStyle="1" w:styleId="List30">
    <w:name w:val="List 30"/>
    <w:rsid w:val="001E7991"/>
    <w:pPr>
      <w:numPr>
        <w:numId w:val="32"/>
      </w:numPr>
    </w:pPr>
  </w:style>
  <w:style w:type="numbering" w:customStyle="1" w:styleId="List29">
    <w:name w:val="List 29"/>
    <w:rsid w:val="001E7991"/>
    <w:pPr>
      <w:numPr>
        <w:numId w:val="34"/>
      </w:numPr>
    </w:pPr>
  </w:style>
  <w:style w:type="numbering" w:customStyle="1" w:styleId="List38">
    <w:name w:val="List 38"/>
    <w:rsid w:val="001E7991"/>
    <w:pPr>
      <w:numPr>
        <w:numId w:val="35"/>
      </w:numPr>
    </w:pPr>
  </w:style>
  <w:style w:type="numbering" w:customStyle="1" w:styleId="List12">
    <w:name w:val="List 12"/>
    <w:rsid w:val="001E7991"/>
    <w:pPr>
      <w:numPr>
        <w:numId w:val="36"/>
      </w:numPr>
    </w:pPr>
  </w:style>
  <w:style w:type="numbering" w:customStyle="1" w:styleId="List50">
    <w:name w:val="List 50"/>
    <w:rsid w:val="001E7991"/>
    <w:pPr>
      <w:numPr>
        <w:numId w:val="37"/>
      </w:numPr>
    </w:pPr>
  </w:style>
  <w:style w:type="numbering" w:customStyle="1" w:styleId="List34">
    <w:name w:val="List 34"/>
    <w:rsid w:val="001E7991"/>
    <w:pPr>
      <w:numPr>
        <w:numId w:val="11"/>
      </w:numPr>
    </w:pPr>
  </w:style>
  <w:style w:type="numbering" w:customStyle="1" w:styleId="List42">
    <w:name w:val="List 42"/>
    <w:rsid w:val="001E7991"/>
    <w:pPr>
      <w:numPr>
        <w:numId w:val="12"/>
      </w:numPr>
    </w:pPr>
  </w:style>
  <w:style w:type="numbering" w:customStyle="1" w:styleId="List49">
    <w:name w:val="List 49"/>
    <w:rsid w:val="001E7991"/>
    <w:pPr>
      <w:numPr>
        <w:numId w:val="39"/>
      </w:numPr>
    </w:pPr>
  </w:style>
  <w:style w:type="numbering" w:customStyle="1" w:styleId="List44">
    <w:name w:val="List 44"/>
    <w:rsid w:val="001E7991"/>
    <w:pPr>
      <w:numPr>
        <w:numId w:val="40"/>
      </w:numPr>
    </w:pPr>
  </w:style>
  <w:style w:type="numbering" w:customStyle="1" w:styleId="List21">
    <w:name w:val="List 21"/>
    <w:rsid w:val="001E7991"/>
    <w:pPr>
      <w:numPr>
        <w:numId w:val="52"/>
      </w:numPr>
    </w:pPr>
  </w:style>
  <w:style w:type="numbering" w:customStyle="1" w:styleId="List52">
    <w:name w:val="List 52"/>
    <w:rsid w:val="001E7991"/>
    <w:pPr>
      <w:numPr>
        <w:numId w:val="9"/>
      </w:numPr>
    </w:pPr>
  </w:style>
  <w:style w:type="numbering" w:customStyle="1" w:styleId="List24">
    <w:name w:val="List 24"/>
    <w:rsid w:val="001E7991"/>
    <w:pPr>
      <w:numPr>
        <w:numId w:val="13"/>
      </w:numPr>
    </w:pPr>
  </w:style>
  <w:style w:type="numbering" w:customStyle="1" w:styleId="List51">
    <w:name w:val="List 51"/>
    <w:rsid w:val="001E7991"/>
    <w:pPr>
      <w:numPr>
        <w:numId w:val="54"/>
      </w:numPr>
    </w:pPr>
  </w:style>
  <w:style w:type="numbering" w:customStyle="1" w:styleId="List27">
    <w:name w:val="List 27"/>
    <w:rsid w:val="001E7991"/>
    <w:pPr>
      <w:numPr>
        <w:numId w:val="41"/>
      </w:numPr>
    </w:pPr>
  </w:style>
  <w:style w:type="numbering" w:customStyle="1" w:styleId="List8">
    <w:name w:val="List 8"/>
    <w:rsid w:val="001E7991"/>
    <w:pPr>
      <w:numPr>
        <w:numId w:val="5"/>
      </w:numPr>
    </w:pPr>
  </w:style>
  <w:style w:type="numbering" w:customStyle="1" w:styleId="List13">
    <w:name w:val="List 13"/>
    <w:rsid w:val="001E7991"/>
    <w:pPr>
      <w:numPr>
        <w:numId w:val="42"/>
      </w:numPr>
    </w:pPr>
  </w:style>
  <w:style w:type="numbering" w:customStyle="1" w:styleId="List20">
    <w:name w:val="List 20"/>
    <w:rsid w:val="001E7991"/>
    <w:pPr>
      <w:numPr>
        <w:numId w:val="43"/>
      </w:numPr>
    </w:pPr>
  </w:style>
  <w:style w:type="numbering" w:customStyle="1" w:styleId="List41">
    <w:name w:val="List 41"/>
    <w:rsid w:val="001E7991"/>
    <w:pPr>
      <w:numPr>
        <w:numId w:val="44"/>
      </w:numPr>
    </w:pPr>
  </w:style>
  <w:style w:type="numbering" w:customStyle="1" w:styleId="List31">
    <w:name w:val="List 31"/>
    <w:rsid w:val="001E7991"/>
    <w:pPr>
      <w:numPr>
        <w:numId w:val="45"/>
      </w:numPr>
    </w:pPr>
  </w:style>
  <w:style w:type="numbering" w:customStyle="1" w:styleId="List6">
    <w:name w:val="List 6"/>
    <w:rsid w:val="001E7991"/>
    <w:pPr>
      <w:numPr>
        <w:numId w:val="3"/>
      </w:numPr>
    </w:pPr>
  </w:style>
  <w:style w:type="numbering" w:customStyle="1" w:styleId="List39">
    <w:name w:val="List 39"/>
    <w:rsid w:val="001E7991"/>
    <w:pPr>
      <w:numPr>
        <w:numId w:val="46"/>
      </w:numPr>
    </w:pPr>
  </w:style>
  <w:style w:type="numbering" w:customStyle="1" w:styleId="List37">
    <w:name w:val="List 37"/>
    <w:rsid w:val="001E7991"/>
    <w:pPr>
      <w:numPr>
        <w:numId w:val="47"/>
      </w:numPr>
    </w:pPr>
  </w:style>
  <w:style w:type="numbering" w:customStyle="1" w:styleId="List32">
    <w:name w:val="List 32"/>
    <w:rsid w:val="001E7991"/>
    <w:pPr>
      <w:numPr>
        <w:numId w:val="48"/>
      </w:numPr>
    </w:pPr>
  </w:style>
  <w:style w:type="numbering" w:customStyle="1" w:styleId="List26">
    <w:name w:val="List 26"/>
    <w:rsid w:val="001E7991"/>
    <w:pPr>
      <w:numPr>
        <w:numId w:val="49"/>
      </w:numPr>
    </w:pPr>
  </w:style>
  <w:style w:type="numbering" w:customStyle="1" w:styleId="List48">
    <w:name w:val="List 48"/>
    <w:rsid w:val="001E799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454926">
      <w:marLeft w:val="0"/>
      <w:marRight w:val="0"/>
      <w:marTop w:val="0"/>
      <w:marBottom w:val="0"/>
      <w:divBdr>
        <w:top w:val="none" w:sz="0" w:space="0" w:color="auto"/>
        <w:left w:val="none" w:sz="0" w:space="0" w:color="auto"/>
        <w:bottom w:val="none" w:sz="0" w:space="0" w:color="auto"/>
        <w:right w:val="none" w:sz="0" w:space="0" w:color="auto"/>
      </w:divBdr>
    </w:div>
    <w:div w:id="2107454927">
      <w:marLeft w:val="0"/>
      <w:marRight w:val="0"/>
      <w:marTop w:val="0"/>
      <w:marBottom w:val="0"/>
      <w:divBdr>
        <w:top w:val="none" w:sz="0" w:space="0" w:color="auto"/>
        <w:left w:val="none" w:sz="0" w:space="0" w:color="auto"/>
        <w:bottom w:val="none" w:sz="0" w:space="0" w:color="auto"/>
        <w:right w:val="none" w:sz="0" w:space="0" w:color="auto"/>
      </w:divBdr>
    </w:div>
    <w:div w:id="2107454928">
      <w:marLeft w:val="0"/>
      <w:marRight w:val="0"/>
      <w:marTop w:val="0"/>
      <w:marBottom w:val="0"/>
      <w:divBdr>
        <w:top w:val="none" w:sz="0" w:space="0" w:color="auto"/>
        <w:left w:val="none" w:sz="0" w:space="0" w:color="auto"/>
        <w:bottom w:val="none" w:sz="0" w:space="0" w:color="auto"/>
        <w:right w:val="none" w:sz="0" w:space="0" w:color="auto"/>
      </w:divBdr>
    </w:div>
    <w:div w:id="2107454929">
      <w:marLeft w:val="0"/>
      <w:marRight w:val="0"/>
      <w:marTop w:val="0"/>
      <w:marBottom w:val="0"/>
      <w:divBdr>
        <w:top w:val="none" w:sz="0" w:space="0" w:color="auto"/>
        <w:left w:val="none" w:sz="0" w:space="0" w:color="auto"/>
        <w:bottom w:val="none" w:sz="0" w:space="0" w:color="auto"/>
        <w:right w:val="none" w:sz="0" w:space="0" w:color="auto"/>
      </w:divBdr>
    </w:div>
    <w:div w:id="2107454930">
      <w:marLeft w:val="0"/>
      <w:marRight w:val="0"/>
      <w:marTop w:val="0"/>
      <w:marBottom w:val="0"/>
      <w:divBdr>
        <w:top w:val="none" w:sz="0" w:space="0" w:color="auto"/>
        <w:left w:val="none" w:sz="0" w:space="0" w:color="auto"/>
        <w:bottom w:val="none" w:sz="0" w:space="0" w:color="auto"/>
        <w:right w:val="none" w:sz="0" w:space="0" w:color="auto"/>
      </w:divBdr>
    </w:div>
    <w:div w:id="2107454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s.wikipedia.org/wiki/Leonel_Antonio_Fern%C3%A1ndez_Reyna"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2EA9-F47D-45A6-A266-EC8B9769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3832</Words>
  <Characters>20273</Characters>
  <Application>Microsoft Office Word</Application>
  <DocSecurity>0</DocSecurity>
  <Lines>326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2016-10-12T14:25:00Z</dcterms:created>
  <dcterms:modified xsi:type="dcterms:W3CDTF">2016-10-12T14:26:00Z</dcterms:modified>
</cp:coreProperties>
</file>