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DC91BB3"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7C3DF9C"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A83EF3" w:rsidRDefault="00A83EF3"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A83EF3" w:rsidRDefault="00A83EF3" w:rsidP="00AE5488">
                      <w:r>
                        <w:rPr>
                          <w:noProof/>
                          <w:lang w:val="es-MX" w:eastAsia="es-MX"/>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47386BAF"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12A36B24" w14:textId="77777777" w:rsidR="005128E4" w:rsidRPr="0090270B" w:rsidRDefault="005128E4" w:rsidP="00040C3A">
      <w:pPr>
        <w:tabs>
          <w:tab w:val="center" w:pos="5400"/>
        </w:tabs>
        <w:suppressAutoHyphens/>
        <w:rPr>
          <w:rFonts w:asciiTheme="majorHAnsi" w:hAnsiTheme="majorHAnsi"/>
          <w:sz w:val="22"/>
          <w:szCs w:val="22"/>
          <w:lang w:val="es-ES_tradnl"/>
        </w:rPr>
      </w:pPr>
    </w:p>
    <w:p w14:paraId="2252093D" w14:textId="77777777" w:rsidR="005128E4" w:rsidRPr="0090270B" w:rsidRDefault="005128E4" w:rsidP="00040C3A">
      <w:pPr>
        <w:tabs>
          <w:tab w:val="center" w:pos="5400"/>
        </w:tabs>
        <w:suppressAutoHyphens/>
        <w:rPr>
          <w:rFonts w:asciiTheme="majorHAnsi" w:hAnsiTheme="majorHAnsi"/>
          <w:sz w:val="22"/>
          <w:szCs w:val="22"/>
          <w:lang w:val="es-ES_tradnl"/>
        </w:rPr>
      </w:pPr>
    </w:p>
    <w:p w14:paraId="403935BD"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6DCF5F8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791F13A"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44E016B6"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63D41962"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5ADEB99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D81B7E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4791D04"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5AEE7BED" w:rsidR="00A83EF3" w:rsidRPr="004E2649" w:rsidRDefault="00A83EF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E7054">
                              <w:rPr>
                                <w:rFonts w:asciiTheme="majorHAnsi" w:hAnsiTheme="majorHAnsi" w:cs="Arial"/>
                                <w:b/>
                                <w:bCs/>
                                <w:color w:val="0D0D0D" w:themeColor="text1" w:themeTint="F2"/>
                                <w:sz w:val="36"/>
                                <w:szCs w:val="22"/>
                                <w:lang w:val="es-ES_tradnl"/>
                              </w:rPr>
                              <w:t xml:space="preserve"> 102</w:t>
                            </w:r>
                            <w:r>
                              <w:rPr>
                                <w:rFonts w:asciiTheme="majorHAnsi" w:hAnsiTheme="majorHAnsi" w:cs="Arial"/>
                                <w:b/>
                                <w:bCs/>
                                <w:color w:val="0D0D0D" w:themeColor="text1" w:themeTint="F2"/>
                                <w:sz w:val="36"/>
                                <w:szCs w:val="22"/>
                                <w:lang w:val="es-ES_tradnl"/>
                              </w:rPr>
                              <w:t>/17</w:t>
                            </w:r>
                          </w:p>
                          <w:p w14:paraId="09C54AB3" w14:textId="2970FF17" w:rsidR="00A83EF3" w:rsidRDefault="00A83EF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383-08</w:t>
                            </w:r>
                          </w:p>
                          <w:p w14:paraId="70CF6833" w14:textId="7BD14B08" w:rsidR="00A83EF3" w:rsidRPr="0010736F" w:rsidRDefault="00A83EF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A83EF3" w:rsidRPr="0010736F" w:rsidRDefault="00A83EF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EB145B7" w:rsidR="00A83EF3" w:rsidRPr="0010736F" w:rsidRDefault="00A83EF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HEBE ALICIA LÓPEZ OSUNA</w:t>
                            </w:r>
                          </w:p>
                          <w:bookmarkEnd w:id="1"/>
                          <w:p w14:paraId="35068D0D" w14:textId="730BB8AC" w:rsidR="00A83EF3" w:rsidRPr="0010736F" w:rsidRDefault="00A83EF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A83EF3" w:rsidRPr="00AE5488" w:rsidRDefault="00A83EF3"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5AEE7BED" w:rsidR="00A83EF3" w:rsidRPr="004E2649" w:rsidRDefault="00A83EF3"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sidR="004E7054">
                        <w:rPr>
                          <w:rFonts w:asciiTheme="majorHAnsi" w:hAnsiTheme="majorHAnsi" w:cs="Arial"/>
                          <w:b/>
                          <w:bCs/>
                          <w:color w:val="0D0D0D" w:themeColor="text1" w:themeTint="F2"/>
                          <w:sz w:val="36"/>
                          <w:szCs w:val="22"/>
                          <w:lang w:val="es-ES_tradnl"/>
                        </w:rPr>
                        <w:t xml:space="preserve"> 102</w:t>
                      </w:r>
                      <w:r>
                        <w:rPr>
                          <w:rFonts w:asciiTheme="majorHAnsi" w:hAnsiTheme="majorHAnsi" w:cs="Arial"/>
                          <w:b/>
                          <w:bCs/>
                          <w:color w:val="0D0D0D" w:themeColor="text1" w:themeTint="F2"/>
                          <w:sz w:val="36"/>
                          <w:szCs w:val="22"/>
                          <w:lang w:val="es-ES_tradnl"/>
                        </w:rPr>
                        <w:t>/17</w:t>
                      </w:r>
                    </w:p>
                    <w:p w14:paraId="09C54AB3" w14:textId="2970FF17" w:rsidR="00A83EF3" w:rsidRDefault="00A83EF3"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383-08</w:t>
                      </w:r>
                    </w:p>
                    <w:p w14:paraId="70CF6833" w14:textId="7BD14B08" w:rsidR="00A83EF3" w:rsidRPr="0010736F" w:rsidRDefault="00A83EF3"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5FDD6F0D" w14:textId="77777777" w:rsidR="00A83EF3" w:rsidRPr="0010736F" w:rsidRDefault="00A83EF3" w:rsidP="00997BC5">
                      <w:pPr>
                        <w:spacing w:line="276" w:lineRule="auto"/>
                        <w:rPr>
                          <w:rFonts w:asciiTheme="majorHAnsi" w:hAnsiTheme="majorHAnsi" w:cs="Arial"/>
                          <w:color w:val="0D0D0D" w:themeColor="text1" w:themeTint="F2"/>
                          <w:szCs w:val="22"/>
                          <w:lang w:val="es-ES_tradnl"/>
                        </w:rPr>
                      </w:pPr>
                      <w:bookmarkStart w:id="1" w:name="_ftnref1"/>
                    </w:p>
                    <w:p w14:paraId="4CFA2FBF" w14:textId="7EB145B7" w:rsidR="00A83EF3" w:rsidRPr="0010736F" w:rsidRDefault="00A83EF3"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HEBE ALICIA LÓPEZ OSUNA</w:t>
                      </w:r>
                    </w:p>
                    <w:bookmarkEnd w:id="1"/>
                    <w:p w14:paraId="35068D0D" w14:textId="730BB8AC" w:rsidR="00A83EF3" w:rsidRPr="0010736F" w:rsidRDefault="00A83EF3"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ARGENTINA</w:t>
                      </w:r>
                    </w:p>
                    <w:p w14:paraId="575DFD52" w14:textId="77777777" w:rsidR="00A83EF3" w:rsidRPr="00AE5488" w:rsidRDefault="00A83EF3"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492F1FCA" w:rsidR="00A83EF3" w:rsidRPr="004E2649" w:rsidRDefault="004E705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OEA/Ser.L/V/II.164</w:t>
                            </w:r>
                          </w:p>
                          <w:p w14:paraId="6A41611B" w14:textId="1F357B70" w:rsidR="00A83EF3" w:rsidRPr="004E2649" w:rsidRDefault="004E705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123</w:t>
                            </w:r>
                          </w:p>
                          <w:p w14:paraId="69373ED2" w14:textId="52C8562B" w:rsidR="00A83EF3" w:rsidRPr="004E2649" w:rsidRDefault="004E705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septiembre </w:t>
                            </w:r>
                            <w:r w:rsidR="00A83EF3" w:rsidRPr="004E2649">
                              <w:rPr>
                                <w:rFonts w:asciiTheme="minorHAnsi" w:hAnsiTheme="minorHAnsi"/>
                                <w:color w:val="FFFFFF" w:themeColor="background1"/>
                                <w:sz w:val="22"/>
                              </w:rPr>
                              <w:t>201</w:t>
                            </w:r>
                            <w:r w:rsidR="00A83EF3">
                              <w:rPr>
                                <w:rFonts w:asciiTheme="minorHAnsi" w:hAnsiTheme="minorHAnsi"/>
                                <w:color w:val="FFFFFF" w:themeColor="background1"/>
                                <w:sz w:val="22"/>
                              </w:rPr>
                              <w:t>7</w:t>
                            </w:r>
                          </w:p>
                          <w:p w14:paraId="0771DB5B" w14:textId="77777777" w:rsidR="00A83EF3" w:rsidRPr="004E2649" w:rsidRDefault="00A83EF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492F1FCA" w:rsidR="00A83EF3" w:rsidRPr="004E2649" w:rsidRDefault="004E705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OEA/Ser.L/V/II.164</w:t>
                      </w:r>
                    </w:p>
                    <w:p w14:paraId="6A41611B" w14:textId="1F357B70" w:rsidR="00A83EF3" w:rsidRPr="004E2649" w:rsidRDefault="004E7054"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123</w:t>
                      </w:r>
                    </w:p>
                    <w:p w14:paraId="69373ED2" w14:textId="52C8562B" w:rsidR="00A83EF3" w:rsidRPr="004E2649" w:rsidRDefault="004E7054"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7 </w:t>
                      </w:r>
                      <w:proofErr w:type="spellStart"/>
                      <w:r>
                        <w:rPr>
                          <w:rFonts w:asciiTheme="minorHAnsi" w:hAnsiTheme="minorHAnsi"/>
                          <w:color w:val="FFFFFF" w:themeColor="background1"/>
                          <w:sz w:val="22"/>
                        </w:rPr>
                        <w:t>septiembre</w:t>
                      </w:r>
                      <w:proofErr w:type="spellEnd"/>
                      <w:r>
                        <w:rPr>
                          <w:rFonts w:asciiTheme="minorHAnsi" w:hAnsiTheme="minorHAnsi"/>
                          <w:color w:val="FFFFFF" w:themeColor="background1"/>
                          <w:sz w:val="22"/>
                        </w:rPr>
                        <w:t xml:space="preserve"> </w:t>
                      </w:r>
                      <w:r w:rsidR="00A83EF3" w:rsidRPr="004E2649">
                        <w:rPr>
                          <w:rFonts w:asciiTheme="minorHAnsi" w:hAnsiTheme="minorHAnsi"/>
                          <w:color w:val="FFFFFF" w:themeColor="background1"/>
                          <w:sz w:val="22"/>
                        </w:rPr>
                        <w:t>201</w:t>
                      </w:r>
                      <w:r w:rsidR="00A83EF3">
                        <w:rPr>
                          <w:rFonts w:asciiTheme="minorHAnsi" w:hAnsiTheme="minorHAnsi"/>
                          <w:color w:val="FFFFFF" w:themeColor="background1"/>
                          <w:sz w:val="22"/>
                        </w:rPr>
                        <w:t>7</w:t>
                      </w:r>
                    </w:p>
                    <w:p w14:paraId="0771DB5B" w14:textId="77777777" w:rsidR="00A83EF3" w:rsidRPr="004E2649" w:rsidRDefault="00A83EF3" w:rsidP="007A5817">
                      <w:pPr>
                        <w:spacing w:line="276" w:lineRule="auto"/>
                        <w:jc w:val="right"/>
                        <w:rPr>
                          <w:rFonts w:asciiTheme="minorHAnsi" w:hAnsiTheme="minorHAnsi"/>
                          <w:color w:val="FFFFFF" w:themeColor="background1"/>
                          <w:sz w:val="22"/>
                        </w:rPr>
                      </w:pPr>
                      <w:r w:rsidRPr="004E2649">
                        <w:rPr>
                          <w:rFonts w:asciiTheme="minorHAnsi" w:hAnsiTheme="minorHAnsi"/>
                          <w:color w:val="FFFFFF" w:themeColor="background1"/>
                          <w:sz w:val="22"/>
                        </w:rPr>
                        <w:t>Original: español</w:t>
                      </w:r>
                    </w:p>
                  </w:txbxContent>
                </v:textbox>
              </v:shape>
            </w:pict>
          </mc:Fallback>
        </mc:AlternateContent>
      </w:r>
    </w:p>
    <w:p w14:paraId="155B053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FE3AB8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383BC0"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54590931"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6C291D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2161B44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C4EEE07"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3B0E4647"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DAAF36D"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496A14"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25772DB3"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820FADA"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54445A55"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D4A404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48FBB2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90ABFB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4C69004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33CA43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74DEE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698D0D6"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F90782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45D9AC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6068EE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4A4A43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3B735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C5C441"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806A2B0"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19C392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4A018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F76EC" w14:textId="77777777" w:rsidR="004E7054" w:rsidRPr="004E7054" w:rsidRDefault="004E7054" w:rsidP="004E7054">
                            <w:pPr>
                              <w:tabs>
                                <w:tab w:val="center" w:pos="5400"/>
                              </w:tabs>
                              <w:suppressAutoHyphens/>
                              <w:spacing w:before="60"/>
                              <w:rPr>
                                <w:rFonts w:asciiTheme="majorHAnsi" w:hAnsiTheme="majorHAnsi"/>
                                <w:color w:val="0D0D0D" w:themeColor="text1" w:themeTint="F2"/>
                                <w:sz w:val="18"/>
                                <w:szCs w:val="20"/>
                                <w:lang w:val="es-ES"/>
                              </w:rPr>
                            </w:pPr>
                            <w:r w:rsidRPr="004E7054">
                              <w:rPr>
                                <w:rFonts w:asciiTheme="majorHAnsi" w:hAnsiTheme="majorHAnsi"/>
                                <w:color w:val="0D0D0D" w:themeColor="text1" w:themeTint="F2"/>
                                <w:sz w:val="18"/>
                                <w:szCs w:val="20"/>
                                <w:lang w:val="es-ES"/>
                              </w:rPr>
                              <w:t>Aprobado por la Comisión en su sesión No. 2098 celebrada el 7 de septiembre de 2017</w:t>
                            </w:r>
                          </w:p>
                          <w:p w14:paraId="2944B4F7" w14:textId="3F621ECA" w:rsidR="00A83EF3" w:rsidRPr="00890650" w:rsidRDefault="004E7054" w:rsidP="004E7054">
                            <w:pPr>
                              <w:tabs>
                                <w:tab w:val="center" w:pos="5400"/>
                              </w:tabs>
                              <w:suppressAutoHyphens/>
                              <w:spacing w:before="60"/>
                              <w:rPr>
                                <w:rFonts w:asciiTheme="majorHAnsi" w:hAnsiTheme="majorHAnsi"/>
                                <w:color w:val="0D0D0D" w:themeColor="text1" w:themeTint="F2"/>
                                <w:sz w:val="18"/>
                                <w:szCs w:val="22"/>
                                <w:lang w:val="es-ES"/>
                              </w:rPr>
                            </w:pPr>
                            <w:r w:rsidRPr="004E7054">
                              <w:rPr>
                                <w:rFonts w:asciiTheme="majorHAnsi" w:hAnsiTheme="majorHAnsi"/>
                                <w:color w:val="0D0D0D" w:themeColor="text1" w:themeTint="F2"/>
                                <w:sz w:val="18"/>
                                <w:szCs w:val="20"/>
                                <w:lang w:val="es-ES"/>
                              </w:rPr>
                              <w:t>164º período extraordinario de sesiones</w:t>
                            </w:r>
                          </w:p>
                          <w:p w14:paraId="4BDF3581" w14:textId="77777777" w:rsidR="00A83EF3" w:rsidRPr="007A5817" w:rsidRDefault="00A83EF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83EF3" w:rsidRPr="00167A34" w:rsidRDefault="00A83EF3"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4E5F76EC" w14:textId="77777777" w:rsidR="004E7054" w:rsidRPr="004E7054" w:rsidRDefault="004E7054" w:rsidP="004E7054">
                      <w:pPr>
                        <w:tabs>
                          <w:tab w:val="center" w:pos="5400"/>
                        </w:tabs>
                        <w:suppressAutoHyphens/>
                        <w:spacing w:before="60"/>
                        <w:rPr>
                          <w:rFonts w:asciiTheme="majorHAnsi" w:hAnsiTheme="majorHAnsi"/>
                          <w:color w:val="0D0D0D" w:themeColor="text1" w:themeTint="F2"/>
                          <w:sz w:val="18"/>
                          <w:szCs w:val="20"/>
                          <w:lang w:val="es-ES"/>
                        </w:rPr>
                      </w:pPr>
                      <w:r w:rsidRPr="004E7054">
                        <w:rPr>
                          <w:rFonts w:asciiTheme="majorHAnsi" w:hAnsiTheme="majorHAnsi"/>
                          <w:color w:val="0D0D0D" w:themeColor="text1" w:themeTint="F2"/>
                          <w:sz w:val="18"/>
                          <w:szCs w:val="20"/>
                          <w:lang w:val="es-ES"/>
                        </w:rPr>
                        <w:t>Aprobado por la Comisión en su sesión No. 2098 celebrada el 7 de septiembre de 2017</w:t>
                      </w:r>
                    </w:p>
                    <w:p w14:paraId="2944B4F7" w14:textId="3F621ECA" w:rsidR="00A83EF3" w:rsidRPr="00890650" w:rsidRDefault="004E7054" w:rsidP="004E7054">
                      <w:pPr>
                        <w:tabs>
                          <w:tab w:val="center" w:pos="5400"/>
                        </w:tabs>
                        <w:suppressAutoHyphens/>
                        <w:spacing w:before="60"/>
                        <w:rPr>
                          <w:rFonts w:asciiTheme="majorHAnsi" w:hAnsiTheme="majorHAnsi"/>
                          <w:color w:val="0D0D0D" w:themeColor="text1" w:themeTint="F2"/>
                          <w:sz w:val="18"/>
                          <w:szCs w:val="22"/>
                          <w:lang w:val="es-ES"/>
                        </w:rPr>
                      </w:pPr>
                      <w:r w:rsidRPr="004E7054">
                        <w:rPr>
                          <w:rFonts w:asciiTheme="majorHAnsi" w:hAnsiTheme="majorHAnsi"/>
                          <w:color w:val="0D0D0D" w:themeColor="text1" w:themeTint="F2"/>
                          <w:sz w:val="18"/>
                          <w:szCs w:val="20"/>
                          <w:lang w:val="es-ES"/>
                        </w:rPr>
                        <w:t>164º período extraordinario de sesiones</w:t>
                      </w:r>
                    </w:p>
                    <w:p w14:paraId="4BDF3581" w14:textId="77777777" w:rsidR="00A83EF3" w:rsidRPr="007A5817" w:rsidRDefault="00A83EF3"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A83EF3" w:rsidRPr="00167A34" w:rsidRDefault="00A83EF3"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929D1F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469D0B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79F05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30672AE"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44368E1B" w:rsidR="00A83EF3" w:rsidRPr="007B05C4" w:rsidRDefault="00A83EF3" w:rsidP="004E705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w:t>
                            </w:r>
                            <w:r w:rsidR="004E7054">
                              <w:rPr>
                                <w:rFonts w:asciiTheme="majorHAnsi" w:hAnsiTheme="majorHAnsi"/>
                                <w:color w:val="595959" w:themeColor="text1" w:themeTint="A6"/>
                                <w:sz w:val="18"/>
                                <w:szCs w:val="18"/>
                                <w:lang w:val="pt-BR"/>
                              </w:rPr>
                              <w:t xml:space="preserve"> No. 102/17. </w:t>
                            </w:r>
                            <w:r w:rsidR="004E7054" w:rsidRPr="004E7054">
                              <w:rPr>
                                <w:rFonts w:asciiTheme="majorHAnsi" w:hAnsiTheme="majorHAnsi"/>
                                <w:color w:val="595959" w:themeColor="text1" w:themeTint="A6"/>
                                <w:sz w:val="18"/>
                                <w:szCs w:val="18"/>
                                <w:lang w:val="es-ES"/>
                              </w:rPr>
                              <w:t>Petición 383-08</w:t>
                            </w:r>
                            <w:r w:rsidR="004E7054">
                              <w:rPr>
                                <w:rFonts w:asciiTheme="majorHAnsi" w:hAnsiTheme="majorHAnsi"/>
                                <w:color w:val="595959" w:themeColor="text1" w:themeTint="A6"/>
                                <w:sz w:val="18"/>
                                <w:szCs w:val="18"/>
                                <w:lang w:val="es-ES"/>
                              </w:rPr>
                              <w:t xml:space="preserve">. </w:t>
                            </w:r>
                            <w:r w:rsidR="004E7054" w:rsidRPr="004E7054">
                              <w:rPr>
                                <w:rFonts w:asciiTheme="majorHAnsi" w:hAnsiTheme="majorHAnsi"/>
                                <w:color w:val="595959" w:themeColor="text1" w:themeTint="A6"/>
                                <w:sz w:val="18"/>
                                <w:szCs w:val="18"/>
                                <w:lang w:val="es-ES"/>
                              </w:rPr>
                              <w:t>Admisibilidad</w:t>
                            </w:r>
                            <w:r w:rsidR="004E7054">
                              <w:rPr>
                                <w:rFonts w:asciiTheme="majorHAnsi" w:hAnsiTheme="majorHAnsi"/>
                                <w:color w:val="595959" w:themeColor="text1" w:themeTint="A6"/>
                                <w:sz w:val="18"/>
                                <w:szCs w:val="18"/>
                                <w:lang w:val="es-ES"/>
                              </w:rPr>
                              <w:t xml:space="preserve">. </w:t>
                            </w:r>
                            <w:r w:rsidR="004E7054" w:rsidRPr="004E7054">
                              <w:rPr>
                                <w:rFonts w:asciiTheme="majorHAnsi" w:hAnsiTheme="majorHAnsi"/>
                                <w:color w:val="595959" w:themeColor="text1" w:themeTint="A6"/>
                                <w:sz w:val="18"/>
                                <w:szCs w:val="18"/>
                                <w:lang w:val="es-ES"/>
                              </w:rPr>
                              <w:t>Hebe Alicia López Osuna</w:t>
                            </w:r>
                            <w:r w:rsidR="004E7054">
                              <w:rPr>
                                <w:rFonts w:asciiTheme="majorHAnsi" w:hAnsiTheme="majorHAnsi"/>
                                <w:color w:val="595959" w:themeColor="text1" w:themeTint="A6"/>
                                <w:sz w:val="18"/>
                                <w:szCs w:val="18"/>
                                <w:lang w:val="es-ES"/>
                              </w:rPr>
                              <w:t xml:space="preserve">. </w:t>
                            </w:r>
                            <w:r w:rsidR="004E7054" w:rsidRPr="004E7054">
                              <w:rPr>
                                <w:rFonts w:asciiTheme="majorHAnsi" w:hAnsiTheme="majorHAnsi"/>
                                <w:color w:val="595959" w:themeColor="text1" w:themeTint="A6"/>
                                <w:sz w:val="18"/>
                                <w:szCs w:val="18"/>
                                <w:lang w:val="es-ES"/>
                              </w:rPr>
                              <w:t>Argentina</w:t>
                            </w:r>
                            <w:r w:rsidR="004E7054">
                              <w:rPr>
                                <w:rFonts w:asciiTheme="majorHAnsi" w:hAnsiTheme="majorHAnsi"/>
                                <w:color w:val="595959" w:themeColor="text1" w:themeTint="A6"/>
                                <w:sz w:val="18"/>
                                <w:szCs w:val="18"/>
                                <w:lang w:val="es-ES"/>
                              </w:rPr>
                              <w:t>. 7 de septiembre de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44368E1B" w:rsidR="00A83EF3" w:rsidRPr="007B05C4" w:rsidRDefault="00A83EF3" w:rsidP="004E7054">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w:t>
                      </w:r>
                      <w:r w:rsidR="004E7054">
                        <w:rPr>
                          <w:rFonts w:asciiTheme="majorHAnsi" w:hAnsiTheme="majorHAnsi"/>
                          <w:color w:val="595959" w:themeColor="text1" w:themeTint="A6"/>
                          <w:sz w:val="18"/>
                          <w:szCs w:val="18"/>
                          <w:lang w:val="pt-BR"/>
                        </w:rPr>
                        <w:t xml:space="preserve"> No. 102/17. </w:t>
                      </w:r>
                      <w:r w:rsidR="004E7054" w:rsidRPr="004E7054">
                        <w:rPr>
                          <w:rFonts w:asciiTheme="majorHAnsi" w:hAnsiTheme="majorHAnsi"/>
                          <w:color w:val="595959" w:themeColor="text1" w:themeTint="A6"/>
                          <w:sz w:val="18"/>
                          <w:szCs w:val="18"/>
                          <w:lang w:val="es-ES"/>
                        </w:rPr>
                        <w:t>Petición 383-08</w:t>
                      </w:r>
                      <w:r w:rsidR="004E7054">
                        <w:rPr>
                          <w:rFonts w:asciiTheme="majorHAnsi" w:hAnsiTheme="majorHAnsi"/>
                          <w:color w:val="595959" w:themeColor="text1" w:themeTint="A6"/>
                          <w:sz w:val="18"/>
                          <w:szCs w:val="18"/>
                          <w:lang w:val="es-ES"/>
                        </w:rPr>
                        <w:t xml:space="preserve">. </w:t>
                      </w:r>
                      <w:r w:rsidR="004E7054" w:rsidRPr="004E7054">
                        <w:rPr>
                          <w:rFonts w:asciiTheme="majorHAnsi" w:hAnsiTheme="majorHAnsi"/>
                          <w:color w:val="595959" w:themeColor="text1" w:themeTint="A6"/>
                          <w:sz w:val="18"/>
                          <w:szCs w:val="18"/>
                          <w:lang w:val="es-ES"/>
                        </w:rPr>
                        <w:t>Admisibilidad</w:t>
                      </w:r>
                      <w:r w:rsidR="004E7054">
                        <w:rPr>
                          <w:rFonts w:asciiTheme="majorHAnsi" w:hAnsiTheme="majorHAnsi"/>
                          <w:color w:val="595959" w:themeColor="text1" w:themeTint="A6"/>
                          <w:sz w:val="18"/>
                          <w:szCs w:val="18"/>
                          <w:lang w:val="es-ES"/>
                        </w:rPr>
                        <w:t xml:space="preserve">. </w:t>
                      </w:r>
                      <w:r w:rsidR="004E7054" w:rsidRPr="004E7054">
                        <w:rPr>
                          <w:rFonts w:asciiTheme="majorHAnsi" w:hAnsiTheme="majorHAnsi"/>
                          <w:color w:val="595959" w:themeColor="text1" w:themeTint="A6"/>
                          <w:sz w:val="18"/>
                          <w:szCs w:val="18"/>
                          <w:lang w:val="es-ES"/>
                        </w:rPr>
                        <w:t>Hebe Alicia López Osuna</w:t>
                      </w:r>
                      <w:r w:rsidR="004E7054">
                        <w:rPr>
                          <w:rFonts w:asciiTheme="majorHAnsi" w:hAnsiTheme="majorHAnsi"/>
                          <w:color w:val="595959" w:themeColor="text1" w:themeTint="A6"/>
                          <w:sz w:val="18"/>
                          <w:szCs w:val="18"/>
                          <w:lang w:val="es-ES"/>
                        </w:rPr>
                        <w:t xml:space="preserve">. </w:t>
                      </w:r>
                      <w:r w:rsidR="004E7054" w:rsidRPr="004E7054">
                        <w:rPr>
                          <w:rFonts w:asciiTheme="majorHAnsi" w:hAnsiTheme="majorHAnsi"/>
                          <w:color w:val="595959" w:themeColor="text1" w:themeTint="A6"/>
                          <w:sz w:val="18"/>
                          <w:szCs w:val="18"/>
                          <w:lang w:val="es-ES"/>
                        </w:rPr>
                        <w:t>Argentina</w:t>
                      </w:r>
                      <w:r w:rsidR="004E7054">
                        <w:rPr>
                          <w:rFonts w:asciiTheme="majorHAnsi" w:hAnsiTheme="majorHAnsi"/>
                          <w:color w:val="595959" w:themeColor="text1" w:themeTint="A6"/>
                          <w:sz w:val="18"/>
                          <w:szCs w:val="18"/>
                          <w:lang w:val="es-ES"/>
                        </w:rPr>
                        <w:t>. 7 de septiembre de 2017.</w:t>
                      </w:r>
                    </w:p>
                  </w:txbxContent>
                </v:textbox>
              </v:shape>
            </w:pict>
          </mc:Fallback>
        </mc:AlternateContent>
      </w:r>
    </w:p>
    <w:p w14:paraId="196A49DE"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DA07629" w14:textId="77777777"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A83EF3" w:rsidRPr="00D72DC6" w:rsidRDefault="00A83EF3"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A83EF3" w:rsidRPr="00D72DC6" w:rsidRDefault="00A83EF3" w:rsidP="00F02AD1">
                      <w:pPr>
                        <w:rPr>
                          <w:color w:val="FFFFFF" w:themeColor="background1"/>
                          <w14:textFill>
                            <w14:noFill/>
                          </w14:textFill>
                        </w:rPr>
                      </w:pPr>
                      <w:r w:rsidRPr="00D72DC6">
                        <w:rPr>
                          <w:noProof/>
                          <w:color w:val="FFFFFF" w:themeColor="background1"/>
                          <w:lang w:val="es-MX" w:eastAsia="es-MX"/>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A83EF3" w:rsidRPr="004B7EB6" w:rsidRDefault="00A83EF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A83EF3" w:rsidRPr="004B7EB6" w:rsidRDefault="00A83EF3"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77777777"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14:paraId="0082F32C" w14:textId="09CC4BFE" w:rsidR="00722C9F" w:rsidRPr="00722C9F" w:rsidRDefault="004E7054"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INFORME No. 102</w:t>
      </w:r>
      <w:r w:rsidR="00722C9F" w:rsidRPr="00722C9F">
        <w:rPr>
          <w:rFonts w:asciiTheme="majorHAnsi" w:hAnsiTheme="majorHAnsi"/>
          <w:b/>
          <w:sz w:val="18"/>
          <w:szCs w:val="20"/>
          <w:lang w:val="es-ES_tradnl"/>
        </w:rPr>
        <w:t>/1</w:t>
      </w:r>
      <w:r w:rsidR="00D05ABD">
        <w:rPr>
          <w:rFonts w:asciiTheme="majorHAnsi" w:hAnsiTheme="majorHAnsi"/>
          <w:b/>
          <w:sz w:val="18"/>
          <w:szCs w:val="20"/>
          <w:lang w:val="es-ES_tradnl"/>
        </w:rPr>
        <w:t>7</w:t>
      </w:r>
    </w:p>
    <w:p w14:paraId="3AB78A5E" w14:textId="7B1B316C"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A94ED9">
        <w:rPr>
          <w:rFonts w:asciiTheme="majorHAnsi" w:hAnsiTheme="majorHAnsi"/>
          <w:b/>
          <w:sz w:val="18"/>
          <w:szCs w:val="20"/>
          <w:lang w:val="es-ES_tradnl"/>
        </w:rPr>
        <w:t>383-08</w:t>
      </w:r>
      <w:r w:rsidRPr="00722C9F">
        <w:rPr>
          <w:rFonts w:asciiTheme="majorHAnsi" w:hAnsiTheme="majorHAnsi"/>
          <w:b/>
          <w:sz w:val="18"/>
          <w:szCs w:val="20"/>
          <w:lang w:val="es-ES_tradnl"/>
        </w:rPr>
        <w:t xml:space="preserve"> </w:t>
      </w:r>
    </w:p>
    <w:p w14:paraId="2E441882" w14:textId="41C1CD0B" w:rsidR="00722C9F" w:rsidRPr="00722C9F" w:rsidRDefault="00722C9F" w:rsidP="00722C9F">
      <w:pPr>
        <w:tabs>
          <w:tab w:val="center" w:pos="5400"/>
        </w:tabs>
        <w:suppressAutoHyphens/>
        <w:spacing w:line="276" w:lineRule="auto"/>
        <w:jc w:val="center"/>
        <w:rPr>
          <w:rFonts w:asciiTheme="majorHAnsi" w:hAnsiTheme="majorHAnsi"/>
          <w:sz w:val="18"/>
          <w:szCs w:val="20"/>
          <w:lang w:val="es-ES_tradnl"/>
        </w:rPr>
      </w:pPr>
      <w:r w:rsidRPr="00722C9F">
        <w:rPr>
          <w:rFonts w:asciiTheme="majorHAnsi" w:hAnsiTheme="majorHAnsi"/>
          <w:sz w:val="18"/>
          <w:szCs w:val="20"/>
          <w:lang w:val="es-ES_tradnl"/>
        </w:rPr>
        <w:t>INFORME DE A</w:t>
      </w:r>
      <w:r w:rsidR="00A94ED9">
        <w:rPr>
          <w:rFonts w:asciiTheme="majorHAnsi" w:hAnsiTheme="majorHAnsi"/>
          <w:sz w:val="18"/>
          <w:szCs w:val="20"/>
          <w:lang w:val="es-ES_tradnl"/>
        </w:rPr>
        <w:t>DMISIBILIDAD</w:t>
      </w:r>
      <w:r w:rsidR="005A24ED">
        <w:rPr>
          <w:rFonts w:asciiTheme="majorHAnsi" w:hAnsiTheme="majorHAnsi"/>
          <w:sz w:val="18"/>
          <w:szCs w:val="20"/>
          <w:lang w:val="es-ES_tradnl"/>
        </w:rPr>
        <w:t xml:space="preserve"> </w:t>
      </w:r>
    </w:p>
    <w:p w14:paraId="056D08CC" w14:textId="4A8C9C97" w:rsidR="00722C9F" w:rsidRPr="00722C9F" w:rsidRDefault="00A02D76"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HEBE ALICIA LÓPEZ OSUNA</w:t>
      </w:r>
    </w:p>
    <w:p w14:paraId="42F73E38" w14:textId="78099D34" w:rsidR="0070697F" w:rsidRDefault="00A02D76"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ARGENTINA</w:t>
      </w:r>
    </w:p>
    <w:p w14:paraId="221AC875" w14:textId="0CEC09B0" w:rsidR="00722C9F" w:rsidRDefault="004E7054" w:rsidP="003239B8">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7 DE SEPTIEMBRE DE 2017</w:t>
      </w:r>
    </w:p>
    <w:p w14:paraId="7888E95F" w14:textId="77777777" w:rsidR="0070697F" w:rsidRDefault="0070697F" w:rsidP="001D65EF">
      <w:pPr>
        <w:tabs>
          <w:tab w:val="center" w:pos="5400"/>
        </w:tabs>
        <w:suppressAutoHyphens/>
        <w:spacing w:line="276" w:lineRule="auto"/>
        <w:rPr>
          <w:rFonts w:asciiTheme="majorHAnsi" w:hAnsiTheme="majorHAnsi"/>
          <w:sz w:val="20"/>
          <w:szCs w:val="20"/>
          <w:lang w:val="es-ES_tradnl"/>
        </w:rPr>
      </w:pPr>
    </w:p>
    <w:p w14:paraId="376DDC8B" w14:textId="77777777" w:rsidR="003239B8" w:rsidRPr="000419AD" w:rsidRDefault="003239B8" w:rsidP="003239B8">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t>I.</w:t>
      </w:r>
      <w:r w:rsidRPr="000419AD">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14:paraId="5A79D1F7" w14:textId="77777777" w:rsidTr="00F364ED">
        <w:tc>
          <w:tcPr>
            <w:tcW w:w="4680" w:type="dxa"/>
            <w:tcBorders>
              <w:top w:val="single" w:sz="4" w:space="0" w:color="auto"/>
              <w:bottom w:val="single" w:sz="6" w:space="0" w:color="auto"/>
            </w:tcBorders>
            <w:shd w:val="clear" w:color="auto" w:fill="386294"/>
            <w:vAlign w:val="center"/>
          </w:tcPr>
          <w:p w14:paraId="0CB2A43B" w14:textId="77777777" w:rsidR="003239B8" w:rsidRPr="00706824" w:rsidRDefault="003239B8" w:rsidP="00F364E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Parte peticionaria:</w:t>
            </w:r>
          </w:p>
        </w:tc>
        <w:tc>
          <w:tcPr>
            <w:tcW w:w="4680" w:type="dxa"/>
            <w:vAlign w:val="center"/>
          </w:tcPr>
          <w:p w14:paraId="3C5315D8" w14:textId="34D7BFB6" w:rsidR="003239B8" w:rsidRPr="004B3C14" w:rsidRDefault="00480D1C" w:rsidP="00F364ED">
            <w:pPr>
              <w:jc w:val="both"/>
              <w:rPr>
                <w:rFonts w:ascii="Cambria" w:hAnsi="Cambria"/>
                <w:bCs/>
                <w:sz w:val="20"/>
                <w:szCs w:val="20"/>
              </w:rPr>
            </w:pPr>
            <w:r>
              <w:rPr>
                <w:rFonts w:ascii="Cambria" w:hAnsi="Cambria"/>
                <w:bCs/>
                <w:sz w:val="20"/>
                <w:szCs w:val="20"/>
              </w:rPr>
              <w:t>Hebe Alicia Ló</w:t>
            </w:r>
            <w:r w:rsidRPr="00480D1C">
              <w:rPr>
                <w:rFonts w:ascii="Cambria" w:hAnsi="Cambria"/>
                <w:bCs/>
                <w:sz w:val="20"/>
                <w:szCs w:val="20"/>
              </w:rPr>
              <w:t>pez Osuna, Noemi Marta Berros, Alberto Bovino, Juan Pablo Chorinos y Raúl Enrique Barrandeguy</w:t>
            </w:r>
          </w:p>
        </w:tc>
      </w:tr>
      <w:tr w:rsidR="003239B8" w:rsidRPr="001E49E7" w14:paraId="593A7E45" w14:textId="77777777" w:rsidTr="00F364ED">
        <w:tc>
          <w:tcPr>
            <w:tcW w:w="4680" w:type="dxa"/>
            <w:tcBorders>
              <w:top w:val="single" w:sz="6" w:space="0" w:color="auto"/>
              <w:bottom w:val="single" w:sz="6" w:space="0" w:color="auto"/>
            </w:tcBorders>
            <w:shd w:val="clear" w:color="auto" w:fill="386294"/>
            <w:vAlign w:val="center"/>
          </w:tcPr>
          <w:p w14:paraId="0E78CA0C" w14:textId="77777777" w:rsidR="003239B8" w:rsidRPr="00706824" w:rsidRDefault="00011C50" w:rsidP="00F364ED">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Pr>
                    <w:rFonts w:ascii="Cambria" w:hAnsi="Cambria"/>
                    <w:b/>
                    <w:bCs/>
                    <w:color w:val="FFFFFF" w:themeColor="background1"/>
                    <w:sz w:val="20"/>
                    <w:szCs w:val="20"/>
                  </w:rPr>
                  <w:t>Presunta víctima</w:t>
                </w:r>
              </w:sdtContent>
            </w:sdt>
            <w:r w:rsidR="003239B8" w:rsidRPr="00706824">
              <w:rPr>
                <w:rFonts w:ascii="Cambria" w:hAnsi="Cambria"/>
                <w:b/>
                <w:bCs/>
                <w:color w:val="FFFFFF" w:themeColor="background1"/>
                <w:sz w:val="20"/>
                <w:szCs w:val="20"/>
              </w:rPr>
              <w:t>:</w:t>
            </w:r>
          </w:p>
        </w:tc>
        <w:tc>
          <w:tcPr>
            <w:tcW w:w="4680" w:type="dxa"/>
            <w:vAlign w:val="center"/>
          </w:tcPr>
          <w:p w14:paraId="4AEBF59E" w14:textId="71C02E02" w:rsidR="003239B8" w:rsidRPr="004C2312" w:rsidRDefault="00480D1C" w:rsidP="00F364ED">
            <w:pPr>
              <w:jc w:val="both"/>
              <w:rPr>
                <w:rFonts w:ascii="Cambria" w:hAnsi="Cambria"/>
                <w:bCs/>
                <w:sz w:val="20"/>
                <w:szCs w:val="20"/>
                <w:lang w:val="es-ES"/>
              </w:rPr>
            </w:pPr>
            <w:r>
              <w:rPr>
                <w:rFonts w:ascii="Cambria" w:hAnsi="Cambria"/>
                <w:bCs/>
                <w:sz w:val="20"/>
                <w:szCs w:val="20"/>
                <w:lang w:val="es-ES"/>
              </w:rPr>
              <w:t>Hebe Alicia López Osuna</w:t>
            </w:r>
          </w:p>
        </w:tc>
      </w:tr>
      <w:tr w:rsidR="003239B8" w14:paraId="3E62E1D3" w14:textId="77777777" w:rsidTr="00F364ED">
        <w:tc>
          <w:tcPr>
            <w:tcW w:w="4680" w:type="dxa"/>
            <w:tcBorders>
              <w:top w:val="single" w:sz="6" w:space="0" w:color="auto"/>
              <w:bottom w:val="single" w:sz="6" w:space="0" w:color="auto"/>
            </w:tcBorders>
            <w:shd w:val="clear" w:color="auto" w:fill="386294"/>
            <w:vAlign w:val="center"/>
          </w:tcPr>
          <w:p w14:paraId="340B0F09" w14:textId="77777777" w:rsidR="003239B8" w:rsidRPr="00706824" w:rsidRDefault="003239B8" w:rsidP="00F364ED">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Estado denunciado:</w:t>
            </w:r>
          </w:p>
        </w:tc>
        <w:tc>
          <w:tcPr>
            <w:tcW w:w="4680" w:type="dxa"/>
            <w:vAlign w:val="center"/>
          </w:tcPr>
          <w:p w14:paraId="274C8A50" w14:textId="138122C2" w:rsidR="003239B8" w:rsidRPr="004B3C14" w:rsidRDefault="00480D1C" w:rsidP="00F364ED">
            <w:pPr>
              <w:jc w:val="both"/>
              <w:rPr>
                <w:rFonts w:ascii="Cambria" w:hAnsi="Cambria"/>
                <w:bCs/>
                <w:sz w:val="20"/>
                <w:szCs w:val="20"/>
              </w:rPr>
            </w:pPr>
            <w:r>
              <w:rPr>
                <w:rFonts w:ascii="Cambria" w:hAnsi="Cambria"/>
                <w:bCs/>
                <w:sz w:val="20"/>
                <w:szCs w:val="20"/>
              </w:rPr>
              <w:t>Argentina</w:t>
            </w:r>
          </w:p>
        </w:tc>
      </w:tr>
      <w:tr w:rsidR="00223A29" w:rsidRPr="00873CB1" w14:paraId="632511BC" w14:textId="77777777" w:rsidTr="00F364ED">
        <w:tc>
          <w:tcPr>
            <w:tcW w:w="4680" w:type="dxa"/>
            <w:tcBorders>
              <w:top w:val="single" w:sz="6" w:space="0" w:color="auto"/>
              <w:bottom w:val="single" w:sz="6" w:space="0" w:color="auto"/>
            </w:tcBorders>
            <w:shd w:val="clear" w:color="auto" w:fill="386294"/>
            <w:vAlign w:val="center"/>
          </w:tcPr>
          <w:p w14:paraId="727E2F6B" w14:textId="60AEE329" w:rsidR="00223A29" w:rsidRPr="00706824" w:rsidRDefault="001B3A00" w:rsidP="00E4118C">
            <w:pPr>
              <w:jc w:val="center"/>
              <w:rPr>
                <w:rFonts w:ascii="Cambria" w:hAnsi="Cambria"/>
                <w:b/>
                <w:bCs/>
                <w:color w:val="FFFFFF" w:themeColor="background1"/>
                <w:sz w:val="20"/>
                <w:szCs w:val="20"/>
              </w:rPr>
            </w:pPr>
            <w:r>
              <w:rPr>
                <w:rFonts w:ascii="Cambria" w:hAnsi="Cambria"/>
                <w:b/>
                <w:bCs/>
                <w:color w:val="FFFFFF" w:themeColor="background1"/>
                <w:sz w:val="20"/>
                <w:szCs w:val="20"/>
              </w:rPr>
              <w:t xml:space="preserve">Derechos </w:t>
            </w:r>
            <w:r w:rsidR="00E4118C">
              <w:rPr>
                <w:rFonts w:ascii="Cambria" w:hAnsi="Cambria"/>
                <w:b/>
                <w:bCs/>
                <w:color w:val="FFFFFF" w:themeColor="background1"/>
                <w:sz w:val="20"/>
                <w:szCs w:val="20"/>
              </w:rPr>
              <w:t>invocados</w:t>
            </w:r>
            <w:r>
              <w:rPr>
                <w:rFonts w:ascii="Cambria" w:hAnsi="Cambria"/>
                <w:b/>
                <w:bCs/>
                <w:color w:val="FFFFFF" w:themeColor="background1"/>
                <w:sz w:val="20"/>
                <w:szCs w:val="20"/>
              </w:rPr>
              <w:t>:</w:t>
            </w:r>
          </w:p>
        </w:tc>
        <w:tc>
          <w:tcPr>
            <w:tcW w:w="4680" w:type="dxa"/>
            <w:vAlign w:val="center"/>
          </w:tcPr>
          <w:p w14:paraId="6DEE1EEB" w14:textId="5D224DF0" w:rsidR="00223A29" w:rsidRPr="002C4021" w:rsidRDefault="00480D1C" w:rsidP="003807F7">
            <w:pPr>
              <w:jc w:val="both"/>
              <w:rPr>
                <w:rFonts w:ascii="Cambria" w:hAnsi="Cambria"/>
                <w:bCs/>
                <w:sz w:val="20"/>
                <w:szCs w:val="20"/>
                <w:lang w:val="es-MX"/>
              </w:rPr>
            </w:pPr>
            <w:r w:rsidRPr="002C4021">
              <w:rPr>
                <w:rFonts w:ascii="Cambria" w:hAnsi="Cambria"/>
                <w:bCs/>
                <w:sz w:val="20"/>
                <w:szCs w:val="20"/>
                <w:lang w:val="es-MX"/>
              </w:rPr>
              <w:t>Artículos</w:t>
            </w:r>
            <w:r w:rsidR="00DA40E3">
              <w:rPr>
                <w:rFonts w:ascii="Cambria" w:hAnsi="Cambria"/>
                <w:bCs/>
                <w:sz w:val="20"/>
                <w:szCs w:val="20"/>
                <w:lang w:val="es-MX"/>
              </w:rPr>
              <w:t xml:space="preserve"> </w:t>
            </w:r>
            <w:r w:rsidRPr="002C4021">
              <w:rPr>
                <w:rFonts w:ascii="Cambria" w:hAnsi="Cambria"/>
                <w:bCs/>
                <w:sz w:val="20"/>
                <w:szCs w:val="20"/>
                <w:lang w:val="es-MX"/>
              </w:rPr>
              <w:t>7</w:t>
            </w:r>
            <w:r w:rsidR="002C4021" w:rsidRPr="002C4021">
              <w:rPr>
                <w:rFonts w:ascii="Cambria" w:hAnsi="Cambria"/>
                <w:bCs/>
                <w:sz w:val="20"/>
                <w:szCs w:val="20"/>
                <w:lang w:val="es-MX"/>
              </w:rPr>
              <w:t xml:space="preserve"> </w:t>
            </w:r>
            <w:r w:rsidR="002C4021">
              <w:rPr>
                <w:rFonts w:ascii="Cambria" w:hAnsi="Cambria"/>
                <w:bCs/>
                <w:sz w:val="20"/>
                <w:szCs w:val="20"/>
                <w:lang w:val="es-MX"/>
              </w:rPr>
              <w:t>(libertad personal)</w:t>
            </w:r>
            <w:r w:rsidRPr="002C4021">
              <w:rPr>
                <w:rFonts w:ascii="Cambria" w:hAnsi="Cambria"/>
                <w:bCs/>
                <w:sz w:val="20"/>
                <w:szCs w:val="20"/>
                <w:lang w:val="es-MX"/>
              </w:rPr>
              <w:t>, 8</w:t>
            </w:r>
            <w:r w:rsidR="002C4021" w:rsidRPr="002C4021">
              <w:rPr>
                <w:rFonts w:ascii="Cambria" w:hAnsi="Cambria"/>
                <w:bCs/>
                <w:sz w:val="20"/>
                <w:szCs w:val="20"/>
                <w:lang w:val="es-MX"/>
              </w:rPr>
              <w:t xml:space="preserve"> </w:t>
            </w:r>
            <w:r w:rsidR="00F43CD8">
              <w:rPr>
                <w:rFonts w:ascii="Cambria" w:hAnsi="Cambria"/>
                <w:bCs/>
                <w:sz w:val="20"/>
                <w:szCs w:val="20"/>
                <w:lang w:val="es-MX"/>
              </w:rPr>
              <w:t>(garantías judiciales)</w:t>
            </w:r>
            <w:r w:rsidR="008425BF">
              <w:rPr>
                <w:rFonts w:ascii="Cambria" w:hAnsi="Cambria"/>
                <w:bCs/>
                <w:sz w:val="20"/>
                <w:szCs w:val="20"/>
                <w:lang w:val="es-MX"/>
              </w:rPr>
              <w:t xml:space="preserve"> y</w:t>
            </w:r>
            <w:r w:rsidR="002C4021" w:rsidRPr="002C4021">
              <w:rPr>
                <w:rFonts w:ascii="Cambria" w:hAnsi="Cambria"/>
                <w:bCs/>
                <w:sz w:val="20"/>
                <w:szCs w:val="20"/>
                <w:lang w:val="es-MX"/>
              </w:rPr>
              <w:t xml:space="preserve"> </w:t>
            </w:r>
            <w:r w:rsidR="002C4021" w:rsidRPr="00DA40E3">
              <w:rPr>
                <w:rFonts w:ascii="Cambria" w:hAnsi="Cambria"/>
                <w:bCs/>
                <w:sz w:val="20"/>
                <w:szCs w:val="20"/>
                <w:lang w:val="es-MX"/>
              </w:rPr>
              <w:t>24 (igualdad ante la ley)</w:t>
            </w:r>
            <w:r w:rsidR="002C4021">
              <w:rPr>
                <w:rFonts w:ascii="Cambria" w:hAnsi="Cambria"/>
                <w:bCs/>
                <w:sz w:val="20"/>
                <w:szCs w:val="20"/>
                <w:lang w:val="es-MX"/>
              </w:rPr>
              <w:t xml:space="preserve"> de la Convención Americana de Derechos Humanos</w:t>
            </w:r>
            <w:r w:rsidR="002C4021">
              <w:rPr>
                <w:rStyle w:val="FootnoteReference"/>
                <w:rFonts w:ascii="Cambria" w:hAnsi="Cambria"/>
                <w:bCs/>
                <w:sz w:val="20"/>
                <w:szCs w:val="20"/>
                <w:lang w:val="es-MX"/>
              </w:rPr>
              <w:footnoteReference w:id="2"/>
            </w:r>
            <w:r w:rsidR="003807F7">
              <w:rPr>
                <w:rFonts w:ascii="Cambria" w:hAnsi="Cambria"/>
                <w:bCs/>
                <w:sz w:val="20"/>
                <w:szCs w:val="20"/>
                <w:lang w:val="es-MX"/>
              </w:rPr>
              <w:t>, en relación su artículo 1.1 (obligación de respetar los derechos)</w:t>
            </w:r>
          </w:p>
        </w:tc>
      </w:tr>
    </w:tbl>
    <w:p w14:paraId="20263696" w14:textId="77777777" w:rsidR="003239B8" w:rsidRPr="00E4118C" w:rsidRDefault="003239B8" w:rsidP="003239B8">
      <w:pPr>
        <w:spacing w:before="240" w:after="240"/>
        <w:ind w:firstLine="720"/>
        <w:jc w:val="both"/>
        <w:rPr>
          <w:rFonts w:asciiTheme="majorHAnsi" w:hAnsiTheme="majorHAnsi"/>
          <w:b/>
          <w:bCs/>
          <w:sz w:val="20"/>
          <w:szCs w:val="20"/>
          <w:lang w:val="es-E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8E3BFE" w:rsidRPr="008E3BFE">
        <w:rPr>
          <w:rStyle w:val="FootnoteReference"/>
          <w:rFonts w:ascii="Cambria" w:hAnsi="Cambria"/>
          <w:b/>
          <w:sz w:val="20"/>
          <w:szCs w:val="20"/>
        </w:rPr>
        <w:footnoteReference w:id="3"/>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4C2312" w:rsidRPr="00A94ED9" w14:paraId="306EFCB0" w14:textId="77777777" w:rsidTr="00F364ED">
        <w:tc>
          <w:tcPr>
            <w:tcW w:w="4680" w:type="dxa"/>
            <w:tcBorders>
              <w:top w:val="single" w:sz="6" w:space="0" w:color="auto"/>
              <w:bottom w:val="single" w:sz="6" w:space="0" w:color="auto"/>
            </w:tcBorders>
            <w:shd w:val="clear" w:color="auto" w:fill="386294"/>
            <w:vAlign w:val="center"/>
          </w:tcPr>
          <w:p w14:paraId="7508D16F" w14:textId="77777777" w:rsidR="004C2312" w:rsidRPr="003239B8" w:rsidRDefault="004C2312" w:rsidP="00F364ED">
            <w:pPr>
              <w:jc w:val="center"/>
              <w:rPr>
                <w:rFonts w:ascii="Cambria" w:hAnsi="Cambria"/>
                <w:b/>
                <w:bCs/>
                <w:color w:val="FFFFFF" w:themeColor="background1"/>
                <w:sz w:val="20"/>
                <w:szCs w:val="20"/>
                <w:lang w:val="es-ES"/>
              </w:rPr>
            </w:pPr>
            <w:r w:rsidRPr="003239B8">
              <w:rPr>
                <w:rFonts w:ascii="Cambria" w:hAnsi="Cambria"/>
                <w:b/>
                <w:bCs/>
                <w:color w:val="FFFFFF" w:themeColor="background1"/>
                <w:sz w:val="20"/>
                <w:szCs w:val="20"/>
                <w:lang w:val="es-ES"/>
              </w:rPr>
              <w:t>Fecha de presentación de la petición:</w:t>
            </w:r>
          </w:p>
        </w:tc>
        <w:tc>
          <w:tcPr>
            <w:tcW w:w="4680" w:type="dxa"/>
            <w:vAlign w:val="center"/>
          </w:tcPr>
          <w:p w14:paraId="6E579153" w14:textId="5FE5BFEF" w:rsidR="004C2312" w:rsidRPr="003239B8" w:rsidRDefault="0029564C" w:rsidP="00F364ED">
            <w:pPr>
              <w:jc w:val="both"/>
              <w:rPr>
                <w:rFonts w:ascii="Cambria" w:hAnsi="Cambria"/>
                <w:bCs/>
                <w:sz w:val="20"/>
                <w:szCs w:val="20"/>
                <w:lang w:val="es-ES"/>
              </w:rPr>
            </w:pPr>
            <w:r>
              <w:rPr>
                <w:rFonts w:ascii="Cambria" w:hAnsi="Cambria"/>
                <w:bCs/>
                <w:sz w:val="20"/>
                <w:szCs w:val="20"/>
                <w:lang w:val="es-ES"/>
              </w:rPr>
              <w:t>2 de abril de 2008</w:t>
            </w:r>
          </w:p>
        </w:tc>
      </w:tr>
      <w:tr w:rsidR="001E49E7" w:rsidRPr="00873CB1" w14:paraId="5D96B7DC" w14:textId="77777777" w:rsidTr="00F364ED">
        <w:tc>
          <w:tcPr>
            <w:tcW w:w="4680" w:type="dxa"/>
            <w:tcBorders>
              <w:top w:val="single" w:sz="6" w:space="0" w:color="auto"/>
              <w:bottom w:val="single" w:sz="6" w:space="0" w:color="auto"/>
            </w:tcBorders>
            <w:shd w:val="clear" w:color="auto" w:fill="386294"/>
            <w:vAlign w:val="center"/>
          </w:tcPr>
          <w:p w14:paraId="2CE0B631" w14:textId="77777777" w:rsidR="001E49E7" w:rsidRPr="001E49E7" w:rsidRDefault="001E49E7" w:rsidP="001E49E7">
            <w:pPr>
              <w:jc w:val="center"/>
              <w:rPr>
                <w:rFonts w:ascii="Cambria" w:hAnsi="Cambria"/>
                <w:b/>
                <w:bCs/>
                <w:color w:val="FFFFFF" w:themeColor="background1"/>
                <w:sz w:val="20"/>
                <w:szCs w:val="20"/>
                <w:lang w:val="es-ES"/>
              </w:rPr>
            </w:pPr>
            <w:r w:rsidRPr="001E49E7">
              <w:rPr>
                <w:rFonts w:ascii="Cambria" w:hAnsi="Cambria"/>
                <w:b/>
                <w:bCs/>
                <w:color w:val="FFFFFF" w:themeColor="background1"/>
                <w:sz w:val="20"/>
                <w:szCs w:val="20"/>
                <w:lang w:val="es-ES"/>
              </w:rPr>
              <w:t>Información adicional recibida durante la etapa de estudio:</w:t>
            </w:r>
          </w:p>
        </w:tc>
        <w:tc>
          <w:tcPr>
            <w:tcW w:w="4680" w:type="dxa"/>
            <w:vAlign w:val="center"/>
          </w:tcPr>
          <w:p w14:paraId="43BA4FDD" w14:textId="53E2880D" w:rsidR="001E49E7" w:rsidRPr="0029564C" w:rsidRDefault="0029564C" w:rsidP="006A1108">
            <w:pPr>
              <w:rPr>
                <w:rFonts w:ascii="Cambria" w:hAnsi="Cambria"/>
                <w:bCs/>
                <w:color w:val="FFFFFF" w:themeColor="background1"/>
                <w:sz w:val="20"/>
                <w:szCs w:val="20"/>
                <w:lang w:val="es-AR"/>
              </w:rPr>
            </w:pPr>
            <w:r w:rsidRPr="0029564C">
              <w:rPr>
                <w:rFonts w:ascii="Cambria" w:hAnsi="Cambria"/>
                <w:bCs/>
                <w:sz w:val="20"/>
                <w:szCs w:val="20"/>
                <w:lang w:val="es-AR"/>
              </w:rPr>
              <w:t xml:space="preserve">11 de agosto </w:t>
            </w:r>
            <w:r w:rsidR="00F43CD8">
              <w:rPr>
                <w:rFonts w:ascii="Cambria" w:hAnsi="Cambria"/>
                <w:bCs/>
                <w:sz w:val="20"/>
                <w:szCs w:val="20"/>
                <w:lang w:val="es-AR"/>
              </w:rPr>
              <w:t>de 2008, 13 de enero de 2009 y</w:t>
            </w:r>
            <w:r>
              <w:rPr>
                <w:rFonts w:ascii="Cambria" w:hAnsi="Cambria"/>
                <w:bCs/>
                <w:sz w:val="20"/>
                <w:szCs w:val="20"/>
                <w:lang w:val="es-AR"/>
              </w:rPr>
              <w:t xml:space="preserve"> 22 de enero de 2009</w:t>
            </w:r>
          </w:p>
        </w:tc>
      </w:tr>
      <w:tr w:rsidR="004C2312" w:rsidRPr="00A94ED9" w14:paraId="1BDCD5C6" w14:textId="77777777" w:rsidTr="00F364ED">
        <w:tc>
          <w:tcPr>
            <w:tcW w:w="4680" w:type="dxa"/>
            <w:tcBorders>
              <w:top w:val="single" w:sz="6" w:space="0" w:color="auto"/>
              <w:bottom w:val="single" w:sz="6" w:space="0" w:color="auto"/>
            </w:tcBorders>
            <w:shd w:val="clear" w:color="auto" w:fill="386294"/>
            <w:vAlign w:val="center"/>
          </w:tcPr>
          <w:p w14:paraId="7A18664F" w14:textId="77777777" w:rsidR="004C2312" w:rsidRPr="003239B8" w:rsidRDefault="004C2312" w:rsidP="00F364ED">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notificación de la petición al Estado:</w:t>
            </w:r>
          </w:p>
        </w:tc>
        <w:tc>
          <w:tcPr>
            <w:tcW w:w="4680" w:type="dxa"/>
            <w:vAlign w:val="center"/>
          </w:tcPr>
          <w:p w14:paraId="1519DA6A" w14:textId="49CE51C6" w:rsidR="004C2312" w:rsidRPr="003239B8" w:rsidRDefault="0029564C" w:rsidP="00F364ED">
            <w:pPr>
              <w:jc w:val="both"/>
              <w:rPr>
                <w:rFonts w:ascii="Cambria" w:hAnsi="Cambria"/>
                <w:bCs/>
                <w:sz w:val="20"/>
                <w:szCs w:val="20"/>
                <w:lang w:val="es-ES"/>
              </w:rPr>
            </w:pPr>
            <w:r>
              <w:rPr>
                <w:rFonts w:ascii="Cambria" w:hAnsi="Cambria"/>
                <w:bCs/>
                <w:sz w:val="20"/>
                <w:szCs w:val="20"/>
                <w:lang w:val="es-ES"/>
              </w:rPr>
              <w:t>17 de enero de 2013</w:t>
            </w:r>
          </w:p>
        </w:tc>
      </w:tr>
      <w:tr w:rsidR="004C2312" w:rsidRPr="00A94ED9" w14:paraId="6147A8D5" w14:textId="77777777" w:rsidTr="00F364ED">
        <w:tc>
          <w:tcPr>
            <w:tcW w:w="4680" w:type="dxa"/>
            <w:tcBorders>
              <w:top w:val="single" w:sz="6" w:space="0" w:color="auto"/>
              <w:bottom w:val="single" w:sz="6" w:space="0" w:color="auto"/>
            </w:tcBorders>
            <w:shd w:val="clear" w:color="auto" w:fill="386294"/>
            <w:vAlign w:val="center"/>
          </w:tcPr>
          <w:p w14:paraId="0201C86D" w14:textId="77777777" w:rsidR="004C2312" w:rsidRPr="003239B8" w:rsidRDefault="004C2312" w:rsidP="00F364ED">
            <w:pPr>
              <w:jc w:val="center"/>
              <w:rPr>
                <w:rFonts w:ascii="Cambria" w:hAnsi="Cambria"/>
                <w:b/>
                <w:bCs/>
                <w:color w:val="FFFFFF" w:themeColor="background1"/>
                <w:sz w:val="20"/>
                <w:szCs w:val="20"/>
                <w:lang w:val="es-ES"/>
              </w:rPr>
            </w:pPr>
            <w:r w:rsidRPr="003239B8">
              <w:rPr>
                <w:rFonts w:ascii="Cambria" w:hAnsi="Cambria"/>
                <w:b/>
                <w:color w:val="FFFFFF" w:themeColor="background1"/>
                <w:sz w:val="20"/>
                <w:szCs w:val="20"/>
                <w:lang w:val="es-ES"/>
              </w:rPr>
              <w:t>Fecha de primera respuesta del Estado:</w:t>
            </w:r>
          </w:p>
        </w:tc>
        <w:tc>
          <w:tcPr>
            <w:tcW w:w="4680" w:type="dxa"/>
            <w:vAlign w:val="center"/>
          </w:tcPr>
          <w:p w14:paraId="1972B99E" w14:textId="0B23E56F" w:rsidR="004C2312" w:rsidRPr="003239B8" w:rsidRDefault="0029564C" w:rsidP="00F364ED">
            <w:pPr>
              <w:jc w:val="both"/>
              <w:rPr>
                <w:rFonts w:ascii="Cambria" w:hAnsi="Cambria"/>
                <w:bCs/>
                <w:sz w:val="20"/>
                <w:szCs w:val="20"/>
                <w:lang w:val="es-ES"/>
              </w:rPr>
            </w:pPr>
            <w:r>
              <w:rPr>
                <w:rFonts w:ascii="Cambria" w:hAnsi="Cambria"/>
                <w:bCs/>
                <w:sz w:val="20"/>
                <w:szCs w:val="20"/>
                <w:lang w:val="es-ES"/>
              </w:rPr>
              <w:t>25 de junio de 2013</w:t>
            </w:r>
          </w:p>
        </w:tc>
      </w:tr>
      <w:tr w:rsidR="004C2312" w:rsidRPr="00873CB1" w14:paraId="322668B6" w14:textId="77777777" w:rsidTr="00F364ED">
        <w:tc>
          <w:tcPr>
            <w:tcW w:w="4680" w:type="dxa"/>
            <w:tcBorders>
              <w:top w:val="single" w:sz="6" w:space="0" w:color="auto"/>
              <w:bottom w:val="single" w:sz="6" w:space="0" w:color="auto"/>
            </w:tcBorders>
            <w:shd w:val="clear" w:color="auto" w:fill="386294"/>
            <w:vAlign w:val="center"/>
          </w:tcPr>
          <w:p w14:paraId="1524DA55" w14:textId="77777777" w:rsidR="004C2312" w:rsidRPr="003239B8" w:rsidRDefault="008E3BFE" w:rsidP="008E3BFE">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Observaciones adicionales de la parte peticionaria:</w:t>
            </w:r>
          </w:p>
        </w:tc>
        <w:tc>
          <w:tcPr>
            <w:tcW w:w="4680" w:type="dxa"/>
            <w:vAlign w:val="center"/>
          </w:tcPr>
          <w:p w14:paraId="41D8B862" w14:textId="52CB00CF" w:rsidR="004C2312" w:rsidRPr="003239B8" w:rsidRDefault="0029564C" w:rsidP="00F364ED">
            <w:pPr>
              <w:jc w:val="both"/>
              <w:rPr>
                <w:rFonts w:ascii="Cambria" w:hAnsi="Cambria"/>
                <w:bCs/>
                <w:sz w:val="20"/>
                <w:szCs w:val="20"/>
                <w:lang w:val="es-ES"/>
              </w:rPr>
            </w:pPr>
            <w:r>
              <w:rPr>
                <w:rFonts w:ascii="Cambria" w:hAnsi="Cambria"/>
                <w:bCs/>
                <w:sz w:val="20"/>
                <w:szCs w:val="20"/>
                <w:lang w:val="es-ES"/>
              </w:rPr>
              <w:t>7 de octubre 2013</w:t>
            </w:r>
            <w:r w:rsidR="009558A7">
              <w:rPr>
                <w:rFonts w:ascii="Cambria" w:hAnsi="Cambria"/>
                <w:bCs/>
                <w:sz w:val="20"/>
                <w:szCs w:val="20"/>
                <w:lang w:val="es-ES"/>
              </w:rPr>
              <w:t xml:space="preserve">, </w:t>
            </w:r>
            <w:r w:rsidR="00F43CD8">
              <w:rPr>
                <w:rFonts w:ascii="Cambria" w:hAnsi="Cambria"/>
                <w:bCs/>
                <w:sz w:val="20"/>
                <w:szCs w:val="20"/>
                <w:lang w:val="es-ES"/>
              </w:rPr>
              <w:t>22 de agosto de 2014</w:t>
            </w:r>
            <w:r w:rsidR="00F364ED">
              <w:rPr>
                <w:rFonts w:ascii="Cambria" w:hAnsi="Cambria"/>
                <w:bCs/>
                <w:sz w:val="20"/>
                <w:szCs w:val="20"/>
                <w:lang w:val="es-ES"/>
              </w:rPr>
              <w:t>, 28 de octubre de 2015 y</w:t>
            </w:r>
            <w:r w:rsidR="001A7C4C">
              <w:rPr>
                <w:rFonts w:ascii="Cambria" w:hAnsi="Cambria"/>
                <w:bCs/>
                <w:sz w:val="20"/>
                <w:szCs w:val="20"/>
                <w:lang w:val="es-ES"/>
              </w:rPr>
              <w:t xml:space="preserve"> 3 de octubre de 2016</w:t>
            </w:r>
          </w:p>
        </w:tc>
      </w:tr>
      <w:tr w:rsidR="004C2312" w:rsidRPr="00873CB1" w14:paraId="291ACE7A" w14:textId="77777777" w:rsidTr="00F364ED">
        <w:tc>
          <w:tcPr>
            <w:tcW w:w="4680" w:type="dxa"/>
            <w:tcBorders>
              <w:top w:val="single" w:sz="6" w:space="0" w:color="auto"/>
              <w:bottom w:val="single" w:sz="6" w:space="0" w:color="auto"/>
            </w:tcBorders>
            <w:shd w:val="clear" w:color="auto" w:fill="386294"/>
            <w:vAlign w:val="center"/>
          </w:tcPr>
          <w:p w14:paraId="068BD12F" w14:textId="77777777" w:rsidR="004C2312" w:rsidRPr="00706824" w:rsidRDefault="004C2312" w:rsidP="008E3BFE">
            <w:pPr>
              <w:jc w:val="center"/>
              <w:rPr>
                <w:rFonts w:ascii="Cambria" w:hAnsi="Cambria"/>
                <w:b/>
                <w:bCs/>
                <w:color w:val="FFFFFF" w:themeColor="background1"/>
                <w:sz w:val="20"/>
                <w:szCs w:val="20"/>
              </w:rPr>
            </w:pPr>
            <w:r w:rsidRPr="00706824">
              <w:rPr>
                <w:rFonts w:ascii="Cambria" w:hAnsi="Cambria"/>
                <w:b/>
                <w:bCs/>
                <w:color w:val="FFFFFF" w:themeColor="background1"/>
                <w:sz w:val="20"/>
                <w:szCs w:val="20"/>
              </w:rPr>
              <w:t>Observaciones adicionales del Estado:</w:t>
            </w:r>
          </w:p>
        </w:tc>
        <w:tc>
          <w:tcPr>
            <w:tcW w:w="4680" w:type="dxa"/>
            <w:vAlign w:val="center"/>
          </w:tcPr>
          <w:p w14:paraId="3CE49AFE" w14:textId="214CE47D" w:rsidR="004C2312" w:rsidRPr="00F43CD8" w:rsidRDefault="0029564C" w:rsidP="00F364ED">
            <w:pPr>
              <w:jc w:val="both"/>
              <w:rPr>
                <w:rFonts w:ascii="Cambria" w:hAnsi="Cambria"/>
                <w:bCs/>
                <w:sz w:val="20"/>
                <w:szCs w:val="20"/>
                <w:lang w:val="es-MX"/>
              </w:rPr>
            </w:pPr>
            <w:r w:rsidRPr="00F43CD8">
              <w:rPr>
                <w:rFonts w:ascii="Cambria" w:hAnsi="Cambria"/>
                <w:bCs/>
                <w:sz w:val="20"/>
                <w:szCs w:val="20"/>
                <w:lang w:val="es-MX"/>
              </w:rPr>
              <w:t xml:space="preserve">12 de </w:t>
            </w:r>
            <w:r w:rsidRPr="00803AC0">
              <w:rPr>
                <w:rFonts w:ascii="Cambria" w:hAnsi="Cambria"/>
                <w:bCs/>
                <w:sz w:val="20"/>
                <w:szCs w:val="20"/>
                <w:lang w:val="es-MX"/>
              </w:rPr>
              <w:t>febrero</w:t>
            </w:r>
            <w:r w:rsidRPr="00F43CD8">
              <w:rPr>
                <w:rFonts w:ascii="Cambria" w:hAnsi="Cambria"/>
                <w:bCs/>
                <w:sz w:val="20"/>
                <w:szCs w:val="20"/>
                <w:lang w:val="es-MX"/>
              </w:rPr>
              <w:t xml:space="preserve"> de 2015</w:t>
            </w:r>
            <w:r w:rsidR="00F43CD8" w:rsidRPr="00F43CD8">
              <w:rPr>
                <w:rFonts w:ascii="Cambria" w:hAnsi="Cambria"/>
                <w:bCs/>
                <w:sz w:val="20"/>
                <w:szCs w:val="20"/>
                <w:lang w:val="es-MX"/>
              </w:rPr>
              <w:t xml:space="preserve"> y 28 de julio de 2017</w:t>
            </w:r>
          </w:p>
        </w:tc>
      </w:tr>
    </w:tbl>
    <w:p w14:paraId="21DAA666"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3239B8" w:rsidRPr="00540F17" w14:paraId="072532AD" w14:textId="77777777" w:rsidTr="00F364ED">
        <w:trPr>
          <w:cantSplit/>
        </w:trPr>
        <w:tc>
          <w:tcPr>
            <w:tcW w:w="4680" w:type="dxa"/>
            <w:tcBorders>
              <w:top w:val="single" w:sz="4" w:space="0" w:color="auto"/>
              <w:bottom w:val="single" w:sz="6" w:space="0" w:color="auto"/>
            </w:tcBorders>
            <w:shd w:val="clear" w:color="auto" w:fill="386294"/>
            <w:vAlign w:val="center"/>
          </w:tcPr>
          <w:p w14:paraId="5C2E4B34" w14:textId="77777777" w:rsidR="003239B8" w:rsidRPr="00496195" w:rsidRDefault="003239B8" w:rsidP="00F364ED">
            <w:pPr>
              <w:jc w:val="center"/>
              <w:rPr>
                <w:rFonts w:ascii="Cambria" w:hAnsi="Cambria"/>
                <w:b/>
                <w:bCs/>
                <w:i/>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Ratione personae:</w:t>
            </w:r>
          </w:p>
        </w:tc>
        <w:tc>
          <w:tcPr>
            <w:tcW w:w="4680" w:type="dxa"/>
            <w:vAlign w:val="center"/>
          </w:tcPr>
          <w:p w14:paraId="7707F3E9" w14:textId="6148CB77" w:rsidR="003239B8" w:rsidRPr="004B3C14" w:rsidRDefault="00374C95" w:rsidP="00F364ED">
            <w:pPr>
              <w:rPr>
                <w:rFonts w:ascii="Cambria" w:hAnsi="Cambria"/>
                <w:bCs/>
                <w:sz w:val="20"/>
                <w:szCs w:val="20"/>
              </w:rPr>
            </w:pPr>
            <w:r>
              <w:rPr>
                <w:rFonts w:ascii="Cambria" w:hAnsi="Cambria"/>
                <w:bCs/>
                <w:sz w:val="20"/>
                <w:szCs w:val="20"/>
              </w:rPr>
              <w:t>Sí</w:t>
            </w:r>
          </w:p>
        </w:tc>
      </w:tr>
      <w:tr w:rsidR="003239B8" w:rsidRPr="00540F17" w14:paraId="4B8802DA" w14:textId="77777777" w:rsidTr="00F364ED">
        <w:trPr>
          <w:cantSplit/>
        </w:trPr>
        <w:tc>
          <w:tcPr>
            <w:tcW w:w="4680" w:type="dxa"/>
            <w:tcBorders>
              <w:top w:val="single" w:sz="6" w:space="0" w:color="auto"/>
              <w:bottom w:val="single" w:sz="6" w:space="0" w:color="auto"/>
            </w:tcBorders>
            <w:shd w:val="clear" w:color="auto" w:fill="386294"/>
            <w:vAlign w:val="center"/>
          </w:tcPr>
          <w:p w14:paraId="3915C23B" w14:textId="77777777" w:rsidR="003239B8" w:rsidRPr="00706824" w:rsidRDefault="003239B8" w:rsidP="00F364E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Pr>
                <w:rFonts w:ascii="Cambria" w:hAnsi="Cambria"/>
                <w:b/>
                <w:bCs/>
                <w:i/>
                <w:color w:val="FFFFFF" w:themeColor="background1"/>
                <w:sz w:val="20"/>
                <w:szCs w:val="20"/>
              </w:rPr>
              <w:t xml:space="preserve"> </w:t>
            </w:r>
            <w:r w:rsidRPr="0069523B">
              <w:rPr>
                <w:rFonts w:ascii="Cambria" w:hAnsi="Cambria"/>
                <w:b/>
                <w:bCs/>
                <w:i/>
                <w:color w:val="FFFFFF" w:themeColor="background1"/>
                <w:sz w:val="20"/>
                <w:szCs w:val="20"/>
              </w:rPr>
              <w:t>Ratione loci</w:t>
            </w:r>
            <w:r w:rsidRPr="00706824">
              <w:rPr>
                <w:rFonts w:ascii="Cambria" w:hAnsi="Cambria"/>
                <w:b/>
                <w:bCs/>
                <w:color w:val="FFFFFF" w:themeColor="background1"/>
                <w:sz w:val="20"/>
                <w:szCs w:val="20"/>
              </w:rPr>
              <w:t>:</w:t>
            </w:r>
          </w:p>
        </w:tc>
        <w:tc>
          <w:tcPr>
            <w:tcW w:w="4680" w:type="dxa"/>
            <w:vAlign w:val="center"/>
          </w:tcPr>
          <w:p w14:paraId="12C931CB" w14:textId="1A4C2229" w:rsidR="003239B8" w:rsidRPr="004B3C14" w:rsidRDefault="00374C95" w:rsidP="00F364ED">
            <w:pPr>
              <w:rPr>
                <w:rFonts w:ascii="Cambria" w:hAnsi="Cambria"/>
                <w:bCs/>
                <w:sz w:val="20"/>
                <w:szCs w:val="20"/>
              </w:rPr>
            </w:pPr>
            <w:r>
              <w:rPr>
                <w:rFonts w:ascii="Cambria" w:hAnsi="Cambria"/>
                <w:bCs/>
                <w:sz w:val="20"/>
                <w:szCs w:val="20"/>
              </w:rPr>
              <w:t>Sí</w:t>
            </w:r>
          </w:p>
        </w:tc>
      </w:tr>
      <w:tr w:rsidR="003239B8" w:rsidRPr="00540F17" w14:paraId="4362FDF3" w14:textId="77777777" w:rsidTr="00F364ED">
        <w:trPr>
          <w:cantSplit/>
        </w:trPr>
        <w:tc>
          <w:tcPr>
            <w:tcW w:w="4680" w:type="dxa"/>
            <w:tcBorders>
              <w:top w:val="single" w:sz="6" w:space="0" w:color="auto"/>
              <w:bottom w:val="single" w:sz="6" w:space="0" w:color="auto"/>
            </w:tcBorders>
            <w:shd w:val="clear" w:color="auto" w:fill="386294"/>
            <w:vAlign w:val="center"/>
          </w:tcPr>
          <w:p w14:paraId="3BE23153" w14:textId="77777777" w:rsidR="003239B8" w:rsidRPr="00706824" w:rsidRDefault="003239B8" w:rsidP="00F364E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temporis</w:t>
            </w:r>
            <w:r w:rsidRPr="00706824">
              <w:rPr>
                <w:rFonts w:ascii="Cambria" w:hAnsi="Cambria"/>
                <w:b/>
                <w:bCs/>
                <w:color w:val="FFFFFF" w:themeColor="background1"/>
                <w:sz w:val="20"/>
                <w:szCs w:val="20"/>
              </w:rPr>
              <w:t>:</w:t>
            </w:r>
          </w:p>
        </w:tc>
        <w:tc>
          <w:tcPr>
            <w:tcW w:w="4680" w:type="dxa"/>
            <w:vAlign w:val="center"/>
          </w:tcPr>
          <w:p w14:paraId="6F8B059B" w14:textId="75EFB7AA" w:rsidR="003239B8" w:rsidRPr="00153E77" w:rsidRDefault="00374C95" w:rsidP="00F364ED">
            <w:pPr>
              <w:rPr>
                <w:bCs/>
                <w:sz w:val="20"/>
                <w:szCs w:val="20"/>
              </w:rPr>
            </w:pPr>
            <w:r>
              <w:rPr>
                <w:bCs/>
                <w:sz w:val="20"/>
                <w:szCs w:val="20"/>
              </w:rPr>
              <w:t>Sí</w:t>
            </w:r>
          </w:p>
        </w:tc>
      </w:tr>
      <w:tr w:rsidR="003239B8" w:rsidRPr="00873CB1" w14:paraId="30ABEC3E" w14:textId="77777777" w:rsidTr="00F364ED">
        <w:trPr>
          <w:cantSplit/>
        </w:trPr>
        <w:tc>
          <w:tcPr>
            <w:tcW w:w="4680" w:type="dxa"/>
            <w:tcBorders>
              <w:top w:val="single" w:sz="6" w:space="0" w:color="auto"/>
              <w:bottom w:val="single" w:sz="6" w:space="0" w:color="auto"/>
            </w:tcBorders>
            <w:shd w:val="clear" w:color="auto" w:fill="386294"/>
            <w:vAlign w:val="center"/>
          </w:tcPr>
          <w:p w14:paraId="47B529D2" w14:textId="77777777" w:rsidR="003239B8" w:rsidRPr="00706824" w:rsidRDefault="003239B8" w:rsidP="00F364ED">
            <w:pPr>
              <w:jc w:val="center"/>
              <w:rPr>
                <w:rFonts w:ascii="Cambria" w:hAnsi="Cambria"/>
                <w:b/>
                <w:bCs/>
                <w:color w:val="FFFFFF" w:themeColor="background1"/>
                <w:sz w:val="20"/>
                <w:szCs w:val="20"/>
              </w:rPr>
            </w:pPr>
            <w:r w:rsidRPr="00FD0F72">
              <w:rPr>
                <w:rFonts w:ascii="Cambria" w:hAnsi="Cambria"/>
                <w:b/>
                <w:bCs/>
                <w:color w:val="FFFFFF" w:themeColor="background1"/>
                <w:sz w:val="20"/>
                <w:szCs w:val="20"/>
              </w:rPr>
              <w:t>Competencia</w:t>
            </w:r>
            <w:r w:rsidRPr="0069523B">
              <w:rPr>
                <w:rFonts w:ascii="Cambria" w:hAnsi="Cambria"/>
                <w:b/>
                <w:bCs/>
                <w:i/>
                <w:color w:val="FFFFFF" w:themeColor="background1"/>
                <w:sz w:val="20"/>
                <w:szCs w:val="20"/>
              </w:rPr>
              <w:t xml:space="preserve"> Ratione materia</w:t>
            </w:r>
            <w:r w:rsidR="00EE00E9">
              <w:rPr>
                <w:rFonts w:ascii="Cambria" w:hAnsi="Cambria"/>
                <w:b/>
                <w:bCs/>
                <w:i/>
                <w:color w:val="FFFFFF" w:themeColor="background1"/>
                <w:sz w:val="20"/>
                <w:szCs w:val="20"/>
              </w:rPr>
              <w:t>e</w:t>
            </w:r>
            <w:r w:rsidRPr="00706824">
              <w:rPr>
                <w:rFonts w:ascii="Cambria" w:hAnsi="Cambria"/>
                <w:b/>
                <w:bCs/>
                <w:color w:val="FFFFFF" w:themeColor="background1"/>
                <w:sz w:val="20"/>
                <w:szCs w:val="20"/>
              </w:rPr>
              <w:t>:</w:t>
            </w:r>
          </w:p>
        </w:tc>
        <w:tc>
          <w:tcPr>
            <w:tcW w:w="4680" w:type="dxa"/>
            <w:vAlign w:val="center"/>
          </w:tcPr>
          <w:p w14:paraId="0C122F44" w14:textId="50EAE375" w:rsidR="003239B8" w:rsidRPr="004C2312" w:rsidRDefault="00374C95" w:rsidP="006A1108">
            <w:pPr>
              <w:jc w:val="both"/>
              <w:rPr>
                <w:rFonts w:ascii="Cambria" w:hAnsi="Cambria"/>
                <w:bCs/>
                <w:sz w:val="20"/>
                <w:szCs w:val="20"/>
                <w:lang w:val="es-ES"/>
              </w:rPr>
            </w:pPr>
            <w:r>
              <w:rPr>
                <w:rFonts w:ascii="Cambria" w:hAnsi="Cambria"/>
                <w:bCs/>
                <w:sz w:val="20"/>
                <w:szCs w:val="20"/>
                <w:lang w:val="es-ES"/>
              </w:rPr>
              <w:t xml:space="preserve">Sí, </w:t>
            </w:r>
            <w:r w:rsidR="00523F21">
              <w:rPr>
                <w:rFonts w:ascii="Cambria" w:hAnsi="Cambria"/>
                <w:bCs/>
                <w:sz w:val="20"/>
                <w:szCs w:val="20"/>
                <w:lang w:val="es-ES"/>
              </w:rPr>
              <w:t>Convención Americana de Derechos Hum</w:t>
            </w:r>
            <w:r w:rsidR="00803AC0">
              <w:rPr>
                <w:rFonts w:ascii="Cambria" w:hAnsi="Cambria"/>
                <w:bCs/>
                <w:sz w:val="20"/>
                <w:szCs w:val="20"/>
                <w:lang w:val="es-ES"/>
              </w:rPr>
              <w:t>a</w:t>
            </w:r>
            <w:r w:rsidR="006A1108">
              <w:rPr>
                <w:rFonts w:ascii="Cambria" w:hAnsi="Cambria"/>
                <w:bCs/>
                <w:sz w:val="20"/>
                <w:szCs w:val="20"/>
                <w:lang w:val="es-ES"/>
              </w:rPr>
              <w:t>nos (depósito de ratificación</w:t>
            </w:r>
            <w:r w:rsidR="00F364ED">
              <w:rPr>
                <w:rFonts w:ascii="Cambria" w:hAnsi="Cambria"/>
                <w:bCs/>
                <w:sz w:val="20"/>
                <w:szCs w:val="20"/>
                <w:lang w:val="es-ES"/>
              </w:rPr>
              <w:t xml:space="preserve"> el 5 de septiembre de 1984</w:t>
            </w:r>
            <w:r w:rsidR="006A1108">
              <w:rPr>
                <w:rFonts w:ascii="Cambria" w:hAnsi="Cambria"/>
                <w:bCs/>
                <w:sz w:val="20"/>
                <w:szCs w:val="20"/>
                <w:lang w:val="es-ES"/>
              </w:rPr>
              <w:t>)</w:t>
            </w:r>
          </w:p>
        </w:tc>
      </w:tr>
    </w:tbl>
    <w:p w14:paraId="4E92C444"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t>ANÁLISIS DE</w:t>
      </w:r>
      <w:r w:rsidR="00EE00E9">
        <w:rPr>
          <w:rFonts w:asciiTheme="majorHAnsi" w:hAnsiTheme="majorHAnsi"/>
          <w:b/>
          <w:bCs/>
          <w:sz w:val="20"/>
          <w:szCs w:val="20"/>
          <w:lang w:val="es-ES"/>
        </w:rPr>
        <w:t xml:space="preserve"> </w:t>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 xml:space="preserve">, </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4680"/>
        <w:gridCol w:w="4680"/>
      </w:tblGrid>
      <w:tr w:rsidR="00EE00E9" w:rsidRPr="00A94ED9" w14:paraId="1231C988" w14:textId="77777777" w:rsidTr="00F364ED">
        <w:trPr>
          <w:cantSplit/>
        </w:trPr>
        <w:tc>
          <w:tcPr>
            <w:tcW w:w="4680" w:type="dxa"/>
            <w:tcBorders>
              <w:top w:val="single" w:sz="4" w:space="0" w:color="auto"/>
              <w:bottom w:val="single" w:sz="6" w:space="0" w:color="auto"/>
            </w:tcBorders>
            <w:shd w:val="clear" w:color="auto" w:fill="386294"/>
            <w:vAlign w:val="center"/>
          </w:tcPr>
          <w:p w14:paraId="6F8031F4" w14:textId="77777777" w:rsidR="00EE00E9" w:rsidRPr="00EE00E9" w:rsidRDefault="00EE00E9" w:rsidP="00F364E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Duplicación de procedimientos y cosa juzgada internacional</w:t>
            </w:r>
            <w:r>
              <w:rPr>
                <w:rFonts w:ascii="Cambria" w:hAnsi="Cambria"/>
                <w:b/>
                <w:bCs/>
                <w:color w:val="FFFFFF" w:themeColor="background1"/>
                <w:sz w:val="20"/>
                <w:szCs w:val="20"/>
                <w:lang w:val="es-ES"/>
              </w:rPr>
              <w:t>:</w:t>
            </w:r>
          </w:p>
        </w:tc>
        <w:tc>
          <w:tcPr>
            <w:tcW w:w="4680" w:type="dxa"/>
            <w:vAlign w:val="center"/>
          </w:tcPr>
          <w:p w14:paraId="240941E6" w14:textId="47ABB862" w:rsidR="00EE00E9" w:rsidRPr="00EE00E9" w:rsidRDefault="00374C95" w:rsidP="00F364ED">
            <w:pPr>
              <w:jc w:val="both"/>
              <w:rPr>
                <w:rFonts w:ascii="Cambria" w:hAnsi="Cambria"/>
                <w:bCs/>
                <w:sz w:val="20"/>
                <w:szCs w:val="20"/>
                <w:lang w:val="es-ES"/>
              </w:rPr>
            </w:pPr>
            <w:r>
              <w:rPr>
                <w:rFonts w:ascii="Cambria" w:hAnsi="Cambria"/>
                <w:bCs/>
                <w:sz w:val="20"/>
                <w:szCs w:val="20"/>
                <w:lang w:val="es-ES"/>
              </w:rPr>
              <w:t>No</w:t>
            </w:r>
          </w:p>
        </w:tc>
      </w:tr>
      <w:tr w:rsidR="003239B8" w:rsidRPr="00873CB1" w14:paraId="15FAA7D1" w14:textId="77777777" w:rsidTr="00F364ED">
        <w:trPr>
          <w:cantSplit/>
        </w:trPr>
        <w:tc>
          <w:tcPr>
            <w:tcW w:w="4680" w:type="dxa"/>
            <w:tcBorders>
              <w:top w:val="single" w:sz="4" w:space="0" w:color="auto"/>
              <w:bottom w:val="single" w:sz="6" w:space="0" w:color="auto"/>
            </w:tcBorders>
            <w:shd w:val="clear" w:color="auto" w:fill="386294"/>
            <w:vAlign w:val="center"/>
          </w:tcPr>
          <w:p w14:paraId="1B0D29FF" w14:textId="77777777" w:rsidR="003239B8" w:rsidRPr="00496195" w:rsidRDefault="003239B8" w:rsidP="00F364ED">
            <w:pPr>
              <w:jc w:val="center"/>
              <w:rPr>
                <w:rFonts w:ascii="Cambria" w:hAnsi="Cambria"/>
                <w:b/>
                <w:bCs/>
                <w:i/>
                <w:color w:val="FFFFFF" w:themeColor="background1"/>
                <w:sz w:val="20"/>
                <w:szCs w:val="20"/>
              </w:rPr>
            </w:pPr>
            <w:r>
              <w:rPr>
                <w:rFonts w:ascii="Cambria" w:hAnsi="Cambria"/>
                <w:b/>
                <w:bCs/>
                <w:color w:val="FFFFFF" w:themeColor="background1"/>
                <w:sz w:val="20"/>
                <w:szCs w:val="20"/>
              </w:rPr>
              <w:lastRenderedPageBreak/>
              <w:t>Derechos declarados admisibles</w:t>
            </w:r>
            <w:r>
              <w:rPr>
                <w:rFonts w:ascii="Cambria" w:hAnsi="Cambria"/>
                <w:b/>
                <w:bCs/>
                <w:i/>
                <w:color w:val="FFFFFF" w:themeColor="background1"/>
                <w:sz w:val="20"/>
                <w:szCs w:val="20"/>
              </w:rPr>
              <w:t>:</w:t>
            </w:r>
          </w:p>
        </w:tc>
        <w:tc>
          <w:tcPr>
            <w:tcW w:w="4680" w:type="dxa"/>
            <w:vAlign w:val="center"/>
          </w:tcPr>
          <w:p w14:paraId="6310C8F7" w14:textId="0A1786FF" w:rsidR="003239B8" w:rsidRPr="00A02D76" w:rsidRDefault="00A02D76" w:rsidP="009C6F08">
            <w:pPr>
              <w:jc w:val="both"/>
              <w:rPr>
                <w:rFonts w:ascii="Cambria" w:hAnsi="Cambria"/>
                <w:bCs/>
                <w:sz w:val="20"/>
                <w:szCs w:val="20"/>
                <w:lang w:val="es-MX"/>
              </w:rPr>
            </w:pPr>
            <w:r w:rsidRPr="00A02D76">
              <w:rPr>
                <w:rFonts w:ascii="Cambria" w:hAnsi="Cambria"/>
                <w:bCs/>
                <w:sz w:val="20"/>
                <w:szCs w:val="20"/>
                <w:lang w:val="es-MX"/>
              </w:rPr>
              <w:t>A</w:t>
            </w:r>
            <w:r w:rsidR="009C6F08">
              <w:rPr>
                <w:rFonts w:ascii="Cambria" w:hAnsi="Cambria"/>
                <w:bCs/>
                <w:sz w:val="20"/>
                <w:szCs w:val="20"/>
                <w:lang w:val="es-MX"/>
              </w:rPr>
              <w:t xml:space="preserve">rtículos </w:t>
            </w:r>
            <w:r w:rsidR="00490ED5">
              <w:rPr>
                <w:rFonts w:ascii="Cambria" w:hAnsi="Cambria"/>
                <w:bCs/>
                <w:sz w:val="20"/>
                <w:szCs w:val="20"/>
                <w:lang w:val="es-MX"/>
              </w:rPr>
              <w:t>7 (derecho a la libertad personal)</w:t>
            </w:r>
            <w:r w:rsidR="009C6F08">
              <w:rPr>
                <w:rFonts w:ascii="Cambria" w:hAnsi="Cambria"/>
                <w:bCs/>
                <w:sz w:val="20"/>
                <w:szCs w:val="20"/>
                <w:lang w:val="es-MX"/>
              </w:rPr>
              <w:t>, 8 (garantías judiciales)</w:t>
            </w:r>
            <w:r w:rsidR="00E14CAF">
              <w:rPr>
                <w:rFonts w:ascii="Cambria" w:hAnsi="Cambria"/>
                <w:bCs/>
                <w:sz w:val="20"/>
                <w:szCs w:val="20"/>
                <w:lang w:val="es-MX"/>
              </w:rPr>
              <w:t>, 24 (igualdad ante la ley)</w:t>
            </w:r>
            <w:r w:rsidR="00490ED5">
              <w:rPr>
                <w:rFonts w:ascii="Cambria" w:hAnsi="Cambria"/>
                <w:bCs/>
                <w:sz w:val="20"/>
                <w:szCs w:val="20"/>
                <w:lang w:val="es-MX"/>
              </w:rPr>
              <w:t xml:space="preserve"> </w:t>
            </w:r>
            <w:r w:rsidR="008425BF" w:rsidRPr="00DA40E3">
              <w:rPr>
                <w:rFonts w:ascii="Cambria" w:hAnsi="Cambria"/>
                <w:bCs/>
                <w:sz w:val="20"/>
                <w:szCs w:val="20"/>
                <w:lang w:val="es-MX"/>
              </w:rPr>
              <w:t>y 25 (protección judicial)</w:t>
            </w:r>
            <w:r w:rsidR="0035233D" w:rsidRPr="00DA40E3">
              <w:rPr>
                <w:rFonts w:ascii="Cambria" w:hAnsi="Cambria"/>
                <w:bCs/>
                <w:sz w:val="20"/>
                <w:szCs w:val="20"/>
                <w:lang w:val="es-MX"/>
              </w:rPr>
              <w:t xml:space="preserve"> </w:t>
            </w:r>
            <w:r w:rsidR="002C4021" w:rsidRPr="00DA40E3">
              <w:rPr>
                <w:rFonts w:ascii="Cambria" w:hAnsi="Cambria"/>
                <w:bCs/>
                <w:sz w:val="20"/>
                <w:szCs w:val="20"/>
                <w:lang w:val="es-MX"/>
              </w:rPr>
              <w:t>de la CADH</w:t>
            </w:r>
            <w:r w:rsidR="009C6F08">
              <w:rPr>
                <w:rFonts w:ascii="Cambria" w:hAnsi="Cambria"/>
                <w:bCs/>
                <w:sz w:val="20"/>
                <w:szCs w:val="20"/>
                <w:lang w:val="es-MX"/>
              </w:rPr>
              <w:t>, en relación sus artículos 1.1 (obligación de respetar los derechos) y 2 (deber de adptar disposiciones de derecho interno) del mismo instrumento.</w:t>
            </w:r>
            <w:r>
              <w:rPr>
                <w:rFonts w:ascii="Cambria" w:hAnsi="Cambria"/>
                <w:bCs/>
                <w:sz w:val="20"/>
                <w:szCs w:val="20"/>
                <w:lang w:val="es-MX"/>
              </w:rPr>
              <w:t xml:space="preserve">  </w:t>
            </w:r>
          </w:p>
        </w:tc>
      </w:tr>
      <w:tr w:rsidR="003239B8" w:rsidRPr="00873CB1" w14:paraId="4EFD141E" w14:textId="77777777" w:rsidTr="00F364ED">
        <w:trPr>
          <w:cantSplit/>
        </w:trPr>
        <w:tc>
          <w:tcPr>
            <w:tcW w:w="4680" w:type="dxa"/>
            <w:tcBorders>
              <w:top w:val="single" w:sz="6" w:space="0" w:color="auto"/>
              <w:bottom w:val="single" w:sz="6" w:space="0" w:color="auto"/>
            </w:tcBorders>
            <w:shd w:val="clear" w:color="auto" w:fill="386294"/>
            <w:vAlign w:val="center"/>
          </w:tcPr>
          <w:p w14:paraId="4C04A89C" w14:textId="77777777" w:rsidR="003239B8" w:rsidRPr="00EE00E9" w:rsidRDefault="003239B8" w:rsidP="00F364ED">
            <w:pPr>
              <w:jc w:val="center"/>
              <w:rPr>
                <w:rFonts w:ascii="Cambria" w:hAnsi="Cambria"/>
                <w:b/>
                <w:bCs/>
                <w:color w:val="FFFFFF" w:themeColor="background1"/>
                <w:sz w:val="20"/>
                <w:szCs w:val="20"/>
                <w:lang w:val="es-ES"/>
              </w:rPr>
            </w:pPr>
            <w:r w:rsidRPr="00EE00E9">
              <w:rPr>
                <w:rFonts w:ascii="Cambria" w:hAnsi="Cambria"/>
                <w:b/>
                <w:bCs/>
                <w:color w:val="FFFFFF" w:themeColor="background1"/>
                <w:sz w:val="20"/>
                <w:szCs w:val="20"/>
                <w:lang w:val="es-ES"/>
              </w:rPr>
              <w:t>Agotamiento de recursos internos</w:t>
            </w:r>
            <w:r w:rsidR="00EE00E9" w:rsidRPr="00EE00E9">
              <w:rPr>
                <w:rFonts w:ascii="Cambria" w:hAnsi="Cambria"/>
                <w:b/>
                <w:bCs/>
                <w:color w:val="FFFFFF" w:themeColor="background1"/>
                <w:sz w:val="20"/>
                <w:szCs w:val="20"/>
                <w:lang w:val="es-ES"/>
              </w:rPr>
              <w:t xml:space="preserve"> o procedencia de una excepción</w:t>
            </w:r>
            <w:r w:rsidRPr="00EE00E9">
              <w:rPr>
                <w:rFonts w:ascii="Cambria" w:hAnsi="Cambria"/>
                <w:b/>
                <w:bCs/>
                <w:color w:val="FFFFFF" w:themeColor="background1"/>
                <w:sz w:val="20"/>
                <w:szCs w:val="20"/>
                <w:lang w:val="es-ES"/>
              </w:rPr>
              <w:t>:</w:t>
            </w:r>
          </w:p>
        </w:tc>
        <w:tc>
          <w:tcPr>
            <w:tcW w:w="4680" w:type="dxa"/>
            <w:vAlign w:val="center"/>
          </w:tcPr>
          <w:p w14:paraId="69C53E8A" w14:textId="423D0E10" w:rsidR="003239B8" w:rsidRPr="00EE00E9" w:rsidRDefault="00374C95" w:rsidP="00F364ED">
            <w:pPr>
              <w:rPr>
                <w:rFonts w:ascii="Cambria" w:hAnsi="Cambria"/>
                <w:bCs/>
                <w:sz w:val="20"/>
                <w:szCs w:val="20"/>
                <w:lang w:val="es-ES"/>
              </w:rPr>
            </w:pPr>
            <w:r>
              <w:rPr>
                <w:rFonts w:ascii="Cambria" w:hAnsi="Cambria"/>
                <w:bCs/>
                <w:sz w:val="20"/>
                <w:szCs w:val="20"/>
                <w:lang w:val="es-ES"/>
              </w:rPr>
              <w:t>Sí</w:t>
            </w:r>
            <w:r w:rsidR="00A02D76">
              <w:rPr>
                <w:rFonts w:ascii="Cambria" w:hAnsi="Cambria"/>
                <w:bCs/>
                <w:sz w:val="20"/>
                <w:szCs w:val="20"/>
                <w:lang w:val="es-ES"/>
              </w:rPr>
              <w:t xml:space="preserve">, </w:t>
            </w:r>
            <w:r w:rsidR="00490ED5">
              <w:rPr>
                <w:rFonts w:ascii="Cambria" w:hAnsi="Cambria"/>
                <w:bCs/>
                <w:sz w:val="20"/>
                <w:szCs w:val="20"/>
                <w:lang w:val="es-ES"/>
              </w:rPr>
              <w:t>el 4 de octubre de 2007</w:t>
            </w:r>
          </w:p>
        </w:tc>
      </w:tr>
      <w:tr w:rsidR="003239B8" w:rsidRPr="00873CB1" w14:paraId="52B5BA17" w14:textId="77777777" w:rsidTr="00F364ED">
        <w:trPr>
          <w:cantSplit/>
        </w:trPr>
        <w:tc>
          <w:tcPr>
            <w:tcW w:w="4680" w:type="dxa"/>
            <w:tcBorders>
              <w:top w:val="single" w:sz="6" w:space="0" w:color="auto"/>
              <w:bottom w:val="single" w:sz="6" w:space="0" w:color="auto"/>
            </w:tcBorders>
            <w:shd w:val="clear" w:color="auto" w:fill="386294"/>
            <w:vAlign w:val="center"/>
          </w:tcPr>
          <w:p w14:paraId="5DF99086" w14:textId="77777777" w:rsidR="003239B8" w:rsidRPr="00706824" w:rsidRDefault="003239B8" w:rsidP="00F364ED">
            <w:pPr>
              <w:jc w:val="center"/>
              <w:rPr>
                <w:rFonts w:ascii="Cambria" w:hAnsi="Cambria"/>
                <w:b/>
                <w:bCs/>
                <w:color w:val="FFFFFF" w:themeColor="background1"/>
                <w:sz w:val="20"/>
                <w:szCs w:val="20"/>
              </w:rPr>
            </w:pPr>
            <w:r w:rsidRPr="00A02D76">
              <w:rPr>
                <w:rFonts w:ascii="Cambria" w:hAnsi="Cambria"/>
                <w:b/>
                <w:bCs/>
                <w:color w:val="FFFFFF" w:themeColor="background1"/>
                <w:sz w:val="20"/>
                <w:szCs w:val="20"/>
                <w:lang w:val="es-MX"/>
              </w:rPr>
              <w:t xml:space="preserve">Presentación dentro de </w:t>
            </w:r>
            <w:r>
              <w:rPr>
                <w:rFonts w:ascii="Cambria" w:hAnsi="Cambria"/>
                <w:b/>
                <w:bCs/>
                <w:color w:val="FFFFFF" w:themeColor="background1"/>
                <w:sz w:val="20"/>
                <w:szCs w:val="20"/>
              </w:rPr>
              <w:t>plazo</w:t>
            </w:r>
            <w:r w:rsidRPr="00706824">
              <w:rPr>
                <w:rFonts w:ascii="Cambria" w:hAnsi="Cambria"/>
                <w:b/>
                <w:bCs/>
                <w:color w:val="FFFFFF" w:themeColor="background1"/>
                <w:sz w:val="20"/>
                <w:szCs w:val="20"/>
              </w:rPr>
              <w:t>:</w:t>
            </w:r>
          </w:p>
        </w:tc>
        <w:tc>
          <w:tcPr>
            <w:tcW w:w="4680" w:type="dxa"/>
            <w:vAlign w:val="center"/>
          </w:tcPr>
          <w:p w14:paraId="4A2A4569" w14:textId="37EB7D33" w:rsidR="003239B8" w:rsidRPr="00374C95" w:rsidRDefault="00716EA0" w:rsidP="00F364ED">
            <w:pPr>
              <w:rPr>
                <w:bCs/>
                <w:sz w:val="20"/>
                <w:szCs w:val="20"/>
                <w:lang w:val="es-MX"/>
              </w:rPr>
            </w:pPr>
            <w:r>
              <w:rPr>
                <w:bCs/>
                <w:sz w:val="20"/>
                <w:szCs w:val="20"/>
                <w:lang w:val="es-MX"/>
              </w:rPr>
              <w:t>Sí, el 2 de abril de 2008</w:t>
            </w:r>
          </w:p>
        </w:tc>
      </w:tr>
    </w:tbl>
    <w:p w14:paraId="18E6423B" w14:textId="77777777" w:rsidR="003239B8" w:rsidRPr="00EA1CE1" w:rsidRDefault="00223A29" w:rsidP="003239B8">
      <w:pPr>
        <w:spacing w:before="240" w:after="240"/>
        <w:ind w:firstLine="720"/>
        <w:jc w:val="both"/>
        <w:rPr>
          <w:rFonts w:asciiTheme="majorHAnsi" w:hAnsiTheme="majorHAnsi"/>
          <w:b/>
          <w:sz w:val="20"/>
          <w:szCs w:val="20"/>
          <w:lang w:val="es-UY"/>
        </w:rPr>
      </w:pPr>
      <w:r>
        <w:rPr>
          <w:rFonts w:asciiTheme="majorHAnsi" w:hAnsiTheme="majorHAnsi"/>
          <w:b/>
          <w:sz w:val="20"/>
          <w:szCs w:val="20"/>
          <w:lang w:val="es-UY"/>
        </w:rPr>
        <w:t xml:space="preserve">V. </w:t>
      </w:r>
      <w:r>
        <w:rPr>
          <w:rFonts w:asciiTheme="majorHAnsi" w:hAnsiTheme="majorHAnsi"/>
          <w:b/>
          <w:sz w:val="20"/>
          <w:szCs w:val="20"/>
          <w:lang w:val="es-UY"/>
        </w:rPr>
        <w:tab/>
      </w:r>
      <w:r w:rsidR="003239B8" w:rsidRPr="00EA1CE1">
        <w:rPr>
          <w:rFonts w:asciiTheme="majorHAnsi" w:hAnsiTheme="majorHAnsi"/>
          <w:b/>
          <w:sz w:val="20"/>
          <w:szCs w:val="20"/>
          <w:lang w:val="es-UY"/>
        </w:rPr>
        <w:t xml:space="preserve">HECHOS ALEGADOS </w:t>
      </w:r>
    </w:p>
    <w:p w14:paraId="3B5142A8" w14:textId="641BCA6E" w:rsidR="00490ED5" w:rsidRPr="00CD5026" w:rsidRDefault="000D4CD5" w:rsidP="00CD5026">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CD5026">
        <w:rPr>
          <w:rFonts w:asciiTheme="majorHAnsi" w:hAnsiTheme="majorHAnsi"/>
          <w:sz w:val="20"/>
          <w:szCs w:val="20"/>
          <w:lang w:val="es-UY"/>
        </w:rPr>
        <w:t>Los</w:t>
      </w:r>
      <w:r w:rsidR="00AD7474" w:rsidRPr="00CD5026">
        <w:rPr>
          <w:rFonts w:asciiTheme="majorHAnsi" w:hAnsiTheme="majorHAnsi"/>
          <w:sz w:val="20"/>
          <w:szCs w:val="20"/>
          <w:lang w:val="es-MX"/>
        </w:rPr>
        <w:t xml:space="preserve"> peticionario</w:t>
      </w:r>
      <w:r w:rsidRPr="00CD5026">
        <w:rPr>
          <w:rFonts w:asciiTheme="majorHAnsi" w:hAnsiTheme="majorHAnsi"/>
          <w:sz w:val="20"/>
          <w:szCs w:val="20"/>
          <w:lang w:val="es-MX"/>
        </w:rPr>
        <w:t xml:space="preserve">s </w:t>
      </w:r>
      <w:r w:rsidR="001E5890" w:rsidRPr="00CD5026">
        <w:rPr>
          <w:rFonts w:asciiTheme="majorHAnsi" w:hAnsiTheme="majorHAnsi"/>
          <w:sz w:val="20"/>
          <w:szCs w:val="20"/>
          <w:lang w:val="es-MX"/>
        </w:rPr>
        <w:t>denuncian fundamentalmente que el Estado argentino ha violado los derechos humanos de la Sra. Hebe Alicia López Ozuna (en adelante también “la presunta víctima”)</w:t>
      </w:r>
      <w:r w:rsidR="00716EA0" w:rsidRPr="00CD5026">
        <w:rPr>
          <w:rFonts w:asciiTheme="majorHAnsi" w:hAnsiTheme="majorHAnsi"/>
          <w:sz w:val="20"/>
          <w:szCs w:val="20"/>
          <w:lang w:val="es-MX"/>
        </w:rPr>
        <w:t xml:space="preserve"> por</w:t>
      </w:r>
      <w:r w:rsidRPr="00CD5026">
        <w:rPr>
          <w:rFonts w:asciiTheme="majorHAnsi" w:hAnsiTheme="majorHAnsi"/>
          <w:sz w:val="20"/>
          <w:szCs w:val="20"/>
          <w:lang w:val="es-MX"/>
        </w:rPr>
        <w:t xml:space="preserve"> </w:t>
      </w:r>
      <w:r w:rsidR="00716EA0" w:rsidRPr="00CD5026">
        <w:rPr>
          <w:rFonts w:asciiTheme="majorHAnsi" w:hAnsiTheme="majorHAnsi"/>
          <w:sz w:val="20"/>
          <w:szCs w:val="20"/>
          <w:lang w:val="es-MX"/>
        </w:rPr>
        <w:t xml:space="preserve">la falta de reparación </w:t>
      </w:r>
      <w:r w:rsidR="00CD5026" w:rsidRPr="00CD5026">
        <w:rPr>
          <w:rFonts w:asciiTheme="majorHAnsi" w:hAnsiTheme="majorHAnsi"/>
          <w:sz w:val="20"/>
          <w:szCs w:val="20"/>
          <w:lang w:val="es-MX"/>
        </w:rPr>
        <w:t xml:space="preserve">por los daños </w:t>
      </w:r>
      <w:r w:rsidR="008F7E7A">
        <w:rPr>
          <w:rFonts w:asciiTheme="majorHAnsi" w:hAnsiTheme="majorHAnsi"/>
          <w:sz w:val="20"/>
          <w:szCs w:val="20"/>
          <w:lang w:val="es-MX"/>
        </w:rPr>
        <w:t>causados</w:t>
      </w:r>
      <w:r w:rsidR="00CD5026" w:rsidRPr="00CD5026">
        <w:rPr>
          <w:rFonts w:asciiTheme="majorHAnsi" w:hAnsiTheme="majorHAnsi"/>
          <w:sz w:val="20"/>
          <w:szCs w:val="20"/>
          <w:lang w:val="es-MX"/>
        </w:rPr>
        <w:t xml:space="preserve"> por su encarcelamiento ilegal y arbitrario</w:t>
      </w:r>
      <w:r w:rsidR="008F7E7A">
        <w:rPr>
          <w:rFonts w:asciiTheme="majorHAnsi" w:hAnsiTheme="majorHAnsi"/>
          <w:sz w:val="20"/>
          <w:szCs w:val="20"/>
          <w:lang w:val="es-MX"/>
        </w:rPr>
        <w:t>,</w:t>
      </w:r>
      <w:r w:rsidR="00CD5026" w:rsidRPr="00CD5026">
        <w:rPr>
          <w:rFonts w:asciiTheme="majorHAnsi" w:hAnsiTheme="majorHAnsi"/>
          <w:sz w:val="20"/>
          <w:szCs w:val="20"/>
          <w:lang w:val="es-MX"/>
        </w:rPr>
        <w:t xml:space="preserve"> dentro de un proceso penal en el que se violó su derecho al</w:t>
      </w:r>
      <w:r w:rsidR="00716EA0" w:rsidRPr="00CD5026">
        <w:rPr>
          <w:rFonts w:asciiTheme="majorHAnsi" w:hAnsiTheme="majorHAnsi"/>
          <w:sz w:val="20"/>
          <w:szCs w:val="20"/>
          <w:lang w:val="es-MX"/>
        </w:rPr>
        <w:t xml:space="preserve"> debido proceso. </w:t>
      </w:r>
      <w:r w:rsidR="008F7E7A">
        <w:rPr>
          <w:rFonts w:asciiTheme="majorHAnsi" w:hAnsiTheme="majorHAnsi"/>
          <w:sz w:val="20"/>
          <w:szCs w:val="20"/>
          <w:lang w:val="es-MX"/>
        </w:rPr>
        <w:t>A</w:t>
      </w:r>
      <w:r w:rsidR="00716EA0" w:rsidRPr="00CD5026">
        <w:rPr>
          <w:rFonts w:asciiTheme="majorHAnsi" w:hAnsiTheme="majorHAnsi"/>
          <w:sz w:val="20"/>
          <w:szCs w:val="20"/>
          <w:lang w:val="es-MX"/>
        </w:rPr>
        <w:t xml:space="preserve">legan que la presuta víctima fue mantenida en detención preventiva </w:t>
      </w:r>
      <w:r w:rsidR="00FA5DD5">
        <w:rPr>
          <w:rFonts w:asciiTheme="majorHAnsi" w:hAnsiTheme="majorHAnsi"/>
          <w:sz w:val="20"/>
          <w:szCs w:val="20"/>
          <w:lang w:val="es-MX"/>
        </w:rPr>
        <w:t xml:space="preserve">por más de un año y medio </w:t>
      </w:r>
      <w:r w:rsidR="00716EA0" w:rsidRPr="00CD5026">
        <w:rPr>
          <w:rFonts w:asciiTheme="majorHAnsi" w:hAnsiTheme="majorHAnsi"/>
          <w:sz w:val="20"/>
          <w:szCs w:val="20"/>
          <w:lang w:val="es-MX"/>
        </w:rPr>
        <w:t>con base en testimonios falsos</w:t>
      </w:r>
      <w:r w:rsidR="00FA5DD5">
        <w:rPr>
          <w:rFonts w:asciiTheme="majorHAnsi" w:hAnsiTheme="majorHAnsi"/>
          <w:sz w:val="20"/>
          <w:szCs w:val="20"/>
          <w:lang w:val="es-MX"/>
        </w:rPr>
        <w:t>, obtenidos con la complicidad</w:t>
      </w:r>
      <w:r w:rsidR="00CD5026" w:rsidRPr="00CD5026">
        <w:rPr>
          <w:rFonts w:asciiTheme="majorHAnsi" w:hAnsiTheme="majorHAnsi"/>
          <w:sz w:val="20"/>
          <w:szCs w:val="20"/>
          <w:lang w:val="es-MX"/>
        </w:rPr>
        <w:t xml:space="preserve"> de autoridades </w:t>
      </w:r>
      <w:r w:rsidR="00FA5DD5">
        <w:rPr>
          <w:rFonts w:asciiTheme="majorHAnsi" w:hAnsiTheme="majorHAnsi"/>
          <w:sz w:val="20"/>
          <w:szCs w:val="20"/>
          <w:lang w:val="es-MX"/>
        </w:rPr>
        <w:t>públicas</w:t>
      </w:r>
      <w:r w:rsidR="00CD5026" w:rsidRPr="00CD5026">
        <w:rPr>
          <w:rFonts w:asciiTheme="majorHAnsi" w:hAnsiTheme="majorHAnsi"/>
          <w:sz w:val="20"/>
          <w:szCs w:val="20"/>
          <w:lang w:val="es-MX"/>
        </w:rPr>
        <w:t>;</w:t>
      </w:r>
      <w:r w:rsidR="00716EA0" w:rsidRPr="00CD5026">
        <w:rPr>
          <w:rFonts w:asciiTheme="majorHAnsi" w:hAnsiTheme="majorHAnsi"/>
          <w:sz w:val="20"/>
          <w:szCs w:val="20"/>
          <w:lang w:val="es-MX"/>
        </w:rPr>
        <w:t xml:space="preserve"> </w:t>
      </w:r>
      <w:r w:rsidR="00FA5DD5">
        <w:rPr>
          <w:rFonts w:asciiTheme="majorHAnsi" w:hAnsiTheme="majorHAnsi"/>
          <w:sz w:val="20"/>
          <w:szCs w:val="20"/>
          <w:lang w:val="es-MX"/>
        </w:rPr>
        <w:t>y</w:t>
      </w:r>
      <w:r w:rsidR="00CD5026" w:rsidRPr="00CD5026">
        <w:rPr>
          <w:rFonts w:asciiTheme="majorHAnsi" w:hAnsiTheme="majorHAnsi"/>
          <w:sz w:val="20"/>
          <w:szCs w:val="20"/>
          <w:lang w:val="es-MX"/>
        </w:rPr>
        <w:t xml:space="preserve"> </w:t>
      </w:r>
      <w:r w:rsidR="00FA5DD5">
        <w:rPr>
          <w:rFonts w:asciiTheme="majorHAnsi" w:hAnsiTheme="majorHAnsi"/>
          <w:sz w:val="20"/>
          <w:szCs w:val="20"/>
          <w:lang w:val="es-MX"/>
        </w:rPr>
        <w:t xml:space="preserve">únicamente </w:t>
      </w:r>
      <w:r w:rsidR="00CD5026" w:rsidRPr="00CD5026">
        <w:rPr>
          <w:rFonts w:asciiTheme="majorHAnsi" w:hAnsiTheme="majorHAnsi"/>
          <w:sz w:val="20"/>
          <w:szCs w:val="20"/>
          <w:lang w:val="es-MX"/>
        </w:rPr>
        <w:t>en atención al tipo de delito que se le imputaba</w:t>
      </w:r>
      <w:r w:rsidR="00FA5DD5">
        <w:rPr>
          <w:rFonts w:asciiTheme="majorHAnsi" w:hAnsiTheme="majorHAnsi"/>
          <w:sz w:val="20"/>
          <w:szCs w:val="20"/>
          <w:lang w:val="es-MX"/>
        </w:rPr>
        <w:t xml:space="preserve">. </w:t>
      </w:r>
    </w:p>
    <w:p w14:paraId="6028522B" w14:textId="3FBF6889" w:rsidR="00271537" w:rsidRPr="00EA1CE1" w:rsidRDefault="008F7E7A" w:rsidP="002715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rFonts w:asciiTheme="majorHAnsi" w:hAnsiTheme="majorHAnsi"/>
          <w:sz w:val="20"/>
          <w:szCs w:val="20"/>
          <w:lang w:val="es-MX"/>
        </w:rPr>
        <w:t>Los peticionarios narran que a principios</w:t>
      </w:r>
      <w:r w:rsidR="00271537" w:rsidRPr="00EA1CE1">
        <w:rPr>
          <w:rFonts w:asciiTheme="majorHAnsi" w:hAnsiTheme="majorHAnsi"/>
          <w:sz w:val="20"/>
          <w:szCs w:val="20"/>
          <w:lang w:val="es-MX"/>
        </w:rPr>
        <w:t xml:space="preserve"> de 1997</w:t>
      </w:r>
      <w:r>
        <w:rPr>
          <w:rFonts w:asciiTheme="majorHAnsi" w:hAnsiTheme="majorHAnsi"/>
          <w:sz w:val="20"/>
          <w:szCs w:val="20"/>
          <w:lang w:val="es-MX"/>
        </w:rPr>
        <w:t xml:space="preserve"> </w:t>
      </w:r>
      <w:r w:rsidR="00271537" w:rsidRPr="00EA1CE1">
        <w:rPr>
          <w:rFonts w:asciiTheme="majorHAnsi" w:hAnsiTheme="majorHAnsi"/>
          <w:sz w:val="20"/>
          <w:szCs w:val="20"/>
          <w:lang w:val="es-MX"/>
        </w:rPr>
        <w:t>se</w:t>
      </w:r>
      <w:r>
        <w:rPr>
          <w:rFonts w:asciiTheme="majorHAnsi" w:hAnsiTheme="majorHAnsi"/>
          <w:sz w:val="20"/>
          <w:szCs w:val="20"/>
          <w:lang w:val="es-MX"/>
        </w:rPr>
        <w:t xml:space="preserve"> inció</w:t>
      </w:r>
      <w:r w:rsidR="00271537" w:rsidRPr="00EA1CE1">
        <w:rPr>
          <w:rFonts w:asciiTheme="majorHAnsi" w:hAnsiTheme="majorHAnsi"/>
          <w:sz w:val="20"/>
          <w:szCs w:val="20"/>
          <w:lang w:val="es-MX"/>
        </w:rPr>
        <w:t xml:space="preserve"> </w:t>
      </w:r>
      <w:r>
        <w:rPr>
          <w:rFonts w:asciiTheme="majorHAnsi" w:hAnsiTheme="majorHAnsi"/>
          <w:sz w:val="20"/>
          <w:szCs w:val="20"/>
          <w:lang w:val="es-MX"/>
        </w:rPr>
        <w:t>un proceso penal por homicidio ante el Juzgado de Instrucción N°3</w:t>
      </w:r>
      <w:r w:rsidR="00271537" w:rsidRPr="00EA1CE1">
        <w:rPr>
          <w:rFonts w:asciiTheme="majorHAnsi" w:hAnsiTheme="majorHAnsi"/>
          <w:sz w:val="20"/>
          <w:szCs w:val="20"/>
          <w:lang w:val="es-MX"/>
        </w:rPr>
        <w:t xml:space="preserve"> de </w:t>
      </w:r>
      <w:r w:rsidR="00073157" w:rsidRPr="00EA1CE1">
        <w:rPr>
          <w:rFonts w:asciiTheme="majorHAnsi" w:hAnsiTheme="majorHAnsi"/>
          <w:sz w:val="20"/>
          <w:szCs w:val="20"/>
          <w:lang w:val="es-MX"/>
        </w:rPr>
        <w:t xml:space="preserve">Paraná, </w:t>
      </w:r>
      <w:r>
        <w:rPr>
          <w:rFonts w:asciiTheme="majorHAnsi" w:hAnsiTheme="majorHAnsi"/>
          <w:sz w:val="20"/>
          <w:szCs w:val="20"/>
          <w:lang w:val="es-MX"/>
        </w:rPr>
        <w:t>provincia de</w:t>
      </w:r>
      <w:r w:rsidR="00271537" w:rsidRPr="00EA1CE1">
        <w:rPr>
          <w:rFonts w:asciiTheme="majorHAnsi" w:hAnsiTheme="majorHAnsi"/>
          <w:sz w:val="20"/>
          <w:szCs w:val="20"/>
          <w:lang w:val="es-MX"/>
        </w:rPr>
        <w:t xml:space="preserve"> Entre Ríos. En el transcurso </w:t>
      </w:r>
      <w:r>
        <w:rPr>
          <w:rFonts w:asciiTheme="majorHAnsi" w:hAnsiTheme="majorHAnsi"/>
          <w:sz w:val="20"/>
          <w:szCs w:val="20"/>
          <w:lang w:val="es-MX"/>
        </w:rPr>
        <w:t>de las investigaciones</w:t>
      </w:r>
      <w:r w:rsidR="00721676">
        <w:rPr>
          <w:rFonts w:asciiTheme="majorHAnsi" w:hAnsiTheme="majorHAnsi"/>
          <w:sz w:val="20"/>
          <w:szCs w:val="20"/>
          <w:lang w:val="es-MX"/>
        </w:rPr>
        <w:t xml:space="preserve">, </w:t>
      </w:r>
      <w:r>
        <w:rPr>
          <w:rFonts w:asciiTheme="majorHAnsi" w:hAnsiTheme="majorHAnsi"/>
          <w:sz w:val="20"/>
          <w:szCs w:val="20"/>
          <w:lang w:val="es-MX"/>
        </w:rPr>
        <w:t xml:space="preserve"> </w:t>
      </w:r>
      <w:r w:rsidR="00721676">
        <w:rPr>
          <w:rFonts w:asciiTheme="majorHAnsi" w:hAnsiTheme="majorHAnsi"/>
          <w:sz w:val="20"/>
          <w:szCs w:val="20"/>
          <w:lang w:val="es-MX"/>
        </w:rPr>
        <w:t xml:space="preserve">la Sra. Ángela González </w:t>
      </w:r>
      <w:r w:rsidR="00271537" w:rsidRPr="00EA1CE1">
        <w:rPr>
          <w:rFonts w:asciiTheme="majorHAnsi" w:hAnsiTheme="majorHAnsi"/>
          <w:sz w:val="20"/>
          <w:szCs w:val="20"/>
          <w:lang w:val="es-MX"/>
        </w:rPr>
        <w:t xml:space="preserve">se incriminó a </w:t>
      </w:r>
      <w:r w:rsidR="00721676">
        <w:rPr>
          <w:rFonts w:asciiTheme="majorHAnsi" w:hAnsiTheme="majorHAnsi"/>
          <w:sz w:val="20"/>
          <w:szCs w:val="20"/>
          <w:lang w:val="es-MX"/>
        </w:rPr>
        <w:t>sí</w:t>
      </w:r>
      <w:r w:rsidR="00271537" w:rsidRPr="00EA1CE1">
        <w:rPr>
          <w:rFonts w:asciiTheme="majorHAnsi" w:hAnsiTheme="majorHAnsi"/>
          <w:sz w:val="20"/>
          <w:szCs w:val="20"/>
          <w:lang w:val="es-MX"/>
        </w:rPr>
        <w:t xml:space="preserve"> misma y a otras personas, d</w:t>
      </w:r>
      <w:r w:rsidR="00073157" w:rsidRPr="00EA1CE1">
        <w:rPr>
          <w:rFonts w:asciiTheme="majorHAnsi" w:hAnsiTheme="majorHAnsi"/>
          <w:sz w:val="20"/>
          <w:szCs w:val="20"/>
          <w:lang w:val="es-MX"/>
        </w:rPr>
        <w:t>entro de las cuales se encontraba</w:t>
      </w:r>
      <w:r w:rsidR="00271537" w:rsidRPr="00EA1CE1">
        <w:rPr>
          <w:rFonts w:asciiTheme="majorHAnsi" w:hAnsiTheme="majorHAnsi"/>
          <w:sz w:val="20"/>
          <w:szCs w:val="20"/>
          <w:lang w:val="es-MX"/>
        </w:rPr>
        <w:t xml:space="preserve"> la presunta víctima. </w:t>
      </w:r>
      <w:r w:rsidR="00721676">
        <w:rPr>
          <w:rFonts w:asciiTheme="majorHAnsi" w:hAnsiTheme="majorHAnsi"/>
          <w:sz w:val="20"/>
          <w:szCs w:val="20"/>
          <w:lang w:val="es-MX"/>
        </w:rPr>
        <w:t>La Sra. González</w:t>
      </w:r>
      <w:r w:rsidR="00AD0D23" w:rsidRPr="00EA1CE1">
        <w:rPr>
          <w:rFonts w:asciiTheme="majorHAnsi" w:hAnsiTheme="majorHAnsi"/>
          <w:sz w:val="20"/>
          <w:szCs w:val="20"/>
          <w:lang w:val="es-MX"/>
        </w:rPr>
        <w:t xml:space="preserve"> </w:t>
      </w:r>
      <w:r w:rsidR="00607323" w:rsidRPr="00EA1CE1">
        <w:rPr>
          <w:rFonts w:asciiTheme="majorHAnsi" w:hAnsiTheme="majorHAnsi"/>
          <w:sz w:val="20"/>
          <w:szCs w:val="20"/>
          <w:lang w:val="es-MX"/>
        </w:rPr>
        <w:t>habría sido</w:t>
      </w:r>
      <w:r w:rsidR="00AD0D23" w:rsidRPr="00EA1CE1">
        <w:rPr>
          <w:rFonts w:asciiTheme="majorHAnsi" w:hAnsiTheme="majorHAnsi"/>
          <w:sz w:val="20"/>
          <w:szCs w:val="20"/>
          <w:lang w:val="es-MX"/>
        </w:rPr>
        <w:t xml:space="preserve"> la única testigo de cargo</w:t>
      </w:r>
      <w:r w:rsidR="00271537" w:rsidRPr="00EA1CE1">
        <w:rPr>
          <w:rFonts w:asciiTheme="majorHAnsi" w:hAnsiTheme="majorHAnsi"/>
          <w:sz w:val="20"/>
          <w:szCs w:val="20"/>
          <w:lang w:val="es-MX"/>
        </w:rPr>
        <w:t>, y s</w:t>
      </w:r>
      <w:r w:rsidR="00607323" w:rsidRPr="00EA1CE1">
        <w:rPr>
          <w:rFonts w:asciiTheme="majorHAnsi" w:hAnsiTheme="majorHAnsi"/>
          <w:sz w:val="20"/>
          <w:szCs w:val="20"/>
          <w:lang w:val="es-MX"/>
        </w:rPr>
        <w:t>u testimonio</w:t>
      </w:r>
      <w:r w:rsidR="00271537" w:rsidRPr="00EA1CE1">
        <w:rPr>
          <w:rFonts w:asciiTheme="majorHAnsi" w:hAnsiTheme="majorHAnsi"/>
          <w:sz w:val="20"/>
          <w:szCs w:val="20"/>
          <w:lang w:val="es-MX"/>
        </w:rPr>
        <w:t xml:space="preserve"> </w:t>
      </w:r>
      <w:r w:rsidR="00FA5DD5">
        <w:rPr>
          <w:rFonts w:asciiTheme="majorHAnsi" w:hAnsiTheme="majorHAnsi"/>
          <w:sz w:val="20"/>
          <w:szCs w:val="20"/>
          <w:lang w:val="es-MX"/>
        </w:rPr>
        <w:t xml:space="preserve">fue </w:t>
      </w:r>
      <w:r w:rsidR="00271537" w:rsidRPr="00EA1CE1">
        <w:rPr>
          <w:rFonts w:asciiTheme="majorHAnsi" w:hAnsiTheme="majorHAnsi"/>
          <w:sz w:val="20"/>
          <w:szCs w:val="20"/>
          <w:lang w:val="es-MX"/>
        </w:rPr>
        <w:t xml:space="preserve">determinante para que </w:t>
      </w:r>
      <w:r w:rsidR="00721676">
        <w:rPr>
          <w:rFonts w:asciiTheme="majorHAnsi" w:hAnsiTheme="majorHAnsi"/>
          <w:sz w:val="20"/>
          <w:szCs w:val="20"/>
          <w:lang w:val="es-MX"/>
        </w:rPr>
        <w:t xml:space="preserve">se detuviera a la presunta víctima </w:t>
      </w:r>
      <w:r w:rsidR="00271537" w:rsidRPr="00EA1CE1">
        <w:rPr>
          <w:rFonts w:asciiTheme="majorHAnsi" w:hAnsiTheme="majorHAnsi"/>
          <w:sz w:val="20"/>
          <w:szCs w:val="20"/>
          <w:lang w:val="es-MX"/>
        </w:rPr>
        <w:t>el 17 de abril de 1997</w:t>
      </w:r>
      <w:r w:rsidR="00721676">
        <w:rPr>
          <w:rFonts w:asciiTheme="majorHAnsi" w:hAnsiTheme="majorHAnsi"/>
          <w:sz w:val="20"/>
          <w:szCs w:val="20"/>
          <w:lang w:val="es-MX"/>
        </w:rPr>
        <w:t xml:space="preserve">; y se le impusiera fornalmente la medida de prisión preventiva </w:t>
      </w:r>
      <w:r w:rsidR="00607323" w:rsidRPr="00EA1CE1">
        <w:rPr>
          <w:rFonts w:asciiTheme="majorHAnsi" w:hAnsiTheme="majorHAnsi"/>
          <w:sz w:val="20"/>
          <w:szCs w:val="20"/>
          <w:lang w:val="es-MX"/>
        </w:rPr>
        <w:t>el 2 de junio de 1997</w:t>
      </w:r>
      <w:r w:rsidR="00721676">
        <w:rPr>
          <w:rFonts w:asciiTheme="majorHAnsi" w:hAnsiTheme="majorHAnsi"/>
          <w:sz w:val="20"/>
          <w:szCs w:val="20"/>
          <w:lang w:val="es-MX"/>
        </w:rPr>
        <w:t>. Los peticionarios alegan que</w:t>
      </w:r>
      <w:r w:rsidR="001E276E">
        <w:rPr>
          <w:rFonts w:asciiTheme="majorHAnsi" w:hAnsiTheme="majorHAnsi"/>
          <w:sz w:val="20"/>
          <w:szCs w:val="20"/>
          <w:lang w:val="es-MX"/>
        </w:rPr>
        <w:t xml:space="preserve"> el juez se basó </w:t>
      </w:r>
      <w:r w:rsidR="001E276E" w:rsidRPr="00EA1CE1">
        <w:rPr>
          <w:rFonts w:asciiTheme="majorHAnsi" w:hAnsiTheme="majorHAnsi"/>
          <w:sz w:val="20"/>
          <w:szCs w:val="20"/>
          <w:lang w:val="es-MX"/>
        </w:rPr>
        <w:t xml:space="preserve">exclusivamente en la naturaleza del delito atribuido y en el monto de la pena </w:t>
      </w:r>
      <w:r w:rsidR="001E276E">
        <w:rPr>
          <w:rFonts w:asciiTheme="majorHAnsi" w:hAnsiTheme="majorHAnsi"/>
          <w:sz w:val="20"/>
          <w:szCs w:val="20"/>
          <w:lang w:val="es-MX"/>
        </w:rPr>
        <w:t>respectiva;</w:t>
      </w:r>
      <w:r w:rsidR="00721676">
        <w:rPr>
          <w:rFonts w:asciiTheme="majorHAnsi" w:hAnsiTheme="majorHAnsi"/>
          <w:sz w:val="20"/>
          <w:szCs w:val="20"/>
          <w:lang w:val="es-MX"/>
        </w:rPr>
        <w:t xml:space="preserve"> </w:t>
      </w:r>
      <w:r w:rsidR="00FB2138">
        <w:rPr>
          <w:rFonts w:asciiTheme="majorHAnsi" w:hAnsiTheme="majorHAnsi"/>
          <w:sz w:val="20"/>
          <w:szCs w:val="20"/>
          <w:lang w:val="es-MX"/>
        </w:rPr>
        <w:t>y</w:t>
      </w:r>
      <w:r w:rsidR="00FB2138" w:rsidRPr="00FB2138">
        <w:rPr>
          <w:rFonts w:asciiTheme="majorHAnsi" w:hAnsiTheme="majorHAnsi"/>
          <w:sz w:val="20"/>
          <w:szCs w:val="20"/>
          <w:lang w:val="es-MX"/>
        </w:rPr>
        <w:t xml:space="preserve"> </w:t>
      </w:r>
      <w:r w:rsidR="00FB2138">
        <w:rPr>
          <w:rFonts w:asciiTheme="majorHAnsi" w:hAnsiTheme="majorHAnsi"/>
          <w:sz w:val="20"/>
          <w:szCs w:val="20"/>
          <w:lang w:val="es-MX"/>
        </w:rPr>
        <w:t xml:space="preserve">que </w:t>
      </w:r>
      <w:r w:rsidR="00721676">
        <w:rPr>
          <w:rFonts w:asciiTheme="majorHAnsi" w:hAnsiTheme="majorHAnsi"/>
          <w:sz w:val="20"/>
          <w:szCs w:val="20"/>
          <w:lang w:val="es-MX"/>
        </w:rPr>
        <w:t>más allá de aquel testimonio</w:t>
      </w:r>
      <w:r w:rsidR="00FB2138">
        <w:rPr>
          <w:rFonts w:asciiTheme="majorHAnsi" w:hAnsiTheme="majorHAnsi"/>
          <w:sz w:val="20"/>
          <w:szCs w:val="20"/>
          <w:lang w:val="es-MX"/>
        </w:rPr>
        <w:t>, por medio del cual se vinculó a la presunta víctima al proceso,</w:t>
      </w:r>
      <w:r w:rsidR="00721676">
        <w:rPr>
          <w:rFonts w:asciiTheme="majorHAnsi" w:hAnsiTheme="majorHAnsi"/>
          <w:sz w:val="20"/>
          <w:szCs w:val="20"/>
          <w:lang w:val="es-MX"/>
        </w:rPr>
        <w:t xml:space="preserve"> no se siguieron </w:t>
      </w:r>
      <w:r w:rsidR="00271537" w:rsidRPr="00EA1CE1">
        <w:rPr>
          <w:rFonts w:asciiTheme="majorHAnsi" w:hAnsiTheme="majorHAnsi"/>
          <w:sz w:val="20"/>
          <w:szCs w:val="20"/>
          <w:lang w:val="es-MX"/>
        </w:rPr>
        <w:t>otra</w:t>
      </w:r>
      <w:r w:rsidR="00721676">
        <w:rPr>
          <w:rFonts w:asciiTheme="majorHAnsi" w:hAnsiTheme="majorHAnsi"/>
          <w:sz w:val="20"/>
          <w:szCs w:val="20"/>
          <w:lang w:val="es-MX"/>
        </w:rPr>
        <w:t>s</w:t>
      </w:r>
      <w:r w:rsidR="00271537" w:rsidRPr="00EA1CE1">
        <w:rPr>
          <w:rFonts w:asciiTheme="majorHAnsi" w:hAnsiTheme="majorHAnsi"/>
          <w:sz w:val="20"/>
          <w:szCs w:val="20"/>
          <w:lang w:val="es-MX"/>
        </w:rPr>
        <w:t xml:space="preserve"> vía</w:t>
      </w:r>
      <w:r w:rsidR="00721676">
        <w:rPr>
          <w:rFonts w:asciiTheme="majorHAnsi" w:hAnsiTheme="majorHAnsi"/>
          <w:sz w:val="20"/>
          <w:szCs w:val="20"/>
          <w:lang w:val="es-MX"/>
        </w:rPr>
        <w:t>s</w:t>
      </w:r>
      <w:r w:rsidR="00271537" w:rsidRPr="00EA1CE1">
        <w:rPr>
          <w:rFonts w:asciiTheme="majorHAnsi" w:hAnsiTheme="majorHAnsi"/>
          <w:sz w:val="20"/>
          <w:szCs w:val="20"/>
          <w:lang w:val="es-MX"/>
        </w:rPr>
        <w:t xml:space="preserve"> de investigación. </w:t>
      </w:r>
    </w:p>
    <w:p w14:paraId="4245F8E7" w14:textId="748A4375" w:rsidR="00271537" w:rsidRPr="008F2D03" w:rsidRDefault="00AB39E4" w:rsidP="002715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8F2D03">
        <w:rPr>
          <w:rFonts w:asciiTheme="majorHAnsi" w:hAnsiTheme="majorHAnsi"/>
          <w:sz w:val="20"/>
          <w:szCs w:val="20"/>
          <w:lang w:val="es-MX"/>
        </w:rPr>
        <w:t xml:space="preserve">La referida orden de prisión preventiva </w:t>
      </w:r>
      <w:r w:rsidR="00271537" w:rsidRPr="008F2D03">
        <w:rPr>
          <w:rFonts w:asciiTheme="majorHAnsi" w:hAnsiTheme="majorHAnsi"/>
          <w:sz w:val="20"/>
          <w:szCs w:val="20"/>
          <w:lang w:val="es-MX"/>
        </w:rPr>
        <w:t>fue apelada</w:t>
      </w:r>
      <w:r w:rsidR="00B625F2" w:rsidRPr="008F2D03">
        <w:rPr>
          <w:rFonts w:asciiTheme="majorHAnsi" w:hAnsiTheme="majorHAnsi"/>
          <w:sz w:val="20"/>
          <w:szCs w:val="20"/>
          <w:lang w:val="es-MX"/>
        </w:rPr>
        <w:t xml:space="preserve"> el</w:t>
      </w:r>
      <w:r w:rsidR="00271537" w:rsidRPr="008F2D03">
        <w:rPr>
          <w:rFonts w:asciiTheme="majorHAnsi" w:hAnsiTheme="majorHAnsi"/>
          <w:sz w:val="20"/>
          <w:szCs w:val="20"/>
          <w:lang w:val="es-MX"/>
        </w:rPr>
        <w:t xml:space="preserve"> </w:t>
      </w:r>
      <w:r w:rsidR="007F2550" w:rsidRPr="008F2D03">
        <w:rPr>
          <w:rFonts w:asciiTheme="majorHAnsi" w:hAnsiTheme="majorHAnsi"/>
          <w:sz w:val="20"/>
          <w:szCs w:val="20"/>
          <w:lang w:val="es-MX"/>
        </w:rPr>
        <w:t>10 de junio de 1997</w:t>
      </w:r>
      <w:r w:rsidR="00AD0D23" w:rsidRPr="008F2D03">
        <w:rPr>
          <w:rFonts w:asciiTheme="majorHAnsi" w:hAnsiTheme="majorHAnsi"/>
          <w:sz w:val="20"/>
          <w:szCs w:val="20"/>
          <w:lang w:val="es-MX"/>
        </w:rPr>
        <w:t xml:space="preserve">, </w:t>
      </w:r>
      <w:r w:rsidRPr="008F2D03">
        <w:rPr>
          <w:rFonts w:asciiTheme="majorHAnsi" w:hAnsiTheme="majorHAnsi"/>
          <w:sz w:val="20"/>
          <w:szCs w:val="20"/>
          <w:lang w:val="es-MX"/>
        </w:rPr>
        <w:t>y</w:t>
      </w:r>
      <w:r w:rsidR="00271537" w:rsidRPr="008F2D03">
        <w:rPr>
          <w:rFonts w:asciiTheme="majorHAnsi" w:hAnsiTheme="majorHAnsi"/>
          <w:sz w:val="20"/>
          <w:szCs w:val="20"/>
          <w:lang w:val="es-MX"/>
        </w:rPr>
        <w:t xml:space="preserve"> confirmada por la Sala II de la Cámara en lo Criminal de Paraná el 26 de junio de 1997.</w:t>
      </w:r>
      <w:r w:rsidR="00FB2FBA" w:rsidRPr="008F2D03">
        <w:rPr>
          <w:rFonts w:asciiTheme="majorHAnsi" w:hAnsiTheme="majorHAnsi"/>
          <w:sz w:val="20"/>
          <w:szCs w:val="20"/>
          <w:lang w:val="es-MX"/>
        </w:rPr>
        <w:t xml:space="preserve"> </w:t>
      </w:r>
      <w:r w:rsidR="00FA5DD5">
        <w:rPr>
          <w:rFonts w:asciiTheme="majorHAnsi" w:hAnsiTheme="majorHAnsi"/>
          <w:sz w:val="20"/>
          <w:szCs w:val="20"/>
          <w:lang w:val="es-MX"/>
        </w:rPr>
        <w:t>E</w:t>
      </w:r>
      <w:r w:rsidR="00FA5DD5" w:rsidRPr="008F2D03">
        <w:rPr>
          <w:rFonts w:asciiTheme="majorHAnsi" w:hAnsiTheme="majorHAnsi"/>
          <w:sz w:val="20"/>
          <w:szCs w:val="20"/>
          <w:lang w:val="es-MX"/>
        </w:rPr>
        <w:t>l 17 de julio de 1997</w:t>
      </w:r>
      <w:r w:rsidR="00AD0D23" w:rsidRPr="008F2D03">
        <w:rPr>
          <w:rFonts w:asciiTheme="majorHAnsi" w:hAnsiTheme="majorHAnsi"/>
          <w:sz w:val="20"/>
          <w:szCs w:val="20"/>
          <w:lang w:val="es-MX"/>
        </w:rPr>
        <w:t>,</w:t>
      </w:r>
      <w:r w:rsidR="0030253E" w:rsidRPr="008F2D03">
        <w:rPr>
          <w:rFonts w:asciiTheme="majorHAnsi" w:hAnsiTheme="majorHAnsi"/>
          <w:sz w:val="20"/>
          <w:szCs w:val="20"/>
          <w:lang w:val="es-MX"/>
        </w:rPr>
        <w:t xml:space="preserve"> </w:t>
      </w:r>
      <w:r w:rsidRPr="008F2D03">
        <w:rPr>
          <w:rFonts w:asciiTheme="majorHAnsi" w:hAnsiTheme="majorHAnsi"/>
          <w:sz w:val="20"/>
          <w:szCs w:val="20"/>
          <w:lang w:val="es-MX"/>
        </w:rPr>
        <w:t xml:space="preserve">y con base en </w:t>
      </w:r>
      <w:r w:rsidR="0030253E" w:rsidRPr="008F2D03">
        <w:rPr>
          <w:rFonts w:asciiTheme="majorHAnsi" w:hAnsiTheme="majorHAnsi"/>
          <w:sz w:val="20"/>
          <w:szCs w:val="20"/>
          <w:lang w:val="es-MX"/>
        </w:rPr>
        <w:t>nuevos elementos probatorios</w:t>
      </w:r>
      <w:r w:rsidR="00271537" w:rsidRPr="008F2D03">
        <w:rPr>
          <w:rFonts w:asciiTheme="majorHAnsi" w:hAnsiTheme="majorHAnsi"/>
          <w:sz w:val="20"/>
          <w:szCs w:val="20"/>
          <w:lang w:val="es-MX"/>
        </w:rPr>
        <w:t xml:space="preserve">, la defensa </w:t>
      </w:r>
      <w:r w:rsidRPr="008F2D03">
        <w:rPr>
          <w:rFonts w:asciiTheme="majorHAnsi" w:hAnsiTheme="majorHAnsi"/>
          <w:sz w:val="20"/>
          <w:szCs w:val="20"/>
          <w:lang w:val="es-MX"/>
        </w:rPr>
        <w:t xml:space="preserve">de la Sra. Hebe López </w:t>
      </w:r>
      <w:r w:rsidR="00271537" w:rsidRPr="008F2D03">
        <w:rPr>
          <w:rFonts w:asciiTheme="majorHAnsi" w:hAnsiTheme="majorHAnsi"/>
          <w:sz w:val="20"/>
          <w:szCs w:val="20"/>
          <w:lang w:val="es-MX"/>
        </w:rPr>
        <w:t xml:space="preserve">solicitó modificar </w:t>
      </w:r>
      <w:r w:rsidR="00FA5DD5">
        <w:rPr>
          <w:rFonts w:asciiTheme="majorHAnsi" w:hAnsiTheme="majorHAnsi"/>
          <w:sz w:val="20"/>
          <w:szCs w:val="20"/>
          <w:lang w:val="es-MX"/>
        </w:rPr>
        <w:t>su</w:t>
      </w:r>
      <w:r w:rsidR="00271537" w:rsidRPr="008F2D03">
        <w:rPr>
          <w:rFonts w:asciiTheme="majorHAnsi" w:hAnsiTheme="majorHAnsi"/>
          <w:sz w:val="20"/>
          <w:szCs w:val="20"/>
          <w:lang w:val="es-MX"/>
        </w:rPr>
        <w:t xml:space="preserve"> situación jurídica</w:t>
      </w:r>
      <w:r w:rsidR="0030253E" w:rsidRPr="008F2D03">
        <w:rPr>
          <w:rFonts w:asciiTheme="majorHAnsi" w:hAnsiTheme="majorHAnsi"/>
          <w:sz w:val="20"/>
          <w:szCs w:val="20"/>
          <w:lang w:val="es-MX"/>
        </w:rPr>
        <w:t xml:space="preserve">, y que se dispusiera de </w:t>
      </w:r>
      <w:r w:rsidR="00FA5DD5">
        <w:rPr>
          <w:rFonts w:asciiTheme="majorHAnsi" w:hAnsiTheme="majorHAnsi"/>
          <w:sz w:val="20"/>
          <w:szCs w:val="20"/>
          <w:lang w:val="es-MX"/>
        </w:rPr>
        <w:t>su</w:t>
      </w:r>
      <w:r w:rsidR="00271537" w:rsidRPr="008F2D03">
        <w:rPr>
          <w:rFonts w:asciiTheme="majorHAnsi" w:hAnsiTheme="majorHAnsi"/>
          <w:sz w:val="20"/>
          <w:szCs w:val="20"/>
          <w:lang w:val="es-MX"/>
        </w:rPr>
        <w:t xml:space="preserve"> inmediata libertad</w:t>
      </w:r>
      <w:r w:rsidR="00FB02CF" w:rsidRPr="008F2D03">
        <w:rPr>
          <w:rFonts w:asciiTheme="majorHAnsi" w:hAnsiTheme="majorHAnsi"/>
          <w:sz w:val="20"/>
          <w:szCs w:val="20"/>
          <w:lang w:val="es-MX"/>
        </w:rPr>
        <w:t>. A pesar de ello</w:t>
      </w:r>
      <w:r w:rsidR="00271537" w:rsidRPr="008F2D03">
        <w:rPr>
          <w:rFonts w:asciiTheme="majorHAnsi" w:hAnsiTheme="majorHAnsi"/>
          <w:sz w:val="20"/>
          <w:szCs w:val="20"/>
          <w:lang w:val="es-MX"/>
        </w:rPr>
        <w:t xml:space="preserve">, </w:t>
      </w:r>
      <w:r w:rsidR="00864297" w:rsidRPr="008F2D03">
        <w:rPr>
          <w:rFonts w:asciiTheme="majorHAnsi" w:hAnsiTheme="majorHAnsi"/>
          <w:sz w:val="20"/>
          <w:szCs w:val="20"/>
          <w:lang w:val="es-MX"/>
        </w:rPr>
        <w:t xml:space="preserve">el 20 de julio </w:t>
      </w:r>
      <w:r w:rsidR="00271537" w:rsidRPr="008F2D03">
        <w:rPr>
          <w:rFonts w:asciiTheme="majorHAnsi" w:hAnsiTheme="majorHAnsi"/>
          <w:sz w:val="20"/>
          <w:szCs w:val="20"/>
          <w:lang w:val="es-MX"/>
        </w:rPr>
        <w:t>el juez</w:t>
      </w:r>
      <w:r w:rsidR="00AD0D23" w:rsidRPr="008F2D03">
        <w:rPr>
          <w:rFonts w:asciiTheme="majorHAnsi" w:hAnsiTheme="majorHAnsi"/>
          <w:sz w:val="20"/>
          <w:szCs w:val="20"/>
          <w:lang w:val="es-MX"/>
        </w:rPr>
        <w:t xml:space="preserve"> de instrucción</w:t>
      </w:r>
      <w:r w:rsidR="00864297" w:rsidRPr="008F2D03">
        <w:rPr>
          <w:rFonts w:asciiTheme="majorHAnsi" w:hAnsiTheme="majorHAnsi"/>
          <w:sz w:val="20"/>
          <w:szCs w:val="20"/>
          <w:lang w:val="es-MX"/>
        </w:rPr>
        <w:t xml:space="preserve"> </w:t>
      </w:r>
      <w:r w:rsidR="00FB02CF" w:rsidRPr="008F2D03">
        <w:rPr>
          <w:rFonts w:asciiTheme="majorHAnsi" w:hAnsiTheme="majorHAnsi"/>
          <w:sz w:val="20"/>
          <w:szCs w:val="20"/>
          <w:lang w:val="es-MX"/>
        </w:rPr>
        <w:t xml:space="preserve">rechazó </w:t>
      </w:r>
      <w:r w:rsidR="00864297" w:rsidRPr="008F2D03">
        <w:rPr>
          <w:rFonts w:asciiTheme="majorHAnsi" w:hAnsiTheme="majorHAnsi"/>
          <w:sz w:val="20"/>
          <w:szCs w:val="20"/>
          <w:lang w:val="es-MX"/>
        </w:rPr>
        <w:t>el</w:t>
      </w:r>
      <w:r w:rsidR="00FB02CF" w:rsidRPr="008F2D03">
        <w:rPr>
          <w:rFonts w:asciiTheme="majorHAnsi" w:hAnsiTheme="majorHAnsi"/>
          <w:sz w:val="20"/>
          <w:szCs w:val="20"/>
          <w:lang w:val="es-MX"/>
        </w:rPr>
        <w:t xml:space="preserve"> pedi</w:t>
      </w:r>
      <w:r w:rsidR="00864297" w:rsidRPr="008F2D03">
        <w:rPr>
          <w:rFonts w:asciiTheme="majorHAnsi" w:hAnsiTheme="majorHAnsi"/>
          <w:sz w:val="20"/>
          <w:szCs w:val="20"/>
          <w:lang w:val="es-MX"/>
        </w:rPr>
        <w:t xml:space="preserve">do y mantuvo </w:t>
      </w:r>
      <w:r w:rsidR="00FB02CF" w:rsidRPr="008F2D03">
        <w:rPr>
          <w:rFonts w:asciiTheme="majorHAnsi" w:hAnsiTheme="majorHAnsi"/>
          <w:sz w:val="20"/>
          <w:szCs w:val="20"/>
          <w:lang w:val="es-MX"/>
        </w:rPr>
        <w:t>la</w:t>
      </w:r>
      <w:r w:rsidR="00271537" w:rsidRPr="008F2D03">
        <w:rPr>
          <w:rFonts w:asciiTheme="majorHAnsi" w:hAnsiTheme="majorHAnsi"/>
          <w:sz w:val="20"/>
          <w:szCs w:val="20"/>
          <w:lang w:val="es-MX"/>
        </w:rPr>
        <w:t xml:space="preserve"> prisión preventiva. </w:t>
      </w:r>
      <w:r w:rsidR="00FA5DD5">
        <w:rPr>
          <w:rFonts w:asciiTheme="majorHAnsi" w:hAnsiTheme="majorHAnsi"/>
          <w:sz w:val="20"/>
          <w:szCs w:val="20"/>
          <w:lang w:val="es-MX"/>
        </w:rPr>
        <w:t>Contra esta decisión</w:t>
      </w:r>
      <w:r w:rsidR="00AD0D23" w:rsidRPr="008F2D03">
        <w:rPr>
          <w:rFonts w:asciiTheme="majorHAnsi" w:hAnsiTheme="majorHAnsi"/>
          <w:sz w:val="20"/>
          <w:szCs w:val="20"/>
          <w:lang w:val="es-MX"/>
        </w:rPr>
        <w:t xml:space="preserve"> la</w:t>
      </w:r>
      <w:r w:rsidR="00271537" w:rsidRPr="008F2D03">
        <w:rPr>
          <w:rFonts w:asciiTheme="majorHAnsi" w:hAnsiTheme="majorHAnsi"/>
          <w:sz w:val="20"/>
          <w:szCs w:val="20"/>
          <w:lang w:val="es-MX"/>
        </w:rPr>
        <w:t xml:space="preserve"> defensa </w:t>
      </w:r>
      <w:r w:rsidR="00FA5DD5">
        <w:rPr>
          <w:rFonts w:asciiTheme="majorHAnsi" w:hAnsiTheme="majorHAnsi"/>
          <w:sz w:val="20"/>
          <w:szCs w:val="20"/>
          <w:lang w:val="es-MX"/>
        </w:rPr>
        <w:t xml:space="preserve">de la Sra. Hebe López </w:t>
      </w:r>
      <w:r w:rsidR="00271537" w:rsidRPr="008F2D03">
        <w:rPr>
          <w:rFonts w:asciiTheme="majorHAnsi" w:hAnsiTheme="majorHAnsi"/>
          <w:sz w:val="20"/>
          <w:szCs w:val="20"/>
          <w:lang w:val="es-MX"/>
        </w:rPr>
        <w:t xml:space="preserve">presentó un recurso de apelación </w:t>
      </w:r>
      <w:r w:rsidR="00864297" w:rsidRPr="008F2D03">
        <w:rPr>
          <w:rFonts w:asciiTheme="majorHAnsi" w:hAnsiTheme="majorHAnsi"/>
          <w:sz w:val="20"/>
          <w:szCs w:val="20"/>
          <w:lang w:val="es-MX"/>
        </w:rPr>
        <w:t>el 25 de julio;</w:t>
      </w:r>
      <w:r w:rsidR="007D1BA8" w:rsidRPr="008F2D03">
        <w:rPr>
          <w:rFonts w:asciiTheme="majorHAnsi" w:hAnsiTheme="majorHAnsi"/>
          <w:sz w:val="20"/>
          <w:szCs w:val="20"/>
          <w:lang w:val="es-MX"/>
        </w:rPr>
        <w:t xml:space="preserve"> </w:t>
      </w:r>
      <w:r w:rsidR="00864297" w:rsidRPr="008F2D03">
        <w:rPr>
          <w:rFonts w:asciiTheme="majorHAnsi" w:hAnsiTheme="majorHAnsi"/>
          <w:sz w:val="20"/>
          <w:szCs w:val="20"/>
          <w:lang w:val="es-MX"/>
        </w:rPr>
        <w:t xml:space="preserve">sin embargo, </w:t>
      </w:r>
      <w:r w:rsidR="00271537" w:rsidRPr="008F2D03">
        <w:rPr>
          <w:rFonts w:asciiTheme="majorHAnsi" w:hAnsiTheme="majorHAnsi"/>
          <w:sz w:val="20"/>
          <w:szCs w:val="20"/>
          <w:lang w:val="es-MX"/>
        </w:rPr>
        <w:t xml:space="preserve">la Sala II de la Cámara en lo Criminal de Paraná </w:t>
      </w:r>
      <w:r w:rsidR="00864297" w:rsidRPr="008F2D03">
        <w:rPr>
          <w:rFonts w:asciiTheme="majorHAnsi" w:hAnsiTheme="majorHAnsi"/>
          <w:sz w:val="20"/>
          <w:szCs w:val="20"/>
          <w:lang w:val="es-MX"/>
        </w:rPr>
        <w:t xml:space="preserve">confirmó la decisión de </w:t>
      </w:r>
      <w:r w:rsidR="00864297" w:rsidRPr="008F2D03">
        <w:rPr>
          <w:rFonts w:asciiTheme="majorHAnsi" w:hAnsiTheme="majorHAnsi"/>
          <w:i/>
          <w:sz w:val="20"/>
          <w:szCs w:val="20"/>
          <w:lang w:val="es-MX"/>
        </w:rPr>
        <w:t>a quo</w:t>
      </w:r>
      <w:r w:rsidR="00864297" w:rsidRPr="008F2D03">
        <w:rPr>
          <w:rFonts w:asciiTheme="majorHAnsi" w:hAnsiTheme="majorHAnsi"/>
          <w:sz w:val="20"/>
          <w:szCs w:val="20"/>
          <w:lang w:val="es-MX"/>
        </w:rPr>
        <w:t xml:space="preserve"> </w:t>
      </w:r>
      <w:r w:rsidR="00271537" w:rsidRPr="008F2D03">
        <w:rPr>
          <w:rFonts w:asciiTheme="majorHAnsi" w:hAnsiTheme="majorHAnsi"/>
          <w:sz w:val="20"/>
          <w:szCs w:val="20"/>
          <w:lang w:val="es-MX"/>
        </w:rPr>
        <w:t>el 19 de agosto de 1997.</w:t>
      </w:r>
      <w:r w:rsidR="00FB2FBA" w:rsidRPr="008F2D03">
        <w:rPr>
          <w:rFonts w:asciiTheme="majorHAnsi" w:hAnsiTheme="majorHAnsi"/>
          <w:sz w:val="20"/>
          <w:szCs w:val="20"/>
          <w:lang w:val="es-MX"/>
        </w:rPr>
        <w:t xml:space="preserve"> </w:t>
      </w:r>
      <w:r w:rsidR="00271537" w:rsidRPr="008F2D03">
        <w:rPr>
          <w:rFonts w:asciiTheme="majorHAnsi" w:hAnsiTheme="majorHAnsi"/>
          <w:sz w:val="20"/>
          <w:szCs w:val="20"/>
          <w:lang w:val="es-MX"/>
        </w:rPr>
        <w:t>El 16 de diciembr</w:t>
      </w:r>
      <w:r w:rsidR="00864297" w:rsidRPr="008F2D03">
        <w:rPr>
          <w:rFonts w:asciiTheme="majorHAnsi" w:hAnsiTheme="majorHAnsi"/>
          <w:sz w:val="20"/>
          <w:szCs w:val="20"/>
          <w:lang w:val="es-MX"/>
        </w:rPr>
        <w:t>e de 1997</w:t>
      </w:r>
      <w:r w:rsidR="00271537" w:rsidRPr="008F2D03">
        <w:rPr>
          <w:rFonts w:asciiTheme="majorHAnsi" w:hAnsiTheme="majorHAnsi"/>
          <w:sz w:val="20"/>
          <w:szCs w:val="20"/>
          <w:lang w:val="es-MX"/>
        </w:rPr>
        <w:t xml:space="preserve"> el juez </w:t>
      </w:r>
      <w:r w:rsidR="008F2D03" w:rsidRPr="008F2D03">
        <w:rPr>
          <w:rFonts w:asciiTheme="majorHAnsi" w:hAnsiTheme="majorHAnsi"/>
          <w:sz w:val="20"/>
          <w:szCs w:val="20"/>
          <w:lang w:val="es-MX"/>
        </w:rPr>
        <w:t>instructor concluyó la investigación</w:t>
      </w:r>
      <w:r w:rsidR="00271537" w:rsidRPr="008F2D03">
        <w:rPr>
          <w:rFonts w:asciiTheme="majorHAnsi" w:hAnsiTheme="majorHAnsi"/>
          <w:sz w:val="20"/>
          <w:szCs w:val="20"/>
          <w:lang w:val="es-MX"/>
        </w:rPr>
        <w:t xml:space="preserve"> y elevó la causa a la </w:t>
      </w:r>
      <w:r w:rsidR="00146882" w:rsidRPr="008F2D03">
        <w:rPr>
          <w:rFonts w:asciiTheme="majorHAnsi" w:hAnsiTheme="majorHAnsi"/>
          <w:sz w:val="20"/>
          <w:szCs w:val="20"/>
          <w:lang w:val="es-MX"/>
        </w:rPr>
        <w:t>Sala I</w:t>
      </w:r>
      <w:r w:rsidR="00271537" w:rsidRPr="008F2D03">
        <w:rPr>
          <w:rFonts w:asciiTheme="majorHAnsi" w:hAnsiTheme="majorHAnsi"/>
          <w:sz w:val="20"/>
          <w:szCs w:val="20"/>
          <w:lang w:val="es-MX"/>
        </w:rPr>
        <w:t xml:space="preserve"> de la </w:t>
      </w:r>
      <w:r w:rsidR="008F2D03" w:rsidRPr="008F2D03">
        <w:rPr>
          <w:rFonts w:asciiTheme="majorHAnsi" w:hAnsiTheme="majorHAnsi"/>
          <w:sz w:val="20"/>
          <w:szCs w:val="20"/>
          <w:lang w:val="es-MX"/>
        </w:rPr>
        <w:t>Cámara en lo Criminal de Paraná; la cual absolvió a la presunta víctima el</w:t>
      </w:r>
      <w:r w:rsidR="00FB2FBA" w:rsidRPr="008F2D03">
        <w:rPr>
          <w:rFonts w:asciiTheme="majorHAnsi" w:hAnsiTheme="majorHAnsi"/>
          <w:sz w:val="20"/>
          <w:szCs w:val="20"/>
          <w:lang w:val="es-MX"/>
        </w:rPr>
        <w:t xml:space="preserve"> </w:t>
      </w:r>
      <w:r w:rsidR="0042620E" w:rsidRPr="008F2D03">
        <w:rPr>
          <w:rFonts w:asciiTheme="majorHAnsi" w:hAnsiTheme="majorHAnsi"/>
          <w:sz w:val="20"/>
          <w:szCs w:val="20"/>
          <w:lang w:val="es-MX"/>
        </w:rPr>
        <w:t>3 de noviembre de 1998</w:t>
      </w:r>
      <w:r w:rsidR="00AD0D23" w:rsidRPr="008F2D03">
        <w:rPr>
          <w:rFonts w:asciiTheme="majorHAnsi" w:hAnsiTheme="majorHAnsi"/>
          <w:sz w:val="20"/>
          <w:szCs w:val="20"/>
          <w:lang w:val="es-MX"/>
        </w:rPr>
        <w:t>,</w:t>
      </w:r>
      <w:r w:rsidR="0042620E" w:rsidRPr="008F2D03">
        <w:rPr>
          <w:rFonts w:asciiTheme="majorHAnsi" w:hAnsiTheme="majorHAnsi"/>
          <w:sz w:val="20"/>
          <w:szCs w:val="20"/>
          <w:lang w:val="es-MX"/>
        </w:rPr>
        <w:t xml:space="preserve"> </w:t>
      </w:r>
      <w:r w:rsidR="00271537" w:rsidRPr="008F2D03">
        <w:rPr>
          <w:rFonts w:asciiTheme="majorHAnsi" w:hAnsiTheme="majorHAnsi"/>
          <w:sz w:val="20"/>
          <w:szCs w:val="20"/>
          <w:lang w:val="es-MX"/>
        </w:rPr>
        <w:t>declarando su inocencia y disponiendo de su inmediata libertad.</w:t>
      </w:r>
      <w:r w:rsidR="00FB2FBA" w:rsidRPr="008F2D03">
        <w:rPr>
          <w:rFonts w:asciiTheme="majorHAnsi" w:hAnsiTheme="majorHAnsi"/>
          <w:sz w:val="20"/>
          <w:szCs w:val="20"/>
          <w:lang w:val="es-MX"/>
        </w:rPr>
        <w:t xml:space="preserve"> </w:t>
      </w:r>
      <w:r w:rsidR="008F2D03" w:rsidRPr="008F2D03">
        <w:rPr>
          <w:rFonts w:asciiTheme="majorHAnsi" w:hAnsiTheme="majorHAnsi"/>
          <w:sz w:val="20"/>
          <w:szCs w:val="20"/>
          <w:lang w:val="es-MX"/>
        </w:rPr>
        <w:t xml:space="preserve">Posteriormente, el 4 de noviembre de 2002 la Sala I de la Cámara del Crimen de Paraná </w:t>
      </w:r>
      <w:r w:rsidR="00271537" w:rsidRPr="008F2D03">
        <w:rPr>
          <w:rFonts w:asciiTheme="majorHAnsi" w:hAnsiTheme="majorHAnsi"/>
          <w:sz w:val="20"/>
          <w:szCs w:val="20"/>
          <w:lang w:val="es-MX"/>
        </w:rPr>
        <w:t xml:space="preserve">condenó </w:t>
      </w:r>
      <w:r w:rsidR="008F2D03" w:rsidRPr="008F2D03">
        <w:rPr>
          <w:rFonts w:asciiTheme="majorHAnsi" w:hAnsiTheme="majorHAnsi"/>
          <w:sz w:val="20"/>
          <w:szCs w:val="20"/>
          <w:lang w:val="es-MX"/>
        </w:rPr>
        <w:t xml:space="preserve">a la Sra. Gonález, principal testigo de la causa contra la presunta víctima, </w:t>
      </w:r>
      <w:r w:rsidR="00271537" w:rsidRPr="008F2D03">
        <w:rPr>
          <w:rFonts w:asciiTheme="majorHAnsi" w:hAnsiTheme="majorHAnsi"/>
          <w:sz w:val="20"/>
          <w:szCs w:val="20"/>
          <w:lang w:val="es-MX"/>
        </w:rPr>
        <w:t xml:space="preserve">por </w:t>
      </w:r>
      <w:r w:rsidR="008F2D03" w:rsidRPr="008F2D03">
        <w:rPr>
          <w:rFonts w:asciiTheme="majorHAnsi" w:hAnsiTheme="majorHAnsi"/>
          <w:sz w:val="20"/>
          <w:szCs w:val="20"/>
          <w:lang w:val="es-MX"/>
        </w:rPr>
        <w:t>falso testimonio</w:t>
      </w:r>
      <w:r w:rsidR="00271537" w:rsidRPr="008F2D03">
        <w:rPr>
          <w:rFonts w:asciiTheme="majorHAnsi" w:hAnsiTheme="majorHAnsi"/>
          <w:sz w:val="20"/>
          <w:szCs w:val="20"/>
          <w:lang w:val="es-MX"/>
        </w:rPr>
        <w:t>;</w:t>
      </w:r>
      <w:r w:rsidR="008F2D03" w:rsidRPr="008F2D03">
        <w:rPr>
          <w:rFonts w:asciiTheme="majorHAnsi" w:hAnsiTheme="majorHAnsi"/>
          <w:sz w:val="20"/>
          <w:szCs w:val="20"/>
          <w:lang w:val="es-MX"/>
        </w:rPr>
        <w:t xml:space="preserve"> y el 9 de agosto de 2004 </w:t>
      </w:r>
      <w:r w:rsidR="00A96BD3">
        <w:rPr>
          <w:rFonts w:asciiTheme="majorHAnsi" w:hAnsiTheme="majorHAnsi"/>
          <w:sz w:val="20"/>
          <w:szCs w:val="20"/>
          <w:lang w:val="es-MX"/>
        </w:rPr>
        <w:t>dicho</w:t>
      </w:r>
      <w:r w:rsidR="008F2D03" w:rsidRPr="008F2D03">
        <w:rPr>
          <w:rFonts w:asciiTheme="majorHAnsi" w:hAnsiTheme="majorHAnsi"/>
          <w:sz w:val="20"/>
          <w:szCs w:val="20"/>
          <w:lang w:val="es-MX"/>
        </w:rPr>
        <w:t xml:space="preserve"> tribunal condenó </w:t>
      </w:r>
      <w:r w:rsidR="00096CA8">
        <w:rPr>
          <w:rFonts w:asciiTheme="majorHAnsi" w:hAnsiTheme="majorHAnsi"/>
          <w:sz w:val="20"/>
          <w:szCs w:val="20"/>
          <w:lang w:val="es-MX"/>
        </w:rPr>
        <w:t xml:space="preserve">por el mismo delito </w:t>
      </w:r>
      <w:r w:rsidR="008F2D03" w:rsidRPr="008F2D03">
        <w:rPr>
          <w:rFonts w:asciiTheme="majorHAnsi" w:hAnsiTheme="majorHAnsi"/>
          <w:sz w:val="20"/>
          <w:szCs w:val="20"/>
          <w:lang w:val="es-MX"/>
        </w:rPr>
        <w:t>a los policías que participaron en las investigaciones</w:t>
      </w:r>
      <w:r w:rsidR="00271537" w:rsidRPr="008F2D03">
        <w:rPr>
          <w:rFonts w:asciiTheme="majorHAnsi" w:hAnsiTheme="majorHAnsi"/>
          <w:sz w:val="20"/>
          <w:szCs w:val="20"/>
          <w:lang w:val="es-MX"/>
        </w:rPr>
        <w:t>.</w:t>
      </w:r>
    </w:p>
    <w:p w14:paraId="61669CE4" w14:textId="51496FF0" w:rsidR="009A09F3" w:rsidRPr="00C85EBD" w:rsidRDefault="00DA40E3" w:rsidP="002715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C85EBD">
        <w:rPr>
          <w:rFonts w:asciiTheme="majorHAnsi" w:hAnsiTheme="majorHAnsi"/>
          <w:sz w:val="20"/>
          <w:szCs w:val="20"/>
          <w:lang w:val="es-MX"/>
        </w:rPr>
        <w:t>A raíz de estos hechos</w:t>
      </w:r>
      <w:r w:rsidR="0030253E" w:rsidRPr="00C85EBD">
        <w:rPr>
          <w:rFonts w:asciiTheme="majorHAnsi" w:hAnsiTheme="majorHAnsi"/>
          <w:sz w:val="20"/>
          <w:szCs w:val="20"/>
          <w:lang w:val="es-MX"/>
        </w:rPr>
        <w:t>,</w:t>
      </w:r>
      <w:r w:rsidR="00E215ED" w:rsidRPr="00C85EBD">
        <w:rPr>
          <w:rFonts w:asciiTheme="majorHAnsi" w:hAnsiTheme="majorHAnsi"/>
          <w:sz w:val="20"/>
          <w:szCs w:val="20"/>
          <w:lang w:val="es-MX"/>
        </w:rPr>
        <w:t xml:space="preserve"> </w:t>
      </w:r>
      <w:r w:rsidR="00206FF8" w:rsidRPr="00C85EBD">
        <w:rPr>
          <w:rFonts w:asciiTheme="majorHAnsi" w:hAnsiTheme="majorHAnsi"/>
          <w:sz w:val="20"/>
          <w:szCs w:val="20"/>
          <w:lang w:val="es-MX"/>
        </w:rPr>
        <w:t xml:space="preserve">el 19 de agosto de 1999 </w:t>
      </w:r>
      <w:r w:rsidR="00E215ED" w:rsidRPr="00C85EBD">
        <w:rPr>
          <w:rFonts w:asciiTheme="majorHAnsi" w:hAnsiTheme="majorHAnsi"/>
          <w:sz w:val="20"/>
          <w:szCs w:val="20"/>
          <w:lang w:val="es-MX"/>
        </w:rPr>
        <w:t>los representantes de</w:t>
      </w:r>
      <w:r w:rsidR="0030253E" w:rsidRPr="00C85EBD">
        <w:rPr>
          <w:rFonts w:asciiTheme="majorHAnsi" w:hAnsiTheme="majorHAnsi"/>
          <w:sz w:val="20"/>
          <w:szCs w:val="20"/>
          <w:lang w:val="es-MX"/>
        </w:rPr>
        <w:t xml:space="preserve"> la presunta víctima promov</w:t>
      </w:r>
      <w:r w:rsidR="00E215ED" w:rsidRPr="00C85EBD">
        <w:rPr>
          <w:rFonts w:asciiTheme="majorHAnsi" w:hAnsiTheme="majorHAnsi"/>
          <w:sz w:val="20"/>
          <w:szCs w:val="20"/>
          <w:lang w:val="es-MX"/>
        </w:rPr>
        <w:t xml:space="preserve">ieron una demanda civil de daños y perjuicios contra la provincia </w:t>
      </w:r>
      <w:r w:rsidR="0030253E" w:rsidRPr="00C85EBD">
        <w:rPr>
          <w:rFonts w:asciiTheme="majorHAnsi" w:hAnsiTheme="majorHAnsi"/>
          <w:sz w:val="20"/>
          <w:szCs w:val="20"/>
          <w:lang w:val="es-MX"/>
        </w:rPr>
        <w:t>de Entre Ríos</w:t>
      </w:r>
      <w:r w:rsidR="00206FF8" w:rsidRPr="00C85EBD">
        <w:rPr>
          <w:rFonts w:asciiTheme="majorHAnsi" w:hAnsiTheme="majorHAnsi"/>
          <w:sz w:val="20"/>
          <w:szCs w:val="20"/>
          <w:lang w:val="es-MX"/>
        </w:rPr>
        <w:t xml:space="preserve"> ante el Juzgado de Primera Instancia en lo Civil y Comercial N°1 de la ciudad de Paraná</w:t>
      </w:r>
      <w:r w:rsidR="00E215ED" w:rsidRPr="00C85EBD">
        <w:rPr>
          <w:rFonts w:asciiTheme="majorHAnsi" w:hAnsiTheme="majorHAnsi"/>
          <w:sz w:val="20"/>
          <w:szCs w:val="20"/>
          <w:lang w:val="es-MX"/>
        </w:rPr>
        <w:t>,</w:t>
      </w:r>
      <w:r w:rsidR="00271537" w:rsidRPr="00C85EBD">
        <w:rPr>
          <w:rFonts w:asciiTheme="majorHAnsi" w:hAnsiTheme="majorHAnsi"/>
          <w:sz w:val="20"/>
          <w:szCs w:val="20"/>
          <w:lang w:val="es-MX"/>
        </w:rPr>
        <w:t xml:space="preserve"> </w:t>
      </w:r>
      <w:r w:rsidR="00206FF8" w:rsidRPr="00C85EBD">
        <w:rPr>
          <w:rFonts w:asciiTheme="majorHAnsi" w:hAnsiTheme="majorHAnsi"/>
          <w:sz w:val="20"/>
          <w:szCs w:val="20"/>
          <w:lang w:val="es-MX"/>
        </w:rPr>
        <w:t xml:space="preserve">alegando que los tribunales incurrieron en </w:t>
      </w:r>
      <w:r w:rsidR="00271537" w:rsidRPr="00C85EBD">
        <w:rPr>
          <w:rFonts w:asciiTheme="majorHAnsi" w:hAnsiTheme="majorHAnsi"/>
          <w:sz w:val="20"/>
          <w:szCs w:val="20"/>
          <w:lang w:val="es-MX"/>
        </w:rPr>
        <w:t xml:space="preserve">“error judicial” al </w:t>
      </w:r>
      <w:r w:rsidR="00E215ED" w:rsidRPr="00C85EBD">
        <w:rPr>
          <w:rFonts w:asciiTheme="majorHAnsi" w:hAnsiTheme="majorHAnsi"/>
          <w:sz w:val="20"/>
          <w:szCs w:val="20"/>
          <w:lang w:val="es-MX"/>
        </w:rPr>
        <w:t>imponerle</w:t>
      </w:r>
      <w:r w:rsidR="0030253E" w:rsidRPr="00C85EBD">
        <w:rPr>
          <w:rFonts w:asciiTheme="majorHAnsi" w:hAnsiTheme="majorHAnsi"/>
          <w:sz w:val="20"/>
          <w:szCs w:val="20"/>
          <w:lang w:val="es-MX"/>
        </w:rPr>
        <w:t xml:space="preserve"> la p</w:t>
      </w:r>
      <w:r w:rsidR="00271537" w:rsidRPr="00C85EBD">
        <w:rPr>
          <w:rFonts w:asciiTheme="majorHAnsi" w:hAnsiTheme="majorHAnsi"/>
          <w:sz w:val="20"/>
          <w:szCs w:val="20"/>
          <w:lang w:val="es-MX"/>
        </w:rPr>
        <w:t>risión preventiva</w:t>
      </w:r>
      <w:r w:rsidR="00E215ED" w:rsidRPr="00C85EBD">
        <w:rPr>
          <w:rFonts w:asciiTheme="majorHAnsi" w:hAnsiTheme="majorHAnsi"/>
          <w:sz w:val="20"/>
          <w:szCs w:val="20"/>
          <w:lang w:val="es-MX"/>
        </w:rPr>
        <w:t xml:space="preserve"> a la Sra. Hebe López</w:t>
      </w:r>
      <w:r w:rsidR="0030253E" w:rsidRPr="00C85EBD">
        <w:rPr>
          <w:rFonts w:asciiTheme="majorHAnsi" w:hAnsiTheme="majorHAnsi"/>
          <w:sz w:val="20"/>
          <w:szCs w:val="20"/>
          <w:lang w:val="es-MX"/>
        </w:rPr>
        <w:t>.</w:t>
      </w:r>
      <w:r w:rsidR="00FB2FBA" w:rsidRPr="00C85EBD">
        <w:rPr>
          <w:rFonts w:asciiTheme="majorHAnsi" w:hAnsiTheme="majorHAnsi"/>
          <w:sz w:val="20"/>
          <w:szCs w:val="20"/>
          <w:lang w:val="es-MX"/>
        </w:rPr>
        <w:t xml:space="preserve"> </w:t>
      </w:r>
      <w:r w:rsidR="00206FF8" w:rsidRPr="00C85EBD">
        <w:rPr>
          <w:rFonts w:asciiTheme="majorHAnsi" w:hAnsiTheme="majorHAnsi"/>
          <w:sz w:val="20"/>
          <w:szCs w:val="20"/>
          <w:lang w:val="es-MX"/>
        </w:rPr>
        <w:t xml:space="preserve">Esta </w:t>
      </w:r>
      <w:r w:rsidR="00A56672" w:rsidRPr="00C85EBD">
        <w:rPr>
          <w:rFonts w:asciiTheme="majorHAnsi" w:hAnsiTheme="majorHAnsi"/>
          <w:sz w:val="20"/>
          <w:szCs w:val="20"/>
          <w:lang w:val="es-MX"/>
        </w:rPr>
        <w:t xml:space="preserve">demanda </w:t>
      </w:r>
      <w:r w:rsidR="00206FF8" w:rsidRPr="00C85EBD">
        <w:rPr>
          <w:rFonts w:asciiTheme="majorHAnsi" w:hAnsiTheme="majorHAnsi"/>
          <w:sz w:val="20"/>
          <w:szCs w:val="20"/>
          <w:lang w:val="es-MX"/>
        </w:rPr>
        <w:t xml:space="preserve">fue rechazada el </w:t>
      </w:r>
      <w:r w:rsidR="00271537" w:rsidRPr="00C85EBD">
        <w:rPr>
          <w:rFonts w:asciiTheme="majorHAnsi" w:hAnsiTheme="majorHAnsi"/>
          <w:sz w:val="20"/>
          <w:szCs w:val="20"/>
          <w:lang w:val="es-MX"/>
        </w:rPr>
        <w:t xml:space="preserve">3 de julio de 2001 </w:t>
      </w:r>
      <w:r w:rsidR="00A56672" w:rsidRPr="00C85EBD">
        <w:rPr>
          <w:rFonts w:asciiTheme="majorHAnsi" w:hAnsiTheme="majorHAnsi"/>
          <w:sz w:val="20"/>
          <w:szCs w:val="20"/>
          <w:lang w:val="es-MX"/>
        </w:rPr>
        <w:t xml:space="preserve">por </w:t>
      </w:r>
      <w:r w:rsidR="00FA5DD5">
        <w:rPr>
          <w:rFonts w:asciiTheme="majorHAnsi" w:hAnsiTheme="majorHAnsi"/>
          <w:sz w:val="20"/>
          <w:szCs w:val="20"/>
          <w:lang w:val="es-MX"/>
        </w:rPr>
        <w:t>este</w:t>
      </w:r>
      <w:r w:rsidR="00A56672" w:rsidRPr="00C85EBD">
        <w:rPr>
          <w:rFonts w:asciiTheme="majorHAnsi" w:hAnsiTheme="majorHAnsi"/>
          <w:sz w:val="20"/>
          <w:szCs w:val="20"/>
          <w:lang w:val="es-MX"/>
        </w:rPr>
        <w:t xml:space="preserve"> juzgado</w:t>
      </w:r>
      <w:r w:rsidR="001115CD" w:rsidRPr="00C85EBD">
        <w:rPr>
          <w:rFonts w:asciiTheme="majorHAnsi" w:hAnsiTheme="majorHAnsi"/>
          <w:sz w:val="20"/>
          <w:szCs w:val="20"/>
          <w:lang w:val="es-MX"/>
        </w:rPr>
        <w:t>,</w:t>
      </w:r>
      <w:r w:rsidR="00BE2EA7" w:rsidRPr="00C85EBD">
        <w:rPr>
          <w:rFonts w:asciiTheme="majorHAnsi" w:hAnsiTheme="majorHAnsi"/>
          <w:sz w:val="20"/>
          <w:szCs w:val="20"/>
          <w:lang w:val="es-MX"/>
        </w:rPr>
        <w:t xml:space="preserve"> </w:t>
      </w:r>
      <w:r w:rsidR="00206FF8" w:rsidRPr="00C85EBD">
        <w:rPr>
          <w:rFonts w:asciiTheme="majorHAnsi" w:hAnsiTheme="majorHAnsi"/>
          <w:sz w:val="20"/>
          <w:szCs w:val="20"/>
          <w:lang w:val="es-MX"/>
        </w:rPr>
        <w:t xml:space="preserve">sobre la base de que a su juicio </w:t>
      </w:r>
      <w:r w:rsidR="00BE2EA7" w:rsidRPr="00C85EBD">
        <w:rPr>
          <w:rFonts w:asciiTheme="majorHAnsi" w:hAnsiTheme="majorHAnsi"/>
          <w:sz w:val="20"/>
          <w:szCs w:val="20"/>
          <w:lang w:val="es-MX"/>
        </w:rPr>
        <w:t>no existía ilegitimidad fundante de “error judicial”</w:t>
      </w:r>
      <w:r w:rsidR="009A09F3" w:rsidRPr="00C85EBD">
        <w:rPr>
          <w:rFonts w:asciiTheme="majorHAnsi" w:hAnsiTheme="majorHAnsi"/>
          <w:sz w:val="20"/>
          <w:szCs w:val="20"/>
          <w:lang w:val="es-MX"/>
        </w:rPr>
        <w:t xml:space="preserve">, </w:t>
      </w:r>
      <w:r w:rsidR="00B02131" w:rsidRPr="00C85EBD">
        <w:rPr>
          <w:rFonts w:asciiTheme="majorHAnsi" w:hAnsiTheme="majorHAnsi"/>
          <w:sz w:val="20"/>
          <w:szCs w:val="20"/>
          <w:lang w:val="es-MX"/>
        </w:rPr>
        <w:t>el que s</w:t>
      </w:r>
      <w:r w:rsidR="00FA5DD5">
        <w:rPr>
          <w:rFonts w:asciiTheme="majorHAnsi" w:hAnsiTheme="majorHAnsi"/>
          <w:sz w:val="20"/>
          <w:szCs w:val="20"/>
          <w:lang w:val="es-MX"/>
        </w:rPr>
        <w:t>olo se configu</w:t>
      </w:r>
      <w:r w:rsidR="00B02131" w:rsidRPr="00C85EBD">
        <w:rPr>
          <w:rFonts w:asciiTheme="majorHAnsi" w:hAnsiTheme="majorHAnsi"/>
          <w:sz w:val="20"/>
          <w:szCs w:val="20"/>
          <w:lang w:val="es-MX"/>
        </w:rPr>
        <w:t>ra</w:t>
      </w:r>
      <w:r w:rsidR="009A09F3" w:rsidRPr="00C85EBD">
        <w:rPr>
          <w:rFonts w:asciiTheme="majorHAnsi" w:hAnsiTheme="majorHAnsi"/>
          <w:sz w:val="20"/>
          <w:szCs w:val="20"/>
          <w:lang w:val="es-MX"/>
        </w:rPr>
        <w:t xml:space="preserve"> </w:t>
      </w:r>
      <w:r w:rsidR="00BE2EA7" w:rsidRPr="00C85EBD">
        <w:rPr>
          <w:rFonts w:asciiTheme="majorHAnsi" w:hAnsiTheme="majorHAnsi"/>
          <w:sz w:val="20"/>
          <w:szCs w:val="20"/>
          <w:lang w:val="es-MX"/>
        </w:rPr>
        <w:t>cuando la medida es incuestionablemente infundada y arbitraria</w:t>
      </w:r>
      <w:r w:rsidR="00B02131" w:rsidRPr="00C85EBD">
        <w:rPr>
          <w:rFonts w:asciiTheme="majorHAnsi" w:hAnsiTheme="majorHAnsi"/>
          <w:sz w:val="20"/>
          <w:szCs w:val="20"/>
          <w:lang w:val="es-MX"/>
        </w:rPr>
        <w:t>,</w:t>
      </w:r>
      <w:r w:rsidR="00206FF8" w:rsidRPr="00C85EBD">
        <w:rPr>
          <w:rFonts w:asciiTheme="majorHAnsi" w:hAnsiTheme="majorHAnsi"/>
          <w:sz w:val="20"/>
          <w:szCs w:val="20"/>
          <w:lang w:val="es-MX"/>
        </w:rPr>
        <w:t xml:space="preserve"> lo que no habría </w:t>
      </w:r>
      <w:r w:rsidR="00B02131" w:rsidRPr="00C85EBD">
        <w:rPr>
          <w:rFonts w:asciiTheme="majorHAnsi" w:hAnsiTheme="majorHAnsi"/>
          <w:sz w:val="20"/>
          <w:szCs w:val="20"/>
          <w:lang w:val="es-MX"/>
        </w:rPr>
        <w:t>ocurrido en el caso</w:t>
      </w:r>
      <w:r w:rsidR="00206FF8" w:rsidRPr="00C85EBD">
        <w:rPr>
          <w:rFonts w:asciiTheme="majorHAnsi" w:hAnsiTheme="majorHAnsi"/>
          <w:sz w:val="20"/>
          <w:szCs w:val="20"/>
          <w:lang w:val="es-MX"/>
        </w:rPr>
        <w:t xml:space="preserve"> de la presunta víctima</w:t>
      </w:r>
      <w:r w:rsidR="00BE2EA7" w:rsidRPr="00C85EBD">
        <w:rPr>
          <w:rFonts w:asciiTheme="majorHAnsi" w:hAnsiTheme="majorHAnsi"/>
          <w:sz w:val="20"/>
          <w:szCs w:val="20"/>
          <w:lang w:val="es-MX"/>
        </w:rPr>
        <w:t>.</w:t>
      </w:r>
      <w:r w:rsidR="003D7F3E" w:rsidRPr="00C85EBD">
        <w:rPr>
          <w:rFonts w:asciiTheme="majorHAnsi" w:hAnsiTheme="majorHAnsi"/>
          <w:sz w:val="20"/>
          <w:szCs w:val="20"/>
          <w:lang w:val="es-MX"/>
        </w:rPr>
        <w:t xml:space="preserve"> </w:t>
      </w:r>
      <w:r w:rsidR="00B02131" w:rsidRPr="00C85EBD">
        <w:rPr>
          <w:rFonts w:asciiTheme="majorHAnsi" w:hAnsiTheme="majorHAnsi"/>
          <w:sz w:val="20"/>
          <w:szCs w:val="20"/>
          <w:lang w:val="es-MX"/>
        </w:rPr>
        <w:t>E</w:t>
      </w:r>
      <w:r w:rsidR="00A56672" w:rsidRPr="00C85EBD">
        <w:rPr>
          <w:rFonts w:asciiTheme="majorHAnsi" w:hAnsiTheme="majorHAnsi"/>
          <w:sz w:val="20"/>
          <w:szCs w:val="20"/>
          <w:lang w:val="es-MX"/>
        </w:rPr>
        <w:t>s</w:t>
      </w:r>
      <w:r w:rsidR="00B02131" w:rsidRPr="00C85EBD">
        <w:rPr>
          <w:rFonts w:asciiTheme="majorHAnsi" w:hAnsiTheme="majorHAnsi"/>
          <w:sz w:val="20"/>
          <w:szCs w:val="20"/>
          <w:lang w:val="es-MX"/>
        </w:rPr>
        <w:t>t</w:t>
      </w:r>
      <w:r w:rsidR="00A56672" w:rsidRPr="00C85EBD">
        <w:rPr>
          <w:rFonts w:asciiTheme="majorHAnsi" w:hAnsiTheme="majorHAnsi"/>
          <w:sz w:val="20"/>
          <w:szCs w:val="20"/>
          <w:lang w:val="es-MX"/>
        </w:rPr>
        <w:t xml:space="preserve">a resolución </w:t>
      </w:r>
      <w:r w:rsidR="00B02131" w:rsidRPr="00C85EBD">
        <w:rPr>
          <w:rFonts w:asciiTheme="majorHAnsi" w:hAnsiTheme="majorHAnsi"/>
          <w:sz w:val="20"/>
          <w:szCs w:val="20"/>
          <w:lang w:val="es-MX"/>
        </w:rPr>
        <w:t xml:space="preserve">fue apelada; y el </w:t>
      </w:r>
      <w:r w:rsidR="00271537" w:rsidRPr="00C85EBD">
        <w:rPr>
          <w:rFonts w:asciiTheme="majorHAnsi" w:hAnsiTheme="majorHAnsi"/>
          <w:sz w:val="20"/>
          <w:szCs w:val="20"/>
          <w:lang w:val="es-MX"/>
        </w:rPr>
        <w:t xml:space="preserve">25 de septiembre </w:t>
      </w:r>
      <w:r w:rsidR="00B02131" w:rsidRPr="00C85EBD">
        <w:rPr>
          <w:rFonts w:asciiTheme="majorHAnsi" w:hAnsiTheme="majorHAnsi"/>
          <w:sz w:val="20"/>
          <w:szCs w:val="20"/>
          <w:lang w:val="es-MX"/>
        </w:rPr>
        <w:t>de 2003</w:t>
      </w:r>
      <w:r w:rsidR="00271537" w:rsidRPr="00C85EBD">
        <w:rPr>
          <w:rFonts w:asciiTheme="majorHAnsi" w:hAnsiTheme="majorHAnsi"/>
          <w:sz w:val="20"/>
          <w:szCs w:val="20"/>
          <w:lang w:val="es-MX"/>
        </w:rPr>
        <w:t xml:space="preserve"> la Sala II de la Cámara Tercera de Apelaciones de Paraná revocó la sentencia de primera instancia</w:t>
      </w:r>
      <w:r w:rsidR="00B02131" w:rsidRPr="00C85EBD">
        <w:rPr>
          <w:rFonts w:asciiTheme="majorHAnsi" w:hAnsiTheme="majorHAnsi"/>
          <w:sz w:val="20"/>
          <w:szCs w:val="20"/>
          <w:lang w:val="es-MX"/>
        </w:rPr>
        <w:t>,</w:t>
      </w:r>
      <w:r w:rsidR="00271537" w:rsidRPr="00C85EBD">
        <w:rPr>
          <w:rFonts w:asciiTheme="majorHAnsi" w:hAnsiTheme="majorHAnsi"/>
          <w:sz w:val="20"/>
          <w:szCs w:val="20"/>
          <w:lang w:val="es-MX"/>
        </w:rPr>
        <w:t xml:space="preserve"> </w:t>
      </w:r>
      <w:r w:rsidR="00B02131" w:rsidRPr="00C85EBD">
        <w:rPr>
          <w:rFonts w:asciiTheme="majorHAnsi" w:hAnsiTheme="majorHAnsi"/>
          <w:sz w:val="20"/>
          <w:szCs w:val="20"/>
          <w:lang w:val="es-MX"/>
        </w:rPr>
        <w:t>y condenó a la provincia de Entre Ríos a pagar en concepto de indemnizació</w:t>
      </w:r>
      <w:r w:rsidR="00FA5DD5">
        <w:rPr>
          <w:rFonts w:asciiTheme="majorHAnsi" w:hAnsiTheme="majorHAnsi"/>
          <w:sz w:val="20"/>
          <w:szCs w:val="20"/>
          <w:lang w:val="es-MX"/>
        </w:rPr>
        <w:t xml:space="preserve">n la suma de </w:t>
      </w:r>
      <w:r w:rsidR="00271537" w:rsidRPr="00C85EBD">
        <w:rPr>
          <w:rFonts w:asciiTheme="majorHAnsi" w:hAnsiTheme="majorHAnsi"/>
          <w:sz w:val="20"/>
          <w:szCs w:val="20"/>
          <w:lang w:val="es-MX"/>
        </w:rPr>
        <w:t>37</w:t>
      </w:r>
      <w:r w:rsidR="00A239CB" w:rsidRPr="00C85EBD">
        <w:rPr>
          <w:rFonts w:asciiTheme="majorHAnsi" w:hAnsiTheme="majorHAnsi"/>
          <w:sz w:val="20"/>
          <w:szCs w:val="20"/>
          <w:lang w:val="es-MX"/>
        </w:rPr>
        <w:t>2,</w:t>
      </w:r>
      <w:r w:rsidR="00271537" w:rsidRPr="00C85EBD">
        <w:rPr>
          <w:rFonts w:asciiTheme="majorHAnsi" w:hAnsiTheme="majorHAnsi"/>
          <w:sz w:val="20"/>
          <w:szCs w:val="20"/>
          <w:lang w:val="es-MX"/>
        </w:rPr>
        <w:t xml:space="preserve">250 </w:t>
      </w:r>
      <w:r w:rsidR="00E841C8" w:rsidRPr="00C85EBD">
        <w:rPr>
          <w:rFonts w:asciiTheme="majorHAnsi" w:hAnsiTheme="majorHAnsi"/>
          <w:sz w:val="20"/>
          <w:szCs w:val="20"/>
          <w:lang w:val="es-MX"/>
        </w:rPr>
        <w:t>pesos argentinos</w:t>
      </w:r>
      <w:r w:rsidR="00B02131" w:rsidRPr="00C85EBD">
        <w:rPr>
          <w:rFonts w:asciiTheme="majorHAnsi" w:hAnsiTheme="majorHAnsi"/>
          <w:sz w:val="20"/>
          <w:szCs w:val="20"/>
          <w:lang w:val="es-MX"/>
        </w:rPr>
        <w:t xml:space="preserve"> (</w:t>
      </w:r>
      <w:r w:rsidR="00A239CB" w:rsidRPr="00C85EBD">
        <w:rPr>
          <w:rFonts w:asciiTheme="majorHAnsi" w:hAnsiTheme="majorHAnsi"/>
          <w:sz w:val="20"/>
          <w:szCs w:val="20"/>
          <w:lang w:val="es-MX"/>
        </w:rPr>
        <w:t>el equivalente a 128,583</w:t>
      </w:r>
      <w:r w:rsidR="00B02131" w:rsidRPr="00C85EBD">
        <w:rPr>
          <w:rFonts w:asciiTheme="majorHAnsi" w:hAnsiTheme="majorHAnsi"/>
          <w:sz w:val="20"/>
          <w:szCs w:val="20"/>
          <w:lang w:val="es-MX"/>
        </w:rPr>
        <w:t xml:space="preserve"> dólares estadounidenses a la fecha</w:t>
      </w:r>
      <w:r w:rsidR="00A239CB" w:rsidRPr="00C85EBD">
        <w:rPr>
          <w:rStyle w:val="FootnoteReference"/>
          <w:rFonts w:asciiTheme="majorHAnsi" w:hAnsiTheme="majorHAnsi"/>
          <w:sz w:val="20"/>
          <w:szCs w:val="20"/>
          <w:lang w:val="es-MX"/>
        </w:rPr>
        <w:footnoteReference w:id="4"/>
      </w:r>
      <w:r w:rsidR="00B02131" w:rsidRPr="00C85EBD">
        <w:rPr>
          <w:rFonts w:asciiTheme="majorHAnsi" w:hAnsiTheme="majorHAnsi"/>
          <w:sz w:val="20"/>
          <w:szCs w:val="20"/>
          <w:lang w:val="es-MX"/>
        </w:rPr>
        <w:t xml:space="preserve">), más intereses desde el 17 de abril de 1997 </w:t>
      </w:r>
      <w:r w:rsidR="00271537" w:rsidRPr="00C85EBD">
        <w:rPr>
          <w:rFonts w:asciiTheme="majorHAnsi" w:hAnsiTheme="majorHAnsi"/>
          <w:sz w:val="20"/>
          <w:szCs w:val="20"/>
          <w:lang w:val="es-MX"/>
        </w:rPr>
        <w:t xml:space="preserve">hasta </w:t>
      </w:r>
      <w:r w:rsidR="00271537" w:rsidRPr="00C85EBD">
        <w:rPr>
          <w:rFonts w:asciiTheme="majorHAnsi" w:hAnsiTheme="majorHAnsi"/>
          <w:sz w:val="20"/>
          <w:szCs w:val="20"/>
          <w:lang w:val="es-MX"/>
        </w:rPr>
        <w:lastRenderedPageBreak/>
        <w:t>su pag</w:t>
      </w:r>
      <w:r w:rsidR="00A56672" w:rsidRPr="00C85EBD">
        <w:rPr>
          <w:rFonts w:asciiTheme="majorHAnsi" w:hAnsiTheme="majorHAnsi"/>
          <w:sz w:val="20"/>
          <w:szCs w:val="20"/>
          <w:lang w:val="es-MX"/>
        </w:rPr>
        <w:t>o</w:t>
      </w:r>
      <w:r w:rsidR="00B02131" w:rsidRPr="00C85EBD">
        <w:rPr>
          <w:rFonts w:asciiTheme="majorHAnsi" w:hAnsiTheme="majorHAnsi"/>
          <w:sz w:val="20"/>
          <w:szCs w:val="20"/>
          <w:lang w:val="es-MX"/>
        </w:rPr>
        <w:t xml:space="preserve"> efectivo</w:t>
      </w:r>
      <w:r w:rsidR="009A09F3" w:rsidRPr="00C85EBD">
        <w:rPr>
          <w:rFonts w:asciiTheme="majorHAnsi" w:hAnsiTheme="majorHAnsi"/>
          <w:sz w:val="20"/>
          <w:szCs w:val="20"/>
          <w:lang w:val="es-MX"/>
        </w:rPr>
        <w:t>.</w:t>
      </w:r>
      <w:r w:rsidR="001E06D1" w:rsidRPr="00C85EBD">
        <w:rPr>
          <w:rFonts w:asciiTheme="majorHAnsi" w:hAnsiTheme="majorHAnsi"/>
          <w:sz w:val="20"/>
          <w:szCs w:val="20"/>
          <w:lang w:val="es-MX"/>
        </w:rPr>
        <w:t xml:space="preserve"> </w:t>
      </w:r>
      <w:r w:rsidR="009E7FF5" w:rsidRPr="00C85EBD">
        <w:rPr>
          <w:rFonts w:asciiTheme="majorHAnsi" w:hAnsiTheme="majorHAnsi"/>
          <w:sz w:val="20"/>
          <w:szCs w:val="20"/>
          <w:lang w:val="es-MX"/>
        </w:rPr>
        <w:t>En es</w:t>
      </w:r>
      <w:r w:rsidR="001E06D1" w:rsidRPr="00C85EBD">
        <w:rPr>
          <w:rFonts w:asciiTheme="majorHAnsi" w:hAnsiTheme="majorHAnsi"/>
          <w:sz w:val="20"/>
          <w:szCs w:val="20"/>
          <w:lang w:val="es-MX"/>
        </w:rPr>
        <w:t xml:space="preserve">ta resolución </w:t>
      </w:r>
      <w:r w:rsidR="009E7FF5" w:rsidRPr="00C85EBD">
        <w:rPr>
          <w:rFonts w:asciiTheme="majorHAnsi" w:hAnsiTheme="majorHAnsi"/>
          <w:sz w:val="20"/>
          <w:szCs w:val="20"/>
          <w:lang w:val="es-MX"/>
        </w:rPr>
        <w:t>el tribunal consideró</w:t>
      </w:r>
      <w:r w:rsidR="001E06D1" w:rsidRPr="00C85EBD">
        <w:rPr>
          <w:rFonts w:asciiTheme="majorHAnsi" w:hAnsiTheme="majorHAnsi"/>
          <w:sz w:val="20"/>
          <w:szCs w:val="20"/>
          <w:lang w:val="es-MX"/>
        </w:rPr>
        <w:t xml:space="preserve"> </w:t>
      </w:r>
      <w:r w:rsidR="009E7FF5" w:rsidRPr="00C85EBD">
        <w:rPr>
          <w:rFonts w:asciiTheme="majorHAnsi" w:hAnsiTheme="majorHAnsi"/>
          <w:sz w:val="20"/>
          <w:szCs w:val="20"/>
          <w:lang w:val="es-MX"/>
        </w:rPr>
        <w:t>“</w:t>
      </w:r>
      <w:r w:rsidR="001E06D1" w:rsidRPr="00C85EBD">
        <w:rPr>
          <w:rFonts w:asciiTheme="majorHAnsi" w:hAnsiTheme="majorHAnsi"/>
          <w:sz w:val="20"/>
          <w:szCs w:val="20"/>
          <w:lang w:val="es-MX"/>
        </w:rPr>
        <w:t xml:space="preserve">que si bien la </w:t>
      </w:r>
      <w:r w:rsidR="007224D6" w:rsidRPr="00C85EBD">
        <w:rPr>
          <w:rFonts w:asciiTheme="majorHAnsi" w:hAnsiTheme="majorHAnsi"/>
          <w:sz w:val="20"/>
          <w:szCs w:val="20"/>
          <w:lang w:val="es-MX"/>
        </w:rPr>
        <w:t>prisión</w:t>
      </w:r>
      <w:r w:rsidR="009A09F3" w:rsidRPr="00C85EBD">
        <w:rPr>
          <w:rFonts w:asciiTheme="majorHAnsi" w:hAnsiTheme="majorHAnsi"/>
          <w:sz w:val="20"/>
          <w:szCs w:val="20"/>
          <w:lang w:val="es-MX"/>
        </w:rPr>
        <w:t xml:space="preserve"> preventiva fue decretada </w:t>
      </w:r>
      <w:r w:rsidR="001E06D1" w:rsidRPr="00C85EBD">
        <w:rPr>
          <w:rFonts w:asciiTheme="majorHAnsi" w:hAnsiTheme="majorHAnsi"/>
          <w:sz w:val="20"/>
          <w:szCs w:val="20"/>
          <w:lang w:val="es-MX"/>
        </w:rPr>
        <w:t xml:space="preserve">formalmente </w:t>
      </w:r>
      <w:r w:rsidR="00184449" w:rsidRPr="00C85EBD">
        <w:rPr>
          <w:rFonts w:asciiTheme="majorHAnsi" w:hAnsiTheme="majorHAnsi"/>
          <w:sz w:val="20"/>
          <w:szCs w:val="20"/>
          <w:lang w:val="es-MX"/>
        </w:rPr>
        <w:t>de manera regular</w:t>
      </w:r>
      <w:r w:rsidR="001E06D1" w:rsidRPr="00C85EBD">
        <w:rPr>
          <w:rFonts w:asciiTheme="majorHAnsi" w:hAnsiTheme="majorHAnsi"/>
          <w:sz w:val="20"/>
          <w:szCs w:val="20"/>
          <w:lang w:val="es-MX"/>
        </w:rPr>
        <w:t xml:space="preserve">, su contenido resultó producto de un irrazonable y arbitrario criterio judicial de apreciación de los hechos y </w:t>
      </w:r>
      <w:r w:rsidR="007224D6" w:rsidRPr="00C85EBD">
        <w:rPr>
          <w:rFonts w:asciiTheme="majorHAnsi" w:hAnsiTheme="majorHAnsi"/>
          <w:sz w:val="20"/>
          <w:szCs w:val="20"/>
          <w:lang w:val="es-MX"/>
        </w:rPr>
        <w:t>pruebas</w:t>
      </w:r>
      <w:r w:rsidR="001E06D1" w:rsidRPr="00C85EBD">
        <w:rPr>
          <w:rFonts w:asciiTheme="majorHAnsi" w:hAnsiTheme="majorHAnsi"/>
          <w:sz w:val="20"/>
          <w:szCs w:val="20"/>
          <w:lang w:val="es-MX"/>
        </w:rPr>
        <w:t xml:space="preserve"> al </w:t>
      </w:r>
      <w:r w:rsidR="007224D6" w:rsidRPr="00C85EBD">
        <w:rPr>
          <w:rFonts w:asciiTheme="majorHAnsi" w:hAnsiTheme="majorHAnsi"/>
          <w:sz w:val="20"/>
          <w:szCs w:val="20"/>
          <w:lang w:val="es-MX"/>
        </w:rPr>
        <w:t>momento</w:t>
      </w:r>
      <w:r w:rsidR="001E06D1" w:rsidRPr="00C85EBD">
        <w:rPr>
          <w:rFonts w:asciiTheme="majorHAnsi" w:hAnsiTheme="majorHAnsi"/>
          <w:sz w:val="20"/>
          <w:szCs w:val="20"/>
          <w:lang w:val="es-MX"/>
        </w:rPr>
        <w:t xml:space="preserve"> de su dictado, lo que determinaría la ilegitimidad y el palmario error </w:t>
      </w:r>
      <w:r w:rsidR="007224D6" w:rsidRPr="00C85EBD">
        <w:rPr>
          <w:rFonts w:asciiTheme="majorHAnsi" w:hAnsiTheme="majorHAnsi"/>
          <w:sz w:val="20"/>
          <w:szCs w:val="20"/>
          <w:lang w:val="es-MX"/>
        </w:rPr>
        <w:t>judicial</w:t>
      </w:r>
      <w:r w:rsidR="001E06D1" w:rsidRPr="00C85EBD">
        <w:rPr>
          <w:rFonts w:asciiTheme="majorHAnsi" w:hAnsiTheme="majorHAnsi"/>
          <w:sz w:val="20"/>
          <w:szCs w:val="20"/>
          <w:lang w:val="es-MX"/>
        </w:rPr>
        <w:t xml:space="preserve"> en que </w:t>
      </w:r>
      <w:r w:rsidR="007224D6" w:rsidRPr="00C85EBD">
        <w:rPr>
          <w:rFonts w:asciiTheme="majorHAnsi" w:hAnsiTheme="majorHAnsi"/>
          <w:sz w:val="20"/>
          <w:szCs w:val="20"/>
          <w:lang w:val="es-MX"/>
        </w:rPr>
        <w:t>incurrió</w:t>
      </w:r>
      <w:r w:rsidR="001E06D1" w:rsidRPr="00C85EBD">
        <w:rPr>
          <w:rFonts w:asciiTheme="majorHAnsi" w:hAnsiTheme="majorHAnsi"/>
          <w:sz w:val="20"/>
          <w:szCs w:val="20"/>
          <w:lang w:val="es-MX"/>
        </w:rPr>
        <w:t xml:space="preserve"> el juez de instrucción</w:t>
      </w:r>
      <w:r w:rsidR="009E7FF5" w:rsidRPr="00C85EBD">
        <w:rPr>
          <w:rFonts w:asciiTheme="majorHAnsi" w:hAnsiTheme="majorHAnsi"/>
          <w:sz w:val="20"/>
          <w:szCs w:val="20"/>
          <w:lang w:val="es-MX"/>
        </w:rPr>
        <w:t>”</w:t>
      </w:r>
      <w:r w:rsidR="001E06D1" w:rsidRPr="00C85EBD">
        <w:rPr>
          <w:rFonts w:asciiTheme="majorHAnsi" w:hAnsiTheme="majorHAnsi"/>
          <w:sz w:val="20"/>
          <w:szCs w:val="20"/>
          <w:lang w:val="es-MX"/>
        </w:rPr>
        <w:t>.</w:t>
      </w:r>
      <w:r w:rsidR="00A56672" w:rsidRPr="00C85EBD">
        <w:rPr>
          <w:rFonts w:asciiTheme="majorHAnsi" w:hAnsiTheme="majorHAnsi"/>
          <w:sz w:val="20"/>
          <w:szCs w:val="20"/>
          <w:lang w:val="es-MX"/>
        </w:rPr>
        <w:t xml:space="preserve"> </w:t>
      </w:r>
    </w:p>
    <w:p w14:paraId="26BF0C9F" w14:textId="136C11D7" w:rsidR="00271537" w:rsidRPr="007364B9" w:rsidRDefault="000D0DAC" w:rsidP="002715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7364B9">
        <w:rPr>
          <w:rFonts w:asciiTheme="majorHAnsi" w:hAnsiTheme="majorHAnsi"/>
          <w:sz w:val="20"/>
          <w:szCs w:val="20"/>
          <w:lang w:val="es-MX"/>
        </w:rPr>
        <w:t xml:space="preserve">Esta sentencia fue recurrida por la </w:t>
      </w:r>
      <w:r w:rsidR="009E7FF5" w:rsidRPr="007364B9">
        <w:rPr>
          <w:rFonts w:asciiTheme="majorHAnsi" w:hAnsiTheme="majorHAnsi"/>
          <w:sz w:val="20"/>
          <w:szCs w:val="20"/>
          <w:lang w:val="es-MX"/>
        </w:rPr>
        <w:t>provincia de Entre Ríos</w:t>
      </w:r>
      <w:r w:rsidRPr="007364B9">
        <w:rPr>
          <w:rFonts w:asciiTheme="majorHAnsi" w:hAnsiTheme="majorHAnsi"/>
          <w:sz w:val="20"/>
          <w:szCs w:val="20"/>
          <w:lang w:val="es-MX"/>
        </w:rPr>
        <w:t xml:space="preserve">; por lo que el 17 de agosto de 2004 </w:t>
      </w:r>
      <w:r w:rsidR="00271537" w:rsidRPr="007364B9">
        <w:rPr>
          <w:rFonts w:asciiTheme="majorHAnsi" w:hAnsiTheme="majorHAnsi"/>
          <w:sz w:val="20"/>
          <w:szCs w:val="20"/>
          <w:lang w:val="es-MX"/>
        </w:rPr>
        <w:t>la Sala Civil del Superior Tribunal de Justicia de Entre Ríos</w:t>
      </w:r>
      <w:r w:rsidRPr="007364B9">
        <w:rPr>
          <w:rFonts w:asciiTheme="majorHAnsi" w:hAnsiTheme="majorHAnsi"/>
          <w:sz w:val="20"/>
          <w:szCs w:val="20"/>
          <w:lang w:val="es-MX"/>
        </w:rPr>
        <w:t xml:space="preserve"> </w:t>
      </w:r>
      <w:r w:rsidR="00271537" w:rsidRPr="007364B9">
        <w:rPr>
          <w:rFonts w:asciiTheme="majorHAnsi" w:hAnsiTheme="majorHAnsi"/>
          <w:sz w:val="20"/>
          <w:szCs w:val="20"/>
          <w:lang w:val="es-MX"/>
        </w:rPr>
        <w:t xml:space="preserve">revocó la </w:t>
      </w:r>
      <w:r w:rsidRPr="007364B9">
        <w:rPr>
          <w:rFonts w:asciiTheme="majorHAnsi" w:hAnsiTheme="majorHAnsi"/>
          <w:sz w:val="20"/>
          <w:szCs w:val="20"/>
          <w:lang w:val="es-MX"/>
        </w:rPr>
        <w:t>misma,</w:t>
      </w:r>
      <w:r w:rsidR="00271537" w:rsidRPr="007364B9">
        <w:rPr>
          <w:rFonts w:asciiTheme="majorHAnsi" w:hAnsiTheme="majorHAnsi"/>
          <w:sz w:val="20"/>
          <w:szCs w:val="20"/>
          <w:lang w:val="es-MX"/>
        </w:rPr>
        <w:t xml:space="preserve"> dejando como fallo def</w:t>
      </w:r>
      <w:r w:rsidRPr="007364B9">
        <w:rPr>
          <w:rFonts w:asciiTheme="majorHAnsi" w:hAnsiTheme="majorHAnsi"/>
          <w:sz w:val="20"/>
          <w:szCs w:val="20"/>
          <w:lang w:val="es-MX"/>
        </w:rPr>
        <w:t xml:space="preserve">initivo el de primera instancia, considerando que </w:t>
      </w:r>
      <w:r w:rsidR="009A09F3" w:rsidRPr="007364B9">
        <w:rPr>
          <w:rFonts w:asciiTheme="majorHAnsi" w:hAnsiTheme="majorHAnsi"/>
          <w:sz w:val="20"/>
          <w:szCs w:val="20"/>
          <w:lang w:val="es-MX"/>
        </w:rPr>
        <w:t>l</w:t>
      </w:r>
      <w:r w:rsidR="007224D6" w:rsidRPr="007364B9">
        <w:rPr>
          <w:rFonts w:asciiTheme="majorHAnsi" w:hAnsiTheme="majorHAnsi"/>
          <w:sz w:val="20"/>
          <w:szCs w:val="20"/>
          <w:lang w:val="es-MX"/>
        </w:rPr>
        <w:t xml:space="preserve">a </w:t>
      </w:r>
      <w:r w:rsidR="009A09F3" w:rsidRPr="007364B9">
        <w:rPr>
          <w:rFonts w:asciiTheme="majorHAnsi" w:hAnsiTheme="majorHAnsi"/>
          <w:sz w:val="20"/>
          <w:szCs w:val="20"/>
          <w:lang w:val="es-MX"/>
        </w:rPr>
        <w:t>prisión preventiva no resultó</w:t>
      </w:r>
      <w:r w:rsidR="007224D6" w:rsidRPr="007364B9">
        <w:rPr>
          <w:rFonts w:asciiTheme="majorHAnsi" w:hAnsiTheme="majorHAnsi"/>
          <w:sz w:val="20"/>
          <w:szCs w:val="20"/>
          <w:lang w:val="es-MX"/>
        </w:rPr>
        <w:t xml:space="preserve"> objetivamente incompatible con las constancias de la causa, </w:t>
      </w:r>
      <w:r w:rsidR="00A05257" w:rsidRPr="007364B9">
        <w:rPr>
          <w:rFonts w:asciiTheme="majorHAnsi" w:hAnsiTheme="majorHAnsi"/>
          <w:sz w:val="20"/>
          <w:szCs w:val="20"/>
          <w:lang w:val="es-MX"/>
        </w:rPr>
        <w:t>ni manifiestamente infundada o arbitraria</w:t>
      </w:r>
      <w:r w:rsidR="009A09F3" w:rsidRPr="007364B9">
        <w:rPr>
          <w:rFonts w:asciiTheme="majorHAnsi" w:hAnsiTheme="majorHAnsi"/>
          <w:sz w:val="20"/>
          <w:szCs w:val="20"/>
          <w:lang w:val="es-MX"/>
        </w:rPr>
        <w:t>;</w:t>
      </w:r>
      <w:r w:rsidR="00356FA4" w:rsidRPr="007364B9">
        <w:rPr>
          <w:rFonts w:asciiTheme="majorHAnsi" w:hAnsiTheme="majorHAnsi"/>
          <w:sz w:val="20"/>
          <w:szCs w:val="20"/>
          <w:lang w:val="es-MX"/>
        </w:rPr>
        <w:t xml:space="preserve"> </w:t>
      </w:r>
      <w:r w:rsidR="00A05257" w:rsidRPr="007364B9">
        <w:rPr>
          <w:rFonts w:asciiTheme="majorHAnsi" w:hAnsiTheme="majorHAnsi"/>
          <w:sz w:val="20"/>
          <w:szCs w:val="20"/>
          <w:lang w:val="es-MX"/>
        </w:rPr>
        <w:t>y</w:t>
      </w:r>
      <w:r w:rsidR="00356FA4" w:rsidRPr="007364B9">
        <w:rPr>
          <w:rFonts w:asciiTheme="majorHAnsi" w:hAnsiTheme="majorHAnsi"/>
          <w:sz w:val="20"/>
          <w:szCs w:val="20"/>
          <w:lang w:val="es-MX"/>
        </w:rPr>
        <w:t xml:space="preserve"> que</w:t>
      </w:r>
      <w:r w:rsidR="007224D6" w:rsidRPr="007364B9">
        <w:rPr>
          <w:rFonts w:asciiTheme="majorHAnsi" w:hAnsiTheme="majorHAnsi"/>
          <w:sz w:val="20"/>
          <w:szCs w:val="20"/>
          <w:lang w:val="es-MX"/>
        </w:rPr>
        <w:t xml:space="preserve"> </w:t>
      </w:r>
      <w:r w:rsidR="00356FA4" w:rsidRPr="007364B9">
        <w:rPr>
          <w:rFonts w:asciiTheme="majorHAnsi" w:hAnsiTheme="majorHAnsi"/>
          <w:sz w:val="20"/>
          <w:szCs w:val="20"/>
          <w:lang w:val="es-MX"/>
        </w:rPr>
        <w:t>n</w:t>
      </w:r>
      <w:r w:rsidR="007224D6" w:rsidRPr="007364B9">
        <w:rPr>
          <w:rFonts w:asciiTheme="majorHAnsi" w:hAnsiTheme="majorHAnsi"/>
          <w:sz w:val="20"/>
          <w:szCs w:val="20"/>
          <w:lang w:val="es-MX"/>
        </w:rPr>
        <w:t xml:space="preserve">o </w:t>
      </w:r>
      <w:r w:rsidR="00356FA4" w:rsidRPr="007364B9">
        <w:rPr>
          <w:rFonts w:asciiTheme="majorHAnsi" w:hAnsiTheme="majorHAnsi"/>
          <w:sz w:val="20"/>
          <w:szCs w:val="20"/>
          <w:lang w:val="es-MX"/>
        </w:rPr>
        <w:t>se le puede exigir al E</w:t>
      </w:r>
      <w:r w:rsidR="007224D6" w:rsidRPr="007364B9">
        <w:rPr>
          <w:rFonts w:asciiTheme="majorHAnsi" w:hAnsiTheme="majorHAnsi"/>
          <w:sz w:val="20"/>
          <w:szCs w:val="20"/>
          <w:lang w:val="es-MX"/>
        </w:rPr>
        <w:t>stado una responsabilidad independiente de factores de atribución subjetiva</w:t>
      </w:r>
      <w:r w:rsidR="00271537" w:rsidRPr="007364B9">
        <w:rPr>
          <w:rFonts w:asciiTheme="majorHAnsi" w:hAnsiTheme="majorHAnsi"/>
          <w:sz w:val="20"/>
          <w:szCs w:val="20"/>
          <w:lang w:val="es-MX"/>
        </w:rPr>
        <w:t>. Contra esa decisión</w:t>
      </w:r>
      <w:r w:rsidR="00A56672" w:rsidRPr="007364B9">
        <w:rPr>
          <w:rFonts w:asciiTheme="majorHAnsi" w:hAnsiTheme="majorHAnsi"/>
          <w:sz w:val="20"/>
          <w:szCs w:val="20"/>
          <w:lang w:val="es-MX"/>
        </w:rPr>
        <w:t>,</w:t>
      </w:r>
      <w:r w:rsidR="00271537" w:rsidRPr="007364B9">
        <w:rPr>
          <w:rFonts w:asciiTheme="majorHAnsi" w:hAnsiTheme="majorHAnsi"/>
          <w:sz w:val="20"/>
          <w:szCs w:val="20"/>
          <w:lang w:val="es-MX"/>
        </w:rPr>
        <w:t xml:space="preserve"> la </w:t>
      </w:r>
      <w:r w:rsidR="00B47564" w:rsidRPr="007364B9">
        <w:rPr>
          <w:rFonts w:asciiTheme="majorHAnsi" w:hAnsiTheme="majorHAnsi"/>
          <w:sz w:val="20"/>
          <w:szCs w:val="20"/>
          <w:lang w:val="es-MX"/>
        </w:rPr>
        <w:t>presunta víctima</w:t>
      </w:r>
      <w:r w:rsidR="00271537" w:rsidRPr="007364B9">
        <w:rPr>
          <w:rFonts w:asciiTheme="majorHAnsi" w:hAnsiTheme="majorHAnsi"/>
          <w:sz w:val="20"/>
          <w:szCs w:val="20"/>
          <w:lang w:val="es-MX"/>
        </w:rPr>
        <w:t xml:space="preserve"> interpuso un recurso extraordinario federal </w:t>
      </w:r>
      <w:r w:rsidR="007364B9" w:rsidRPr="007364B9">
        <w:rPr>
          <w:rFonts w:asciiTheme="majorHAnsi" w:hAnsiTheme="majorHAnsi"/>
          <w:sz w:val="20"/>
          <w:szCs w:val="20"/>
          <w:lang w:val="es-MX"/>
        </w:rPr>
        <w:t xml:space="preserve">el 6 de septiembre de 2004. Este recurso fue declarado inadmisible por </w:t>
      </w:r>
      <w:r w:rsidR="005C0A54" w:rsidRPr="007364B9">
        <w:rPr>
          <w:rFonts w:asciiTheme="majorHAnsi" w:hAnsiTheme="majorHAnsi"/>
          <w:sz w:val="20"/>
          <w:szCs w:val="20"/>
          <w:lang w:val="es-MX"/>
        </w:rPr>
        <w:t>la Sala Civil del Superior Tribuna</w:t>
      </w:r>
      <w:r w:rsidR="00356FA4" w:rsidRPr="007364B9">
        <w:rPr>
          <w:rFonts w:asciiTheme="majorHAnsi" w:hAnsiTheme="majorHAnsi"/>
          <w:sz w:val="20"/>
          <w:szCs w:val="20"/>
          <w:lang w:val="es-MX"/>
        </w:rPr>
        <w:t>l de Justicia de Entre Ríos</w:t>
      </w:r>
      <w:r w:rsidR="007364B9" w:rsidRPr="007364B9">
        <w:rPr>
          <w:rFonts w:asciiTheme="majorHAnsi" w:hAnsiTheme="majorHAnsi"/>
          <w:sz w:val="20"/>
          <w:szCs w:val="20"/>
          <w:lang w:val="es-MX"/>
        </w:rPr>
        <w:t xml:space="preserve"> </w:t>
      </w:r>
      <w:r w:rsidR="005C0A54" w:rsidRPr="007364B9">
        <w:rPr>
          <w:rFonts w:asciiTheme="majorHAnsi" w:hAnsiTheme="majorHAnsi"/>
          <w:sz w:val="20"/>
          <w:szCs w:val="20"/>
          <w:lang w:val="es-MX"/>
        </w:rPr>
        <w:t>el 22 de junio de 2005</w:t>
      </w:r>
      <w:r w:rsidR="00356FA4" w:rsidRPr="007364B9">
        <w:rPr>
          <w:rFonts w:asciiTheme="majorHAnsi" w:hAnsiTheme="majorHAnsi"/>
          <w:sz w:val="20"/>
          <w:szCs w:val="20"/>
          <w:lang w:val="es-MX"/>
        </w:rPr>
        <w:t>, por considerarlo c</w:t>
      </w:r>
      <w:r w:rsidR="00A02F87" w:rsidRPr="007364B9">
        <w:rPr>
          <w:rFonts w:asciiTheme="majorHAnsi" w:hAnsiTheme="majorHAnsi"/>
          <w:sz w:val="20"/>
          <w:szCs w:val="20"/>
          <w:lang w:val="es-MX"/>
        </w:rPr>
        <w:t>onfuso, repeti</w:t>
      </w:r>
      <w:r w:rsidR="00356FA4" w:rsidRPr="007364B9">
        <w:rPr>
          <w:rFonts w:asciiTheme="majorHAnsi" w:hAnsiTheme="majorHAnsi"/>
          <w:sz w:val="20"/>
          <w:szCs w:val="20"/>
          <w:lang w:val="es-MX"/>
        </w:rPr>
        <w:t>tivo y carente</w:t>
      </w:r>
      <w:r w:rsidR="00A02F87" w:rsidRPr="007364B9">
        <w:rPr>
          <w:rFonts w:asciiTheme="majorHAnsi" w:hAnsiTheme="majorHAnsi"/>
          <w:sz w:val="20"/>
          <w:szCs w:val="20"/>
          <w:lang w:val="es-MX"/>
        </w:rPr>
        <w:t xml:space="preserve"> de idoneidad suficiente para descalificar la sentencia recurrid</w:t>
      </w:r>
      <w:r w:rsidR="009A5FEC">
        <w:rPr>
          <w:rFonts w:asciiTheme="majorHAnsi" w:hAnsiTheme="majorHAnsi"/>
          <w:sz w:val="20"/>
          <w:szCs w:val="20"/>
          <w:lang w:val="es-MX"/>
        </w:rPr>
        <w:t>a.</w:t>
      </w:r>
      <w:r w:rsidR="00A02F87" w:rsidRPr="007364B9">
        <w:rPr>
          <w:rFonts w:asciiTheme="majorHAnsi" w:hAnsiTheme="majorHAnsi"/>
          <w:sz w:val="20"/>
          <w:szCs w:val="20"/>
          <w:lang w:val="es-MX"/>
        </w:rPr>
        <w:t xml:space="preserve"> </w:t>
      </w:r>
      <w:r w:rsidR="007364B9" w:rsidRPr="007364B9">
        <w:rPr>
          <w:rFonts w:asciiTheme="majorHAnsi" w:hAnsiTheme="majorHAnsi"/>
          <w:sz w:val="20"/>
          <w:szCs w:val="20"/>
          <w:lang w:val="es-MX"/>
        </w:rPr>
        <w:t xml:space="preserve">Frente a esta resolución denegatoria, el 28 de julio de 2005 la presunta víctima promovió </w:t>
      </w:r>
      <w:r w:rsidR="00271537" w:rsidRPr="007364B9">
        <w:rPr>
          <w:rFonts w:asciiTheme="majorHAnsi" w:hAnsiTheme="majorHAnsi"/>
          <w:sz w:val="20"/>
          <w:szCs w:val="20"/>
          <w:lang w:val="es-MX"/>
        </w:rPr>
        <w:t>un recurso directo de queja ante la C</w:t>
      </w:r>
      <w:r w:rsidR="005C0A54" w:rsidRPr="007364B9">
        <w:rPr>
          <w:rFonts w:asciiTheme="majorHAnsi" w:hAnsiTheme="majorHAnsi"/>
          <w:sz w:val="20"/>
          <w:szCs w:val="20"/>
          <w:lang w:val="es-MX"/>
        </w:rPr>
        <w:t xml:space="preserve">orte </w:t>
      </w:r>
      <w:r w:rsidR="00271537" w:rsidRPr="007364B9">
        <w:rPr>
          <w:rFonts w:asciiTheme="majorHAnsi" w:hAnsiTheme="majorHAnsi"/>
          <w:sz w:val="20"/>
          <w:szCs w:val="20"/>
          <w:lang w:val="es-MX"/>
        </w:rPr>
        <w:t>S</w:t>
      </w:r>
      <w:r w:rsidR="007364B9" w:rsidRPr="007364B9">
        <w:rPr>
          <w:rFonts w:asciiTheme="majorHAnsi" w:hAnsiTheme="majorHAnsi"/>
          <w:sz w:val="20"/>
          <w:szCs w:val="20"/>
          <w:lang w:val="es-MX"/>
        </w:rPr>
        <w:t xml:space="preserve">uprema de Justicia de la Nación; la cual denegó </w:t>
      </w:r>
      <w:r w:rsidR="009A5FEC">
        <w:rPr>
          <w:rFonts w:asciiTheme="majorHAnsi" w:hAnsiTheme="majorHAnsi"/>
          <w:sz w:val="20"/>
          <w:szCs w:val="20"/>
          <w:lang w:val="es-MX"/>
        </w:rPr>
        <w:t>este</w:t>
      </w:r>
      <w:r w:rsidR="007364B9" w:rsidRPr="007364B9">
        <w:rPr>
          <w:rFonts w:asciiTheme="majorHAnsi" w:hAnsiTheme="majorHAnsi"/>
          <w:sz w:val="20"/>
          <w:szCs w:val="20"/>
          <w:lang w:val="es-MX"/>
        </w:rPr>
        <w:t xml:space="preserve"> recurso</w:t>
      </w:r>
      <w:r w:rsidR="00271537" w:rsidRPr="007364B9">
        <w:rPr>
          <w:rFonts w:asciiTheme="majorHAnsi" w:hAnsiTheme="majorHAnsi"/>
          <w:sz w:val="20"/>
          <w:szCs w:val="20"/>
          <w:lang w:val="es-MX"/>
        </w:rPr>
        <w:t xml:space="preserve"> el 25 </w:t>
      </w:r>
      <w:r w:rsidR="005C0A54" w:rsidRPr="007364B9">
        <w:rPr>
          <w:rFonts w:asciiTheme="majorHAnsi" w:hAnsiTheme="majorHAnsi"/>
          <w:sz w:val="20"/>
          <w:szCs w:val="20"/>
          <w:lang w:val="es-MX"/>
        </w:rPr>
        <w:t>de septiembre de 2007</w:t>
      </w:r>
      <w:r w:rsidR="007834D9" w:rsidRPr="007364B9">
        <w:rPr>
          <w:rFonts w:asciiTheme="majorHAnsi" w:hAnsiTheme="majorHAnsi"/>
          <w:sz w:val="20"/>
          <w:szCs w:val="20"/>
          <w:lang w:val="es-MX"/>
        </w:rPr>
        <w:t xml:space="preserve"> sin </w:t>
      </w:r>
      <w:r w:rsidR="007364B9" w:rsidRPr="007364B9">
        <w:rPr>
          <w:rFonts w:asciiTheme="majorHAnsi" w:hAnsiTheme="majorHAnsi"/>
          <w:sz w:val="20"/>
          <w:szCs w:val="20"/>
          <w:lang w:val="es-MX"/>
        </w:rPr>
        <w:t>entrar a pronunciarse sobre el fondo de la cuestión</w:t>
      </w:r>
      <w:r w:rsidR="007834D9" w:rsidRPr="007364B9">
        <w:rPr>
          <w:rFonts w:asciiTheme="majorHAnsi" w:hAnsiTheme="majorHAnsi"/>
          <w:sz w:val="20"/>
          <w:szCs w:val="20"/>
          <w:lang w:val="es-MX"/>
        </w:rPr>
        <w:t>.</w:t>
      </w:r>
      <w:r w:rsidR="00271537" w:rsidRPr="007364B9">
        <w:rPr>
          <w:rFonts w:asciiTheme="majorHAnsi" w:hAnsiTheme="majorHAnsi"/>
          <w:sz w:val="20"/>
          <w:szCs w:val="20"/>
          <w:lang w:val="es-MX"/>
        </w:rPr>
        <w:t xml:space="preserve"> </w:t>
      </w:r>
      <w:r w:rsidR="007364B9" w:rsidRPr="007364B9">
        <w:rPr>
          <w:rFonts w:asciiTheme="majorHAnsi" w:hAnsiTheme="majorHAnsi"/>
          <w:sz w:val="20"/>
          <w:szCs w:val="20"/>
          <w:lang w:val="es-MX"/>
        </w:rPr>
        <w:t xml:space="preserve">Esta última decisión se </w:t>
      </w:r>
      <w:r w:rsidR="00271537" w:rsidRPr="007364B9">
        <w:rPr>
          <w:rFonts w:asciiTheme="majorHAnsi" w:hAnsiTheme="majorHAnsi"/>
          <w:sz w:val="20"/>
          <w:szCs w:val="20"/>
          <w:lang w:val="es-MX"/>
        </w:rPr>
        <w:t>notificó</w:t>
      </w:r>
      <w:r w:rsidR="005C0A54" w:rsidRPr="007364B9">
        <w:rPr>
          <w:rFonts w:asciiTheme="majorHAnsi" w:hAnsiTheme="majorHAnsi"/>
          <w:sz w:val="20"/>
          <w:szCs w:val="20"/>
          <w:lang w:val="es-MX"/>
        </w:rPr>
        <w:t xml:space="preserve"> a la presunta v</w:t>
      </w:r>
      <w:r w:rsidR="00E841C8" w:rsidRPr="007364B9">
        <w:rPr>
          <w:rFonts w:asciiTheme="majorHAnsi" w:hAnsiTheme="majorHAnsi"/>
          <w:sz w:val="20"/>
          <w:szCs w:val="20"/>
          <w:lang w:val="es-MX"/>
        </w:rPr>
        <w:t>íctima</w:t>
      </w:r>
      <w:r w:rsidR="00271537" w:rsidRPr="007364B9">
        <w:rPr>
          <w:rFonts w:asciiTheme="majorHAnsi" w:hAnsiTheme="majorHAnsi"/>
          <w:sz w:val="20"/>
          <w:szCs w:val="20"/>
          <w:lang w:val="es-MX"/>
        </w:rPr>
        <w:t xml:space="preserve"> el 4 de octubre de 2007</w:t>
      </w:r>
      <w:r w:rsidR="00B47564" w:rsidRPr="007364B9">
        <w:rPr>
          <w:rFonts w:asciiTheme="majorHAnsi" w:hAnsiTheme="majorHAnsi"/>
          <w:sz w:val="20"/>
          <w:szCs w:val="20"/>
          <w:lang w:val="es-MX"/>
        </w:rPr>
        <w:t>.</w:t>
      </w:r>
    </w:p>
    <w:p w14:paraId="6FCCBE19" w14:textId="2635F785" w:rsidR="00A2498F" w:rsidRPr="009B5066" w:rsidRDefault="007422B9" w:rsidP="0027153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sidRPr="009B5066">
        <w:rPr>
          <w:rFonts w:asciiTheme="majorHAnsi" w:hAnsiTheme="majorHAnsi"/>
          <w:sz w:val="20"/>
          <w:szCs w:val="20"/>
          <w:lang w:val="es-MX"/>
        </w:rPr>
        <w:t xml:space="preserve">Los peticionarios </w:t>
      </w:r>
      <w:r w:rsidR="009A5FEC">
        <w:rPr>
          <w:rFonts w:asciiTheme="majorHAnsi" w:hAnsiTheme="majorHAnsi"/>
          <w:sz w:val="20"/>
          <w:szCs w:val="20"/>
          <w:lang w:val="es-MX"/>
        </w:rPr>
        <w:t xml:space="preserve">indican además </w:t>
      </w:r>
      <w:r w:rsidR="000A17EA" w:rsidRPr="009B5066">
        <w:rPr>
          <w:rFonts w:asciiTheme="majorHAnsi" w:hAnsiTheme="majorHAnsi"/>
          <w:sz w:val="20"/>
          <w:szCs w:val="20"/>
          <w:lang w:val="es-MX"/>
        </w:rPr>
        <w:t xml:space="preserve">que el 3 de octubre de 2008 se </w:t>
      </w:r>
      <w:r w:rsidR="00A2498F" w:rsidRPr="009B5066">
        <w:rPr>
          <w:rFonts w:asciiTheme="majorHAnsi" w:hAnsiTheme="majorHAnsi"/>
          <w:sz w:val="20"/>
          <w:szCs w:val="20"/>
          <w:lang w:val="es-MX"/>
        </w:rPr>
        <w:t xml:space="preserve">reformó </w:t>
      </w:r>
      <w:r w:rsidR="000A17EA" w:rsidRPr="009B5066">
        <w:rPr>
          <w:rFonts w:asciiTheme="majorHAnsi" w:hAnsiTheme="majorHAnsi"/>
          <w:sz w:val="20"/>
          <w:szCs w:val="20"/>
          <w:lang w:val="es-MX"/>
        </w:rPr>
        <w:t xml:space="preserve">la Constitución de </w:t>
      </w:r>
      <w:r w:rsidR="00A2498F" w:rsidRPr="009B5066">
        <w:rPr>
          <w:rFonts w:asciiTheme="majorHAnsi" w:hAnsiTheme="majorHAnsi"/>
          <w:sz w:val="20"/>
          <w:szCs w:val="20"/>
          <w:lang w:val="es-MX"/>
        </w:rPr>
        <w:t xml:space="preserve">la provincia de Entre Ríos para </w:t>
      </w:r>
      <w:r w:rsidR="000A17EA" w:rsidRPr="009B5066">
        <w:rPr>
          <w:rFonts w:asciiTheme="majorHAnsi" w:hAnsiTheme="majorHAnsi"/>
          <w:sz w:val="20"/>
          <w:szCs w:val="20"/>
          <w:lang w:val="es-MX"/>
        </w:rPr>
        <w:t>contempla</w:t>
      </w:r>
      <w:r w:rsidR="00A2498F" w:rsidRPr="009B5066">
        <w:rPr>
          <w:rFonts w:asciiTheme="majorHAnsi" w:hAnsiTheme="majorHAnsi"/>
          <w:sz w:val="20"/>
          <w:szCs w:val="20"/>
          <w:lang w:val="es-MX"/>
        </w:rPr>
        <w:t>r</w:t>
      </w:r>
      <w:r w:rsidR="000A17EA" w:rsidRPr="009B5066">
        <w:rPr>
          <w:rFonts w:asciiTheme="majorHAnsi" w:hAnsiTheme="majorHAnsi"/>
          <w:sz w:val="20"/>
          <w:szCs w:val="20"/>
          <w:lang w:val="es-MX"/>
        </w:rPr>
        <w:t xml:space="preserve"> la indemnización en casos similares al de la presunta víctima</w:t>
      </w:r>
      <w:r w:rsidR="004B3E60">
        <w:rPr>
          <w:rStyle w:val="FootnoteReference"/>
          <w:rFonts w:asciiTheme="majorHAnsi" w:hAnsiTheme="majorHAnsi"/>
          <w:sz w:val="20"/>
          <w:szCs w:val="20"/>
          <w:lang w:val="es-MX"/>
        </w:rPr>
        <w:footnoteReference w:id="5"/>
      </w:r>
      <w:r w:rsidR="000A17EA" w:rsidRPr="009B5066">
        <w:rPr>
          <w:rFonts w:asciiTheme="majorHAnsi" w:hAnsiTheme="majorHAnsi"/>
          <w:sz w:val="20"/>
          <w:szCs w:val="20"/>
          <w:lang w:val="es-MX"/>
        </w:rPr>
        <w:t xml:space="preserve">, y que </w:t>
      </w:r>
      <w:r w:rsidR="00A2498F" w:rsidRPr="009B5066">
        <w:rPr>
          <w:rFonts w:asciiTheme="majorHAnsi" w:hAnsiTheme="majorHAnsi"/>
          <w:sz w:val="20"/>
          <w:szCs w:val="20"/>
          <w:lang w:val="es-MX"/>
        </w:rPr>
        <w:t>el</w:t>
      </w:r>
      <w:r w:rsidR="000A17EA" w:rsidRPr="009B5066">
        <w:rPr>
          <w:rFonts w:asciiTheme="majorHAnsi" w:hAnsiTheme="majorHAnsi"/>
          <w:sz w:val="20"/>
          <w:szCs w:val="20"/>
          <w:lang w:val="es-MX"/>
        </w:rPr>
        <w:t xml:space="preserve"> caso</w:t>
      </w:r>
      <w:r w:rsidR="00A2498F" w:rsidRPr="009B5066">
        <w:rPr>
          <w:rFonts w:asciiTheme="majorHAnsi" w:hAnsiTheme="majorHAnsi"/>
          <w:sz w:val="20"/>
          <w:szCs w:val="20"/>
          <w:lang w:val="es-MX"/>
        </w:rPr>
        <w:t xml:space="preserve"> de la Sra. Hebe López fue destacado en las discusiones p</w:t>
      </w:r>
      <w:r w:rsidR="00956DB0">
        <w:rPr>
          <w:rFonts w:asciiTheme="majorHAnsi" w:hAnsiTheme="majorHAnsi"/>
          <w:sz w:val="20"/>
          <w:szCs w:val="20"/>
          <w:lang w:val="es-MX"/>
        </w:rPr>
        <w:t>revias a la reforma como un ejem</w:t>
      </w:r>
      <w:r w:rsidR="00A2498F" w:rsidRPr="009B5066">
        <w:rPr>
          <w:rFonts w:asciiTheme="majorHAnsi" w:hAnsiTheme="majorHAnsi"/>
          <w:sz w:val="20"/>
          <w:szCs w:val="20"/>
          <w:lang w:val="es-MX"/>
        </w:rPr>
        <w:t>plo paradigmático de la problemática que se buscaba corregir. Asimismo, que otras personas también imputadas en el mismo proceso penal</w:t>
      </w:r>
      <w:r w:rsidR="009B5066" w:rsidRPr="009B5066">
        <w:rPr>
          <w:rFonts w:asciiTheme="majorHAnsi" w:hAnsiTheme="majorHAnsi"/>
          <w:sz w:val="20"/>
          <w:szCs w:val="20"/>
          <w:lang w:val="es-MX"/>
        </w:rPr>
        <w:t xml:space="preserve"> que la presunta víctima</w:t>
      </w:r>
      <w:r w:rsidR="00A2498F" w:rsidRPr="009B5066">
        <w:rPr>
          <w:rFonts w:asciiTheme="majorHAnsi" w:hAnsiTheme="majorHAnsi"/>
          <w:sz w:val="20"/>
          <w:szCs w:val="20"/>
          <w:lang w:val="es-MX"/>
        </w:rPr>
        <w:t>, y vinculadas al mismo</w:t>
      </w:r>
      <w:r w:rsidR="00956DB0">
        <w:rPr>
          <w:rFonts w:asciiTheme="majorHAnsi" w:hAnsiTheme="majorHAnsi"/>
          <w:sz w:val="20"/>
          <w:szCs w:val="20"/>
          <w:lang w:val="es-MX"/>
        </w:rPr>
        <w:t>,</w:t>
      </w:r>
      <w:r w:rsidR="00A2498F" w:rsidRPr="009B5066">
        <w:rPr>
          <w:rFonts w:asciiTheme="majorHAnsi" w:hAnsiTheme="majorHAnsi"/>
          <w:sz w:val="20"/>
          <w:szCs w:val="20"/>
          <w:lang w:val="es-MX"/>
        </w:rPr>
        <w:t xml:space="preserve"> producto de la declaración de la Sra. Ángela González</w:t>
      </w:r>
      <w:r w:rsidR="009B5066" w:rsidRPr="009B5066">
        <w:rPr>
          <w:rFonts w:asciiTheme="majorHAnsi" w:hAnsiTheme="majorHAnsi"/>
          <w:sz w:val="20"/>
          <w:szCs w:val="20"/>
          <w:lang w:val="es-MX"/>
        </w:rPr>
        <w:t>, sí fueron indemnizadas la misma Sala Civil Superior de Justicia de entre Ríos. Así por ejemplo, el 4 de octubre de 2010</w:t>
      </w:r>
      <w:r w:rsidR="009B5066">
        <w:rPr>
          <w:rFonts w:asciiTheme="majorHAnsi" w:hAnsiTheme="majorHAnsi"/>
          <w:sz w:val="20"/>
          <w:szCs w:val="20"/>
          <w:lang w:val="es-MX"/>
        </w:rPr>
        <w:t xml:space="preserve"> </w:t>
      </w:r>
      <w:r w:rsidR="009B5066" w:rsidRPr="009B5066">
        <w:rPr>
          <w:rFonts w:asciiTheme="majorHAnsi" w:hAnsiTheme="majorHAnsi"/>
          <w:sz w:val="20"/>
          <w:szCs w:val="20"/>
          <w:lang w:val="es-MX"/>
        </w:rPr>
        <w:t xml:space="preserve">ese tribunal habría reconocido en el caso de Carlos Enrique, el supuesto de deficiente prestación del servicio de administración de justicia, a partir de criterios establecidos en pactos y normas constitucionales. </w:t>
      </w:r>
      <w:r w:rsidR="009B5066">
        <w:rPr>
          <w:rFonts w:asciiTheme="majorHAnsi" w:hAnsiTheme="majorHAnsi"/>
          <w:sz w:val="20"/>
          <w:szCs w:val="20"/>
          <w:lang w:val="es-MX"/>
        </w:rPr>
        <w:t xml:space="preserve">De igual forma, </w:t>
      </w:r>
      <w:r w:rsidR="009B5066" w:rsidRPr="009B5066">
        <w:rPr>
          <w:rFonts w:asciiTheme="majorHAnsi" w:hAnsiTheme="majorHAnsi"/>
          <w:sz w:val="20"/>
          <w:szCs w:val="20"/>
          <w:lang w:val="es-MX"/>
        </w:rPr>
        <w:t>el 27 de abril de 2011</w:t>
      </w:r>
      <w:r w:rsidR="009B5066">
        <w:rPr>
          <w:rFonts w:asciiTheme="majorHAnsi" w:hAnsiTheme="majorHAnsi"/>
          <w:sz w:val="20"/>
          <w:szCs w:val="20"/>
          <w:lang w:val="es-MX"/>
        </w:rPr>
        <w:t xml:space="preserve"> reconoció </w:t>
      </w:r>
      <w:r w:rsidR="009B5066" w:rsidRPr="009B5066">
        <w:rPr>
          <w:rFonts w:asciiTheme="majorHAnsi" w:hAnsiTheme="majorHAnsi"/>
          <w:sz w:val="20"/>
          <w:szCs w:val="20"/>
          <w:lang w:val="es-MX"/>
        </w:rPr>
        <w:t>respecto de Claudia Vinzón</w:t>
      </w:r>
      <w:r w:rsidR="009B5066">
        <w:rPr>
          <w:rFonts w:asciiTheme="majorHAnsi" w:hAnsiTheme="majorHAnsi"/>
          <w:sz w:val="20"/>
          <w:szCs w:val="20"/>
          <w:lang w:val="es-MX"/>
        </w:rPr>
        <w:t xml:space="preserve"> </w:t>
      </w:r>
      <w:r w:rsidR="009B5066" w:rsidRPr="009B5066">
        <w:rPr>
          <w:rFonts w:asciiTheme="majorHAnsi" w:hAnsiTheme="majorHAnsi"/>
          <w:sz w:val="20"/>
          <w:szCs w:val="20"/>
          <w:lang w:val="es-MX"/>
        </w:rPr>
        <w:t xml:space="preserve">un error judicial en la etapa </w:t>
      </w:r>
      <w:r w:rsidR="009B5066">
        <w:rPr>
          <w:rFonts w:asciiTheme="majorHAnsi" w:hAnsiTheme="majorHAnsi"/>
          <w:sz w:val="20"/>
          <w:szCs w:val="20"/>
          <w:lang w:val="es-MX"/>
        </w:rPr>
        <w:t>de instrucción</w:t>
      </w:r>
      <w:r w:rsidR="009B5066" w:rsidRPr="009B5066">
        <w:rPr>
          <w:rFonts w:asciiTheme="majorHAnsi" w:hAnsiTheme="majorHAnsi"/>
          <w:sz w:val="20"/>
          <w:szCs w:val="20"/>
          <w:lang w:val="es-MX"/>
        </w:rPr>
        <w:t xml:space="preserve">, concediendo la indemnización bajo los mismos supuestos. </w:t>
      </w:r>
      <w:r w:rsidR="009A5FEC">
        <w:rPr>
          <w:rFonts w:asciiTheme="majorHAnsi" w:hAnsiTheme="majorHAnsi"/>
          <w:sz w:val="20"/>
          <w:szCs w:val="20"/>
          <w:lang w:val="es-MX"/>
        </w:rPr>
        <w:t xml:space="preserve">A este respecto peticionarios consideran que </w:t>
      </w:r>
      <w:r w:rsidR="009B5066" w:rsidRPr="009B5066">
        <w:rPr>
          <w:rFonts w:asciiTheme="majorHAnsi" w:hAnsiTheme="majorHAnsi"/>
          <w:sz w:val="20"/>
          <w:szCs w:val="20"/>
          <w:lang w:val="es-MX"/>
        </w:rPr>
        <w:t>habría un claro reconocimiento por parte de los órganos judiciales del Estado del error judicial cometido, a pesar de que a la presunta víctima se le respondió en sentido contrario.</w:t>
      </w:r>
    </w:p>
    <w:p w14:paraId="6CB32375" w14:textId="078F942A" w:rsidR="00EE48C5" w:rsidRPr="00D1064B" w:rsidRDefault="006D4788" w:rsidP="00D1064B">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rFonts w:asciiTheme="majorHAnsi" w:hAnsiTheme="majorHAnsi"/>
          <w:sz w:val="20"/>
          <w:szCs w:val="20"/>
          <w:lang w:val="es-MX"/>
        </w:rPr>
        <w:t xml:space="preserve">El Estado </w:t>
      </w:r>
      <w:r w:rsidR="00EA4B52" w:rsidRPr="00EA1CE1">
        <w:rPr>
          <w:rFonts w:asciiTheme="majorHAnsi" w:hAnsiTheme="majorHAnsi"/>
          <w:sz w:val="20"/>
          <w:szCs w:val="20"/>
          <w:lang w:val="es-MX"/>
        </w:rPr>
        <w:t xml:space="preserve">por su parte, solicita el archivo de </w:t>
      </w:r>
      <w:r w:rsidR="009A323C">
        <w:rPr>
          <w:rFonts w:asciiTheme="majorHAnsi" w:hAnsiTheme="majorHAnsi"/>
          <w:sz w:val="20"/>
          <w:szCs w:val="20"/>
          <w:lang w:val="es-MX"/>
        </w:rPr>
        <w:t xml:space="preserve">la petición bajo el argumento de que la misma fue recibida en la CIDH en </w:t>
      </w:r>
      <w:r w:rsidR="00EA4B52" w:rsidRPr="00EA1CE1">
        <w:rPr>
          <w:rFonts w:asciiTheme="majorHAnsi" w:hAnsiTheme="majorHAnsi"/>
          <w:sz w:val="20"/>
          <w:szCs w:val="20"/>
          <w:lang w:val="es-MX"/>
        </w:rPr>
        <w:t xml:space="preserve">el 2008, y recién </w:t>
      </w:r>
      <w:r w:rsidR="009A323C">
        <w:rPr>
          <w:rFonts w:asciiTheme="majorHAnsi" w:hAnsiTheme="majorHAnsi"/>
          <w:sz w:val="20"/>
          <w:szCs w:val="20"/>
          <w:lang w:val="es-MX"/>
        </w:rPr>
        <w:t>se trasladó</w:t>
      </w:r>
      <w:r w:rsidR="00EA4B52" w:rsidRPr="00EA1CE1">
        <w:rPr>
          <w:rFonts w:asciiTheme="majorHAnsi" w:hAnsiTheme="majorHAnsi"/>
          <w:sz w:val="20"/>
          <w:szCs w:val="20"/>
          <w:lang w:val="es-MX"/>
        </w:rPr>
        <w:t xml:space="preserve"> al Estado en 2013. </w:t>
      </w:r>
      <w:r w:rsidR="009A323C">
        <w:rPr>
          <w:rFonts w:asciiTheme="majorHAnsi" w:hAnsiTheme="majorHAnsi"/>
          <w:sz w:val="20"/>
          <w:szCs w:val="20"/>
          <w:lang w:val="es-MX"/>
        </w:rPr>
        <w:t xml:space="preserve">Asimismo, solicita que la misma sea declarada </w:t>
      </w:r>
      <w:r w:rsidR="009A5FEC">
        <w:rPr>
          <w:rFonts w:asciiTheme="majorHAnsi" w:hAnsiTheme="majorHAnsi"/>
          <w:sz w:val="20"/>
          <w:szCs w:val="20"/>
          <w:lang w:val="es-MX"/>
        </w:rPr>
        <w:t>in</w:t>
      </w:r>
      <w:r w:rsidR="009A323C">
        <w:rPr>
          <w:rFonts w:asciiTheme="majorHAnsi" w:hAnsiTheme="majorHAnsi"/>
          <w:sz w:val="20"/>
          <w:szCs w:val="20"/>
          <w:lang w:val="es-MX"/>
        </w:rPr>
        <w:t xml:space="preserve">admisible por cosiderar que </w:t>
      </w:r>
      <w:r w:rsidR="009E0E93" w:rsidRPr="00EA1CE1">
        <w:rPr>
          <w:rFonts w:asciiTheme="majorHAnsi" w:hAnsiTheme="majorHAnsi"/>
          <w:sz w:val="20"/>
          <w:szCs w:val="20"/>
          <w:lang w:val="es-MX"/>
        </w:rPr>
        <w:t xml:space="preserve">los hechos expuestos no </w:t>
      </w:r>
      <w:r w:rsidR="009A323C">
        <w:rPr>
          <w:rFonts w:asciiTheme="majorHAnsi" w:hAnsiTheme="majorHAnsi"/>
          <w:sz w:val="20"/>
          <w:szCs w:val="20"/>
          <w:lang w:val="es-MX"/>
        </w:rPr>
        <w:t>constituyen violaciones</w:t>
      </w:r>
      <w:r w:rsidR="009E0E93" w:rsidRPr="00EA1CE1">
        <w:rPr>
          <w:rFonts w:asciiTheme="majorHAnsi" w:hAnsiTheme="majorHAnsi"/>
          <w:sz w:val="20"/>
          <w:szCs w:val="20"/>
          <w:lang w:val="es-MX"/>
        </w:rPr>
        <w:t xml:space="preserve"> a los derechos humanos</w:t>
      </w:r>
      <w:r w:rsidR="009A323C">
        <w:rPr>
          <w:rFonts w:asciiTheme="majorHAnsi" w:hAnsiTheme="majorHAnsi"/>
          <w:sz w:val="20"/>
          <w:szCs w:val="20"/>
          <w:lang w:val="es-MX"/>
        </w:rPr>
        <w:t xml:space="preserve"> de la presunta víctima</w:t>
      </w:r>
      <w:r w:rsidR="009E0E93" w:rsidRPr="00EA1CE1">
        <w:rPr>
          <w:rFonts w:asciiTheme="majorHAnsi" w:hAnsiTheme="majorHAnsi"/>
          <w:sz w:val="20"/>
          <w:szCs w:val="20"/>
          <w:lang w:val="es-MX"/>
        </w:rPr>
        <w:t xml:space="preserve">, </w:t>
      </w:r>
      <w:r w:rsidR="00721561" w:rsidRPr="00EA1CE1">
        <w:rPr>
          <w:rFonts w:asciiTheme="majorHAnsi" w:hAnsiTheme="majorHAnsi"/>
          <w:sz w:val="20"/>
          <w:szCs w:val="20"/>
          <w:lang w:val="es-MX"/>
        </w:rPr>
        <w:t xml:space="preserve">ya que en su momento </w:t>
      </w:r>
      <w:r w:rsidR="001F78AC">
        <w:rPr>
          <w:rFonts w:asciiTheme="majorHAnsi" w:hAnsiTheme="majorHAnsi"/>
          <w:sz w:val="20"/>
          <w:szCs w:val="20"/>
          <w:lang w:val="es-MX"/>
        </w:rPr>
        <w:t xml:space="preserve">los tribunales domésticos </w:t>
      </w:r>
      <w:r w:rsidR="009A323C">
        <w:rPr>
          <w:rFonts w:asciiTheme="majorHAnsi" w:hAnsiTheme="majorHAnsi"/>
          <w:sz w:val="20"/>
          <w:szCs w:val="20"/>
          <w:lang w:val="es-MX"/>
        </w:rPr>
        <w:t>atendieron los hechos objetos de la petición</w:t>
      </w:r>
      <w:r w:rsidR="00D1064B">
        <w:rPr>
          <w:rFonts w:asciiTheme="majorHAnsi" w:hAnsiTheme="majorHAnsi"/>
          <w:sz w:val="20"/>
          <w:szCs w:val="20"/>
          <w:lang w:val="es-MX"/>
        </w:rPr>
        <w:t>, y adoptaron las deciciones correspondientes en pleno respeto al derecho al debido proceso de la presunta víctima. E</w:t>
      </w:r>
      <w:r w:rsidR="009A323C">
        <w:rPr>
          <w:rFonts w:asciiTheme="majorHAnsi" w:hAnsiTheme="majorHAnsi"/>
          <w:sz w:val="20"/>
          <w:szCs w:val="20"/>
          <w:lang w:val="es-MX"/>
        </w:rPr>
        <w:t>n consecuencia,</w:t>
      </w:r>
      <w:r w:rsidR="00721561" w:rsidRPr="00EA1CE1">
        <w:rPr>
          <w:rFonts w:asciiTheme="majorHAnsi" w:hAnsiTheme="majorHAnsi"/>
          <w:sz w:val="20"/>
          <w:szCs w:val="20"/>
          <w:lang w:val="es-MX"/>
        </w:rPr>
        <w:t xml:space="preserve"> </w:t>
      </w:r>
      <w:r w:rsidR="00D1064B">
        <w:rPr>
          <w:rFonts w:asciiTheme="majorHAnsi" w:hAnsiTheme="majorHAnsi"/>
          <w:sz w:val="20"/>
          <w:szCs w:val="20"/>
          <w:lang w:val="es-MX"/>
        </w:rPr>
        <w:t>la Comisión, como órgano de</w:t>
      </w:r>
      <w:r w:rsidR="00EE48C5" w:rsidRPr="00EA1CE1">
        <w:rPr>
          <w:rFonts w:asciiTheme="majorHAnsi" w:hAnsiTheme="majorHAnsi"/>
          <w:sz w:val="20"/>
          <w:szCs w:val="20"/>
          <w:lang w:val="es-MX"/>
        </w:rPr>
        <w:t xml:space="preserve"> carácter subsidiario, </w:t>
      </w:r>
      <w:r w:rsidR="00D1064B">
        <w:rPr>
          <w:rFonts w:asciiTheme="majorHAnsi" w:hAnsiTheme="majorHAnsi"/>
          <w:sz w:val="20"/>
          <w:szCs w:val="20"/>
          <w:lang w:val="es-MX"/>
        </w:rPr>
        <w:t xml:space="preserve">no podría entrar a </w:t>
      </w:r>
      <w:r w:rsidR="00EE48C5" w:rsidRPr="00EA1CE1">
        <w:rPr>
          <w:rFonts w:asciiTheme="majorHAnsi" w:hAnsiTheme="majorHAnsi"/>
          <w:sz w:val="20"/>
          <w:szCs w:val="20"/>
          <w:lang w:val="es-MX"/>
        </w:rPr>
        <w:t xml:space="preserve">revisar decisiones de los tribunales nacionales que </w:t>
      </w:r>
      <w:r w:rsidR="00D1064B">
        <w:rPr>
          <w:rFonts w:asciiTheme="majorHAnsi" w:hAnsiTheme="majorHAnsi"/>
          <w:sz w:val="20"/>
          <w:szCs w:val="20"/>
          <w:lang w:val="es-MX"/>
        </w:rPr>
        <w:t>actuaron</w:t>
      </w:r>
      <w:r w:rsidR="00EE48C5" w:rsidRPr="00EA1CE1">
        <w:rPr>
          <w:rFonts w:asciiTheme="majorHAnsi" w:hAnsiTheme="majorHAnsi"/>
          <w:sz w:val="20"/>
          <w:szCs w:val="20"/>
          <w:lang w:val="es-MX"/>
        </w:rPr>
        <w:t xml:space="preserve"> en la esfera de su competencia, y aplicando las debidas garantías judiciales</w:t>
      </w:r>
      <w:r w:rsidR="00D1064B">
        <w:rPr>
          <w:rFonts w:asciiTheme="majorHAnsi" w:hAnsiTheme="majorHAnsi"/>
          <w:sz w:val="20"/>
          <w:szCs w:val="20"/>
          <w:lang w:val="es-MX"/>
        </w:rPr>
        <w:t>. En este sentido, la CIDH no podría</w:t>
      </w:r>
      <w:r w:rsidR="00EE48C5" w:rsidRPr="00EA1CE1">
        <w:rPr>
          <w:rFonts w:asciiTheme="majorHAnsi" w:hAnsiTheme="majorHAnsi"/>
          <w:sz w:val="20"/>
          <w:szCs w:val="20"/>
          <w:lang w:val="es-MX"/>
        </w:rPr>
        <w:t xml:space="preserve"> volver a revisar los fundamentos </w:t>
      </w:r>
      <w:r w:rsidR="00D1064B" w:rsidRPr="00EA1CE1">
        <w:rPr>
          <w:rFonts w:asciiTheme="majorHAnsi" w:hAnsiTheme="majorHAnsi"/>
          <w:sz w:val="20"/>
          <w:szCs w:val="20"/>
          <w:lang w:val="es-MX"/>
        </w:rPr>
        <w:t xml:space="preserve">y la valoración de la prueba realizada por las autoridades judiciales </w:t>
      </w:r>
      <w:r w:rsidR="00EE48C5" w:rsidRPr="00EA1CE1">
        <w:rPr>
          <w:rFonts w:asciiTheme="majorHAnsi" w:hAnsiTheme="majorHAnsi"/>
          <w:sz w:val="20"/>
          <w:szCs w:val="20"/>
          <w:lang w:val="es-MX"/>
        </w:rPr>
        <w:t>de la</w:t>
      </w:r>
      <w:r w:rsidR="00D1064B">
        <w:rPr>
          <w:rFonts w:asciiTheme="majorHAnsi" w:hAnsiTheme="majorHAnsi"/>
          <w:sz w:val="20"/>
          <w:szCs w:val="20"/>
          <w:lang w:val="es-MX"/>
        </w:rPr>
        <w:t>s</w:t>
      </w:r>
      <w:r w:rsidR="00EE48C5" w:rsidRPr="00EA1CE1">
        <w:rPr>
          <w:rFonts w:asciiTheme="majorHAnsi" w:hAnsiTheme="majorHAnsi"/>
          <w:sz w:val="20"/>
          <w:szCs w:val="20"/>
          <w:lang w:val="es-MX"/>
        </w:rPr>
        <w:t xml:space="preserve"> </w:t>
      </w:r>
      <w:r w:rsidR="00D1064B">
        <w:rPr>
          <w:rFonts w:asciiTheme="majorHAnsi" w:hAnsiTheme="majorHAnsi"/>
          <w:sz w:val="20"/>
          <w:szCs w:val="20"/>
          <w:lang w:val="es-MX"/>
        </w:rPr>
        <w:t>autoridades judiciales nacionales.</w:t>
      </w:r>
    </w:p>
    <w:p w14:paraId="275E7E75" w14:textId="7F6579DC" w:rsidR="00EA4B52" w:rsidRPr="00EA1CE1" w:rsidRDefault="003D2997" w:rsidP="00EA4B5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rFonts w:asciiTheme="majorHAnsi" w:hAnsiTheme="majorHAnsi"/>
          <w:sz w:val="20"/>
          <w:szCs w:val="20"/>
          <w:lang w:val="es-MX"/>
        </w:rPr>
        <w:t>El Estado</w:t>
      </w:r>
      <w:r w:rsidR="00E841C8" w:rsidRPr="00EA1CE1">
        <w:rPr>
          <w:rFonts w:asciiTheme="majorHAnsi" w:hAnsiTheme="majorHAnsi"/>
          <w:sz w:val="20"/>
          <w:szCs w:val="20"/>
          <w:lang w:val="es-MX"/>
        </w:rPr>
        <w:t xml:space="preserve"> aduce</w:t>
      </w:r>
      <w:r w:rsidR="00721561" w:rsidRPr="00EA1CE1">
        <w:rPr>
          <w:rFonts w:asciiTheme="majorHAnsi" w:hAnsiTheme="majorHAnsi"/>
          <w:sz w:val="20"/>
          <w:szCs w:val="20"/>
          <w:lang w:val="es-MX"/>
        </w:rPr>
        <w:t xml:space="preserve"> que e</w:t>
      </w:r>
      <w:r w:rsidR="00A9634C" w:rsidRPr="00EA1CE1">
        <w:rPr>
          <w:rFonts w:asciiTheme="majorHAnsi" w:hAnsiTheme="majorHAnsi"/>
          <w:sz w:val="20"/>
          <w:szCs w:val="20"/>
          <w:lang w:val="es-MX"/>
        </w:rPr>
        <w:t xml:space="preserve">l auto de procesamiento y la prisión preventiva </w:t>
      </w:r>
      <w:r>
        <w:rPr>
          <w:rFonts w:asciiTheme="majorHAnsi" w:hAnsiTheme="majorHAnsi"/>
          <w:sz w:val="20"/>
          <w:szCs w:val="20"/>
          <w:lang w:val="es-MX"/>
        </w:rPr>
        <w:t>dictados contra la Sra. Hebe López en el proceso penal que se le siguió</w:t>
      </w:r>
      <w:r w:rsidR="00956DB0">
        <w:rPr>
          <w:rFonts w:asciiTheme="majorHAnsi" w:hAnsiTheme="majorHAnsi"/>
          <w:sz w:val="20"/>
          <w:szCs w:val="20"/>
          <w:lang w:val="es-MX"/>
        </w:rPr>
        <w:t>,</w:t>
      </w:r>
      <w:r>
        <w:rPr>
          <w:rFonts w:asciiTheme="majorHAnsi" w:hAnsiTheme="majorHAnsi"/>
          <w:sz w:val="20"/>
          <w:szCs w:val="20"/>
          <w:lang w:val="es-MX"/>
        </w:rPr>
        <w:t xml:space="preserve"> se sustentaron</w:t>
      </w:r>
      <w:r w:rsidR="00A9634C" w:rsidRPr="00EA1CE1">
        <w:rPr>
          <w:rFonts w:asciiTheme="majorHAnsi" w:hAnsiTheme="majorHAnsi"/>
          <w:sz w:val="20"/>
          <w:szCs w:val="20"/>
          <w:lang w:val="es-MX"/>
        </w:rPr>
        <w:t xml:space="preserve"> en </w:t>
      </w:r>
      <w:r w:rsidR="000C04B0">
        <w:rPr>
          <w:rFonts w:asciiTheme="majorHAnsi" w:hAnsiTheme="majorHAnsi"/>
          <w:sz w:val="20"/>
          <w:szCs w:val="20"/>
          <w:lang w:val="es-MX"/>
        </w:rPr>
        <w:t xml:space="preserve">los </w:t>
      </w:r>
      <w:r w:rsidR="00A9634C" w:rsidRPr="00EA1CE1">
        <w:rPr>
          <w:rFonts w:asciiTheme="majorHAnsi" w:hAnsiTheme="majorHAnsi"/>
          <w:sz w:val="20"/>
          <w:szCs w:val="20"/>
          <w:lang w:val="es-MX"/>
        </w:rPr>
        <w:t xml:space="preserve">elementos de juicio existentes </w:t>
      </w:r>
      <w:r w:rsidR="000C04B0">
        <w:rPr>
          <w:rFonts w:asciiTheme="majorHAnsi" w:hAnsiTheme="majorHAnsi"/>
          <w:sz w:val="20"/>
          <w:szCs w:val="20"/>
          <w:lang w:val="es-MX"/>
        </w:rPr>
        <w:t>en aquel</w:t>
      </w:r>
      <w:r w:rsidR="00A9634C" w:rsidRPr="00EA1CE1">
        <w:rPr>
          <w:rFonts w:asciiTheme="majorHAnsi" w:hAnsiTheme="majorHAnsi"/>
          <w:sz w:val="20"/>
          <w:szCs w:val="20"/>
          <w:lang w:val="es-MX"/>
        </w:rPr>
        <w:t xml:space="preserve"> momento, los que </w:t>
      </w:r>
      <w:r w:rsidR="001F78AC">
        <w:rPr>
          <w:rFonts w:asciiTheme="majorHAnsi" w:hAnsiTheme="majorHAnsi"/>
          <w:sz w:val="20"/>
          <w:szCs w:val="20"/>
          <w:lang w:val="es-MX"/>
        </w:rPr>
        <w:t>constituían</w:t>
      </w:r>
      <w:r w:rsidR="00A9634C" w:rsidRPr="00EA1CE1">
        <w:rPr>
          <w:rFonts w:asciiTheme="majorHAnsi" w:hAnsiTheme="majorHAnsi"/>
          <w:sz w:val="20"/>
          <w:szCs w:val="20"/>
          <w:lang w:val="es-MX"/>
        </w:rPr>
        <w:t xml:space="preserve"> un estado de sospecha fundado esencialmente en la dec</w:t>
      </w:r>
      <w:r w:rsidR="000C04B0">
        <w:rPr>
          <w:rFonts w:asciiTheme="majorHAnsi" w:hAnsiTheme="majorHAnsi"/>
          <w:sz w:val="20"/>
          <w:szCs w:val="20"/>
          <w:lang w:val="es-MX"/>
        </w:rPr>
        <w:t xml:space="preserve">laración de una de las testigos. </w:t>
      </w:r>
      <w:r w:rsidR="00161632">
        <w:rPr>
          <w:rFonts w:asciiTheme="majorHAnsi" w:hAnsiTheme="majorHAnsi"/>
          <w:sz w:val="20"/>
          <w:szCs w:val="20"/>
          <w:lang w:val="es-MX"/>
        </w:rPr>
        <w:t xml:space="preserve">Lo que </w:t>
      </w:r>
      <w:r w:rsidR="001F78AC">
        <w:rPr>
          <w:rFonts w:asciiTheme="majorHAnsi" w:hAnsiTheme="majorHAnsi"/>
          <w:sz w:val="20"/>
          <w:szCs w:val="20"/>
          <w:lang w:val="es-MX"/>
        </w:rPr>
        <w:t xml:space="preserve">se </w:t>
      </w:r>
      <w:r w:rsidR="00161632">
        <w:rPr>
          <w:rFonts w:asciiTheme="majorHAnsi" w:hAnsiTheme="majorHAnsi"/>
          <w:sz w:val="20"/>
          <w:szCs w:val="20"/>
          <w:lang w:val="es-MX"/>
        </w:rPr>
        <w:t>sustentarí</w:t>
      </w:r>
      <w:r w:rsidR="001F78AC">
        <w:rPr>
          <w:rFonts w:asciiTheme="majorHAnsi" w:hAnsiTheme="majorHAnsi"/>
          <w:sz w:val="20"/>
          <w:szCs w:val="20"/>
          <w:lang w:val="es-MX"/>
        </w:rPr>
        <w:t>a</w:t>
      </w:r>
      <w:r w:rsidR="00161632">
        <w:rPr>
          <w:rFonts w:asciiTheme="majorHAnsi" w:hAnsiTheme="majorHAnsi"/>
          <w:sz w:val="20"/>
          <w:szCs w:val="20"/>
          <w:lang w:val="es-MX"/>
        </w:rPr>
        <w:t xml:space="preserve"> además en el hecho de que l</w:t>
      </w:r>
      <w:r w:rsidR="00A9634C" w:rsidRPr="00EA1CE1">
        <w:rPr>
          <w:rFonts w:asciiTheme="majorHAnsi" w:hAnsiTheme="majorHAnsi"/>
          <w:sz w:val="20"/>
          <w:szCs w:val="20"/>
          <w:lang w:val="es-MX"/>
        </w:rPr>
        <w:t xml:space="preserve">a </w:t>
      </w:r>
      <w:r w:rsidR="00161632">
        <w:rPr>
          <w:rFonts w:asciiTheme="majorHAnsi" w:hAnsiTheme="majorHAnsi"/>
          <w:sz w:val="20"/>
          <w:szCs w:val="20"/>
          <w:lang w:val="es-MX"/>
        </w:rPr>
        <w:t xml:space="preserve">orden de </w:t>
      </w:r>
      <w:r w:rsidR="00A9634C" w:rsidRPr="00EA1CE1">
        <w:rPr>
          <w:rFonts w:asciiTheme="majorHAnsi" w:hAnsiTheme="majorHAnsi"/>
          <w:sz w:val="20"/>
          <w:szCs w:val="20"/>
          <w:lang w:val="es-MX"/>
        </w:rPr>
        <w:t xml:space="preserve">prisión preventiva </w:t>
      </w:r>
      <w:r w:rsidR="00161632">
        <w:rPr>
          <w:rFonts w:asciiTheme="majorHAnsi" w:hAnsiTheme="majorHAnsi"/>
          <w:sz w:val="20"/>
          <w:szCs w:val="20"/>
          <w:lang w:val="es-MX"/>
        </w:rPr>
        <w:t>fue</w:t>
      </w:r>
      <w:r w:rsidR="00A9634C" w:rsidRPr="00EA1CE1">
        <w:rPr>
          <w:rFonts w:asciiTheme="majorHAnsi" w:hAnsiTheme="majorHAnsi"/>
          <w:sz w:val="20"/>
          <w:szCs w:val="20"/>
          <w:lang w:val="es-MX"/>
        </w:rPr>
        <w:t xml:space="preserve"> confirmada en dos oportunidades por la cámara de apelaciones. </w:t>
      </w:r>
      <w:r w:rsidR="00161632">
        <w:rPr>
          <w:rFonts w:asciiTheme="majorHAnsi" w:hAnsiTheme="majorHAnsi"/>
          <w:sz w:val="20"/>
          <w:szCs w:val="20"/>
          <w:lang w:val="es-MX"/>
        </w:rPr>
        <w:t>El Estado sostiene</w:t>
      </w:r>
      <w:r w:rsidR="00A9634C" w:rsidRPr="00EA1CE1">
        <w:rPr>
          <w:rFonts w:asciiTheme="majorHAnsi" w:hAnsiTheme="majorHAnsi"/>
          <w:sz w:val="20"/>
          <w:szCs w:val="20"/>
          <w:lang w:val="es-MX"/>
        </w:rPr>
        <w:t xml:space="preserve"> </w:t>
      </w:r>
      <w:r w:rsidR="00161632">
        <w:rPr>
          <w:rFonts w:asciiTheme="majorHAnsi" w:hAnsiTheme="majorHAnsi"/>
          <w:sz w:val="20"/>
          <w:szCs w:val="20"/>
          <w:lang w:val="es-MX"/>
        </w:rPr>
        <w:t xml:space="preserve">además </w:t>
      </w:r>
      <w:r w:rsidR="00A9634C" w:rsidRPr="00EA1CE1">
        <w:rPr>
          <w:rFonts w:asciiTheme="majorHAnsi" w:hAnsiTheme="majorHAnsi"/>
          <w:sz w:val="20"/>
          <w:szCs w:val="20"/>
          <w:lang w:val="es-MX"/>
        </w:rPr>
        <w:t xml:space="preserve">que no </w:t>
      </w:r>
      <w:r w:rsidR="00972801" w:rsidRPr="00EA1CE1">
        <w:rPr>
          <w:rFonts w:asciiTheme="majorHAnsi" w:hAnsiTheme="majorHAnsi"/>
          <w:sz w:val="20"/>
          <w:szCs w:val="20"/>
          <w:lang w:val="es-MX"/>
        </w:rPr>
        <w:t>corresponde</w:t>
      </w:r>
      <w:r w:rsidR="00A9634C" w:rsidRPr="00EA1CE1">
        <w:rPr>
          <w:rFonts w:asciiTheme="majorHAnsi" w:hAnsiTheme="majorHAnsi"/>
          <w:sz w:val="20"/>
          <w:szCs w:val="20"/>
          <w:lang w:val="es-MX"/>
        </w:rPr>
        <w:t xml:space="preserve"> la </w:t>
      </w:r>
      <w:r w:rsidR="00972801" w:rsidRPr="00EA1CE1">
        <w:rPr>
          <w:rFonts w:asciiTheme="majorHAnsi" w:hAnsiTheme="majorHAnsi"/>
          <w:sz w:val="20"/>
          <w:szCs w:val="20"/>
          <w:lang w:val="es-MX"/>
        </w:rPr>
        <w:t>indemnización</w:t>
      </w:r>
      <w:r w:rsidR="00A9634C" w:rsidRPr="00EA1CE1">
        <w:rPr>
          <w:rFonts w:asciiTheme="majorHAnsi" w:hAnsiTheme="majorHAnsi"/>
          <w:sz w:val="20"/>
          <w:szCs w:val="20"/>
          <w:lang w:val="es-MX"/>
        </w:rPr>
        <w:t xml:space="preserve"> por privación de libertad </w:t>
      </w:r>
      <w:r w:rsidR="00161632">
        <w:rPr>
          <w:rFonts w:asciiTheme="majorHAnsi" w:hAnsiTheme="majorHAnsi"/>
          <w:sz w:val="20"/>
          <w:szCs w:val="20"/>
          <w:lang w:val="es-MX"/>
        </w:rPr>
        <w:t>bajo</w:t>
      </w:r>
      <w:r w:rsidR="00A9634C" w:rsidRPr="00EA1CE1">
        <w:rPr>
          <w:rFonts w:asciiTheme="majorHAnsi" w:hAnsiTheme="majorHAnsi"/>
          <w:sz w:val="20"/>
          <w:szCs w:val="20"/>
          <w:lang w:val="es-MX"/>
        </w:rPr>
        <w:t xml:space="preserve"> prisión preventiva</w:t>
      </w:r>
      <w:r w:rsidR="00553E35" w:rsidRPr="00EA1CE1">
        <w:rPr>
          <w:rFonts w:asciiTheme="majorHAnsi" w:hAnsiTheme="majorHAnsi"/>
          <w:sz w:val="20"/>
          <w:szCs w:val="20"/>
          <w:lang w:val="es-MX"/>
        </w:rPr>
        <w:t>,</w:t>
      </w:r>
      <w:r w:rsidR="00A9634C" w:rsidRPr="00EA1CE1">
        <w:rPr>
          <w:rFonts w:asciiTheme="majorHAnsi" w:hAnsiTheme="majorHAnsi"/>
          <w:sz w:val="20"/>
          <w:szCs w:val="20"/>
          <w:lang w:val="es-MX"/>
        </w:rPr>
        <w:t xml:space="preserve"> </w:t>
      </w:r>
      <w:r w:rsidR="00553E35" w:rsidRPr="00EA1CE1">
        <w:rPr>
          <w:rFonts w:asciiTheme="majorHAnsi" w:hAnsiTheme="majorHAnsi"/>
          <w:sz w:val="20"/>
          <w:szCs w:val="20"/>
          <w:lang w:val="es-MX"/>
        </w:rPr>
        <w:t>a diferencia de</w:t>
      </w:r>
      <w:r w:rsidR="00A9634C" w:rsidRPr="00EA1CE1">
        <w:rPr>
          <w:rFonts w:asciiTheme="majorHAnsi" w:hAnsiTheme="majorHAnsi"/>
          <w:sz w:val="20"/>
          <w:szCs w:val="20"/>
          <w:lang w:val="es-MX"/>
        </w:rPr>
        <w:t xml:space="preserve"> cuando existe una </w:t>
      </w:r>
      <w:r w:rsidR="009258F1" w:rsidRPr="00EA1CE1">
        <w:rPr>
          <w:rFonts w:asciiTheme="majorHAnsi" w:hAnsiTheme="majorHAnsi"/>
          <w:sz w:val="20"/>
          <w:szCs w:val="20"/>
          <w:lang w:val="es-MX"/>
        </w:rPr>
        <w:t>sentencia</w:t>
      </w:r>
      <w:r w:rsidR="00A9634C" w:rsidRPr="00EA1CE1">
        <w:rPr>
          <w:rFonts w:asciiTheme="majorHAnsi" w:hAnsiTheme="majorHAnsi"/>
          <w:sz w:val="20"/>
          <w:szCs w:val="20"/>
          <w:lang w:val="es-MX"/>
        </w:rPr>
        <w:t xml:space="preserve"> condenatoria.</w:t>
      </w:r>
      <w:r w:rsidR="00721561" w:rsidRPr="00EA1CE1">
        <w:rPr>
          <w:rFonts w:asciiTheme="majorHAnsi" w:hAnsiTheme="majorHAnsi"/>
          <w:sz w:val="20"/>
          <w:szCs w:val="20"/>
          <w:lang w:val="es-MX"/>
        </w:rPr>
        <w:t xml:space="preserve"> </w:t>
      </w:r>
      <w:r w:rsidR="00553E35" w:rsidRPr="00EA1CE1">
        <w:rPr>
          <w:rFonts w:asciiTheme="majorHAnsi" w:hAnsiTheme="majorHAnsi"/>
          <w:sz w:val="20"/>
          <w:szCs w:val="20"/>
          <w:lang w:val="es-MX"/>
        </w:rPr>
        <w:t xml:space="preserve">Alega </w:t>
      </w:r>
      <w:r w:rsidR="00721576">
        <w:rPr>
          <w:rFonts w:asciiTheme="majorHAnsi" w:hAnsiTheme="majorHAnsi"/>
          <w:sz w:val="20"/>
          <w:szCs w:val="20"/>
          <w:lang w:val="es-MX"/>
        </w:rPr>
        <w:t xml:space="preserve">asimismo </w:t>
      </w:r>
      <w:r w:rsidR="00553E35" w:rsidRPr="00EA1CE1">
        <w:rPr>
          <w:rFonts w:asciiTheme="majorHAnsi" w:hAnsiTheme="majorHAnsi"/>
          <w:sz w:val="20"/>
          <w:szCs w:val="20"/>
          <w:lang w:val="es-MX"/>
        </w:rPr>
        <w:t>que</w:t>
      </w:r>
      <w:r w:rsidR="00EA4B52" w:rsidRPr="00EA1CE1">
        <w:rPr>
          <w:rFonts w:asciiTheme="majorHAnsi" w:hAnsiTheme="majorHAnsi"/>
          <w:sz w:val="20"/>
          <w:szCs w:val="20"/>
          <w:lang w:val="es-MX"/>
        </w:rPr>
        <w:t xml:space="preserve"> la peticionaria pudo ejercer su derecho de defensa y ser </w:t>
      </w:r>
      <w:r w:rsidR="004968DE" w:rsidRPr="00EA1CE1">
        <w:rPr>
          <w:rFonts w:asciiTheme="majorHAnsi" w:hAnsiTheme="majorHAnsi"/>
          <w:sz w:val="20"/>
          <w:szCs w:val="20"/>
          <w:lang w:val="es-MX"/>
        </w:rPr>
        <w:t>oída</w:t>
      </w:r>
      <w:r w:rsidR="00EA4B52" w:rsidRPr="00EA1CE1">
        <w:rPr>
          <w:rFonts w:asciiTheme="majorHAnsi" w:hAnsiTheme="majorHAnsi"/>
          <w:sz w:val="20"/>
          <w:szCs w:val="20"/>
          <w:lang w:val="es-MX"/>
        </w:rPr>
        <w:t xml:space="preserve"> por</w:t>
      </w:r>
      <w:r w:rsidR="00553E35" w:rsidRPr="00EA1CE1">
        <w:rPr>
          <w:rFonts w:asciiTheme="majorHAnsi" w:hAnsiTheme="majorHAnsi"/>
          <w:sz w:val="20"/>
          <w:szCs w:val="20"/>
          <w:lang w:val="es-MX"/>
        </w:rPr>
        <w:t xml:space="preserve"> el tribunal de la causa, quien respetó</w:t>
      </w:r>
      <w:r w:rsidR="00EA4B52" w:rsidRPr="00EA1CE1">
        <w:rPr>
          <w:rFonts w:asciiTheme="majorHAnsi" w:hAnsiTheme="majorHAnsi"/>
          <w:sz w:val="20"/>
          <w:szCs w:val="20"/>
          <w:lang w:val="es-MX"/>
        </w:rPr>
        <w:t xml:space="preserve"> las garantías del debido proceso, </w:t>
      </w:r>
      <w:r w:rsidR="00161632">
        <w:rPr>
          <w:rFonts w:asciiTheme="majorHAnsi" w:hAnsiTheme="majorHAnsi"/>
          <w:sz w:val="20"/>
          <w:szCs w:val="20"/>
          <w:lang w:val="es-MX"/>
        </w:rPr>
        <w:t xml:space="preserve">al punto </w:t>
      </w:r>
      <w:r w:rsidR="00721576">
        <w:rPr>
          <w:rFonts w:asciiTheme="majorHAnsi" w:hAnsiTheme="majorHAnsi"/>
          <w:sz w:val="20"/>
          <w:szCs w:val="20"/>
          <w:lang w:val="es-MX"/>
        </w:rPr>
        <w:t xml:space="preserve">de </w:t>
      </w:r>
      <w:r w:rsidR="00161632">
        <w:rPr>
          <w:rFonts w:asciiTheme="majorHAnsi" w:hAnsiTheme="majorHAnsi"/>
          <w:sz w:val="20"/>
          <w:szCs w:val="20"/>
          <w:lang w:val="es-MX"/>
        </w:rPr>
        <w:t>que fue absuelta</w:t>
      </w:r>
      <w:r w:rsidR="00EA4B52" w:rsidRPr="00EA1CE1">
        <w:rPr>
          <w:rFonts w:asciiTheme="majorHAnsi" w:hAnsiTheme="majorHAnsi"/>
          <w:sz w:val="20"/>
          <w:szCs w:val="20"/>
          <w:lang w:val="es-MX"/>
        </w:rPr>
        <w:t xml:space="preserve"> y </w:t>
      </w:r>
      <w:r w:rsidR="00161632">
        <w:rPr>
          <w:rFonts w:asciiTheme="majorHAnsi" w:hAnsiTheme="majorHAnsi"/>
          <w:sz w:val="20"/>
          <w:szCs w:val="20"/>
          <w:lang w:val="es-MX"/>
        </w:rPr>
        <w:t xml:space="preserve">se </w:t>
      </w:r>
      <w:r w:rsidR="00EA4B52" w:rsidRPr="00EA1CE1">
        <w:rPr>
          <w:rFonts w:asciiTheme="majorHAnsi" w:hAnsiTheme="majorHAnsi"/>
          <w:sz w:val="20"/>
          <w:szCs w:val="20"/>
          <w:lang w:val="es-MX"/>
        </w:rPr>
        <w:t xml:space="preserve">dispuso </w:t>
      </w:r>
      <w:r w:rsidR="00EA4B52" w:rsidRPr="00EA1CE1">
        <w:rPr>
          <w:rFonts w:asciiTheme="majorHAnsi" w:hAnsiTheme="majorHAnsi"/>
          <w:sz w:val="20"/>
          <w:szCs w:val="20"/>
          <w:lang w:val="es-MX"/>
        </w:rPr>
        <w:lastRenderedPageBreak/>
        <w:t xml:space="preserve">su inmediata </w:t>
      </w:r>
      <w:r w:rsidR="00161632">
        <w:rPr>
          <w:rFonts w:asciiTheme="majorHAnsi" w:hAnsiTheme="majorHAnsi"/>
          <w:sz w:val="20"/>
          <w:szCs w:val="20"/>
          <w:lang w:val="es-MX"/>
        </w:rPr>
        <w:t>libertad; y que se condenó</w:t>
      </w:r>
      <w:r w:rsidR="00EA4B52" w:rsidRPr="00EA1CE1">
        <w:rPr>
          <w:rFonts w:asciiTheme="majorHAnsi" w:hAnsiTheme="majorHAnsi"/>
          <w:sz w:val="20"/>
          <w:szCs w:val="20"/>
          <w:lang w:val="es-MX"/>
        </w:rPr>
        <w:t xml:space="preserve"> por falso testimonio </w:t>
      </w:r>
      <w:r w:rsidR="00161632">
        <w:rPr>
          <w:rFonts w:asciiTheme="majorHAnsi" w:hAnsiTheme="majorHAnsi"/>
          <w:sz w:val="20"/>
          <w:szCs w:val="20"/>
          <w:lang w:val="es-MX"/>
        </w:rPr>
        <w:t xml:space="preserve">a la Sra. </w:t>
      </w:r>
      <w:r w:rsidR="00EA4B52" w:rsidRPr="00EA1CE1">
        <w:rPr>
          <w:rFonts w:asciiTheme="majorHAnsi" w:hAnsiTheme="majorHAnsi"/>
          <w:sz w:val="20"/>
          <w:szCs w:val="20"/>
          <w:lang w:val="es-MX"/>
        </w:rPr>
        <w:t xml:space="preserve">Ángela Gónzalez y a los </w:t>
      </w:r>
      <w:r w:rsidR="00161632">
        <w:rPr>
          <w:rFonts w:asciiTheme="majorHAnsi" w:hAnsiTheme="majorHAnsi"/>
          <w:sz w:val="20"/>
          <w:szCs w:val="20"/>
          <w:lang w:val="es-MX"/>
        </w:rPr>
        <w:t>policías</w:t>
      </w:r>
      <w:r w:rsidR="00EA4B52" w:rsidRPr="00EA1CE1">
        <w:rPr>
          <w:rFonts w:asciiTheme="majorHAnsi" w:hAnsiTheme="majorHAnsi"/>
          <w:sz w:val="20"/>
          <w:szCs w:val="20"/>
          <w:lang w:val="es-MX"/>
        </w:rPr>
        <w:t xml:space="preserve"> invol</w:t>
      </w:r>
      <w:r w:rsidR="00161632">
        <w:rPr>
          <w:rFonts w:asciiTheme="majorHAnsi" w:hAnsiTheme="majorHAnsi"/>
          <w:sz w:val="20"/>
          <w:szCs w:val="20"/>
          <w:lang w:val="es-MX"/>
        </w:rPr>
        <w:t>ucrados</w:t>
      </w:r>
      <w:r w:rsidR="00EA4B52" w:rsidRPr="00EA1CE1">
        <w:rPr>
          <w:rFonts w:asciiTheme="majorHAnsi" w:hAnsiTheme="majorHAnsi"/>
          <w:sz w:val="20"/>
          <w:szCs w:val="20"/>
          <w:lang w:val="es-MX"/>
        </w:rPr>
        <w:t xml:space="preserve">. </w:t>
      </w:r>
    </w:p>
    <w:p w14:paraId="56C4CBB1" w14:textId="3A6E4D40" w:rsidR="000B3732" w:rsidRPr="006258C3" w:rsidRDefault="00721576" w:rsidP="006258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rFonts w:asciiTheme="majorHAnsi" w:hAnsiTheme="majorHAnsi"/>
          <w:sz w:val="20"/>
          <w:szCs w:val="20"/>
          <w:lang w:val="es-MX"/>
        </w:rPr>
        <w:t>E</w:t>
      </w:r>
      <w:r w:rsidR="006258C3">
        <w:rPr>
          <w:rFonts w:asciiTheme="majorHAnsi" w:hAnsiTheme="majorHAnsi"/>
          <w:sz w:val="20"/>
          <w:szCs w:val="20"/>
          <w:lang w:val="es-MX"/>
        </w:rPr>
        <w:t xml:space="preserve">l Estado </w:t>
      </w:r>
      <w:r>
        <w:rPr>
          <w:rFonts w:asciiTheme="majorHAnsi" w:hAnsiTheme="majorHAnsi"/>
          <w:sz w:val="20"/>
          <w:szCs w:val="20"/>
          <w:lang w:val="es-MX"/>
        </w:rPr>
        <w:t xml:space="preserve">agrega </w:t>
      </w:r>
      <w:r w:rsidR="006258C3">
        <w:rPr>
          <w:rFonts w:asciiTheme="majorHAnsi" w:hAnsiTheme="majorHAnsi"/>
          <w:sz w:val="20"/>
          <w:szCs w:val="20"/>
          <w:lang w:val="es-MX"/>
        </w:rPr>
        <w:t>en s</w:t>
      </w:r>
      <w:r w:rsidR="000B3732" w:rsidRPr="00EA1CE1">
        <w:rPr>
          <w:rFonts w:asciiTheme="majorHAnsi" w:hAnsiTheme="majorHAnsi"/>
          <w:sz w:val="20"/>
          <w:szCs w:val="20"/>
          <w:lang w:val="es-MX"/>
        </w:rPr>
        <w:t xml:space="preserve">u </w:t>
      </w:r>
      <w:r w:rsidR="006258C3">
        <w:rPr>
          <w:rFonts w:asciiTheme="majorHAnsi" w:hAnsiTheme="majorHAnsi"/>
          <w:sz w:val="20"/>
          <w:szCs w:val="20"/>
          <w:lang w:val="es-MX"/>
        </w:rPr>
        <w:t xml:space="preserve">última </w:t>
      </w:r>
      <w:r w:rsidR="000B3732" w:rsidRPr="00EA1CE1">
        <w:rPr>
          <w:rFonts w:asciiTheme="majorHAnsi" w:hAnsiTheme="majorHAnsi"/>
          <w:sz w:val="20"/>
          <w:szCs w:val="20"/>
          <w:lang w:val="es-MX"/>
        </w:rPr>
        <w:t xml:space="preserve">comunicación </w:t>
      </w:r>
      <w:r w:rsidR="006258C3">
        <w:rPr>
          <w:rFonts w:asciiTheme="majorHAnsi" w:hAnsiTheme="majorHAnsi"/>
          <w:sz w:val="20"/>
          <w:szCs w:val="20"/>
          <w:lang w:val="es-MX"/>
        </w:rPr>
        <w:t xml:space="preserve">que la presente petición fue presentada a la CIDH de manera extemporánea, ya que a su juicio los recursos judiciales internos se agotaron el 3 de noviembre de 1998 con la sentencia absolutoria dictada a favor de la presunta víctima, la cual es cosa juzgada. Mientras </w:t>
      </w:r>
      <w:r w:rsidR="006B2EF4" w:rsidRPr="00EA1CE1">
        <w:rPr>
          <w:rFonts w:asciiTheme="majorHAnsi" w:hAnsiTheme="majorHAnsi"/>
          <w:sz w:val="20"/>
          <w:szCs w:val="20"/>
          <w:lang w:val="es-MX"/>
        </w:rPr>
        <w:t xml:space="preserve">que la </w:t>
      </w:r>
      <w:r w:rsidR="006258C3">
        <w:rPr>
          <w:rFonts w:asciiTheme="majorHAnsi" w:hAnsiTheme="majorHAnsi"/>
          <w:sz w:val="20"/>
          <w:szCs w:val="20"/>
          <w:lang w:val="es-MX"/>
        </w:rPr>
        <w:t xml:space="preserve">presente </w:t>
      </w:r>
      <w:r w:rsidR="006B2EF4" w:rsidRPr="00EA1CE1">
        <w:rPr>
          <w:rFonts w:asciiTheme="majorHAnsi" w:hAnsiTheme="majorHAnsi"/>
          <w:sz w:val="20"/>
          <w:szCs w:val="20"/>
          <w:lang w:val="es-MX"/>
        </w:rPr>
        <w:t xml:space="preserve">petición </w:t>
      </w:r>
      <w:r w:rsidR="006258C3">
        <w:rPr>
          <w:rFonts w:asciiTheme="majorHAnsi" w:hAnsiTheme="majorHAnsi"/>
          <w:sz w:val="20"/>
          <w:szCs w:val="20"/>
          <w:lang w:val="es-MX"/>
        </w:rPr>
        <w:t>fue presentada</w:t>
      </w:r>
      <w:r w:rsidR="006B2EF4" w:rsidRPr="00EA1CE1">
        <w:rPr>
          <w:rFonts w:asciiTheme="majorHAnsi" w:hAnsiTheme="majorHAnsi"/>
          <w:sz w:val="20"/>
          <w:szCs w:val="20"/>
          <w:lang w:val="es-MX"/>
        </w:rPr>
        <w:t xml:space="preserve"> en abril del 2008,</w:t>
      </w:r>
      <w:r w:rsidR="006258C3">
        <w:rPr>
          <w:rFonts w:asciiTheme="majorHAnsi" w:hAnsiTheme="majorHAnsi"/>
          <w:sz w:val="20"/>
          <w:szCs w:val="20"/>
          <w:lang w:val="es-MX"/>
        </w:rPr>
        <w:t xml:space="preserve"> y por lo tanto, excediendo el plazo de seis meses establecido en el artículo 46.1.b de la Convención Americana. </w:t>
      </w:r>
    </w:p>
    <w:p w14:paraId="6F4D4171" w14:textId="158E6B1E" w:rsidR="003239B8" w:rsidRPr="00EA1CE1" w:rsidRDefault="003239B8" w:rsidP="00A9634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UY"/>
        </w:rPr>
      </w:pPr>
      <w:r w:rsidRPr="00EA1CE1">
        <w:rPr>
          <w:rFonts w:asciiTheme="majorHAnsi" w:eastAsia="Cambria" w:hAnsiTheme="majorHAnsi" w:cs="Cambria"/>
          <w:b/>
          <w:bCs/>
          <w:color w:val="000000"/>
          <w:sz w:val="20"/>
          <w:szCs w:val="20"/>
          <w:u w:color="000000"/>
          <w:lang w:val="es-ES" w:eastAsia="es-ES"/>
        </w:rPr>
        <w:t>VI.</w:t>
      </w:r>
      <w:r w:rsidRPr="00EA1CE1">
        <w:rPr>
          <w:rFonts w:asciiTheme="majorHAnsi" w:eastAsia="Cambria" w:hAnsiTheme="majorHAnsi" w:cs="Cambria"/>
          <w:b/>
          <w:bCs/>
          <w:color w:val="000000"/>
          <w:sz w:val="20"/>
          <w:szCs w:val="20"/>
          <w:u w:color="000000"/>
          <w:lang w:val="es-ES" w:eastAsia="es-ES"/>
        </w:rPr>
        <w:tab/>
      </w:r>
      <w:r w:rsidR="00C21FEF" w:rsidRPr="00EA1CE1">
        <w:rPr>
          <w:rFonts w:asciiTheme="majorHAnsi" w:hAnsiTheme="majorHAnsi"/>
          <w:b/>
          <w:sz w:val="20"/>
          <w:szCs w:val="20"/>
          <w:lang w:val="es-ES"/>
        </w:rPr>
        <w:t>AGOTAMIENTO DE LOS RECURSOS INTERNOS Y PLAZO DE PRESENTACIÓN</w:t>
      </w:r>
      <w:r w:rsidR="00C21FEF" w:rsidRPr="00EA1CE1">
        <w:rPr>
          <w:rFonts w:asciiTheme="majorHAnsi" w:eastAsia="Cambria" w:hAnsiTheme="majorHAnsi" w:cs="Cambria"/>
          <w:b/>
          <w:bCs/>
          <w:color w:val="000000"/>
          <w:sz w:val="20"/>
          <w:szCs w:val="20"/>
          <w:u w:color="000000"/>
          <w:lang w:val="es-ES" w:eastAsia="es-ES"/>
        </w:rPr>
        <w:t xml:space="preserve"> </w:t>
      </w:r>
    </w:p>
    <w:p w14:paraId="6AA8973C" w14:textId="7300F73D" w:rsidR="003867C3" w:rsidRPr="00BC115E" w:rsidRDefault="003867C3" w:rsidP="00C50FAD">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rFonts w:asciiTheme="majorHAnsi" w:hAnsiTheme="majorHAnsi"/>
          <w:sz w:val="20"/>
          <w:lang w:val="es-MX"/>
        </w:rPr>
        <w:t>L</w:t>
      </w:r>
      <w:r w:rsidR="00803AC0" w:rsidRPr="00EA1CE1">
        <w:rPr>
          <w:rFonts w:asciiTheme="majorHAnsi" w:hAnsiTheme="majorHAnsi"/>
          <w:sz w:val="20"/>
          <w:lang w:val="es-MX"/>
        </w:rPr>
        <w:t xml:space="preserve">a Comisión Interamericana </w:t>
      </w:r>
      <w:r>
        <w:rPr>
          <w:rFonts w:asciiTheme="majorHAnsi" w:hAnsiTheme="majorHAnsi"/>
          <w:sz w:val="20"/>
          <w:lang w:val="es-MX"/>
        </w:rPr>
        <w:t xml:space="preserve">observa en primer lugar que no existe controversia entre las partes con respecto al agotamiento de los recursos judiciales internos por parte de la presunta víctima. Así, a partir </w:t>
      </w:r>
      <w:r w:rsidRPr="00EA1CE1">
        <w:rPr>
          <w:rFonts w:asciiTheme="majorHAnsi" w:hAnsiTheme="majorHAnsi"/>
          <w:sz w:val="20"/>
          <w:lang w:val="es-MX"/>
        </w:rPr>
        <w:t xml:space="preserve">de las posiciones de las partes y </w:t>
      </w:r>
      <w:r>
        <w:rPr>
          <w:rFonts w:asciiTheme="majorHAnsi" w:hAnsiTheme="majorHAnsi"/>
          <w:sz w:val="20"/>
          <w:lang w:val="es-MX"/>
        </w:rPr>
        <w:t>de</w:t>
      </w:r>
      <w:r w:rsidRPr="00EA1CE1">
        <w:rPr>
          <w:rFonts w:asciiTheme="majorHAnsi" w:hAnsiTheme="majorHAnsi"/>
          <w:sz w:val="20"/>
          <w:lang w:val="es-MX"/>
        </w:rPr>
        <w:t xml:space="preserve"> la información disponible en el expediente, l</w:t>
      </w:r>
      <w:r>
        <w:rPr>
          <w:rFonts w:asciiTheme="majorHAnsi" w:hAnsiTheme="majorHAnsi"/>
          <w:sz w:val="20"/>
          <w:lang w:val="es-MX"/>
        </w:rPr>
        <w:t xml:space="preserve">a Comisión observa que los hechos planteados en la petición, a pesar de estar todos estrechamente relacionados, se refieren a dos procesos judiciales claramente diferenciados. Un primer proceso de naturaleza penal, que comenzó a principios de abril de 1997 con la detención </w:t>
      </w:r>
      <w:r w:rsidR="00BC115E">
        <w:rPr>
          <w:rFonts w:asciiTheme="majorHAnsi" w:hAnsiTheme="majorHAnsi"/>
          <w:sz w:val="20"/>
          <w:lang w:val="es-MX"/>
        </w:rPr>
        <w:t>de la presunta víctima</w:t>
      </w:r>
      <w:r w:rsidR="00956DB0">
        <w:rPr>
          <w:rFonts w:asciiTheme="majorHAnsi" w:hAnsiTheme="majorHAnsi"/>
          <w:sz w:val="20"/>
          <w:lang w:val="es-MX"/>
        </w:rPr>
        <w:t>,</w:t>
      </w:r>
      <w:r w:rsidR="00BC115E">
        <w:rPr>
          <w:rFonts w:asciiTheme="majorHAnsi" w:hAnsiTheme="majorHAnsi"/>
          <w:sz w:val="20"/>
          <w:lang w:val="es-MX"/>
        </w:rPr>
        <w:t xml:space="preserve"> y que culminó el 3 de noviembre de 1998 con su absolución definitiva, la cual hizo tránsito a cosa juzgada. Y posteriormente, un proceso ante la jurisdicción civil por daños y perjuicios planteado contra la provincia de Entre Ríos, que comenzó el 19 de agosto de 1999 y cuya última resolución, emitida por la Corte Suprema de Justicia de la Nación, le fue notificada a la presunta víctima el 4 de octubre de 2007. En este sentido, la Comisión considera que la presente petición cumple con el requisito del agotamiento de los recursos internos establecido en el artículo 46.1.a de la Convención Americana. </w:t>
      </w:r>
    </w:p>
    <w:p w14:paraId="2CFA56A1" w14:textId="727D6F23" w:rsidR="00BC115E" w:rsidRPr="00BC115E" w:rsidRDefault="00BC115E" w:rsidP="00BC115E">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MX"/>
        </w:rPr>
      </w:pPr>
      <w:r>
        <w:rPr>
          <w:rFonts w:asciiTheme="majorHAnsi" w:hAnsiTheme="majorHAnsi"/>
          <w:sz w:val="20"/>
          <w:szCs w:val="20"/>
          <w:lang w:val="es-MX"/>
        </w:rPr>
        <w:t xml:space="preserve">Así, en congruencia con las consideraciones anteriores, la Comisión considera que los alegatos planteados por los </w:t>
      </w:r>
      <w:r w:rsidR="00FF1D2F">
        <w:rPr>
          <w:rFonts w:asciiTheme="majorHAnsi" w:hAnsiTheme="majorHAnsi"/>
          <w:sz w:val="20"/>
          <w:szCs w:val="20"/>
          <w:lang w:val="es-MX"/>
        </w:rPr>
        <w:t>peticionarios con respecto a</w:t>
      </w:r>
      <w:r>
        <w:rPr>
          <w:rFonts w:asciiTheme="majorHAnsi" w:hAnsiTheme="majorHAnsi"/>
          <w:sz w:val="20"/>
          <w:szCs w:val="20"/>
          <w:lang w:val="es-MX"/>
        </w:rPr>
        <w:t xml:space="preserve"> hechos ocurridos en el proceso penal seguido contra la Sra. Hebe López</w:t>
      </w:r>
      <w:r w:rsidR="00FF1D2F">
        <w:rPr>
          <w:rFonts w:asciiTheme="majorHAnsi" w:hAnsiTheme="majorHAnsi"/>
          <w:sz w:val="20"/>
          <w:szCs w:val="20"/>
          <w:lang w:val="es-MX"/>
        </w:rPr>
        <w:t xml:space="preserve"> resultan extemporáneos en los términos del artículo 46.1.b de la Convención Americana, en atención a que dicho proceso culminó casi diez años antes de presentarse la petición a la Comisión. Sin embargo, todos aquellos hechos relacionados con la alegada falta de indemnización a la presunta víctima por las mencionadas violaciones a su derecho a la libertad personal, sí resultan admisibles a la luz del artículo 46.1.b de la Convención Americana. Toda vez, la presunta víctima fue notificada de la decisión final recaída en el proceso civil por daños y perjuicios el 4 de octubre de 2007, y la petición presentada a la CIDH dentro del plazo de seis meses estipulado por esa norma, el 2 de abril de 2008.   </w:t>
      </w:r>
    </w:p>
    <w:p w14:paraId="1C029136" w14:textId="232428CD" w:rsidR="003E6644" w:rsidRPr="00BC115E" w:rsidRDefault="00BC115E" w:rsidP="00BC115E">
      <w:pPr>
        <w:pStyle w:val="ListParagraph"/>
        <w:numPr>
          <w:ilvl w:val="0"/>
          <w:numId w:val="103"/>
        </w:numPr>
        <w:jc w:val="both"/>
        <w:rPr>
          <w:rFonts w:asciiTheme="majorHAnsi" w:hAnsiTheme="majorHAnsi"/>
          <w:sz w:val="20"/>
          <w:szCs w:val="20"/>
          <w:lang w:val="es-ES"/>
        </w:rPr>
      </w:pPr>
      <w:r w:rsidRPr="00BC115E">
        <w:rPr>
          <w:rFonts w:asciiTheme="majorHAnsi" w:hAnsiTheme="majorHAnsi"/>
          <w:bCs/>
          <w:sz w:val="20"/>
          <w:szCs w:val="20"/>
          <w:lang w:val="es-ES"/>
        </w:rPr>
        <w:t>Finalmente</w:t>
      </w:r>
      <w:r w:rsidR="003E6644" w:rsidRPr="00BC115E">
        <w:rPr>
          <w:rFonts w:asciiTheme="majorHAnsi" w:hAnsiTheme="majorHAnsi"/>
          <w:bCs/>
          <w:sz w:val="20"/>
          <w:szCs w:val="20"/>
          <w:lang w:val="es-ES"/>
        </w:rPr>
        <w:t>, la Comisión Interamericana toma nota del reclamo del Estado sobre la extemporaneidad en el traslado de la petición. La CIDH señala al respecto que ni la Convención Americana ni el Reglamento de la Comisión establecen un plazo para el traslado de una petición al Estado a partir de su recepción y que los plazos establecidos en el Reglamento y en la Convención para otras etapas del trámite no son aplicables por analogía</w:t>
      </w:r>
      <w:r w:rsidR="003E6644" w:rsidRPr="00EA1CE1">
        <w:rPr>
          <w:vertAlign w:val="superscript"/>
        </w:rPr>
        <w:footnoteReference w:id="6"/>
      </w:r>
      <w:r w:rsidR="003E6644" w:rsidRPr="00BC115E">
        <w:rPr>
          <w:rFonts w:asciiTheme="majorHAnsi" w:hAnsiTheme="majorHAnsi"/>
          <w:bCs/>
          <w:sz w:val="20"/>
          <w:szCs w:val="20"/>
          <w:lang w:val="es-MX"/>
        </w:rPr>
        <w:t>.</w:t>
      </w:r>
    </w:p>
    <w:p w14:paraId="4FFBE378" w14:textId="5D79BEAA" w:rsidR="003239B8" w:rsidRPr="00EA1CE1" w:rsidRDefault="003239B8" w:rsidP="003239B8">
      <w:pPr>
        <w:pStyle w:val="ListParagraph"/>
        <w:spacing w:before="240" w:after="240"/>
        <w:jc w:val="both"/>
        <w:rPr>
          <w:rFonts w:asciiTheme="majorHAnsi" w:hAnsiTheme="majorHAnsi"/>
          <w:b/>
          <w:sz w:val="20"/>
          <w:szCs w:val="20"/>
          <w:lang w:val="es-ES"/>
        </w:rPr>
      </w:pPr>
      <w:r w:rsidRPr="00EA1CE1">
        <w:rPr>
          <w:rFonts w:asciiTheme="majorHAnsi" w:hAnsiTheme="majorHAnsi"/>
          <w:b/>
          <w:bCs/>
          <w:sz w:val="20"/>
          <w:szCs w:val="20"/>
          <w:lang w:val="es-ES"/>
        </w:rPr>
        <w:t>VII.</w:t>
      </w:r>
      <w:r w:rsidRPr="00EA1CE1">
        <w:rPr>
          <w:rFonts w:asciiTheme="majorHAnsi" w:hAnsiTheme="majorHAnsi"/>
          <w:b/>
          <w:bCs/>
          <w:sz w:val="20"/>
          <w:szCs w:val="20"/>
          <w:lang w:val="es-ES"/>
        </w:rPr>
        <w:tab/>
      </w:r>
      <w:r w:rsidR="00C21FEF" w:rsidRPr="00EA1CE1">
        <w:rPr>
          <w:rFonts w:asciiTheme="majorHAnsi" w:hAnsiTheme="majorHAnsi"/>
          <w:b/>
          <w:bCs/>
          <w:sz w:val="20"/>
          <w:szCs w:val="20"/>
          <w:lang w:val="es-ES"/>
        </w:rPr>
        <w:t xml:space="preserve">CARACTERIZACIÓN </w:t>
      </w:r>
      <w:r w:rsidR="00760355">
        <w:rPr>
          <w:rFonts w:asciiTheme="majorHAnsi" w:hAnsiTheme="majorHAnsi"/>
          <w:b/>
          <w:bCs/>
          <w:sz w:val="20"/>
          <w:szCs w:val="20"/>
          <w:lang w:val="es-UY"/>
        </w:rPr>
        <w:t>DE LOS HECHOS ALEGADOS</w:t>
      </w:r>
    </w:p>
    <w:p w14:paraId="0D524F5C" w14:textId="4572D18D" w:rsidR="00A11E44" w:rsidRPr="00EA1CE1" w:rsidRDefault="007D1BA8" w:rsidP="00A11E44">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A1CE1">
        <w:rPr>
          <w:rFonts w:asciiTheme="majorHAnsi" w:hAnsiTheme="majorHAnsi"/>
          <w:sz w:val="20"/>
          <w:szCs w:val="20"/>
          <w:lang w:val="es-ES"/>
        </w:rPr>
        <w:t>En vista de los elementos de</w:t>
      </w:r>
      <w:r w:rsidR="00537B1F" w:rsidRPr="00EA1CE1">
        <w:rPr>
          <w:rFonts w:asciiTheme="majorHAnsi" w:hAnsiTheme="majorHAnsi"/>
          <w:sz w:val="20"/>
          <w:szCs w:val="20"/>
          <w:lang w:val="es-ES"/>
        </w:rPr>
        <w:t xml:space="preserve"> hecho y derecho alegados por los</w:t>
      </w:r>
      <w:r w:rsidRPr="00EA1CE1">
        <w:rPr>
          <w:rFonts w:asciiTheme="majorHAnsi" w:hAnsiTheme="majorHAnsi"/>
          <w:sz w:val="20"/>
          <w:szCs w:val="20"/>
          <w:lang w:val="es-ES"/>
        </w:rPr>
        <w:t xml:space="preserve"> peticionario</w:t>
      </w:r>
      <w:r w:rsidR="00537B1F" w:rsidRPr="00EA1CE1">
        <w:rPr>
          <w:rFonts w:asciiTheme="majorHAnsi" w:hAnsiTheme="majorHAnsi"/>
          <w:sz w:val="20"/>
          <w:szCs w:val="20"/>
          <w:lang w:val="es-ES"/>
        </w:rPr>
        <w:t>s</w:t>
      </w:r>
      <w:r w:rsidRPr="00EA1CE1">
        <w:rPr>
          <w:rFonts w:asciiTheme="majorHAnsi" w:hAnsiTheme="majorHAnsi"/>
          <w:sz w:val="20"/>
          <w:szCs w:val="20"/>
          <w:lang w:val="es-ES"/>
        </w:rPr>
        <w:t xml:space="preserve">, </w:t>
      </w:r>
      <w:r w:rsidR="00760355">
        <w:rPr>
          <w:rFonts w:asciiTheme="majorHAnsi" w:hAnsiTheme="majorHAnsi"/>
          <w:sz w:val="20"/>
          <w:szCs w:val="20"/>
          <w:lang w:val="es-ES"/>
        </w:rPr>
        <w:t xml:space="preserve">la Comisión considera que los hechos planteados por los peticionarios relativos a la falta de reparación a la presunta víctima derivada de los daños causados por la alegada aplicación ilegítima de la prisión preventiva en su perjuicio por más de un año y medio podrían caracterizar violaciones a los derechos establecidos en los artículos 7 (derecho a la libertad personal), 8 (garantías judiciales) y 25 (protección judicial), en relación con las obligaciones generales de respeto y garantía establecidas en el artículo 1.1 </w:t>
      </w:r>
      <w:r w:rsidR="00E9389E">
        <w:rPr>
          <w:rFonts w:asciiTheme="majorHAnsi" w:hAnsiTheme="majorHAnsi"/>
          <w:sz w:val="20"/>
          <w:szCs w:val="20"/>
          <w:lang w:val="es-ES"/>
        </w:rPr>
        <w:t xml:space="preserve">y del deber de adoptar </w:t>
      </w:r>
      <w:r w:rsidR="00E9389E">
        <w:rPr>
          <w:rFonts w:asciiTheme="majorHAnsi" w:hAnsiTheme="majorHAnsi"/>
          <w:sz w:val="20"/>
          <w:szCs w:val="20"/>
          <w:lang w:val="es-ES"/>
        </w:rPr>
        <w:lastRenderedPageBreak/>
        <w:t>disposiciones de derecho interno establecidas en el artículo 2 de dicho instrumento</w:t>
      </w:r>
      <w:r w:rsidR="000F769A">
        <w:rPr>
          <w:rStyle w:val="FootnoteReference"/>
          <w:rFonts w:asciiTheme="majorHAnsi" w:hAnsiTheme="majorHAnsi"/>
          <w:sz w:val="20"/>
          <w:szCs w:val="20"/>
          <w:lang w:val="es-ES"/>
        </w:rPr>
        <w:footnoteReference w:id="7"/>
      </w:r>
      <w:r w:rsidR="00760355">
        <w:rPr>
          <w:rFonts w:asciiTheme="majorHAnsi" w:hAnsiTheme="majorHAnsi"/>
          <w:sz w:val="20"/>
          <w:szCs w:val="20"/>
          <w:lang w:val="es-ES"/>
        </w:rPr>
        <w:t xml:space="preserve">. </w:t>
      </w:r>
      <w:r w:rsidR="00594E93">
        <w:rPr>
          <w:rFonts w:asciiTheme="majorHAnsi" w:hAnsiTheme="majorHAnsi"/>
          <w:sz w:val="20"/>
          <w:szCs w:val="20"/>
          <w:lang w:val="es-ES"/>
        </w:rPr>
        <w:t>A este respecto</w:t>
      </w:r>
      <w:r w:rsidR="00760355">
        <w:rPr>
          <w:rFonts w:asciiTheme="majorHAnsi" w:hAnsiTheme="majorHAnsi"/>
          <w:sz w:val="20"/>
          <w:szCs w:val="20"/>
          <w:lang w:val="es-ES"/>
        </w:rPr>
        <w:t xml:space="preserve">, y en sentido concordante con las determinaciones hechas respecto del análisis del plazo de presentación de la petición, la Comisión Interamericana analizará </w:t>
      </w:r>
      <w:r w:rsidR="000F769A">
        <w:rPr>
          <w:rFonts w:asciiTheme="majorHAnsi" w:hAnsiTheme="majorHAnsi"/>
          <w:sz w:val="20"/>
          <w:szCs w:val="20"/>
          <w:lang w:val="es-ES"/>
        </w:rPr>
        <w:t xml:space="preserve">los hechos relativos al proceso penal seguido contra la presunta víctima como antecedentes relevantes, necesarios para la correcta comprensión y valoración de los hechos ocurridos posteriormente. </w:t>
      </w:r>
    </w:p>
    <w:p w14:paraId="133F2611" w14:textId="01AFFC1A" w:rsidR="003E6644" w:rsidRPr="00443311" w:rsidRDefault="003E6644" w:rsidP="00443311">
      <w:pPr>
        <w:pStyle w:val="ListParagraph"/>
        <w:numPr>
          <w:ilvl w:val="0"/>
          <w:numId w:val="103"/>
        </w:numPr>
        <w:jc w:val="both"/>
        <w:rPr>
          <w:rFonts w:asciiTheme="majorHAnsi" w:hAnsiTheme="majorHAnsi"/>
          <w:sz w:val="20"/>
          <w:szCs w:val="20"/>
          <w:lang w:val="es-ES"/>
        </w:rPr>
      </w:pPr>
      <w:r w:rsidRPr="00EA1CE1">
        <w:rPr>
          <w:rFonts w:asciiTheme="majorHAnsi" w:hAnsiTheme="majorHAnsi"/>
          <w:sz w:val="20"/>
          <w:szCs w:val="20"/>
          <w:lang w:val="es-ES"/>
        </w:rPr>
        <w:t>Por último, respecto al alegato del Estado de cuarta instancia, la Comisión observa que al admitir esta petición no pretende suplantar la competencia de las autoridades judiciales domésticas. Sino que analizará en la etapa de fondo de la presente petición, si los procesos judiciales internos cumplieron con las garantías del debido proceso y protección judicial, y ofreció las debidas garantías de acceso a la justicia para la presunta víctima en los términos de la Convención Americana.</w:t>
      </w:r>
    </w:p>
    <w:p w14:paraId="29BB41F5" w14:textId="77777777" w:rsidR="003239B8" w:rsidRPr="00EA1CE1" w:rsidRDefault="003239B8" w:rsidP="003239B8">
      <w:pPr>
        <w:pStyle w:val="ListParagraph"/>
        <w:spacing w:before="240" w:after="240"/>
        <w:jc w:val="both"/>
        <w:rPr>
          <w:rFonts w:asciiTheme="majorHAnsi" w:hAnsiTheme="majorHAnsi"/>
          <w:b/>
          <w:bCs/>
          <w:sz w:val="20"/>
          <w:szCs w:val="20"/>
          <w:lang w:val="es-ES"/>
        </w:rPr>
      </w:pPr>
      <w:r w:rsidRPr="00EA1CE1">
        <w:rPr>
          <w:rFonts w:asciiTheme="majorHAnsi" w:hAnsiTheme="majorHAnsi"/>
          <w:b/>
          <w:bCs/>
          <w:sz w:val="20"/>
          <w:szCs w:val="20"/>
          <w:lang w:val="es-ES"/>
        </w:rPr>
        <w:t xml:space="preserve">VIII. </w:t>
      </w:r>
      <w:r w:rsidRPr="00EA1CE1">
        <w:rPr>
          <w:rFonts w:asciiTheme="majorHAnsi" w:hAnsiTheme="majorHAnsi"/>
          <w:b/>
          <w:bCs/>
          <w:sz w:val="20"/>
          <w:szCs w:val="20"/>
          <w:lang w:val="es-ES"/>
        </w:rPr>
        <w:tab/>
        <w:t>DECISIÓN</w:t>
      </w:r>
    </w:p>
    <w:p w14:paraId="41AA5BF6" w14:textId="5BAF7A0F" w:rsidR="000419AD" w:rsidRPr="00E14CAF" w:rsidRDefault="003239B8" w:rsidP="000419AD">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A1CE1">
        <w:rPr>
          <w:rFonts w:asciiTheme="majorHAnsi" w:hAnsiTheme="majorHAnsi"/>
          <w:sz w:val="20"/>
          <w:szCs w:val="20"/>
          <w:lang w:val="es-ES"/>
        </w:rPr>
        <w:t xml:space="preserve">Declarar admisible la presente petición en relación con </w:t>
      </w:r>
      <w:r w:rsidR="00350A96" w:rsidRPr="00EA1CE1">
        <w:rPr>
          <w:rFonts w:asciiTheme="majorHAnsi" w:hAnsiTheme="majorHAnsi"/>
          <w:sz w:val="20"/>
          <w:szCs w:val="20"/>
          <w:lang w:val="es-ES"/>
        </w:rPr>
        <w:t xml:space="preserve">los artículos </w:t>
      </w:r>
      <w:r w:rsidR="00662B56">
        <w:rPr>
          <w:rFonts w:asciiTheme="majorHAnsi" w:hAnsiTheme="majorHAnsi"/>
          <w:sz w:val="20"/>
          <w:szCs w:val="20"/>
          <w:lang w:val="es-ES"/>
        </w:rPr>
        <w:t>7, 8</w:t>
      </w:r>
      <w:r w:rsidR="00E14CAF">
        <w:rPr>
          <w:rFonts w:asciiTheme="majorHAnsi" w:hAnsiTheme="majorHAnsi"/>
          <w:sz w:val="20"/>
          <w:szCs w:val="20"/>
          <w:lang w:val="es-ES"/>
        </w:rPr>
        <w:t>, 24</w:t>
      </w:r>
      <w:r w:rsidR="00662B56">
        <w:rPr>
          <w:rFonts w:asciiTheme="majorHAnsi" w:hAnsiTheme="majorHAnsi"/>
          <w:sz w:val="20"/>
          <w:szCs w:val="20"/>
          <w:lang w:val="es-ES"/>
        </w:rPr>
        <w:t xml:space="preserve"> y 25 </w:t>
      </w:r>
      <w:r w:rsidR="00350A96" w:rsidRPr="00EA1CE1">
        <w:rPr>
          <w:rFonts w:asciiTheme="majorHAnsi" w:hAnsiTheme="majorHAnsi"/>
          <w:sz w:val="20"/>
          <w:szCs w:val="20"/>
          <w:lang w:val="es-ES"/>
        </w:rPr>
        <w:t>de la Convención Americana de Derechos Humanos</w:t>
      </w:r>
      <w:r w:rsidR="00662B56">
        <w:rPr>
          <w:rFonts w:asciiTheme="majorHAnsi" w:hAnsiTheme="majorHAnsi"/>
          <w:sz w:val="20"/>
          <w:szCs w:val="20"/>
          <w:lang w:val="es-ES"/>
        </w:rPr>
        <w:t>, en relación con los artículos 1.1 y 2 del mismo instrumento</w:t>
      </w:r>
      <w:r w:rsidR="00E14CAF">
        <w:rPr>
          <w:rFonts w:asciiTheme="majorHAnsi" w:hAnsiTheme="majorHAnsi"/>
          <w:sz w:val="20"/>
          <w:szCs w:val="20"/>
          <w:lang w:val="es-ES"/>
        </w:rPr>
        <w:t>;</w:t>
      </w:r>
    </w:p>
    <w:p w14:paraId="3F96B366" w14:textId="77777777" w:rsidR="003239B8" w:rsidRPr="00EA1CE1"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A1CE1">
        <w:rPr>
          <w:rFonts w:asciiTheme="majorHAnsi" w:hAnsiTheme="majorHAnsi"/>
          <w:sz w:val="20"/>
          <w:szCs w:val="20"/>
          <w:lang w:val="es-ES"/>
        </w:rPr>
        <w:t>Notificar a las partes la presente decisión;</w:t>
      </w:r>
    </w:p>
    <w:p w14:paraId="136D3164" w14:textId="77777777" w:rsidR="003239B8" w:rsidRPr="00EA1CE1" w:rsidRDefault="003239B8" w:rsidP="003239B8">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A1CE1">
        <w:rPr>
          <w:rFonts w:asciiTheme="majorHAnsi" w:hAnsiTheme="majorHAnsi"/>
          <w:sz w:val="20"/>
          <w:szCs w:val="20"/>
          <w:lang w:val="es-ES"/>
        </w:rPr>
        <w:t>Continuar con el análisis del fondo de la cuestión; y</w:t>
      </w:r>
    </w:p>
    <w:p w14:paraId="0D98495A" w14:textId="2FF6D996" w:rsidR="008D768D" w:rsidRDefault="003239B8" w:rsidP="004E7054">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EA1CE1">
        <w:rPr>
          <w:rFonts w:asciiTheme="majorHAnsi" w:hAnsiTheme="majorHAnsi"/>
          <w:sz w:val="20"/>
          <w:szCs w:val="20"/>
          <w:lang w:val="es-ES"/>
        </w:rPr>
        <w:t>Publicar esta decisión e incluirla en su Informe Anual a la Asamblea General de la Organización de los Estados Americanos.</w:t>
      </w:r>
    </w:p>
    <w:p w14:paraId="33DDAD3D" w14:textId="1B896C8F" w:rsidR="004E7054" w:rsidRPr="00A37B82" w:rsidRDefault="004E7054" w:rsidP="004E7054">
      <w:pPr>
        <w:ind w:firstLine="720"/>
        <w:jc w:val="both"/>
        <w:rPr>
          <w:rFonts w:asciiTheme="majorHAnsi" w:hAnsiTheme="majorHAnsi" w:cs="Arial"/>
          <w:noProof/>
          <w:spacing w:val="-2"/>
          <w:sz w:val="20"/>
          <w:szCs w:val="20"/>
          <w:lang w:val="es-CL"/>
        </w:rPr>
      </w:pPr>
      <w:r w:rsidRPr="007643D8">
        <w:rPr>
          <w:rFonts w:asciiTheme="majorHAnsi" w:hAnsiTheme="majorHAnsi" w:cs="Arial"/>
          <w:noProof/>
          <w:spacing w:val="-2"/>
          <w:sz w:val="20"/>
          <w:szCs w:val="20"/>
          <w:lang w:val="es-CL"/>
        </w:rPr>
        <w:t>Aprobado por la Comisión Interameri</w:t>
      </w:r>
      <w:r w:rsidR="00D74861">
        <w:rPr>
          <w:rFonts w:asciiTheme="majorHAnsi" w:hAnsiTheme="majorHAnsi" w:cs="Arial"/>
          <w:noProof/>
          <w:spacing w:val="-2"/>
          <w:sz w:val="20"/>
          <w:szCs w:val="20"/>
          <w:lang w:val="es-CL"/>
        </w:rPr>
        <w:t>cana de Derechos Humanos en la c</w:t>
      </w:r>
      <w:r w:rsidR="003660F7">
        <w:rPr>
          <w:rFonts w:asciiTheme="majorHAnsi" w:hAnsiTheme="majorHAnsi" w:cs="Arial"/>
          <w:noProof/>
          <w:spacing w:val="-2"/>
          <w:sz w:val="20"/>
          <w:szCs w:val="20"/>
          <w:lang w:val="es-CL"/>
        </w:rPr>
        <w:t xml:space="preserve">iudad de México, </w:t>
      </w:r>
      <w:r w:rsidRPr="007643D8">
        <w:rPr>
          <w:rFonts w:asciiTheme="majorHAnsi" w:hAnsiTheme="majorHAnsi" w:cs="Arial"/>
          <w:noProof/>
          <w:spacing w:val="-2"/>
          <w:sz w:val="20"/>
          <w:szCs w:val="20"/>
          <w:lang w:val="es-CL"/>
        </w:rPr>
        <w:t>a los 7 días del mes de septiembre de 2017.  (Firmado): Francisco José Eguiguren, Presidente; Margarette May Macaulay, Primera Vicepresidenta; Esmeralda E. Arosemena Bernal de Troitiño, Segunda Vicepresidenta; José de Jesús Orozco Henríquez, Paulo Vannuchi, James L. Cavallaro, y Luis Ernesto Vargas Silva, Miembros de la Comisión.</w:t>
      </w:r>
    </w:p>
    <w:p w14:paraId="2C062729" w14:textId="77777777" w:rsidR="004E7054" w:rsidRPr="004E7054" w:rsidRDefault="004E7054" w:rsidP="004E705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p>
    <w:p w14:paraId="6AC80CA6" w14:textId="77777777" w:rsidR="00722C9F" w:rsidRPr="00EA1CE1" w:rsidRDefault="00722C9F" w:rsidP="00974491">
      <w:pPr>
        <w:rPr>
          <w:rFonts w:asciiTheme="majorHAnsi" w:hAnsiTheme="majorHAnsi" w:cs="Calibri"/>
          <w:sz w:val="20"/>
          <w:szCs w:val="20"/>
          <w:lang w:val="es-ES"/>
        </w:rPr>
      </w:pPr>
    </w:p>
    <w:sectPr w:rsidR="00722C9F" w:rsidRPr="00EA1CE1"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CB704" w14:textId="77777777" w:rsidR="00011C50" w:rsidRDefault="00011C50">
      <w:r>
        <w:separator/>
      </w:r>
    </w:p>
  </w:endnote>
  <w:endnote w:type="continuationSeparator" w:id="0">
    <w:p w14:paraId="3CE8B7BA" w14:textId="77777777" w:rsidR="00011C50" w:rsidRDefault="00011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9CC47" w14:textId="77777777" w:rsidR="00873CB1" w:rsidRDefault="00873C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14:paraId="29E243E2" w14:textId="77777777" w:rsidR="00A83EF3" w:rsidRPr="00934A2C" w:rsidRDefault="00A83EF3">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73CB1">
          <w:rPr>
            <w:noProof/>
            <w:sz w:val="16"/>
            <w:szCs w:val="22"/>
          </w:rPr>
          <w:t>1</w:t>
        </w:r>
        <w:r w:rsidRPr="00934A2C">
          <w:rPr>
            <w:noProof/>
            <w:sz w:val="16"/>
            <w:szCs w:val="22"/>
          </w:rPr>
          <w:fldChar w:fldCharType="end"/>
        </w:r>
      </w:p>
    </w:sdtContent>
  </w:sdt>
  <w:p w14:paraId="68530E6A" w14:textId="77777777" w:rsidR="00A83EF3" w:rsidRDefault="00A83EF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F54FDC" w14:textId="77777777" w:rsidR="00A83EF3" w:rsidRPr="00934A2C" w:rsidRDefault="00A83EF3">
    <w:pPr>
      <w:pStyle w:val="Footer"/>
      <w:jc w:val="center"/>
      <w:rPr>
        <w:sz w:val="16"/>
        <w:szCs w:val="22"/>
      </w:rPr>
    </w:pPr>
  </w:p>
  <w:p w14:paraId="49059CE3" w14:textId="77777777" w:rsidR="00A83EF3" w:rsidRDefault="00A83E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74147" w14:textId="77777777" w:rsidR="00011C50" w:rsidRPr="000F35ED" w:rsidRDefault="00011C50">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548DE0B2" w14:textId="77777777" w:rsidR="00011C50" w:rsidRPr="000F35ED" w:rsidRDefault="00011C50" w:rsidP="000F35ED">
      <w:pPr>
        <w:rPr>
          <w:rFonts w:asciiTheme="majorHAnsi" w:hAnsiTheme="majorHAnsi"/>
          <w:sz w:val="16"/>
          <w:szCs w:val="16"/>
        </w:rPr>
      </w:pPr>
      <w:r w:rsidRPr="000F35ED">
        <w:rPr>
          <w:rFonts w:asciiTheme="majorHAnsi" w:hAnsiTheme="majorHAnsi"/>
          <w:sz w:val="16"/>
          <w:szCs w:val="16"/>
        </w:rPr>
        <w:separator/>
      </w:r>
    </w:p>
    <w:p w14:paraId="61F1F483" w14:textId="77777777" w:rsidR="00011C50" w:rsidRPr="000F35ED" w:rsidRDefault="00011C5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609E1EB6" w14:textId="77777777" w:rsidR="00011C50" w:rsidRPr="000F35ED" w:rsidRDefault="00011C5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9398132" w14:textId="714CD3E5" w:rsidR="00A83EF3" w:rsidRPr="00C11C1D" w:rsidRDefault="00A83EF3" w:rsidP="00A83EF3">
      <w:pPr>
        <w:pStyle w:val="FootnoteText"/>
        <w:spacing w:after="120"/>
        <w:ind w:firstLine="720"/>
        <w:jc w:val="both"/>
        <w:rPr>
          <w:rFonts w:asciiTheme="majorHAnsi" w:hAnsiTheme="majorHAnsi"/>
          <w:sz w:val="16"/>
          <w:szCs w:val="16"/>
          <w:lang w:val="es-MX"/>
        </w:rPr>
      </w:pPr>
      <w:r w:rsidRPr="00C11C1D">
        <w:rPr>
          <w:rStyle w:val="FootnoteReference"/>
          <w:rFonts w:asciiTheme="majorHAnsi" w:hAnsiTheme="majorHAnsi"/>
          <w:sz w:val="16"/>
          <w:szCs w:val="16"/>
        </w:rPr>
        <w:footnoteRef/>
      </w:r>
      <w:r w:rsidRPr="00C11C1D">
        <w:rPr>
          <w:rFonts w:asciiTheme="majorHAnsi" w:hAnsiTheme="majorHAnsi"/>
          <w:sz w:val="16"/>
          <w:szCs w:val="16"/>
          <w:lang w:val="es-MX"/>
        </w:rPr>
        <w:t xml:space="preserve"> En adelante, “la Convención”, “la Convención Americana” o “la CADH”.</w:t>
      </w:r>
    </w:p>
  </w:footnote>
  <w:footnote w:id="3">
    <w:p w14:paraId="79F07139" w14:textId="77777777" w:rsidR="00A83EF3" w:rsidRPr="00C11C1D" w:rsidRDefault="00A83EF3" w:rsidP="00A83EF3">
      <w:pPr>
        <w:pStyle w:val="FootnoteText"/>
        <w:spacing w:after="120"/>
        <w:ind w:firstLine="720"/>
        <w:jc w:val="both"/>
        <w:rPr>
          <w:rFonts w:asciiTheme="majorHAnsi" w:hAnsiTheme="majorHAnsi"/>
          <w:sz w:val="16"/>
          <w:szCs w:val="16"/>
          <w:lang w:val="es-ES"/>
        </w:rPr>
      </w:pPr>
      <w:r w:rsidRPr="00C11C1D">
        <w:rPr>
          <w:rStyle w:val="FootnoteReference"/>
          <w:rFonts w:asciiTheme="majorHAnsi" w:hAnsiTheme="majorHAnsi"/>
          <w:sz w:val="16"/>
          <w:szCs w:val="16"/>
        </w:rPr>
        <w:footnoteRef/>
      </w:r>
      <w:r w:rsidRPr="00C11C1D">
        <w:rPr>
          <w:rFonts w:asciiTheme="majorHAnsi" w:hAnsiTheme="majorHAnsi"/>
          <w:sz w:val="16"/>
          <w:szCs w:val="16"/>
          <w:lang w:val="es-ES"/>
        </w:rPr>
        <w:t xml:space="preserve"> Las observaciones de cada parte fueron debidamente trasladadas a la parte contraria.</w:t>
      </w:r>
    </w:p>
  </w:footnote>
  <w:footnote w:id="4">
    <w:p w14:paraId="3E23F3AE" w14:textId="16E8BC86" w:rsidR="00A83EF3" w:rsidRPr="00956DB0" w:rsidRDefault="00A83EF3" w:rsidP="00A83EF3">
      <w:pPr>
        <w:pStyle w:val="FootnoteText"/>
        <w:spacing w:after="120"/>
        <w:ind w:firstLine="720"/>
        <w:jc w:val="both"/>
        <w:rPr>
          <w:rFonts w:asciiTheme="majorHAnsi" w:hAnsiTheme="majorHAnsi"/>
          <w:sz w:val="16"/>
          <w:szCs w:val="16"/>
          <w:lang w:val="es-ES"/>
        </w:rPr>
      </w:pPr>
      <w:r w:rsidRPr="00C11C1D">
        <w:rPr>
          <w:rStyle w:val="FootnoteReference"/>
          <w:rFonts w:asciiTheme="majorHAnsi" w:hAnsiTheme="majorHAnsi"/>
          <w:sz w:val="16"/>
          <w:szCs w:val="16"/>
        </w:rPr>
        <w:footnoteRef/>
      </w:r>
      <w:r w:rsidRPr="00956DB0">
        <w:rPr>
          <w:rFonts w:asciiTheme="majorHAnsi" w:hAnsiTheme="majorHAnsi"/>
          <w:sz w:val="16"/>
          <w:szCs w:val="16"/>
          <w:lang w:val="es-ES"/>
        </w:rPr>
        <w:t>Cálculo realizado de acuerdo con datos obtenidos en la página web oficial del Banco Central de la República Argentina (</w:t>
      </w:r>
      <w:hyperlink r:id="rId1" w:history="1">
        <w:r w:rsidRPr="00956DB0">
          <w:rPr>
            <w:rStyle w:val="Hyperlink"/>
            <w:rFonts w:asciiTheme="majorHAnsi" w:hAnsiTheme="majorHAnsi"/>
            <w:sz w:val="16"/>
            <w:szCs w:val="16"/>
            <w:lang w:val="es-ES"/>
          </w:rPr>
          <w:t>http://www.bcra.gov.ar/PublicacionesEstadisticas/Cotizaciones_por_fecha_2.asp</w:t>
        </w:r>
      </w:hyperlink>
      <w:r w:rsidRPr="00956DB0">
        <w:rPr>
          <w:rFonts w:asciiTheme="majorHAnsi" w:hAnsiTheme="majorHAnsi"/>
          <w:sz w:val="16"/>
          <w:szCs w:val="16"/>
          <w:lang w:val="es-ES"/>
        </w:rPr>
        <w:t xml:space="preserve">) </w:t>
      </w:r>
    </w:p>
  </w:footnote>
  <w:footnote w:id="5">
    <w:p w14:paraId="0056F393" w14:textId="69F75148" w:rsidR="00A83EF3" w:rsidRPr="00956DB0" w:rsidRDefault="00A83EF3" w:rsidP="00A83EF3">
      <w:pPr>
        <w:pStyle w:val="FootnoteText"/>
        <w:spacing w:after="120"/>
        <w:ind w:firstLine="720"/>
        <w:jc w:val="both"/>
        <w:rPr>
          <w:rFonts w:asciiTheme="majorHAnsi" w:hAnsiTheme="majorHAnsi"/>
          <w:sz w:val="16"/>
          <w:szCs w:val="16"/>
          <w:lang w:val="es-ES"/>
        </w:rPr>
      </w:pPr>
      <w:r w:rsidRPr="00C11C1D">
        <w:rPr>
          <w:rStyle w:val="FootnoteReference"/>
          <w:rFonts w:asciiTheme="majorHAnsi" w:hAnsiTheme="majorHAnsi"/>
          <w:sz w:val="16"/>
          <w:szCs w:val="16"/>
        </w:rPr>
        <w:footnoteRef/>
      </w:r>
      <w:r w:rsidRPr="00956DB0">
        <w:rPr>
          <w:rFonts w:asciiTheme="majorHAnsi" w:hAnsiTheme="majorHAnsi"/>
          <w:sz w:val="16"/>
          <w:szCs w:val="16"/>
          <w:lang w:val="es-ES"/>
        </w:rPr>
        <w:t xml:space="preserve"> De acuerdo con información aportada por los peticionarios, luego de la reforma el artículo 64 de la Constitución de Entre Ríos establece </w:t>
      </w:r>
      <w:r w:rsidRPr="00C11C1D">
        <w:rPr>
          <w:rFonts w:asciiTheme="majorHAnsi" w:hAnsiTheme="majorHAnsi"/>
          <w:sz w:val="16"/>
          <w:szCs w:val="16"/>
          <w:lang w:val="es-MX"/>
        </w:rPr>
        <w:t>“[…] Toda persona declarada inocente respecto de una imputación por la que hubiese sido privada de su libertad de manera infundada o que se revele irracional en el curso del proceso, tendrá derecho a que el Estado, de acuerdo con la ley, le indemnice el daño sufrido a causa de su privación de libertad”.</w:t>
      </w:r>
    </w:p>
  </w:footnote>
  <w:footnote w:id="6">
    <w:p w14:paraId="1C52058E" w14:textId="5244DBBE" w:rsidR="00A83EF3" w:rsidRPr="00C11C1D" w:rsidRDefault="00A83EF3" w:rsidP="00A83EF3">
      <w:pPr>
        <w:pStyle w:val="FootnoteText"/>
        <w:spacing w:after="120"/>
        <w:ind w:firstLine="720"/>
        <w:jc w:val="both"/>
        <w:rPr>
          <w:rFonts w:asciiTheme="majorHAnsi" w:hAnsiTheme="majorHAnsi"/>
          <w:sz w:val="16"/>
          <w:szCs w:val="16"/>
          <w:lang w:val="es-ES"/>
        </w:rPr>
      </w:pPr>
      <w:r w:rsidRPr="00C11C1D">
        <w:rPr>
          <w:rStyle w:val="FootnoteReference"/>
          <w:rFonts w:asciiTheme="majorHAnsi" w:hAnsiTheme="majorHAnsi"/>
          <w:sz w:val="16"/>
          <w:szCs w:val="16"/>
        </w:rPr>
        <w:footnoteRef/>
      </w:r>
      <w:r w:rsidRPr="00C11C1D">
        <w:rPr>
          <w:rFonts w:asciiTheme="majorHAnsi" w:hAnsiTheme="majorHAnsi"/>
          <w:sz w:val="16"/>
          <w:szCs w:val="16"/>
          <w:lang w:val="es-ES"/>
        </w:rPr>
        <w:t xml:space="preserve"> Véase CIDH, Informe No. 56/16. </w:t>
      </w:r>
      <w:r w:rsidRPr="00C11C1D">
        <w:rPr>
          <w:rFonts w:asciiTheme="majorHAnsi" w:hAnsiTheme="majorHAnsi"/>
          <w:sz w:val="16"/>
          <w:szCs w:val="16"/>
          <w:lang w:val="es-ES_tradnl"/>
        </w:rPr>
        <w:t xml:space="preserve">Petición 666-03. Admisibilidad. Luis Alberto Leiva. Argentina. </w:t>
      </w:r>
      <w:r w:rsidRPr="00C11C1D">
        <w:rPr>
          <w:rFonts w:asciiTheme="majorHAnsi" w:hAnsiTheme="majorHAnsi"/>
          <w:sz w:val="16"/>
          <w:szCs w:val="16"/>
          <w:lang w:val="es-ES"/>
        </w:rPr>
        <w:t xml:space="preserve">6 de diciembre de 2016. Véase también, Corte IDH, </w:t>
      </w:r>
      <w:r w:rsidRPr="00C11C1D">
        <w:rPr>
          <w:rFonts w:asciiTheme="majorHAnsi" w:hAnsiTheme="majorHAnsi"/>
          <w:i/>
          <w:sz w:val="16"/>
          <w:szCs w:val="16"/>
          <w:lang w:val="es-ES"/>
        </w:rPr>
        <w:t xml:space="preserve">Caso Mémoli vs. Argentina. </w:t>
      </w:r>
      <w:r w:rsidRPr="00C11C1D">
        <w:rPr>
          <w:rFonts w:asciiTheme="majorHAnsi" w:hAnsiTheme="majorHAnsi"/>
          <w:sz w:val="16"/>
          <w:szCs w:val="16"/>
          <w:lang w:val="es-ES"/>
        </w:rPr>
        <w:t xml:space="preserve">Excepciones Preliminares, </w:t>
      </w:r>
      <w:r w:rsidRPr="00C11C1D">
        <w:rPr>
          <w:rFonts w:asciiTheme="majorHAnsi" w:hAnsiTheme="majorHAnsi"/>
          <w:sz w:val="16"/>
          <w:szCs w:val="16"/>
          <w:lang w:val="es-CO"/>
        </w:rPr>
        <w:t xml:space="preserve">Fondo, Reparaciones y Costas. Sentencia de 22 de agosto de 2013. Serie C No. 295, </w:t>
      </w:r>
      <w:r w:rsidRPr="00C11C1D">
        <w:rPr>
          <w:rFonts w:asciiTheme="majorHAnsi" w:hAnsiTheme="majorHAnsi"/>
          <w:sz w:val="16"/>
          <w:szCs w:val="16"/>
          <w:lang w:val="es-AR"/>
        </w:rPr>
        <w:t>p</w:t>
      </w:r>
      <w:r w:rsidRPr="00C11C1D">
        <w:rPr>
          <w:rFonts w:asciiTheme="majorHAnsi" w:hAnsiTheme="majorHAnsi"/>
          <w:sz w:val="16"/>
          <w:szCs w:val="16"/>
          <w:lang w:val="es-ES_tradnl"/>
        </w:rPr>
        <w:t>árrs</w:t>
      </w:r>
      <w:r w:rsidRPr="00C11C1D">
        <w:rPr>
          <w:rFonts w:asciiTheme="majorHAnsi" w:hAnsiTheme="majorHAnsi"/>
          <w:sz w:val="16"/>
          <w:szCs w:val="16"/>
          <w:lang w:val="es-AR"/>
        </w:rPr>
        <w:t>. 30-33.</w:t>
      </w:r>
    </w:p>
  </w:footnote>
  <w:footnote w:id="7">
    <w:p w14:paraId="22537D3E" w14:textId="43E6CE3D" w:rsidR="00A83EF3" w:rsidRPr="00C11C1D" w:rsidRDefault="00A83EF3" w:rsidP="00A83EF3">
      <w:pPr>
        <w:pStyle w:val="FootnoteText"/>
        <w:spacing w:after="120"/>
        <w:ind w:firstLine="720"/>
        <w:jc w:val="both"/>
        <w:rPr>
          <w:rFonts w:asciiTheme="majorHAnsi" w:hAnsiTheme="majorHAnsi"/>
          <w:sz w:val="16"/>
          <w:szCs w:val="16"/>
        </w:rPr>
      </w:pPr>
      <w:r w:rsidRPr="00C11C1D">
        <w:rPr>
          <w:rStyle w:val="FootnoteReference"/>
          <w:rFonts w:asciiTheme="majorHAnsi" w:hAnsiTheme="majorHAnsi"/>
          <w:sz w:val="16"/>
          <w:szCs w:val="16"/>
        </w:rPr>
        <w:footnoteRef/>
      </w:r>
      <w:r w:rsidRPr="00956DB0">
        <w:rPr>
          <w:rFonts w:asciiTheme="majorHAnsi" w:hAnsiTheme="majorHAnsi"/>
          <w:sz w:val="16"/>
          <w:szCs w:val="16"/>
          <w:lang w:val="es-ES"/>
        </w:rPr>
        <w:t xml:space="preserve"> La CIDH en su Informe sobre el Uso de la Prisión Preventiva en las Américas, indicó que “los Estados tienen el deber de reparar dentro de su jurisdicción las violaciones al derecho a la libertad personal en los términos del artículo 7 de la Convención Americana, incluyendo por supuesto aquellas relacionadas con la aplicación de la prisión preventiva”. Y que, “en consecuencia, los Estados deberían establecer en su ordenamiento jurídico interno los mecanismos legales adecuados para que el acceso a este tipo de reparación sea efectivo” (párr. </w:t>
      </w:r>
      <w:r w:rsidRPr="00C11C1D">
        <w:rPr>
          <w:rFonts w:asciiTheme="majorHAnsi" w:hAnsiTheme="majorHAnsi"/>
          <w:sz w:val="16"/>
          <w:szCs w:val="16"/>
        </w:rPr>
        <w:t xml:space="preserve">218).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A00DB" w14:textId="77777777" w:rsidR="00A83EF3" w:rsidRDefault="00A83EF3" w:rsidP="00F364ED">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A83EF3" w:rsidRDefault="00A83E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F401BB" w14:textId="77777777" w:rsidR="00A83EF3" w:rsidRDefault="00A83EF3"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A83EF3" w:rsidRPr="00EC7D62" w:rsidRDefault="00011C50"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E1C65" w14:textId="77777777" w:rsidR="00873CB1" w:rsidRDefault="00873C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1">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2">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3">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4">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5">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6">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0"/>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1"/>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 w:numId="1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UY" w:vendorID="64" w:dllVersion="131078" w:nlCheck="1" w:checkStyle="1"/>
  <w:activeWritingStyle w:appName="MSWord" w:lang="es-ES_tradnl" w:vendorID="64" w:dllVersion="131078" w:nlCheck="1" w:checkStyle="1"/>
  <w:activeWritingStyle w:appName="MSWord" w:lang="es-CL" w:vendorID="64" w:dllVersion="131078" w:nlCheck="1" w:checkStyle="1"/>
  <w:activeWritingStyle w:appName="MSWord" w:lang="es-SV" w:vendorID="64" w:dllVersion="131078" w:nlCheck="1" w:checkStyle="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1B89"/>
    <w:rsid w:val="00006E1F"/>
    <w:rsid w:val="000070D7"/>
    <w:rsid w:val="00011C50"/>
    <w:rsid w:val="0001788C"/>
    <w:rsid w:val="000337EF"/>
    <w:rsid w:val="00040C3A"/>
    <w:rsid w:val="000419AD"/>
    <w:rsid w:val="000716C5"/>
    <w:rsid w:val="00073157"/>
    <w:rsid w:val="00075E23"/>
    <w:rsid w:val="00087589"/>
    <w:rsid w:val="0009344A"/>
    <w:rsid w:val="00096CA8"/>
    <w:rsid w:val="000A17EA"/>
    <w:rsid w:val="000A392E"/>
    <w:rsid w:val="000A575F"/>
    <w:rsid w:val="000B3732"/>
    <w:rsid w:val="000B3D4A"/>
    <w:rsid w:val="000C04B0"/>
    <w:rsid w:val="000D0DAC"/>
    <w:rsid w:val="000D10DB"/>
    <w:rsid w:val="000D1197"/>
    <w:rsid w:val="000D4CD5"/>
    <w:rsid w:val="000E0558"/>
    <w:rsid w:val="000E5EB5"/>
    <w:rsid w:val="000F1FEA"/>
    <w:rsid w:val="000F35ED"/>
    <w:rsid w:val="000F769A"/>
    <w:rsid w:val="00107131"/>
    <w:rsid w:val="0010736F"/>
    <w:rsid w:val="001115CD"/>
    <w:rsid w:val="00113F73"/>
    <w:rsid w:val="00121CC2"/>
    <w:rsid w:val="00133EE5"/>
    <w:rsid w:val="00136421"/>
    <w:rsid w:val="00146882"/>
    <w:rsid w:val="0015274C"/>
    <w:rsid w:val="00161632"/>
    <w:rsid w:val="0016242C"/>
    <w:rsid w:val="00167A34"/>
    <w:rsid w:val="00184449"/>
    <w:rsid w:val="00190AE2"/>
    <w:rsid w:val="001A2808"/>
    <w:rsid w:val="001A7870"/>
    <w:rsid w:val="001A7C4C"/>
    <w:rsid w:val="001B3A00"/>
    <w:rsid w:val="001C1B41"/>
    <w:rsid w:val="001D65EF"/>
    <w:rsid w:val="001E06D1"/>
    <w:rsid w:val="001E276E"/>
    <w:rsid w:val="001E49E7"/>
    <w:rsid w:val="001E5890"/>
    <w:rsid w:val="001F5578"/>
    <w:rsid w:val="001F7201"/>
    <w:rsid w:val="001F78AC"/>
    <w:rsid w:val="00204E07"/>
    <w:rsid w:val="00206FF8"/>
    <w:rsid w:val="00216C8F"/>
    <w:rsid w:val="002214F5"/>
    <w:rsid w:val="00223A29"/>
    <w:rsid w:val="002250A3"/>
    <w:rsid w:val="002316C1"/>
    <w:rsid w:val="00235217"/>
    <w:rsid w:val="00236DDC"/>
    <w:rsid w:val="0024649A"/>
    <w:rsid w:val="00246D1F"/>
    <w:rsid w:val="00247403"/>
    <w:rsid w:val="00247542"/>
    <w:rsid w:val="00255F83"/>
    <w:rsid w:val="00263320"/>
    <w:rsid w:val="00266B61"/>
    <w:rsid w:val="0026712A"/>
    <w:rsid w:val="002704DB"/>
    <w:rsid w:val="00271537"/>
    <w:rsid w:val="0029564C"/>
    <w:rsid w:val="002A0AAE"/>
    <w:rsid w:val="002A5820"/>
    <w:rsid w:val="002C4021"/>
    <w:rsid w:val="002D2B26"/>
    <w:rsid w:val="002D7EA2"/>
    <w:rsid w:val="002E187C"/>
    <w:rsid w:val="002F534C"/>
    <w:rsid w:val="0030253E"/>
    <w:rsid w:val="00302733"/>
    <w:rsid w:val="00314078"/>
    <w:rsid w:val="0031535D"/>
    <w:rsid w:val="003239B8"/>
    <w:rsid w:val="0033169F"/>
    <w:rsid w:val="00344977"/>
    <w:rsid w:val="00346C95"/>
    <w:rsid w:val="00346CBD"/>
    <w:rsid w:val="00350A96"/>
    <w:rsid w:val="0035233D"/>
    <w:rsid w:val="00356185"/>
    <w:rsid w:val="00356FA4"/>
    <w:rsid w:val="00360380"/>
    <w:rsid w:val="003660F7"/>
    <w:rsid w:val="003744B9"/>
    <w:rsid w:val="00374C95"/>
    <w:rsid w:val="0037519E"/>
    <w:rsid w:val="003807F7"/>
    <w:rsid w:val="003867C3"/>
    <w:rsid w:val="00386CF0"/>
    <w:rsid w:val="003A5C1A"/>
    <w:rsid w:val="003B040A"/>
    <w:rsid w:val="003B70FB"/>
    <w:rsid w:val="003C676B"/>
    <w:rsid w:val="003D2997"/>
    <w:rsid w:val="003D3BC2"/>
    <w:rsid w:val="003D7F3E"/>
    <w:rsid w:val="003E6644"/>
    <w:rsid w:val="003E6CA1"/>
    <w:rsid w:val="004165C2"/>
    <w:rsid w:val="0042620E"/>
    <w:rsid w:val="0044029B"/>
    <w:rsid w:val="00440EDB"/>
    <w:rsid w:val="00441ECB"/>
    <w:rsid w:val="00443311"/>
    <w:rsid w:val="00445193"/>
    <w:rsid w:val="00445E81"/>
    <w:rsid w:val="00453B71"/>
    <w:rsid w:val="00462C1B"/>
    <w:rsid w:val="0046371C"/>
    <w:rsid w:val="00467B7E"/>
    <w:rsid w:val="00473BB4"/>
    <w:rsid w:val="00477592"/>
    <w:rsid w:val="00480D1C"/>
    <w:rsid w:val="00485B66"/>
    <w:rsid w:val="00486F1C"/>
    <w:rsid w:val="00490ED5"/>
    <w:rsid w:val="00492EA1"/>
    <w:rsid w:val="00493540"/>
    <w:rsid w:val="0049419D"/>
    <w:rsid w:val="004968DE"/>
    <w:rsid w:val="004A383D"/>
    <w:rsid w:val="004B3E60"/>
    <w:rsid w:val="004B6026"/>
    <w:rsid w:val="004C20D2"/>
    <w:rsid w:val="004C2312"/>
    <w:rsid w:val="004C4B62"/>
    <w:rsid w:val="004C54C9"/>
    <w:rsid w:val="004D4ABA"/>
    <w:rsid w:val="004D6025"/>
    <w:rsid w:val="004E04CC"/>
    <w:rsid w:val="004E2649"/>
    <w:rsid w:val="004E7054"/>
    <w:rsid w:val="004F0875"/>
    <w:rsid w:val="00501399"/>
    <w:rsid w:val="0050633D"/>
    <w:rsid w:val="00507BC4"/>
    <w:rsid w:val="005128E4"/>
    <w:rsid w:val="005133DB"/>
    <w:rsid w:val="00523F21"/>
    <w:rsid w:val="00525560"/>
    <w:rsid w:val="00537B1F"/>
    <w:rsid w:val="00544B38"/>
    <w:rsid w:val="00544C49"/>
    <w:rsid w:val="005516A1"/>
    <w:rsid w:val="00553E35"/>
    <w:rsid w:val="00562769"/>
    <w:rsid w:val="00563557"/>
    <w:rsid w:val="0057402A"/>
    <w:rsid w:val="005771D0"/>
    <w:rsid w:val="0059191A"/>
    <w:rsid w:val="005921FF"/>
    <w:rsid w:val="00594E93"/>
    <w:rsid w:val="005A24ED"/>
    <w:rsid w:val="005A6D0E"/>
    <w:rsid w:val="005B52B0"/>
    <w:rsid w:val="005B6806"/>
    <w:rsid w:val="005C0A54"/>
    <w:rsid w:val="005C4225"/>
    <w:rsid w:val="005D1D11"/>
    <w:rsid w:val="005D6BDF"/>
    <w:rsid w:val="005E7CBD"/>
    <w:rsid w:val="005F0DAD"/>
    <w:rsid w:val="005F0F33"/>
    <w:rsid w:val="00600DEB"/>
    <w:rsid w:val="00607323"/>
    <w:rsid w:val="00624C81"/>
    <w:rsid w:val="006258C3"/>
    <w:rsid w:val="00627C9F"/>
    <w:rsid w:val="006311E9"/>
    <w:rsid w:val="00632354"/>
    <w:rsid w:val="00642810"/>
    <w:rsid w:val="0064655C"/>
    <w:rsid w:val="00652333"/>
    <w:rsid w:val="00662B56"/>
    <w:rsid w:val="00663281"/>
    <w:rsid w:val="0068009E"/>
    <w:rsid w:val="00692219"/>
    <w:rsid w:val="00694490"/>
    <w:rsid w:val="006A1108"/>
    <w:rsid w:val="006A17D2"/>
    <w:rsid w:val="006A73E6"/>
    <w:rsid w:val="006B2D5C"/>
    <w:rsid w:val="006B2EF4"/>
    <w:rsid w:val="006C4EB1"/>
    <w:rsid w:val="006C5085"/>
    <w:rsid w:val="006D4788"/>
    <w:rsid w:val="006E0166"/>
    <w:rsid w:val="006E7B34"/>
    <w:rsid w:val="006F1B81"/>
    <w:rsid w:val="0070697F"/>
    <w:rsid w:val="00712F6F"/>
    <w:rsid w:val="00716EA0"/>
    <w:rsid w:val="00721561"/>
    <w:rsid w:val="00721576"/>
    <w:rsid w:val="00721676"/>
    <w:rsid w:val="0072199C"/>
    <w:rsid w:val="007224D6"/>
    <w:rsid w:val="00722C9F"/>
    <w:rsid w:val="007253B8"/>
    <w:rsid w:val="00732DC2"/>
    <w:rsid w:val="007364B9"/>
    <w:rsid w:val="0073741F"/>
    <w:rsid w:val="007422B9"/>
    <w:rsid w:val="00747C1D"/>
    <w:rsid w:val="00753504"/>
    <w:rsid w:val="00760355"/>
    <w:rsid w:val="0076643F"/>
    <w:rsid w:val="00777F63"/>
    <w:rsid w:val="007834D9"/>
    <w:rsid w:val="00791402"/>
    <w:rsid w:val="007A5817"/>
    <w:rsid w:val="007B05C4"/>
    <w:rsid w:val="007B60E9"/>
    <w:rsid w:val="007B6CC3"/>
    <w:rsid w:val="007C3334"/>
    <w:rsid w:val="007D1BA8"/>
    <w:rsid w:val="007D2B98"/>
    <w:rsid w:val="007D5042"/>
    <w:rsid w:val="007E21BC"/>
    <w:rsid w:val="007E33F4"/>
    <w:rsid w:val="007F00D0"/>
    <w:rsid w:val="007F0DF5"/>
    <w:rsid w:val="007F2550"/>
    <w:rsid w:val="00803AC0"/>
    <w:rsid w:val="00803F1C"/>
    <w:rsid w:val="0080600E"/>
    <w:rsid w:val="00807619"/>
    <w:rsid w:val="00817612"/>
    <w:rsid w:val="00824910"/>
    <w:rsid w:val="008338A4"/>
    <w:rsid w:val="008372C3"/>
    <w:rsid w:val="00837C45"/>
    <w:rsid w:val="008425BF"/>
    <w:rsid w:val="00844730"/>
    <w:rsid w:val="008457C2"/>
    <w:rsid w:val="00857A82"/>
    <w:rsid w:val="00864297"/>
    <w:rsid w:val="00873836"/>
    <w:rsid w:val="00873CB1"/>
    <w:rsid w:val="00877056"/>
    <w:rsid w:val="00885737"/>
    <w:rsid w:val="00890650"/>
    <w:rsid w:val="00897E12"/>
    <w:rsid w:val="008A7E0F"/>
    <w:rsid w:val="008B12F5"/>
    <w:rsid w:val="008C2AEA"/>
    <w:rsid w:val="008D768D"/>
    <w:rsid w:val="008E3759"/>
    <w:rsid w:val="008E3BFE"/>
    <w:rsid w:val="008F1912"/>
    <w:rsid w:val="008F2D03"/>
    <w:rsid w:val="008F2EEF"/>
    <w:rsid w:val="008F7E7A"/>
    <w:rsid w:val="0090270B"/>
    <w:rsid w:val="009041DC"/>
    <w:rsid w:val="00917B5A"/>
    <w:rsid w:val="00920A58"/>
    <w:rsid w:val="00920A8C"/>
    <w:rsid w:val="009258F1"/>
    <w:rsid w:val="00934A2C"/>
    <w:rsid w:val="0093628D"/>
    <w:rsid w:val="009558A7"/>
    <w:rsid w:val="00956DB0"/>
    <w:rsid w:val="0096706E"/>
    <w:rsid w:val="00972801"/>
    <w:rsid w:val="00974491"/>
    <w:rsid w:val="00975C4E"/>
    <w:rsid w:val="00981FBA"/>
    <w:rsid w:val="00997BC5"/>
    <w:rsid w:val="009A09F3"/>
    <w:rsid w:val="009A323C"/>
    <w:rsid w:val="009A4F41"/>
    <w:rsid w:val="009A5FEC"/>
    <w:rsid w:val="009B381B"/>
    <w:rsid w:val="009B5066"/>
    <w:rsid w:val="009C3106"/>
    <w:rsid w:val="009C6F08"/>
    <w:rsid w:val="009D1753"/>
    <w:rsid w:val="009D7611"/>
    <w:rsid w:val="009E0B61"/>
    <w:rsid w:val="009E0E93"/>
    <w:rsid w:val="009E53DE"/>
    <w:rsid w:val="009E7FF5"/>
    <w:rsid w:val="00A02D76"/>
    <w:rsid w:val="00A02F87"/>
    <w:rsid w:val="00A05257"/>
    <w:rsid w:val="00A11E44"/>
    <w:rsid w:val="00A134D8"/>
    <w:rsid w:val="00A239CB"/>
    <w:rsid w:val="00A2498F"/>
    <w:rsid w:val="00A2718F"/>
    <w:rsid w:val="00A328B3"/>
    <w:rsid w:val="00A50FCF"/>
    <w:rsid w:val="00A528D1"/>
    <w:rsid w:val="00A56672"/>
    <w:rsid w:val="00A610CD"/>
    <w:rsid w:val="00A758AA"/>
    <w:rsid w:val="00A8365E"/>
    <w:rsid w:val="00A83EF3"/>
    <w:rsid w:val="00A94ED9"/>
    <w:rsid w:val="00A9634C"/>
    <w:rsid w:val="00A96BD3"/>
    <w:rsid w:val="00AA09A2"/>
    <w:rsid w:val="00AA7996"/>
    <w:rsid w:val="00AB39E4"/>
    <w:rsid w:val="00AC1860"/>
    <w:rsid w:val="00AC19CB"/>
    <w:rsid w:val="00AD0D23"/>
    <w:rsid w:val="00AD4550"/>
    <w:rsid w:val="00AD7474"/>
    <w:rsid w:val="00AE5488"/>
    <w:rsid w:val="00AE6F91"/>
    <w:rsid w:val="00AF5571"/>
    <w:rsid w:val="00B02131"/>
    <w:rsid w:val="00B07341"/>
    <w:rsid w:val="00B23630"/>
    <w:rsid w:val="00B30539"/>
    <w:rsid w:val="00B314DB"/>
    <w:rsid w:val="00B361F2"/>
    <w:rsid w:val="00B3718B"/>
    <w:rsid w:val="00B4632A"/>
    <w:rsid w:val="00B469D8"/>
    <w:rsid w:val="00B47564"/>
    <w:rsid w:val="00B530F1"/>
    <w:rsid w:val="00B625F2"/>
    <w:rsid w:val="00B9685B"/>
    <w:rsid w:val="00BA276C"/>
    <w:rsid w:val="00BB306F"/>
    <w:rsid w:val="00BC115E"/>
    <w:rsid w:val="00BD4B89"/>
    <w:rsid w:val="00BD5922"/>
    <w:rsid w:val="00BE2EA7"/>
    <w:rsid w:val="00BF02CB"/>
    <w:rsid w:val="00BF6FD8"/>
    <w:rsid w:val="00C03680"/>
    <w:rsid w:val="00C054DF"/>
    <w:rsid w:val="00C11C1D"/>
    <w:rsid w:val="00C21762"/>
    <w:rsid w:val="00C21FEF"/>
    <w:rsid w:val="00C24543"/>
    <w:rsid w:val="00C256A2"/>
    <w:rsid w:val="00C50FAD"/>
    <w:rsid w:val="00C51515"/>
    <w:rsid w:val="00C5660B"/>
    <w:rsid w:val="00C66B72"/>
    <w:rsid w:val="00C84AC9"/>
    <w:rsid w:val="00C85EBD"/>
    <w:rsid w:val="00C87AC4"/>
    <w:rsid w:val="00C9567A"/>
    <w:rsid w:val="00CB212D"/>
    <w:rsid w:val="00CB2660"/>
    <w:rsid w:val="00CB4237"/>
    <w:rsid w:val="00CC5E90"/>
    <w:rsid w:val="00CD046C"/>
    <w:rsid w:val="00CD5026"/>
    <w:rsid w:val="00CE076C"/>
    <w:rsid w:val="00CE5199"/>
    <w:rsid w:val="00CE66D5"/>
    <w:rsid w:val="00CF637A"/>
    <w:rsid w:val="00CF6D87"/>
    <w:rsid w:val="00D059DE"/>
    <w:rsid w:val="00D05ABD"/>
    <w:rsid w:val="00D05E3A"/>
    <w:rsid w:val="00D1064B"/>
    <w:rsid w:val="00D13FCE"/>
    <w:rsid w:val="00D306D1"/>
    <w:rsid w:val="00D30800"/>
    <w:rsid w:val="00D34786"/>
    <w:rsid w:val="00D37BFC"/>
    <w:rsid w:val="00D47A8E"/>
    <w:rsid w:val="00D52D14"/>
    <w:rsid w:val="00D712D3"/>
    <w:rsid w:val="00D71422"/>
    <w:rsid w:val="00D72DC6"/>
    <w:rsid w:val="00D74861"/>
    <w:rsid w:val="00D7558D"/>
    <w:rsid w:val="00D75B15"/>
    <w:rsid w:val="00D81D92"/>
    <w:rsid w:val="00DA40E3"/>
    <w:rsid w:val="00DA6E37"/>
    <w:rsid w:val="00DA7B5F"/>
    <w:rsid w:val="00DC11E7"/>
    <w:rsid w:val="00DC2F92"/>
    <w:rsid w:val="00DC7023"/>
    <w:rsid w:val="00DC769A"/>
    <w:rsid w:val="00DD3D86"/>
    <w:rsid w:val="00DF1EC4"/>
    <w:rsid w:val="00E0340B"/>
    <w:rsid w:val="00E04A90"/>
    <w:rsid w:val="00E0551F"/>
    <w:rsid w:val="00E14CAF"/>
    <w:rsid w:val="00E215ED"/>
    <w:rsid w:val="00E219C7"/>
    <w:rsid w:val="00E4118C"/>
    <w:rsid w:val="00E43157"/>
    <w:rsid w:val="00E461CE"/>
    <w:rsid w:val="00E67DDA"/>
    <w:rsid w:val="00E720CA"/>
    <w:rsid w:val="00E841C8"/>
    <w:rsid w:val="00E84EB5"/>
    <w:rsid w:val="00E85662"/>
    <w:rsid w:val="00E86721"/>
    <w:rsid w:val="00E8789F"/>
    <w:rsid w:val="00E9389E"/>
    <w:rsid w:val="00E97B71"/>
    <w:rsid w:val="00EA1CE1"/>
    <w:rsid w:val="00EA3D34"/>
    <w:rsid w:val="00EA4B52"/>
    <w:rsid w:val="00EB454D"/>
    <w:rsid w:val="00EC30CA"/>
    <w:rsid w:val="00EC4545"/>
    <w:rsid w:val="00EC5C9E"/>
    <w:rsid w:val="00ED00D9"/>
    <w:rsid w:val="00ED549D"/>
    <w:rsid w:val="00ED76BE"/>
    <w:rsid w:val="00EE00E9"/>
    <w:rsid w:val="00EE48C5"/>
    <w:rsid w:val="00EF619B"/>
    <w:rsid w:val="00F00B55"/>
    <w:rsid w:val="00F00E06"/>
    <w:rsid w:val="00F02AD1"/>
    <w:rsid w:val="00F253CC"/>
    <w:rsid w:val="00F364ED"/>
    <w:rsid w:val="00F37106"/>
    <w:rsid w:val="00F43CD8"/>
    <w:rsid w:val="00F519CF"/>
    <w:rsid w:val="00F53123"/>
    <w:rsid w:val="00F56BA5"/>
    <w:rsid w:val="00F60E22"/>
    <w:rsid w:val="00F802DD"/>
    <w:rsid w:val="00F8069B"/>
    <w:rsid w:val="00F81395"/>
    <w:rsid w:val="00F81BB8"/>
    <w:rsid w:val="00F917D1"/>
    <w:rsid w:val="00F930C2"/>
    <w:rsid w:val="00F9653B"/>
    <w:rsid w:val="00FA5DD5"/>
    <w:rsid w:val="00FB02CF"/>
    <w:rsid w:val="00FB2138"/>
    <w:rsid w:val="00FB2FBA"/>
    <w:rsid w:val="00FB62CF"/>
    <w:rsid w:val="00FC34A9"/>
    <w:rsid w:val="00FC4A8A"/>
    <w:rsid w:val="00FD3C3B"/>
    <w:rsid w:val="00FD7845"/>
    <w:rsid w:val="00FE07DD"/>
    <w:rsid w:val="00FE6B45"/>
    <w:rsid w:val="00FF1D2F"/>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2034262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bcra.gov.ar/PublicacionesEstadisticas/Cotizaciones_por_fecha_2.as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44997"/>
    <w:rsid w:val="00394049"/>
    <w:rsid w:val="00397D2F"/>
    <w:rsid w:val="003C2540"/>
    <w:rsid w:val="004F2DF8"/>
    <w:rsid w:val="00581766"/>
    <w:rsid w:val="005E2C55"/>
    <w:rsid w:val="006E4718"/>
    <w:rsid w:val="00733E22"/>
    <w:rsid w:val="0086434C"/>
    <w:rsid w:val="009A261B"/>
    <w:rsid w:val="00AC15A4"/>
    <w:rsid w:val="00AC5239"/>
    <w:rsid w:val="00B0336C"/>
    <w:rsid w:val="00B65EF2"/>
    <w:rsid w:val="00F00D2F"/>
    <w:rsid w:val="00F03857"/>
    <w:rsid w:val="00F15CC0"/>
    <w:rsid w:val="00FA15AF"/>
    <w:rsid w:val="00FD4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55FA6-C9A4-4B79-B76D-44C02A81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2598</Words>
  <Characters>13671</Characters>
  <Application>Microsoft Office Word</Application>
  <DocSecurity>0</DocSecurity>
  <Lines>279</Lines>
  <Paragraphs>86</Paragraphs>
  <ScaleCrop>false</ScaleCrop>
  <Company/>
  <LinksUpToDate>false</LinksUpToDate>
  <CharactersWithSpaces>16183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102/17</dc:title>
  <dc:creator/>
  <cp:lastModifiedBy/>
  <cp:revision>1</cp:revision>
  <dcterms:created xsi:type="dcterms:W3CDTF">2018-03-15T18:21:00Z</dcterms:created>
  <dcterms:modified xsi:type="dcterms:W3CDTF">2018-03-15T18:21:00Z</dcterms:modified>
</cp:coreProperties>
</file>