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AED9A0" w14:textId="77777777" w:rsidR="00040C3A" w:rsidRPr="00EB4BAB" w:rsidRDefault="00D306D1" w:rsidP="00627C9F">
      <w:pPr>
        <w:jc w:val="both"/>
        <w:rPr>
          <w:rFonts w:asciiTheme="majorHAnsi" w:hAnsiTheme="majorHAnsi" w:cs="Univers"/>
          <w:b/>
          <w:bCs/>
          <w:sz w:val="22"/>
          <w:szCs w:val="22"/>
          <w:lang w:val="es-ES_tradnl"/>
        </w:rPr>
      </w:pPr>
      <w:r w:rsidRPr="00EB4BA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DCFED54" wp14:editId="4CD07CC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1FEDF46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B4BA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54F4F74" wp14:editId="7EA816B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F1FD6" w14:textId="77777777" w:rsidR="00CB2660" w:rsidRDefault="00AE5488" w:rsidP="00AE5488">
                            <w:r>
                              <w:rPr>
                                <w:noProof/>
                              </w:rPr>
                              <w:drawing>
                                <wp:inline distT="0" distB="0" distL="0" distR="0" wp14:anchorId="11A31FC6" wp14:editId="3A06A37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754F4F7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69F1FD6" w14:textId="77777777" w:rsidR="00CB2660" w:rsidRDefault="00AE5488" w:rsidP="00AE5488">
                      <w:r>
                        <w:rPr>
                          <w:noProof/>
                        </w:rPr>
                        <w:drawing>
                          <wp:inline distT="0" distB="0" distL="0" distR="0" wp14:anchorId="11A31FC6" wp14:editId="3A06A37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57DF969B" w14:textId="77777777" w:rsidR="00040C3A" w:rsidRPr="00EB4BAB" w:rsidRDefault="00040C3A" w:rsidP="00040C3A">
      <w:pPr>
        <w:tabs>
          <w:tab w:val="center" w:pos="5400"/>
        </w:tabs>
        <w:suppressAutoHyphens/>
        <w:jc w:val="both"/>
        <w:rPr>
          <w:rFonts w:asciiTheme="majorHAnsi" w:hAnsiTheme="majorHAnsi"/>
          <w:sz w:val="22"/>
          <w:szCs w:val="22"/>
          <w:lang w:val="es-ES"/>
        </w:rPr>
      </w:pPr>
    </w:p>
    <w:p w14:paraId="37A19D17" w14:textId="77777777" w:rsidR="00040C3A" w:rsidRPr="00EB4BAB" w:rsidRDefault="00040C3A" w:rsidP="00040C3A">
      <w:pPr>
        <w:tabs>
          <w:tab w:val="center" w:pos="5400"/>
        </w:tabs>
        <w:suppressAutoHyphens/>
        <w:jc w:val="both"/>
        <w:rPr>
          <w:rFonts w:asciiTheme="majorHAnsi" w:hAnsiTheme="majorHAnsi"/>
          <w:sz w:val="22"/>
          <w:szCs w:val="22"/>
          <w:lang w:val="es-ES"/>
        </w:rPr>
      </w:pPr>
    </w:p>
    <w:p w14:paraId="4E143A98" w14:textId="77777777" w:rsidR="005128E4" w:rsidRPr="00EB4BAB" w:rsidRDefault="005128E4" w:rsidP="00040C3A">
      <w:pPr>
        <w:tabs>
          <w:tab w:val="center" w:pos="5400"/>
        </w:tabs>
        <w:suppressAutoHyphens/>
        <w:rPr>
          <w:rFonts w:asciiTheme="majorHAnsi" w:hAnsiTheme="majorHAnsi"/>
          <w:sz w:val="22"/>
          <w:szCs w:val="22"/>
          <w:lang w:val="es-ES_tradnl"/>
        </w:rPr>
      </w:pPr>
    </w:p>
    <w:p w14:paraId="7918BEBE" w14:textId="77777777" w:rsidR="005128E4" w:rsidRPr="00EB4BAB" w:rsidRDefault="005128E4" w:rsidP="00040C3A">
      <w:pPr>
        <w:tabs>
          <w:tab w:val="center" w:pos="5400"/>
        </w:tabs>
        <w:suppressAutoHyphens/>
        <w:rPr>
          <w:rFonts w:asciiTheme="majorHAnsi" w:hAnsiTheme="majorHAnsi"/>
          <w:sz w:val="22"/>
          <w:szCs w:val="22"/>
          <w:lang w:val="es-ES_tradnl"/>
        </w:rPr>
      </w:pPr>
    </w:p>
    <w:p w14:paraId="455A83F2" w14:textId="77777777" w:rsidR="005128E4" w:rsidRPr="00EB4BAB" w:rsidRDefault="005128E4" w:rsidP="00040C3A">
      <w:pPr>
        <w:tabs>
          <w:tab w:val="center" w:pos="5400"/>
        </w:tabs>
        <w:suppressAutoHyphens/>
        <w:rPr>
          <w:rFonts w:asciiTheme="majorHAnsi" w:hAnsiTheme="majorHAnsi"/>
          <w:sz w:val="22"/>
          <w:szCs w:val="22"/>
          <w:lang w:val="es-ES_tradnl"/>
        </w:rPr>
      </w:pPr>
    </w:p>
    <w:p w14:paraId="3C84BDBF" w14:textId="77777777" w:rsidR="00040C3A" w:rsidRPr="00EB4BAB" w:rsidRDefault="00040C3A" w:rsidP="005128E4">
      <w:pPr>
        <w:tabs>
          <w:tab w:val="center" w:pos="5400"/>
        </w:tabs>
        <w:suppressAutoHyphens/>
        <w:jc w:val="center"/>
        <w:rPr>
          <w:rFonts w:asciiTheme="majorHAnsi" w:hAnsiTheme="majorHAnsi"/>
          <w:sz w:val="22"/>
          <w:szCs w:val="22"/>
          <w:lang w:val="es-ES_tradnl"/>
        </w:rPr>
      </w:pPr>
    </w:p>
    <w:p w14:paraId="4B701244" w14:textId="40F59B05" w:rsidR="00040C3A" w:rsidRPr="00EB4BAB" w:rsidRDefault="00040C3A" w:rsidP="005128E4">
      <w:pPr>
        <w:tabs>
          <w:tab w:val="center" w:pos="5400"/>
        </w:tabs>
        <w:suppressAutoHyphens/>
        <w:jc w:val="center"/>
        <w:rPr>
          <w:rFonts w:asciiTheme="majorHAnsi" w:hAnsiTheme="majorHAnsi"/>
          <w:sz w:val="22"/>
          <w:szCs w:val="22"/>
          <w:lang w:val="es-ES_tradnl"/>
        </w:rPr>
      </w:pPr>
    </w:p>
    <w:p w14:paraId="2579984A" w14:textId="77777777" w:rsidR="005B52B0" w:rsidRPr="00EB4BAB" w:rsidRDefault="005B52B0" w:rsidP="005128E4">
      <w:pPr>
        <w:tabs>
          <w:tab w:val="center" w:pos="5400"/>
        </w:tabs>
        <w:suppressAutoHyphens/>
        <w:jc w:val="center"/>
        <w:rPr>
          <w:rFonts w:asciiTheme="majorHAnsi" w:hAnsiTheme="majorHAnsi"/>
          <w:sz w:val="22"/>
          <w:szCs w:val="22"/>
          <w:lang w:val="es-ES_tradnl"/>
        </w:rPr>
      </w:pPr>
    </w:p>
    <w:p w14:paraId="44D423B4" w14:textId="77777777" w:rsidR="005B52B0" w:rsidRPr="00EB4BAB" w:rsidRDefault="005B52B0" w:rsidP="005128E4">
      <w:pPr>
        <w:tabs>
          <w:tab w:val="center" w:pos="5400"/>
        </w:tabs>
        <w:suppressAutoHyphens/>
        <w:jc w:val="center"/>
        <w:rPr>
          <w:rFonts w:asciiTheme="majorHAnsi" w:hAnsiTheme="majorHAnsi"/>
          <w:sz w:val="22"/>
          <w:szCs w:val="22"/>
          <w:lang w:val="es-ES_tradnl"/>
        </w:rPr>
      </w:pPr>
    </w:p>
    <w:p w14:paraId="196A7B8C" w14:textId="77777777" w:rsidR="005B52B0" w:rsidRPr="00EB4BAB" w:rsidRDefault="005B52B0" w:rsidP="005128E4">
      <w:pPr>
        <w:tabs>
          <w:tab w:val="center" w:pos="5400"/>
        </w:tabs>
        <w:suppressAutoHyphens/>
        <w:jc w:val="center"/>
        <w:rPr>
          <w:rFonts w:asciiTheme="majorHAnsi" w:hAnsiTheme="majorHAnsi"/>
          <w:sz w:val="22"/>
          <w:szCs w:val="22"/>
          <w:lang w:val="es-ES_tradnl"/>
        </w:rPr>
      </w:pPr>
    </w:p>
    <w:p w14:paraId="25126475" w14:textId="77777777" w:rsidR="00040C3A" w:rsidRPr="00EB4BAB" w:rsidRDefault="00040C3A" w:rsidP="00040C3A">
      <w:pPr>
        <w:tabs>
          <w:tab w:val="center" w:pos="5400"/>
        </w:tabs>
        <w:suppressAutoHyphens/>
        <w:jc w:val="center"/>
        <w:rPr>
          <w:rFonts w:asciiTheme="majorHAnsi" w:hAnsiTheme="majorHAnsi"/>
          <w:sz w:val="22"/>
          <w:szCs w:val="22"/>
          <w:lang w:val="es-ES_tradnl"/>
        </w:rPr>
      </w:pPr>
    </w:p>
    <w:p w14:paraId="4DA491A1" w14:textId="77777777" w:rsidR="00040C3A" w:rsidRPr="00EB4BAB" w:rsidRDefault="00040C3A" w:rsidP="00040C3A">
      <w:pPr>
        <w:tabs>
          <w:tab w:val="center" w:pos="5400"/>
        </w:tabs>
        <w:suppressAutoHyphens/>
        <w:jc w:val="center"/>
        <w:rPr>
          <w:rFonts w:asciiTheme="majorHAnsi" w:hAnsiTheme="majorHAnsi"/>
          <w:sz w:val="22"/>
          <w:szCs w:val="22"/>
          <w:lang w:val="es-ES_tradnl"/>
        </w:rPr>
      </w:pPr>
    </w:p>
    <w:p w14:paraId="3D739F03" w14:textId="77777777" w:rsidR="00040C3A" w:rsidRPr="00EB4BAB" w:rsidRDefault="003D3BC2" w:rsidP="00040C3A">
      <w:pPr>
        <w:tabs>
          <w:tab w:val="center" w:pos="5400"/>
        </w:tabs>
        <w:suppressAutoHyphens/>
        <w:jc w:val="center"/>
        <w:rPr>
          <w:rFonts w:asciiTheme="majorHAnsi" w:hAnsiTheme="majorHAnsi"/>
          <w:sz w:val="22"/>
          <w:szCs w:val="22"/>
          <w:lang w:val="es-ES_tradnl"/>
        </w:rPr>
      </w:pPr>
      <w:r w:rsidRPr="00EB4BA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17B6064" wp14:editId="452D98F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1F7CB" w14:textId="778E875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74650">
                              <w:rPr>
                                <w:rFonts w:asciiTheme="majorHAnsi" w:hAnsiTheme="majorHAnsi" w:cs="Arial"/>
                                <w:b/>
                                <w:bCs/>
                                <w:color w:val="0D0D0D" w:themeColor="text1" w:themeTint="F2"/>
                                <w:sz w:val="36"/>
                                <w:szCs w:val="22"/>
                                <w:lang w:val="es-ES_tradnl"/>
                              </w:rPr>
                              <w:t xml:space="preserve"> 93</w:t>
                            </w:r>
                            <w:r w:rsidR="006C1364">
                              <w:rPr>
                                <w:rFonts w:asciiTheme="majorHAnsi" w:hAnsiTheme="majorHAnsi" w:cs="Arial"/>
                                <w:b/>
                                <w:bCs/>
                                <w:color w:val="0D0D0D" w:themeColor="text1" w:themeTint="F2"/>
                                <w:sz w:val="36"/>
                                <w:szCs w:val="22"/>
                                <w:lang w:val="es-ES_tradnl"/>
                              </w:rPr>
                              <w:t>/17</w:t>
                            </w:r>
                          </w:p>
                          <w:p w14:paraId="6C0BF378"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A15ED">
                              <w:rPr>
                                <w:rFonts w:asciiTheme="majorHAnsi" w:hAnsiTheme="majorHAnsi" w:cs="Arial"/>
                                <w:b/>
                                <w:color w:val="0D0D0D" w:themeColor="text1" w:themeTint="F2"/>
                                <w:sz w:val="36"/>
                                <w:szCs w:val="22"/>
                                <w:lang w:val="es-ES_tradnl"/>
                              </w:rPr>
                              <w:t>48-08</w:t>
                            </w:r>
                          </w:p>
                          <w:p w14:paraId="218842CC"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03775DDC"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15587AEB" w14:textId="77777777" w:rsidR="005B52B0" w:rsidRPr="0010736F" w:rsidRDefault="00FA15E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ERNESTO LIZARRALDE ARDILA Y OTROS</w:t>
                            </w:r>
                          </w:p>
                          <w:bookmarkEnd w:id="1"/>
                          <w:p w14:paraId="7E705379" w14:textId="77777777" w:rsidR="005B52B0" w:rsidRPr="0010736F" w:rsidRDefault="00FA15E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363F3B73"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381F7CB" w14:textId="778E875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74650">
                        <w:rPr>
                          <w:rFonts w:asciiTheme="majorHAnsi" w:hAnsiTheme="majorHAnsi" w:cs="Arial"/>
                          <w:b/>
                          <w:bCs/>
                          <w:color w:val="0D0D0D" w:themeColor="text1" w:themeTint="F2"/>
                          <w:sz w:val="36"/>
                          <w:szCs w:val="22"/>
                          <w:lang w:val="es-ES_tradnl"/>
                        </w:rPr>
                        <w:t xml:space="preserve"> 93</w:t>
                      </w:r>
                      <w:r w:rsidR="006C1364">
                        <w:rPr>
                          <w:rFonts w:asciiTheme="majorHAnsi" w:hAnsiTheme="majorHAnsi" w:cs="Arial"/>
                          <w:b/>
                          <w:bCs/>
                          <w:color w:val="0D0D0D" w:themeColor="text1" w:themeTint="F2"/>
                          <w:sz w:val="36"/>
                          <w:szCs w:val="22"/>
                          <w:lang w:val="es-ES_tradnl"/>
                        </w:rPr>
                        <w:t>/17</w:t>
                      </w:r>
                    </w:p>
                    <w:p w14:paraId="6C0BF378"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A15ED">
                        <w:rPr>
                          <w:rFonts w:asciiTheme="majorHAnsi" w:hAnsiTheme="majorHAnsi" w:cs="Arial"/>
                          <w:b/>
                          <w:color w:val="0D0D0D" w:themeColor="text1" w:themeTint="F2"/>
                          <w:sz w:val="36"/>
                          <w:szCs w:val="22"/>
                          <w:lang w:val="es-ES_tradnl"/>
                        </w:rPr>
                        <w:t>48-08</w:t>
                      </w:r>
                    </w:p>
                    <w:p w14:paraId="218842CC"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03775DDC"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15587AEB" w14:textId="77777777" w:rsidR="005B52B0" w:rsidRPr="0010736F" w:rsidRDefault="00FA15E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ERNESTO LIZARRALDE ARDILA Y OTROS</w:t>
                      </w:r>
                    </w:p>
                    <w:bookmarkEnd w:id="1"/>
                    <w:p w14:paraId="7E705379" w14:textId="77777777" w:rsidR="005B52B0" w:rsidRPr="0010736F" w:rsidRDefault="00FA15E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363F3B73" w14:textId="77777777" w:rsidR="005B52B0" w:rsidRPr="00AE5488" w:rsidRDefault="005B52B0" w:rsidP="007A5817">
                      <w:pPr>
                        <w:rPr>
                          <w:color w:val="0D0D0D" w:themeColor="text1" w:themeTint="F2"/>
                          <w:lang w:val="es-ES_tradnl"/>
                        </w:rPr>
                      </w:pPr>
                    </w:p>
                  </w:txbxContent>
                </v:textbox>
              </v:shape>
            </w:pict>
          </mc:Fallback>
        </mc:AlternateContent>
      </w:r>
      <w:r w:rsidR="004E2649" w:rsidRPr="00EB4BA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15153BC" wp14:editId="2806024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99113" w14:textId="4E08378E" w:rsidR="00627C9F" w:rsidRPr="001151C9" w:rsidRDefault="00627C9F" w:rsidP="007A5817">
                            <w:pPr>
                              <w:spacing w:line="276" w:lineRule="auto"/>
                              <w:jc w:val="right"/>
                              <w:rPr>
                                <w:rFonts w:asciiTheme="minorHAnsi" w:hAnsiTheme="minorHAnsi"/>
                                <w:color w:val="FFFFFF" w:themeColor="background1"/>
                                <w:sz w:val="22"/>
                                <w:lang w:val="pt-BR"/>
                              </w:rPr>
                            </w:pPr>
                            <w:r w:rsidRPr="001151C9">
                              <w:rPr>
                                <w:rFonts w:asciiTheme="minorHAnsi" w:hAnsiTheme="minorHAnsi"/>
                                <w:color w:val="FFFFFF" w:themeColor="background1"/>
                                <w:sz w:val="22"/>
                                <w:lang w:val="pt-BR"/>
                              </w:rPr>
                              <w:t>OEA/Ser.L/V/II.</w:t>
                            </w:r>
                          </w:p>
                          <w:p w14:paraId="33CF5C4C" w14:textId="0BF9FA24" w:rsidR="00627C9F" w:rsidRPr="001151C9" w:rsidRDefault="00374650" w:rsidP="007A5817">
                            <w:pPr>
                              <w:spacing w:line="276" w:lineRule="auto"/>
                              <w:jc w:val="right"/>
                              <w:rPr>
                                <w:rFonts w:asciiTheme="minorHAnsi" w:hAnsiTheme="minorHAnsi"/>
                                <w:color w:val="FFFFFF" w:themeColor="background1"/>
                                <w:sz w:val="22"/>
                                <w:lang w:val="pt-BR"/>
                              </w:rPr>
                            </w:pPr>
                            <w:r w:rsidRPr="001151C9">
                              <w:rPr>
                                <w:rFonts w:asciiTheme="minorHAnsi" w:hAnsiTheme="minorHAnsi"/>
                                <w:color w:val="FFFFFF" w:themeColor="background1"/>
                                <w:sz w:val="22"/>
                                <w:lang w:val="pt-BR"/>
                              </w:rPr>
                              <w:t>Doc. 106</w:t>
                            </w:r>
                          </w:p>
                          <w:p w14:paraId="351493A5" w14:textId="2F94FFD9" w:rsidR="00627C9F" w:rsidRPr="0004091B" w:rsidRDefault="00374650"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8 agosto</w:t>
                            </w:r>
                            <w:r w:rsidR="00627C9F" w:rsidRPr="0004091B">
                              <w:rPr>
                                <w:rFonts w:asciiTheme="minorHAnsi" w:hAnsiTheme="minorHAnsi"/>
                                <w:color w:val="FFFFFF" w:themeColor="background1"/>
                                <w:sz w:val="22"/>
                                <w:lang w:val="es-ES"/>
                              </w:rPr>
                              <w:t xml:space="preserve"> 201</w:t>
                            </w:r>
                            <w:r w:rsidR="006C1364" w:rsidRPr="0004091B">
                              <w:rPr>
                                <w:rFonts w:asciiTheme="minorHAnsi" w:hAnsiTheme="minorHAnsi"/>
                                <w:color w:val="FFFFFF" w:themeColor="background1"/>
                                <w:sz w:val="22"/>
                                <w:lang w:val="es-ES"/>
                              </w:rPr>
                              <w:t>7</w:t>
                            </w:r>
                          </w:p>
                          <w:p w14:paraId="7170F815" w14:textId="77777777" w:rsidR="00627C9F" w:rsidRPr="0004091B" w:rsidRDefault="00E0340B" w:rsidP="007A5817">
                            <w:pPr>
                              <w:spacing w:line="276" w:lineRule="auto"/>
                              <w:jc w:val="right"/>
                              <w:rPr>
                                <w:rFonts w:asciiTheme="minorHAnsi" w:hAnsiTheme="minorHAnsi"/>
                                <w:color w:val="FFFFFF" w:themeColor="background1"/>
                                <w:sz w:val="22"/>
                                <w:lang w:val="es-ES"/>
                              </w:rPr>
                            </w:pPr>
                            <w:r w:rsidRPr="0004091B">
                              <w:rPr>
                                <w:rFonts w:asciiTheme="minorHAnsi" w:hAnsiTheme="minorHAnsi"/>
                                <w:color w:val="FFFFFF" w:themeColor="background1"/>
                                <w:sz w:val="22"/>
                                <w:lang w:val="es-ES"/>
                              </w:rPr>
                              <w:t xml:space="preserve">Original: </w:t>
                            </w:r>
                            <w:r w:rsidR="008B12F5" w:rsidRPr="0004091B">
                              <w:rPr>
                                <w:rFonts w:asciiTheme="minorHAnsi" w:hAnsiTheme="minorHAnsi"/>
                                <w:color w:val="FFFFFF" w:themeColor="background1"/>
                                <w:sz w:val="22"/>
                                <w:lang w:val="es-ES"/>
                              </w:rPr>
                              <w:t>e</w:t>
                            </w:r>
                            <w:r w:rsidR="00627C9F" w:rsidRPr="0004091B">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4C99113" w14:textId="4E08378E" w:rsidR="00627C9F" w:rsidRPr="00374650" w:rsidRDefault="00627C9F" w:rsidP="007A5817">
                      <w:pPr>
                        <w:spacing w:line="276" w:lineRule="auto"/>
                        <w:jc w:val="right"/>
                        <w:rPr>
                          <w:rFonts w:asciiTheme="minorHAnsi" w:hAnsiTheme="minorHAnsi"/>
                          <w:color w:val="FFFFFF" w:themeColor="background1"/>
                          <w:sz w:val="22"/>
                          <w:lang w:val="es-ES"/>
                        </w:rPr>
                      </w:pPr>
                      <w:r w:rsidRPr="00374650">
                        <w:rPr>
                          <w:rFonts w:asciiTheme="minorHAnsi" w:hAnsiTheme="minorHAnsi"/>
                          <w:color w:val="FFFFFF" w:themeColor="background1"/>
                          <w:sz w:val="22"/>
                          <w:lang w:val="es-ES"/>
                        </w:rPr>
                        <w:t>OEA/</w:t>
                      </w:r>
                      <w:proofErr w:type="spellStart"/>
                      <w:r w:rsidRPr="00374650">
                        <w:rPr>
                          <w:rFonts w:asciiTheme="minorHAnsi" w:hAnsiTheme="minorHAnsi"/>
                          <w:color w:val="FFFFFF" w:themeColor="background1"/>
                          <w:sz w:val="22"/>
                          <w:lang w:val="es-ES"/>
                        </w:rPr>
                        <w:t>Ser.L</w:t>
                      </w:r>
                      <w:proofErr w:type="spellEnd"/>
                      <w:r w:rsidRPr="00374650">
                        <w:rPr>
                          <w:rFonts w:asciiTheme="minorHAnsi" w:hAnsiTheme="minorHAnsi"/>
                          <w:color w:val="FFFFFF" w:themeColor="background1"/>
                          <w:sz w:val="22"/>
                          <w:lang w:val="es-ES"/>
                        </w:rPr>
                        <w:t>/V/II.</w:t>
                      </w:r>
                    </w:p>
                    <w:p w14:paraId="33CF5C4C" w14:textId="0BF9FA24" w:rsidR="00627C9F" w:rsidRPr="00374650" w:rsidRDefault="00374650" w:rsidP="007A5817">
                      <w:pPr>
                        <w:spacing w:line="276" w:lineRule="auto"/>
                        <w:jc w:val="right"/>
                        <w:rPr>
                          <w:rFonts w:asciiTheme="minorHAnsi" w:hAnsiTheme="minorHAnsi"/>
                          <w:color w:val="FFFFFF" w:themeColor="background1"/>
                          <w:sz w:val="22"/>
                          <w:lang w:val="es-ES"/>
                        </w:rPr>
                      </w:pPr>
                      <w:r w:rsidRPr="00374650">
                        <w:rPr>
                          <w:rFonts w:asciiTheme="minorHAnsi" w:hAnsiTheme="minorHAnsi"/>
                          <w:color w:val="FFFFFF" w:themeColor="background1"/>
                          <w:sz w:val="22"/>
                          <w:lang w:val="es-ES"/>
                        </w:rPr>
                        <w:t>Doc. 1</w:t>
                      </w:r>
                      <w:r>
                        <w:rPr>
                          <w:rFonts w:asciiTheme="minorHAnsi" w:hAnsiTheme="minorHAnsi"/>
                          <w:color w:val="FFFFFF" w:themeColor="background1"/>
                          <w:sz w:val="22"/>
                          <w:lang w:val="es-ES"/>
                        </w:rPr>
                        <w:t>06</w:t>
                      </w:r>
                    </w:p>
                    <w:p w14:paraId="351493A5" w14:textId="2F94FFD9" w:rsidR="00627C9F" w:rsidRPr="0004091B" w:rsidRDefault="00374650"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8 agosto</w:t>
                      </w:r>
                      <w:r w:rsidR="00627C9F" w:rsidRPr="0004091B">
                        <w:rPr>
                          <w:rFonts w:asciiTheme="minorHAnsi" w:hAnsiTheme="minorHAnsi"/>
                          <w:color w:val="FFFFFF" w:themeColor="background1"/>
                          <w:sz w:val="22"/>
                          <w:lang w:val="es-ES"/>
                        </w:rPr>
                        <w:t xml:space="preserve"> 201</w:t>
                      </w:r>
                      <w:r w:rsidR="006C1364" w:rsidRPr="0004091B">
                        <w:rPr>
                          <w:rFonts w:asciiTheme="minorHAnsi" w:hAnsiTheme="minorHAnsi"/>
                          <w:color w:val="FFFFFF" w:themeColor="background1"/>
                          <w:sz w:val="22"/>
                          <w:lang w:val="es-ES"/>
                        </w:rPr>
                        <w:t>7</w:t>
                      </w:r>
                    </w:p>
                    <w:p w14:paraId="7170F815" w14:textId="77777777" w:rsidR="00627C9F" w:rsidRPr="0004091B" w:rsidRDefault="00E0340B" w:rsidP="007A5817">
                      <w:pPr>
                        <w:spacing w:line="276" w:lineRule="auto"/>
                        <w:jc w:val="right"/>
                        <w:rPr>
                          <w:rFonts w:asciiTheme="minorHAnsi" w:hAnsiTheme="minorHAnsi"/>
                          <w:color w:val="FFFFFF" w:themeColor="background1"/>
                          <w:sz w:val="22"/>
                          <w:lang w:val="es-ES"/>
                        </w:rPr>
                      </w:pPr>
                      <w:r w:rsidRPr="0004091B">
                        <w:rPr>
                          <w:rFonts w:asciiTheme="minorHAnsi" w:hAnsiTheme="minorHAnsi"/>
                          <w:color w:val="FFFFFF" w:themeColor="background1"/>
                          <w:sz w:val="22"/>
                          <w:lang w:val="es-ES"/>
                        </w:rPr>
                        <w:t xml:space="preserve">Original: </w:t>
                      </w:r>
                      <w:r w:rsidR="008B12F5" w:rsidRPr="0004091B">
                        <w:rPr>
                          <w:rFonts w:asciiTheme="minorHAnsi" w:hAnsiTheme="minorHAnsi"/>
                          <w:color w:val="FFFFFF" w:themeColor="background1"/>
                          <w:sz w:val="22"/>
                          <w:lang w:val="es-ES"/>
                        </w:rPr>
                        <w:t>e</w:t>
                      </w:r>
                      <w:r w:rsidR="00627C9F" w:rsidRPr="0004091B">
                        <w:rPr>
                          <w:rFonts w:asciiTheme="minorHAnsi" w:hAnsiTheme="minorHAnsi"/>
                          <w:color w:val="FFFFFF" w:themeColor="background1"/>
                          <w:sz w:val="22"/>
                          <w:lang w:val="es-ES"/>
                        </w:rPr>
                        <w:t>spañol</w:t>
                      </w:r>
                    </w:p>
                  </w:txbxContent>
                </v:textbox>
              </v:shape>
            </w:pict>
          </mc:Fallback>
        </mc:AlternateContent>
      </w:r>
    </w:p>
    <w:p w14:paraId="17A8018C" w14:textId="77777777" w:rsidR="00040C3A" w:rsidRPr="00EB4BAB" w:rsidRDefault="00040C3A" w:rsidP="00040C3A">
      <w:pPr>
        <w:tabs>
          <w:tab w:val="center" w:pos="5400"/>
        </w:tabs>
        <w:suppressAutoHyphens/>
        <w:jc w:val="center"/>
        <w:rPr>
          <w:rFonts w:asciiTheme="majorHAnsi" w:hAnsiTheme="majorHAnsi"/>
          <w:sz w:val="22"/>
          <w:szCs w:val="22"/>
          <w:lang w:val="es-ES_tradnl"/>
        </w:rPr>
      </w:pPr>
    </w:p>
    <w:p w14:paraId="235007F7" w14:textId="77777777" w:rsidR="00040C3A" w:rsidRPr="00EB4BAB" w:rsidRDefault="00040C3A" w:rsidP="00040C3A">
      <w:pPr>
        <w:tabs>
          <w:tab w:val="center" w:pos="5400"/>
        </w:tabs>
        <w:suppressAutoHyphens/>
        <w:jc w:val="center"/>
        <w:rPr>
          <w:rFonts w:asciiTheme="majorHAnsi" w:hAnsiTheme="majorHAnsi"/>
          <w:sz w:val="22"/>
          <w:szCs w:val="22"/>
          <w:lang w:val="es-ES_tradnl"/>
        </w:rPr>
      </w:pPr>
    </w:p>
    <w:p w14:paraId="504E59BC" w14:textId="77777777" w:rsidR="00040C3A" w:rsidRPr="00EB4BAB" w:rsidRDefault="00040C3A" w:rsidP="00040C3A">
      <w:pPr>
        <w:tabs>
          <w:tab w:val="center" w:pos="5400"/>
        </w:tabs>
        <w:suppressAutoHyphens/>
        <w:jc w:val="center"/>
        <w:rPr>
          <w:rFonts w:asciiTheme="majorHAnsi" w:hAnsiTheme="majorHAnsi" w:cs="Arial"/>
          <w:sz w:val="22"/>
          <w:szCs w:val="22"/>
          <w:lang w:val="es-ES_tradnl"/>
        </w:rPr>
      </w:pPr>
    </w:p>
    <w:p w14:paraId="68D55451" w14:textId="77777777" w:rsidR="00040C3A" w:rsidRPr="00EB4BAB" w:rsidRDefault="00040C3A" w:rsidP="00040C3A">
      <w:pPr>
        <w:tabs>
          <w:tab w:val="center" w:pos="5400"/>
        </w:tabs>
        <w:suppressAutoHyphens/>
        <w:jc w:val="center"/>
        <w:rPr>
          <w:rFonts w:asciiTheme="majorHAnsi" w:hAnsiTheme="majorHAnsi"/>
          <w:sz w:val="22"/>
          <w:szCs w:val="22"/>
          <w:lang w:val="es-ES_tradnl"/>
        </w:rPr>
      </w:pPr>
    </w:p>
    <w:p w14:paraId="5B108B27" w14:textId="77777777" w:rsidR="00040C3A" w:rsidRPr="00EB4BAB" w:rsidRDefault="00040C3A" w:rsidP="00040C3A">
      <w:pPr>
        <w:tabs>
          <w:tab w:val="center" w:pos="5400"/>
        </w:tabs>
        <w:suppressAutoHyphens/>
        <w:jc w:val="center"/>
        <w:rPr>
          <w:rFonts w:asciiTheme="majorHAnsi" w:hAnsiTheme="majorHAnsi"/>
          <w:sz w:val="22"/>
          <w:szCs w:val="22"/>
          <w:lang w:val="es-ES_tradnl"/>
        </w:rPr>
      </w:pPr>
    </w:p>
    <w:p w14:paraId="24B74E4E" w14:textId="77777777" w:rsidR="00040C3A" w:rsidRPr="00EB4BAB" w:rsidRDefault="00040C3A" w:rsidP="00040C3A">
      <w:pPr>
        <w:tabs>
          <w:tab w:val="center" w:pos="5400"/>
        </w:tabs>
        <w:suppressAutoHyphens/>
        <w:jc w:val="center"/>
        <w:rPr>
          <w:rFonts w:asciiTheme="majorHAnsi" w:hAnsiTheme="majorHAnsi"/>
          <w:sz w:val="22"/>
          <w:szCs w:val="22"/>
          <w:lang w:val="es-ES_tradnl"/>
        </w:rPr>
      </w:pPr>
    </w:p>
    <w:p w14:paraId="2743D8D5" w14:textId="77777777" w:rsidR="00040C3A" w:rsidRPr="00EB4BAB" w:rsidRDefault="00040C3A" w:rsidP="00040C3A">
      <w:pPr>
        <w:tabs>
          <w:tab w:val="center" w:pos="5400"/>
        </w:tabs>
        <w:suppressAutoHyphens/>
        <w:jc w:val="center"/>
        <w:rPr>
          <w:rFonts w:asciiTheme="majorHAnsi" w:hAnsiTheme="majorHAnsi"/>
          <w:sz w:val="22"/>
          <w:szCs w:val="22"/>
          <w:lang w:val="es-ES_tradnl"/>
        </w:rPr>
      </w:pPr>
    </w:p>
    <w:p w14:paraId="70E23CB1" w14:textId="77777777" w:rsidR="005128E4" w:rsidRPr="00EB4BAB" w:rsidRDefault="005128E4" w:rsidP="00040C3A">
      <w:pPr>
        <w:tabs>
          <w:tab w:val="center" w:pos="5400"/>
        </w:tabs>
        <w:suppressAutoHyphens/>
        <w:jc w:val="center"/>
        <w:rPr>
          <w:rFonts w:asciiTheme="majorHAnsi" w:hAnsiTheme="majorHAnsi"/>
          <w:sz w:val="22"/>
          <w:szCs w:val="22"/>
          <w:lang w:val="es-ES_tradnl"/>
        </w:rPr>
      </w:pPr>
    </w:p>
    <w:p w14:paraId="323F3FEC" w14:textId="77777777" w:rsidR="00040C3A" w:rsidRPr="00EB4BAB" w:rsidRDefault="00040C3A" w:rsidP="00040C3A">
      <w:pPr>
        <w:tabs>
          <w:tab w:val="center" w:pos="5400"/>
        </w:tabs>
        <w:suppressAutoHyphens/>
        <w:jc w:val="center"/>
        <w:rPr>
          <w:rFonts w:asciiTheme="majorHAnsi" w:hAnsiTheme="majorHAnsi"/>
          <w:sz w:val="22"/>
          <w:szCs w:val="22"/>
          <w:lang w:val="es-ES_tradnl"/>
        </w:rPr>
      </w:pPr>
    </w:p>
    <w:p w14:paraId="3F8410AF" w14:textId="77777777" w:rsidR="005128E4" w:rsidRPr="00EB4BAB" w:rsidRDefault="005128E4" w:rsidP="00040C3A">
      <w:pPr>
        <w:tabs>
          <w:tab w:val="center" w:pos="5400"/>
        </w:tabs>
        <w:suppressAutoHyphens/>
        <w:jc w:val="center"/>
        <w:rPr>
          <w:rFonts w:asciiTheme="majorHAnsi" w:hAnsiTheme="majorHAnsi"/>
          <w:sz w:val="22"/>
          <w:szCs w:val="22"/>
          <w:lang w:val="es-ES_tradnl"/>
        </w:rPr>
      </w:pPr>
    </w:p>
    <w:p w14:paraId="4880DC25" w14:textId="77777777" w:rsidR="005128E4" w:rsidRPr="00EB4BAB" w:rsidRDefault="005128E4" w:rsidP="00040C3A">
      <w:pPr>
        <w:tabs>
          <w:tab w:val="center" w:pos="5400"/>
        </w:tabs>
        <w:suppressAutoHyphens/>
        <w:jc w:val="center"/>
        <w:rPr>
          <w:rFonts w:asciiTheme="majorHAnsi" w:hAnsiTheme="majorHAnsi"/>
          <w:sz w:val="22"/>
          <w:szCs w:val="22"/>
          <w:lang w:val="es-ES_tradnl"/>
        </w:rPr>
      </w:pPr>
    </w:p>
    <w:p w14:paraId="128A57BA" w14:textId="77777777" w:rsidR="005128E4" w:rsidRPr="00EB4BAB" w:rsidRDefault="005128E4" w:rsidP="00040C3A">
      <w:pPr>
        <w:tabs>
          <w:tab w:val="center" w:pos="5400"/>
        </w:tabs>
        <w:suppressAutoHyphens/>
        <w:jc w:val="center"/>
        <w:rPr>
          <w:rFonts w:asciiTheme="majorHAnsi" w:hAnsiTheme="majorHAnsi"/>
          <w:sz w:val="22"/>
          <w:szCs w:val="22"/>
          <w:lang w:val="es-ES_tradnl"/>
        </w:rPr>
      </w:pPr>
    </w:p>
    <w:p w14:paraId="60543DB4" w14:textId="77777777" w:rsidR="00040C3A" w:rsidRPr="00EB4BAB" w:rsidRDefault="00040C3A" w:rsidP="00040C3A">
      <w:pPr>
        <w:tabs>
          <w:tab w:val="center" w:pos="5400"/>
        </w:tabs>
        <w:suppressAutoHyphens/>
        <w:jc w:val="center"/>
        <w:rPr>
          <w:rFonts w:asciiTheme="majorHAnsi" w:hAnsiTheme="majorHAnsi"/>
          <w:sz w:val="22"/>
          <w:szCs w:val="22"/>
          <w:lang w:val="es-ES_tradnl"/>
        </w:rPr>
      </w:pPr>
    </w:p>
    <w:p w14:paraId="1AD01901" w14:textId="77777777" w:rsidR="00040C3A" w:rsidRPr="00EB4BAB" w:rsidRDefault="00040C3A" w:rsidP="00040C3A">
      <w:pPr>
        <w:tabs>
          <w:tab w:val="center" w:pos="5400"/>
        </w:tabs>
        <w:suppressAutoHyphens/>
        <w:jc w:val="center"/>
        <w:rPr>
          <w:rFonts w:asciiTheme="majorHAnsi" w:hAnsiTheme="majorHAnsi"/>
          <w:sz w:val="22"/>
          <w:szCs w:val="22"/>
          <w:lang w:val="es-ES_tradnl"/>
        </w:rPr>
      </w:pPr>
    </w:p>
    <w:p w14:paraId="3C5C0372"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30FCFC37"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74648E9D"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50C0058F"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71A227C5"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74DCB530"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521FDFC2"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2BD7EFEB"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161BC711"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42B08F99"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0A81B1CF"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2C8F01C8"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05441640"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20163865"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0F7E3570" w14:textId="77777777" w:rsidR="00A50FCF" w:rsidRPr="00EB4BAB" w:rsidRDefault="0090270B" w:rsidP="00040C3A">
      <w:pPr>
        <w:tabs>
          <w:tab w:val="center" w:pos="5400"/>
        </w:tabs>
        <w:suppressAutoHyphens/>
        <w:jc w:val="center"/>
        <w:rPr>
          <w:rFonts w:asciiTheme="majorHAnsi" w:hAnsiTheme="majorHAnsi"/>
          <w:sz w:val="18"/>
          <w:szCs w:val="22"/>
          <w:lang w:val="es-ES_tradnl"/>
        </w:rPr>
      </w:pPr>
      <w:r w:rsidRPr="00EB4BA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992335E" wp14:editId="48C9466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63802" w14:textId="6969D388" w:rsidR="005B52B0" w:rsidRPr="004C2106" w:rsidRDefault="00DD3D86" w:rsidP="0059191A">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00A93EDF">
                              <w:rPr>
                                <w:rFonts w:asciiTheme="majorHAnsi" w:hAnsiTheme="majorHAnsi"/>
                                <w:color w:val="0D0D0D" w:themeColor="text1" w:themeTint="F2"/>
                                <w:sz w:val="18"/>
                                <w:szCs w:val="22"/>
                                <w:lang w:val="es-ES"/>
                              </w:rPr>
                              <w:t xml:space="preserve"> por la Comisión el 8 de 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6C1364">
                              <w:rPr>
                                <w:rFonts w:asciiTheme="majorHAnsi" w:hAnsiTheme="majorHAnsi"/>
                                <w:color w:val="0D0D0D" w:themeColor="text1" w:themeTint="F2"/>
                                <w:sz w:val="18"/>
                                <w:szCs w:val="22"/>
                                <w:lang w:val="es-ES"/>
                              </w:rPr>
                              <w:t>7</w:t>
                            </w:r>
                            <w:r w:rsidR="004C2106">
                              <w:rPr>
                                <w:rFonts w:asciiTheme="majorHAnsi" w:hAnsiTheme="majorHAnsi"/>
                                <w:color w:val="0D0D0D" w:themeColor="text1" w:themeTint="F2"/>
                                <w:sz w:val="18"/>
                                <w:szCs w:val="22"/>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F463802" w14:textId="6969D388" w:rsidR="005B52B0" w:rsidRPr="004C2106" w:rsidRDefault="00DD3D86" w:rsidP="0059191A">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A93EDF">
                        <w:rPr>
                          <w:rFonts w:asciiTheme="majorHAnsi" w:hAnsiTheme="majorHAnsi"/>
                          <w:color w:val="0D0D0D" w:themeColor="text1" w:themeTint="F2"/>
                          <w:sz w:val="18"/>
                          <w:szCs w:val="22"/>
                          <w:lang w:val="es-ES"/>
                        </w:rPr>
                        <w:t xml:space="preserve"> por la Comisión el 8 de 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6C1364">
                        <w:rPr>
                          <w:rFonts w:asciiTheme="majorHAnsi" w:hAnsiTheme="majorHAnsi"/>
                          <w:color w:val="0D0D0D" w:themeColor="text1" w:themeTint="F2"/>
                          <w:sz w:val="18"/>
                          <w:szCs w:val="22"/>
                          <w:lang w:val="es-ES"/>
                        </w:rPr>
                        <w:t>7</w:t>
                      </w:r>
                      <w:r w:rsidR="004C2106">
                        <w:rPr>
                          <w:rFonts w:asciiTheme="majorHAnsi" w:hAnsiTheme="majorHAnsi"/>
                          <w:color w:val="0D0D0D" w:themeColor="text1" w:themeTint="F2"/>
                          <w:sz w:val="18"/>
                          <w:szCs w:val="22"/>
                          <w:lang w:val="es-ES"/>
                        </w:rPr>
                        <w:t>.</w:t>
                      </w:r>
                    </w:p>
                  </w:txbxContent>
                </v:textbox>
              </v:shape>
            </w:pict>
          </mc:Fallback>
        </mc:AlternateContent>
      </w:r>
    </w:p>
    <w:p w14:paraId="77D4CCBF"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39BFAB08"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09111E43"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70C2A756"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769A7484" w14:textId="77777777" w:rsidR="00A50FCF" w:rsidRPr="00EB4BAB" w:rsidRDefault="0090270B" w:rsidP="00040C3A">
      <w:pPr>
        <w:tabs>
          <w:tab w:val="center" w:pos="5400"/>
        </w:tabs>
        <w:suppressAutoHyphens/>
        <w:jc w:val="center"/>
        <w:rPr>
          <w:rFonts w:asciiTheme="majorHAnsi" w:hAnsiTheme="majorHAnsi"/>
          <w:sz w:val="18"/>
          <w:szCs w:val="22"/>
          <w:lang w:val="es-ES_tradnl"/>
        </w:rPr>
      </w:pPr>
      <w:r w:rsidRPr="00EB4BA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C9E7D73" wp14:editId="173F846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71648" w14:textId="43B96F72" w:rsidR="00113F73" w:rsidRPr="007B05C4" w:rsidRDefault="00113F73" w:rsidP="00A93EDF">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A93EDF">
                              <w:rPr>
                                <w:rFonts w:asciiTheme="majorHAnsi" w:hAnsiTheme="majorHAnsi"/>
                                <w:color w:val="595959" w:themeColor="text1" w:themeTint="A6"/>
                                <w:sz w:val="18"/>
                                <w:szCs w:val="18"/>
                                <w:lang w:val="pt-BR"/>
                              </w:rPr>
                              <w:t xml:space="preserve">Informe No. 93/17. </w:t>
                            </w:r>
                            <w:r w:rsidR="00A93EDF" w:rsidRPr="00A93EDF">
                              <w:rPr>
                                <w:rFonts w:asciiTheme="majorHAnsi" w:hAnsiTheme="majorHAnsi"/>
                                <w:color w:val="595959" w:themeColor="text1" w:themeTint="A6"/>
                                <w:sz w:val="18"/>
                                <w:szCs w:val="18"/>
                                <w:lang w:val="es-ES"/>
                              </w:rPr>
                              <w:t xml:space="preserve">Petición 48-08. </w:t>
                            </w:r>
                            <w:r w:rsidR="00A93EDF">
                              <w:rPr>
                                <w:rFonts w:asciiTheme="majorHAnsi" w:hAnsiTheme="majorHAnsi"/>
                                <w:color w:val="595959" w:themeColor="text1" w:themeTint="A6"/>
                                <w:sz w:val="18"/>
                                <w:szCs w:val="18"/>
                                <w:lang w:val="es-ES"/>
                              </w:rPr>
                              <w:t xml:space="preserve">Admisibilidad. </w:t>
                            </w:r>
                            <w:r w:rsidR="00A93EDF" w:rsidRPr="00A93EDF">
                              <w:rPr>
                                <w:rFonts w:asciiTheme="majorHAnsi" w:hAnsiTheme="majorHAnsi"/>
                                <w:color w:val="595959" w:themeColor="text1" w:themeTint="A6"/>
                                <w:sz w:val="18"/>
                                <w:szCs w:val="18"/>
                                <w:lang w:val="es-ES"/>
                              </w:rPr>
                              <w:t>Er</w:t>
                            </w:r>
                            <w:r w:rsidR="00A93EDF">
                              <w:rPr>
                                <w:rFonts w:asciiTheme="majorHAnsi" w:hAnsiTheme="majorHAnsi"/>
                                <w:color w:val="595959" w:themeColor="text1" w:themeTint="A6"/>
                                <w:sz w:val="18"/>
                                <w:szCs w:val="18"/>
                                <w:lang w:val="es-ES"/>
                              </w:rPr>
                              <w:t xml:space="preserve">nesto Lizarralde Ardila Y Otros. </w:t>
                            </w:r>
                            <w:r w:rsidR="00A93EDF" w:rsidRPr="00A93EDF">
                              <w:rPr>
                                <w:rFonts w:asciiTheme="majorHAnsi" w:hAnsiTheme="majorHAnsi"/>
                                <w:color w:val="595959" w:themeColor="text1" w:themeTint="A6"/>
                                <w:sz w:val="18"/>
                                <w:szCs w:val="18"/>
                                <w:lang w:val="es-ES"/>
                              </w:rPr>
                              <w:t>Colombia</w:t>
                            </w:r>
                            <w:r w:rsidR="00A93EDF">
                              <w:rPr>
                                <w:rFonts w:asciiTheme="majorHAnsi" w:hAnsiTheme="majorHAnsi"/>
                                <w:color w:val="595959" w:themeColor="text1" w:themeTint="A6"/>
                                <w:sz w:val="18"/>
                                <w:szCs w:val="18"/>
                                <w:lang w:val="es-ES"/>
                              </w:rPr>
                              <w:t>. 8 de agosto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2771648" w14:textId="43B96F72" w:rsidR="00113F73" w:rsidRPr="007B05C4" w:rsidRDefault="00113F73" w:rsidP="00A93EDF">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A93EDF">
                        <w:rPr>
                          <w:rFonts w:asciiTheme="majorHAnsi" w:hAnsiTheme="majorHAnsi"/>
                          <w:color w:val="595959" w:themeColor="text1" w:themeTint="A6"/>
                          <w:sz w:val="18"/>
                          <w:szCs w:val="18"/>
                          <w:lang w:val="pt-BR"/>
                        </w:rPr>
                        <w:t xml:space="preserve">Informe No. 93/17. </w:t>
                      </w:r>
                      <w:r w:rsidR="00A93EDF" w:rsidRPr="00A93EDF">
                        <w:rPr>
                          <w:rFonts w:asciiTheme="majorHAnsi" w:hAnsiTheme="majorHAnsi"/>
                          <w:color w:val="595959" w:themeColor="text1" w:themeTint="A6"/>
                          <w:sz w:val="18"/>
                          <w:szCs w:val="18"/>
                          <w:lang w:val="es-ES"/>
                        </w:rPr>
                        <w:t xml:space="preserve">Petición 48-08. </w:t>
                      </w:r>
                      <w:r w:rsidR="00A93EDF">
                        <w:rPr>
                          <w:rFonts w:asciiTheme="majorHAnsi" w:hAnsiTheme="majorHAnsi"/>
                          <w:color w:val="595959" w:themeColor="text1" w:themeTint="A6"/>
                          <w:sz w:val="18"/>
                          <w:szCs w:val="18"/>
                          <w:lang w:val="es-ES"/>
                        </w:rPr>
                        <w:t xml:space="preserve">Admisibilidad. </w:t>
                      </w:r>
                      <w:r w:rsidR="00A93EDF" w:rsidRPr="00A93EDF">
                        <w:rPr>
                          <w:rFonts w:asciiTheme="majorHAnsi" w:hAnsiTheme="majorHAnsi"/>
                          <w:color w:val="595959" w:themeColor="text1" w:themeTint="A6"/>
                          <w:sz w:val="18"/>
                          <w:szCs w:val="18"/>
                          <w:lang w:val="es-ES"/>
                        </w:rPr>
                        <w:t>Er</w:t>
                      </w:r>
                      <w:r w:rsidR="00A93EDF">
                        <w:rPr>
                          <w:rFonts w:asciiTheme="majorHAnsi" w:hAnsiTheme="majorHAnsi"/>
                          <w:color w:val="595959" w:themeColor="text1" w:themeTint="A6"/>
                          <w:sz w:val="18"/>
                          <w:szCs w:val="18"/>
                          <w:lang w:val="es-ES"/>
                        </w:rPr>
                        <w:t xml:space="preserve">nesto </w:t>
                      </w:r>
                      <w:proofErr w:type="spellStart"/>
                      <w:r w:rsidR="00A93EDF">
                        <w:rPr>
                          <w:rFonts w:asciiTheme="majorHAnsi" w:hAnsiTheme="majorHAnsi"/>
                          <w:color w:val="595959" w:themeColor="text1" w:themeTint="A6"/>
                          <w:sz w:val="18"/>
                          <w:szCs w:val="18"/>
                          <w:lang w:val="es-ES"/>
                        </w:rPr>
                        <w:t>Lizarralde</w:t>
                      </w:r>
                      <w:proofErr w:type="spellEnd"/>
                      <w:r w:rsidR="00A93EDF">
                        <w:rPr>
                          <w:rFonts w:asciiTheme="majorHAnsi" w:hAnsiTheme="majorHAnsi"/>
                          <w:color w:val="595959" w:themeColor="text1" w:themeTint="A6"/>
                          <w:sz w:val="18"/>
                          <w:szCs w:val="18"/>
                          <w:lang w:val="es-ES"/>
                        </w:rPr>
                        <w:t xml:space="preserve"> Ardila Y Otros. </w:t>
                      </w:r>
                      <w:r w:rsidR="00A93EDF" w:rsidRPr="00A93EDF">
                        <w:rPr>
                          <w:rFonts w:asciiTheme="majorHAnsi" w:hAnsiTheme="majorHAnsi"/>
                          <w:color w:val="595959" w:themeColor="text1" w:themeTint="A6"/>
                          <w:sz w:val="18"/>
                          <w:szCs w:val="18"/>
                          <w:lang w:val="es-ES"/>
                        </w:rPr>
                        <w:t>Colombia</w:t>
                      </w:r>
                      <w:r w:rsidR="00A93EDF">
                        <w:rPr>
                          <w:rFonts w:asciiTheme="majorHAnsi" w:hAnsiTheme="majorHAnsi"/>
                          <w:color w:val="595959" w:themeColor="text1" w:themeTint="A6"/>
                          <w:sz w:val="18"/>
                          <w:szCs w:val="18"/>
                          <w:lang w:val="es-ES"/>
                        </w:rPr>
                        <w:t>. 8 de agosto de 2017.</w:t>
                      </w:r>
                    </w:p>
                  </w:txbxContent>
                </v:textbox>
              </v:shape>
            </w:pict>
          </mc:Fallback>
        </mc:AlternateContent>
      </w:r>
    </w:p>
    <w:p w14:paraId="1E74E9E9" w14:textId="77777777" w:rsidR="00A50FCF" w:rsidRPr="00EB4BAB" w:rsidRDefault="00A50FCF" w:rsidP="00040C3A">
      <w:pPr>
        <w:tabs>
          <w:tab w:val="center" w:pos="5400"/>
        </w:tabs>
        <w:suppressAutoHyphens/>
        <w:jc w:val="center"/>
        <w:rPr>
          <w:rFonts w:asciiTheme="majorHAnsi" w:hAnsiTheme="majorHAnsi"/>
          <w:sz w:val="18"/>
          <w:szCs w:val="22"/>
          <w:lang w:val="es-ES_tradnl"/>
        </w:rPr>
      </w:pPr>
    </w:p>
    <w:p w14:paraId="063E5029" w14:textId="77777777" w:rsidR="0090270B" w:rsidRPr="00EB4BAB" w:rsidRDefault="00D306D1" w:rsidP="005516A1">
      <w:pPr>
        <w:tabs>
          <w:tab w:val="center" w:pos="5400"/>
        </w:tabs>
        <w:suppressAutoHyphens/>
        <w:jc w:val="center"/>
        <w:rPr>
          <w:rFonts w:asciiTheme="majorHAnsi" w:hAnsiTheme="majorHAnsi"/>
          <w:b/>
          <w:sz w:val="20"/>
          <w:lang w:val="es-ES_tradnl"/>
        </w:rPr>
      </w:pPr>
      <w:r w:rsidRPr="00EB4BA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AC69B1C" wp14:editId="3039768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1D84E"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BB97FA5" wp14:editId="0662A30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7AC69B1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DA1D84E"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BB97FA5" wp14:editId="0662A30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B4BA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7844473" wp14:editId="1842C6D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FA424"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27844473"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DBFA424"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F95F76F" w14:textId="77777777" w:rsidR="0070697F" w:rsidRPr="00EB4BAB" w:rsidRDefault="0070697F" w:rsidP="005516A1">
      <w:pPr>
        <w:tabs>
          <w:tab w:val="center" w:pos="5400"/>
        </w:tabs>
        <w:suppressAutoHyphens/>
        <w:jc w:val="center"/>
        <w:rPr>
          <w:rFonts w:asciiTheme="majorHAnsi" w:hAnsiTheme="majorHAnsi"/>
          <w:b/>
          <w:sz w:val="20"/>
          <w:lang w:val="es-ES_tradnl"/>
        </w:rPr>
        <w:sectPr w:rsidR="0070697F" w:rsidRPr="00EB4BAB"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57421C30" w14:textId="0C60066A" w:rsidR="00722C9F" w:rsidRPr="00EB4BAB" w:rsidRDefault="00A93EDF"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93</w:t>
      </w:r>
      <w:r w:rsidR="00722C9F" w:rsidRPr="00EB4BAB">
        <w:rPr>
          <w:rFonts w:asciiTheme="majorHAnsi" w:hAnsiTheme="majorHAnsi"/>
          <w:b/>
          <w:sz w:val="18"/>
          <w:szCs w:val="20"/>
          <w:lang w:val="es-ES_tradnl"/>
        </w:rPr>
        <w:t>/1</w:t>
      </w:r>
      <w:r w:rsidR="0074011C" w:rsidRPr="00EB4BAB">
        <w:rPr>
          <w:rFonts w:asciiTheme="majorHAnsi" w:hAnsiTheme="majorHAnsi"/>
          <w:b/>
          <w:sz w:val="18"/>
          <w:szCs w:val="20"/>
          <w:lang w:val="es-ES_tradnl"/>
        </w:rPr>
        <w:t>7</w:t>
      </w:r>
      <w:r w:rsidR="00636E73" w:rsidRPr="00EB4BAB">
        <w:rPr>
          <w:rStyle w:val="FootnoteReference"/>
          <w:rFonts w:asciiTheme="majorHAnsi" w:hAnsiTheme="majorHAnsi"/>
          <w:b/>
          <w:sz w:val="18"/>
          <w:szCs w:val="20"/>
          <w:lang w:val="es-ES_tradnl"/>
        </w:rPr>
        <w:footnoteReference w:id="2"/>
      </w:r>
    </w:p>
    <w:p w14:paraId="1E40467D" w14:textId="77777777" w:rsidR="00722C9F" w:rsidRPr="00EB4BAB" w:rsidRDefault="008D7E5B" w:rsidP="00722C9F">
      <w:pPr>
        <w:tabs>
          <w:tab w:val="center" w:pos="5400"/>
        </w:tabs>
        <w:suppressAutoHyphens/>
        <w:spacing w:line="276" w:lineRule="auto"/>
        <w:jc w:val="center"/>
        <w:rPr>
          <w:rFonts w:asciiTheme="majorHAnsi" w:hAnsiTheme="majorHAnsi"/>
          <w:b/>
          <w:sz w:val="18"/>
          <w:szCs w:val="20"/>
          <w:lang w:val="es-ES_tradnl"/>
        </w:rPr>
      </w:pPr>
      <w:r w:rsidRPr="00EB4BAB">
        <w:rPr>
          <w:rFonts w:asciiTheme="majorHAnsi" w:hAnsiTheme="majorHAnsi"/>
          <w:b/>
          <w:sz w:val="18"/>
          <w:szCs w:val="20"/>
          <w:lang w:val="es-ES_tradnl"/>
        </w:rPr>
        <w:t>PETICIÓN 48-08</w:t>
      </w:r>
      <w:r w:rsidR="00722C9F" w:rsidRPr="00EB4BAB">
        <w:rPr>
          <w:rFonts w:asciiTheme="majorHAnsi" w:hAnsiTheme="majorHAnsi"/>
          <w:b/>
          <w:sz w:val="18"/>
          <w:szCs w:val="20"/>
          <w:lang w:val="es-ES_tradnl"/>
        </w:rPr>
        <w:t xml:space="preserve"> </w:t>
      </w:r>
    </w:p>
    <w:p w14:paraId="22DCF637" w14:textId="77777777" w:rsidR="00722C9F" w:rsidRPr="00EB4BAB" w:rsidRDefault="00722C9F" w:rsidP="00722C9F">
      <w:pPr>
        <w:tabs>
          <w:tab w:val="center" w:pos="5400"/>
        </w:tabs>
        <w:suppressAutoHyphens/>
        <w:spacing w:line="276" w:lineRule="auto"/>
        <w:jc w:val="center"/>
        <w:rPr>
          <w:rFonts w:asciiTheme="majorHAnsi" w:hAnsiTheme="majorHAnsi"/>
          <w:sz w:val="18"/>
          <w:szCs w:val="20"/>
          <w:lang w:val="es-ES_tradnl"/>
        </w:rPr>
      </w:pPr>
      <w:r w:rsidRPr="00EB4BAB">
        <w:rPr>
          <w:rFonts w:asciiTheme="majorHAnsi" w:hAnsiTheme="majorHAnsi"/>
          <w:sz w:val="18"/>
          <w:szCs w:val="20"/>
          <w:lang w:val="es-ES_tradnl"/>
        </w:rPr>
        <w:t>INFORME DE A</w:t>
      </w:r>
      <w:r w:rsidR="008D7E5B" w:rsidRPr="00EB4BAB">
        <w:rPr>
          <w:rFonts w:asciiTheme="majorHAnsi" w:hAnsiTheme="majorHAnsi"/>
          <w:sz w:val="18"/>
          <w:szCs w:val="20"/>
          <w:lang w:val="es-ES_tradnl"/>
        </w:rPr>
        <w:t>DMISIBILIDAD</w:t>
      </w:r>
      <w:r w:rsidR="005A24ED" w:rsidRPr="00EB4BAB">
        <w:rPr>
          <w:rFonts w:asciiTheme="majorHAnsi" w:hAnsiTheme="majorHAnsi"/>
          <w:sz w:val="18"/>
          <w:szCs w:val="20"/>
          <w:lang w:val="es-ES_tradnl"/>
        </w:rPr>
        <w:t xml:space="preserve"> </w:t>
      </w:r>
    </w:p>
    <w:p w14:paraId="11DE566D" w14:textId="77777777" w:rsidR="00722C9F" w:rsidRPr="00EB4BAB" w:rsidRDefault="008D7E5B" w:rsidP="00722C9F">
      <w:pPr>
        <w:tabs>
          <w:tab w:val="center" w:pos="5400"/>
        </w:tabs>
        <w:suppressAutoHyphens/>
        <w:spacing w:line="276" w:lineRule="auto"/>
        <w:jc w:val="center"/>
        <w:rPr>
          <w:rFonts w:asciiTheme="majorHAnsi" w:hAnsiTheme="majorHAnsi"/>
          <w:sz w:val="18"/>
          <w:szCs w:val="20"/>
          <w:lang w:val="es-ES_tradnl"/>
        </w:rPr>
      </w:pPr>
      <w:r w:rsidRPr="00EB4BAB">
        <w:rPr>
          <w:rFonts w:asciiTheme="majorHAnsi" w:hAnsiTheme="majorHAnsi"/>
          <w:sz w:val="18"/>
          <w:szCs w:val="20"/>
          <w:lang w:val="es-ES_tradnl"/>
        </w:rPr>
        <w:t>ERNESTO LIZARRALDE ARDILA Y OTROS</w:t>
      </w:r>
    </w:p>
    <w:p w14:paraId="19A66127" w14:textId="77777777" w:rsidR="0070697F" w:rsidRPr="00EB4BAB" w:rsidRDefault="008D7E5B" w:rsidP="00722C9F">
      <w:pPr>
        <w:tabs>
          <w:tab w:val="center" w:pos="5400"/>
        </w:tabs>
        <w:suppressAutoHyphens/>
        <w:spacing w:line="276" w:lineRule="auto"/>
        <w:jc w:val="center"/>
        <w:rPr>
          <w:rFonts w:asciiTheme="majorHAnsi" w:hAnsiTheme="majorHAnsi"/>
          <w:sz w:val="18"/>
          <w:szCs w:val="20"/>
          <w:lang w:val="es-ES_tradnl"/>
        </w:rPr>
      </w:pPr>
      <w:r w:rsidRPr="00EB4BAB">
        <w:rPr>
          <w:rFonts w:asciiTheme="majorHAnsi" w:hAnsiTheme="majorHAnsi"/>
          <w:sz w:val="18"/>
          <w:szCs w:val="20"/>
          <w:lang w:val="es-ES_tradnl"/>
        </w:rPr>
        <w:t>COLOMBIA</w:t>
      </w:r>
    </w:p>
    <w:p w14:paraId="1EE9C892" w14:textId="29886498" w:rsidR="00722C9F" w:rsidRPr="00875D22" w:rsidRDefault="00A93EDF"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8 DE AGOSTO DE 2017</w:t>
      </w:r>
    </w:p>
    <w:p w14:paraId="658AA443" w14:textId="77777777" w:rsidR="00875D22" w:rsidRPr="00EB4BAB" w:rsidRDefault="00875D22" w:rsidP="00875D22">
      <w:pPr>
        <w:tabs>
          <w:tab w:val="center" w:pos="5400"/>
        </w:tabs>
        <w:suppressAutoHyphens/>
        <w:rPr>
          <w:rFonts w:asciiTheme="majorHAnsi" w:hAnsiTheme="majorHAnsi"/>
          <w:sz w:val="20"/>
          <w:szCs w:val="20"/>
          <w:lang w:val="es-ES_tradnl"/>
        </w:rPr>
      </w:pPr>
    </w:p>
    <w:p w14:paraId="32597D89" w14:textId="77777777" w:rsidR="003239B8" w:rsidRPr="00EB4BAB" w:rsidRDefault="003239B8" w:rsidP="003239B8">
      <w:pPr>
        <w:spacing w:after="240"/>
        <w:ind w:firstLine="720"/>
        <w:jc w:val="both"/>
        <w:rPr>
          <w:rFonts w:asciiTheme="majorHAnsi" w:hAnsiTheme="majorHAnsi"/>
          <w:b/>
          <w:bCs/>
          <w:sz w:val="20"/>
          <w:szCs w:val="20"/>
          <w:lang w:val="es-ES"/>
        </w:rPr>
      </w:pPr>
      <w:r w:rsidRPr="00EB4BAB">
        <w:rPr>
          <w:rFonts w:asciiTheme="majorHAnsi" w:hAnsiTheme="majorHAnsi"/>
          <w:b/>
          <w:bCs/>
          <w:sz w:val="20"/>
          <w:szCs w:val="20"/>
          <w:lang w:val="es-ES"/>
        </w:rPr>
        <w:t>I.</w:t>
      </w:r>
      <w:r w:rsidRPr="00EB4BA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1151C9" w14:paraId="27E39EDB" w14:textId="77777777" w:rsidTr="006C1364">
        <w:tc>
          <w:tcPr>
            <w:tcW w:w="4680" w:type="dxa"/>
            <w:tcBorders>
              <w:top w:val="single" w:sz="4" w:space="0" w:color="auto"/>
              <w:bottom w:val="single" w:sz="6" w:space="0" w:color="auto"/>
            </w:tcBorders>
            <w:shd w:val="clear" w:color="auto" w:fill="386294"/>
            <w:vAlign w:val="center"/>
          </w:tcPr>
          <w:p w14:paraId="2E31BE9F" w14:textId="77777777" w:rsidR="003239B8" w:rsidRPr="00EB4BAB" w:rsidRDefault="003239B8" w:rsidP="008D2290">
            <w:pPr>
              <w:jc w:val="center"/>
              <w:rPr>
                <w:rFonts w:ascii="Cambria" w:hAnsi="Cambria"/>
                <w:b/>
                <w:bCs/>
                <w:color w:val="FFFFFF" w:themeColor="background1"/>
                <w:sz w:val="20"/>
                <w:szCs w:val="20"/>
              </w:rPr>
            </w:pPr>
            <w:r w:rsidRPr="00EB4BAB">
              <w:rPr>
                <w:rFonts w:ascii="Cambria" w:hAnsi="Cambria"/>
                <w:b/>
                <w:bCs/>
                <w:color w:val="FFFFFF" w:themeColor="background1"/>
                <w:sz w:val="20"/>
                <w:szCs w:val="20"/>
              </w:rPr>
              <w:t>Parte peticionaria:</w:t>
            </w:r>
          </w:p>
        </w:tc>
        <w:tc>
          <w:tcPr>
            <w:tcW w:w="4680" w:type="dxa"/>
            <w:vAlign w:val="center"/>
          </w:tcPr>
          <w:p w14:paraId="456AA909" w14:textId="77777777" w:rsidR="003239B8" w:rsidRPr="00EB4BAB" w:rsidRDefault="00A47256" w:rsidP="00A47256">
            <w:pPr>
              <w:jc w:val="both"/>
              <w:rPr>
                <w:rFonts w:ascii="Cambria" w:hAnsi="Cambria"/>
                <w:bCs/>
                <w:sz w:val="20"/>
                <w:szCs w:val="20"/>
                <w:lang w:val="es-CO"/>
              </w:rPr>
            </w:pPr>
            <w:r w:rsidRPr="00EB4BAB">
              <w:rPr>
                <w:rFonts w:ascii="Cambria" w:hAnsi="Cambria"/>
                <w:bCs/>
                <w:sz w:val="20"/>
                <w:szCs w:val="20"/>
                <w:lang w:val="es-CO"/>
              </w:rPr>
              <w:t>Rubén</w:t>
            </w:r>
            <w:r w:rsidR="008D7E5B" w:rsidRPr="00EB4BAB">
              <w:rPr>
                <w:rFonts w:ascii="Cambria" w:hAnsi="Cambria"/>
                <w:bCs/>
                <w:sz w:val="20"/>
                <w:szCs w:val="20"/>
                <w:lang w:val="es-CO"/>
              </w:rPr>
              <w:t xml:space="preserve"> Darío Restrepo y Marco Antonio Arango Barrera</w:t>
            </w:r>
          </w:p>
        </w:tc>
      </w:tr>
      <w:tr w:rsidR="003239B8" w:rsidRPr="001151C9" w14:paraId="445D4665" w14:textId="77777777" w:rsidTr="006C1364">
        <w:tc>
          <w:tcPr>
            <w:tcW w:w="4680" w:type="dxa"/>
            <w:tcBorders>
              <w:top w:val="single" w:sz="6" w:space="0" w:color="auto"/>
              <w:bottom w:val="single" w:sz="6" w:space="0" w:color="auto"/>
            </w:tcBorders>
            <w:shd w:val="clear" w:color="auto" w:fill="386294"/>
            <w:vAlign w:val="center"/>
          </w:tcPr>
          <w:p w14:paraId="6251F034" w14:textId="77777777" w:rsidR="003239B8" w:rsidRPr="00EB4BAB" w:rsidRDefault="004B4C2D"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B4BAB">
                  <w:rPr>
                    <w:rFonts w:ascii="Cambria" w:hAnsi="Cambria"/>
                    <w:b/>
                    <w:bCs/>
                    <w:color w:val="FFFFFF" w:themeColor="background1"/>
                    <w:sz w:val="20"/>
                    <w:szCs w:val="20"/>
                  </w:rPr>
                  <w:t>Presunta víctima</w:t>
                </w:r>
              </w:sdtContent>
            </w:sdt>
            <w:r w:rsidR="003239B8" w:rsidRPr="00EB4BAB">
              <w:rPr>
                <w:rFonts w:ascii="Cambria" w:hAnsi="Cambria"/>
                <w:b/>
                <w:bCs/>
                <w:color w:val="FFFFFF" w:themeColor="background1"/>
                <w:sz w:val="20"/>
                <w:szCs w:val="20"/>
              </w:rPr>
              <w:t>:</w:t>
            </w:r>
          </w:p>
        </w:tc>
        <w:tc>
          <w:tcPr>
            <w:tcW w:w="4680" w:type="dxa"/>
            <w:vAlign w:val="center"/>
          </w:tcPr>
          <w:p w14:paraId="7C78E104" w14:textId="77777777" w:rsidR="003239B8" w:rsidRPr="00EB4BAB" w:rsidRDefault="008D7E5B" w:rsidP="008D2290">
            <w:pPr>
              <w:jc w:val="both"/>
              <w:rPr>
                <w:rFonts w:ascii="Cambria" w:hAnsi="Cambria"/>
                <w:bCs/>
                <w:sz w:val="20"/>
                <w:szCs w:val="20"/>
                <w:lang w:val="es-CO"/>
              </w:rPr>
            </w:pPr>
            <w:r w:rsidRPr="00EB4BAB">
              <w:rPr>
                <w:rFonts w:ascii="Cambria" w:hAnsi="Cambria"/>
                <w:bCs/>
                <w:sz w:val="20"/>
                <w:szCs w:val="20"/>
                <w:lang w:val="es-CO"/>
              </w:rPr>
              <w:t>Ernesto Lizarralde Ardila y otros</w:t>
            </w:r>
          </w:p>
        </w:tc>
      </w:tr>
      <w:tr w:rsidR="003239B8" w:rsidRPr="00EB4BAB" w14:paraId="750804A9" w14:textId="77777777" w:rsidTr="006C1364">
        <w:tc>
          <w:tcPr>
            <w:tcW w:w="4680" w:type="dxa"/>
            <w:tcBorders>
              <w:top w:val="single" w:sz="6" w:space="0" w:color="auto"/>
              <w:bottom w:val="single" w:sz="6" w:space="0" w:color="auto"/>
            </w:tcBorders>
            <w:shd w:val="clear" w:color="auto" w:fill="386294"/>
            <w:vAlign w:val="center"/>
          </w:tcPr>
          <w:p w14:paraId="496278EB" w14:textId="77777777" w:rsidR="003239B8" w:rsidRPr="00EB4BAB" w:rsidRDefault="003239B8" w:rsidP="008D2290">
            <w:pPr>
              <w:jc w:val="center"/>
              <w:rPr>
                <w:rFonts w:ascii="Cambria" w:hAnsi="Cambria"/>
                <w:b/>
                <w:bCs/>
                <w:color w:val="FFFFFF" w:themeColor="background1"/>
                <w:sz w:val="20"/>
                <w:szCs w:val="20"/>
              </w:rPr>
            </w:pPr>
            <w:r w:rsidRPr="00EB4BAB">
              <w:rPr>
                <w:rFonts w:ascii="Cambria" w:hAnsi="Cambria"/>
                <w:b/>
                <w:bCs/>
                <w:color w:val="FFFFFF" w:themeColor="background1"/>
                <w:sz w:val="20"/>
                <w:szCs w:val="20"/>
              </w:rPr>
              <w:t>Estado denunciado:</w:t>
            </w:r>
          </w:p>
        </w:tc>
        <w:tc>
          <w:tcPr>
            <w:tcW w:w="4680" w:type="dxa"/>
            <w:vAlign w:val="center"/>
          </w:tcPr>
          <w:p w14:paraId="61C59C3F" w14:textId="77777777" w:rsidR="003239B8" w:rsidRPr="00EB4BAB" w:rsidRDefault="00C1030F" w:rsidP="008D2290">
            <w:pPr>
              <w:jc w:val="both"/>
              <w:rPr>
                <w:rFonts w:ascii="Cambria" w:hAnsi="Cambria"/>
                <w:bCs/>
                <w:sz w:val="20"/>
                <w:szCs w:val="20"/>
              </w:rPr>
            </w:pPr>
            <w:r w:rsidRPr="00EB4BAB">
              <w:rPr>
                <w:rFonts w:ascii="Cambria" w:hAnsi="Cambria"/>
                <w:bCs/>
                <w:sz w:val="20"/>
                <w:szCs w:val="20"/>
              </w:rPr>
              <w:t>Colombia</w:t>
            </w:r>
          </w:p>
        </w:tc>
      </w:tr>
      <w:tr w:rsidR="0074011C" w:rsidRPr="001151C9" w14:paraId="7E7C45C0" w14:textId="77777777" w:rsidTr="0004091B">
        <w:tc>
          <w:tcPr>
            <w:tcW w:w="4680" w:type="dxa"/>
            <w:tcBorders>
              <w:top w:val="single" w:sz="6" w:space="0" w:color="auto"/>
              <w:bottom w:val="single" w:sz="6" w:space="0" w:color="auto"/>
            </w:tcBorders>
            <w:shd w:val="clear" w:color="auto" w:fill="386294"/>
            <w:vAlign w:val="center"/>
          </w:tcPr>
          <w:p w14:paraId="163A5485" w14:textId="673422A5" w:rsidR="0074011C" w:rsidRPr="00EB4BAB" w:rsidRDefault="0074011C" w:rsidP="0074011C">
            <w:pPr>
              <w:jc w:val="center"/>
              <w:rPr>
                <w:rFonts w:ascii="Cambria" w:hAnsi="Cambria"/>
                <w:b/>
                <w:bCs/>
                <w:color w:val="FFFFFF" w:themeColor="background1"/>
                <w:sz w:val="20"/>
                <w:szCs w:val="20"/>
              </w:rPr>
            </w:pPr>
            <w:r w:rsidRPr="00EB4BAB">
              <w:rPr>
                <w:rFonts w:ascii="Cambria" w:hAnsi="Cambria"/>
                <w:b/>
                <w:bCs/>
                <w:color w:val="FFFFFF" w:themeColor="background1"/>
                <w:sz w:val="20"/>
                <w:szCs w:val="20"/>
              </w:rPr>
              <w:t>Derechos invocados:</w:t>
            </w:r>
          </w:p>
        </w:tc>
        <w:tc>
          <w:tcPr>
            <w:tcW w:w="4680" w:type="dxa"/>
          </w:tcPr>
          <w:p w14:paraId="56C92AD0" w14:textId="5FEC99F1" w:rsidR="0074011C" w:rsidRPr="00EB4BAB" w:rsidRDefault="0074011C" w:rsidP="00636E73">
            <w:pPr>
              <w:jc w:val="both"/>
              <w:rPr>
                <w:rFonts w:ascii="Cambria" w:hAnsi="Cambria"/>
                <w:bCs/>
                <w:sz w:val="20"/>
                <w:szCs w:val="20"/>
                <w:lang w:val="es-ES"/>
              </w:rPr>
            </w:pPr>
            <w:r w:rsidRPr="00EB4BAB">
              <w:rPr>
                <w:rFonts w:ascii="Cambria" w:hAnsi="Cambria"/>
                <w:bCs/>
                <w:sz w:val="20"/>
                <w:szCs w:val="20"/>
                <w:lang w:val="es-CO"/>
              </w:rPr>
              <w:t>Artículo 8 (garantías judiciales) de la Convención Americana sobre Derechos Humanos</w:t>
            </w:r>
            <w:r w:rsidRPr="00EB4BAB">
              <w:rPr>
                <w:rStyle w:val="FootnoteReference"/>
                <w:rFonts w:ascii="Cambria" w:hAnsi="Cambria"/>
                <w:bCs/>
                <w:sz w:val="20"/>
                <w:szCs w:val="20"/>
                <w:lang w:val="es-CO"/>
              </w:rPr>
              <w:footnoteReference w:id="3"/>
            </w:r>
            <w:r w:rsidRPr="00EB4BAB">
              <w:rPr>
                <w:rFonts w:ascii="Cambria" w:hAnsi="Cambria"/>
                <w:b/>
                <w:bCs/>
                <w:color w:val="FFFFFF" w:themeColor="background1"/>
                <w:sz w:val="20"/>
                <w:szCs w:val="20"/>
                <w:lang w:val="es-ES"/>
              </w:rPr>
              <w:t>s invocados:</w:t>
            </w:r>
          </w:p>
        </w:tc>
      </w:tr>
    </w:tbl>
    <w:p w14:paraId="55360D55" w14:textId="77777777" w:rsidR="003239B8" w:rsidRPr="00EB4BAB" w:rsidRDefault="003239B8" w:rsidP="003239B8">
      <w:pPr>
        <w:spacing w:before="240" w:after="240"/>
        <w:ind w:firstLine="720"/>
        <w:jc w:val="both"/>
        <w:rPr>
          <w:rFonts w:asciiTheme="majorHAnsi" w:hAnsiTheme="majorHAnsi"/>
          <w:b/>
          <w:bCs/>
          <w:sz w:val="20"/>
          <w:szCs w:val="20"/>
          <w:lang w:val="es-CO"/>
        </w:rPr>
      </w:pPr>
      <w:r w:rsidRPr="00EB4BAB">
        <w:rPr>
          <w:rFonts w:asciiTheme="majorHAnsi" w:hAnsiTheme="majorHAnsi"/>
          <w:b/>
          <w:bCs/>
          <w:sz w:val="20"/>
          <w:szCs w:val="20"/>
          <w:lang w:val="es-CO"/>
        </w:rPr>
        <w:t>II.</w:t>
      </w:r>
      <w:r w:rsidRPr="00EB4BAB">
        <w:rPr>
          <w:rFonts w:asciiTheme="majorHAnsi" w:hAnsiTheme="majorHAnsi"/>
          <w:b/>
          <w:bCs/>
          <w:sz w:val="20"/>
          <w:szCs w:val="20"/>
          <w:lang w:val="es-CO"/>
        </w:rPr>
        <w:tab/>
        <w:t>TRÁMITE ANTE LA CIDH</w:t>
      </w:r>
      <w:r w:rsidR="006C1364" w:rsidRPr="00EB4BAB">
        <w:rPr>
          <w:rStyle w:val="FootnoteReference"/>
          <w:rFonts w:asciiTheme="majorHAnsi" w:hAnsiTheme="majorHAnsi"/>
          <w:b/>
          <w:bCs/>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B4BAB" w14:paraId="1FB714C5" w14:textId="77777777" w:rsidTr="008D2290">
        <w:tc>
          <w:tcPr>
            <w:tcW w:w="4680" w:type="dxa"/>
            <w:tcBorders>
              <w:top w:val="single" w:sz="6" w:space="0" w:color="auto"/>
              <w:bottom w:val="single" w:sz="6" w:space="0" w:color="auto"/>
            </w:tcBorders>
            <w:shd w:val="clear" w:color="auto" w:fill="386294"/>
            <w:vAlign w:val="center"/>
          </w:tcPr>
          <w:p w14:paraId="15AA538B" w14:textId="77777777" w:rsidR="003239B8" w:rsidRPr="00EB4BAB" w:rsidRDefault="003239B8" w:rsidP="008D2290">
            <w:pPr>
              <w:jc w:val="center"/>
              <w:rPr>
                <w:rFonts w:ascii="Cambria" w:hAnsi="Cambria"/>
                <w:b/>
                <w:bCs/>
                <w:color w:val="FFFFFF" w:themeColor="background1"/>
                <w:sz w:val="20"/>
                <w:szCs w:val="20"/>
                <w:lang w:val="es-ES"/>
              </w:rPr>
            </w:pPr>
            <w:r w:rsidRPr="00EB4BAB">
              <w:rPr>
                <w:rFonts w:ascii="Cambria" w:hAnsi="Cambria"/>
                <w:b/>
                <w:bCs/>
                <w:color w:val="FFFFFF" w:themeColor="background1"/>
                <w:sz w:val="20"/>
                <w:szCs w:val="20"/>
                <w:lang w:val="es-ES"/>
              </w:rPr>
              <w:t>Fecha de presentación de la petición:</w:t>
            </w:r>
          </w:p>
        </w:tc>
        <w:tc>
          <w:tcPr>
            <w:tcW w:w="4680" w:type="dxa"/>
            <w:vAlign w:val="center"/>
          </w:tcPr>
          <w:p w14:paraId="4253B0EC" w14:textId="77777777" w:rsidR="003239B8" w:rsidRPr="00EB4BAB" w:rsidRDefault="008D7E5B" w:rsidP="00DF3284">
            <w:pPr>
              <w:jc w:val="both"/>
              <w:rPr>
                <w:rFonts w:ascii="Cambria" w:hAnsi="Cambria"/>
                <w:bCs/>
                <w:sz w:val="20"/>
                <w:szCs w:val="20"/>
                <w:lang w:val="es-ES"/>
              </w:rPr>
            </w:pPr>
            <w:r w:rsidRPr="00EB4BAB">
              <w:rPr>
                <w:rFonts w:ascii="Cambria" w:hAnsi="Cambria"/>
                <w:bCs/>
                <w:sz w:val="20"/>
                <w:szCs w:val="20"/>
                <w:lang w:val="es-ES"/>
              </w:rPr>
              <w:t>1</w:t>
            </w:r>
            <w:r w:rsidR="00DF3284" w:rsidRPr="00EB4BAB">
              <w:rPr>
                <w:rFonts w:ascii="Cambria" w:hAnsi="Cambria"/>
                <w:bCs/>
                <w:sz w:val="20"/>
                <w:szCs w:val="20"/>
                <w:lang w:val="es-ES"/>
              </w:rPr>
              <w:t>1</w:t>
            </w:r>
            <w:r w:rsidRPr="00EB4BAB">
              <w:rPr>
                <w:rFonts w:ascii="Cambria" w:hAnsi="Cambria"/>
                <w:bCs/>
                <w:sz w:val="20"/>
                <w:szCs w:val="20"/>
                <w:lang w:val="es-ES"/>
              </w:rPr>
              <w:t xml:space="preserve"> de enero de 2008</w:t>
            </w:r>
          </w:p>
        </w:tc>
      </w:tr>
      <w:tr w:rsidR="003239B8" w:rsidRPr="001151C9" w14:paraId="52023693" w14:textId="77777777" w:rsidTr="008D2290">
        <w:tc>
          <w:tcPr>
            <w:tcW w:w="4680" w:type="dxa"/>
            <w:tcBorders>
              <w:top w:val="single" w:sz="6" w:space="0" w:color="auto"/>
              <w:bottom w:val="single" w:sz="6" w:space="0" w:color="auto"/>
            </w:tcBorders>
            <w:shd w:val="clear" w:color="auto" w:fill="386294"/>
            <w:vAlign w:val="center"/>
          </w:tcPr>
          <w:p w14:paraId="4DA48489" w14:textId="77777777" w:rsidR="003239B8" w:rsidRPr="00EB4BAB" w:rsidRDefault="003239B8" w:rsidP="008D2290">
            <w:pPr>
              <w:jc w:val="center"/>
              <w:rPr>
                <w:rFonts w:ascii="Cambria" w:hAnsi="Cambria"/>
                <w:b/>
                <w:color w:val="FFFFFF" w:themeColor="background1"/>
                <w:sz w:val="20"/>
                <w:szCs w:val="20"/>
                <w:lang w:val="es-ES"/>
              </w:rPr>
            </w:pPr>
            <w:r w:rsidRPr="00EB4BAB">
              <w:rPr>
                <w:rFonts w:ascii="Cambria" w:hAnsi="Cambria"/>
                <w:b/>
                <w:color w:val="FFFFFF" w:themeColor="background1"/>
                <w:sz w:val="20"/>
                <w:szCs w:val="20"/>
                <w:lang w:val="es-ES"/>
              </w:rPr>
              <w:t>Información adicional recibida durante la etapa de estudio:</w:t>
            </w:r>
          </w:p>
        </w:tc>
        <w:tc>
          <w:tcPr>
            <w:tcW w:w="4680" w:type="dxa"/>
            <w:vAlign w:val="center"/>
          </w:tcPr>
          <w:p w14:paraId="3B7D53BC" w14:textId="77777777" w:rsidR="003239B8" w:rsidRPr="00EB4BAB" w:rsidRDefault="00DF3284" w:rsidP="00DF3284">
            <w:pPr>
              <w:jc w:val="both"/>
              <w:rPr>
                <w:rFonts w:ascii="Cambria" w:hAnsi="Cambria"/>
                <w:bCs/>
                <w:sz w:val="20"/>
                <w:szCs w:val="20"/>
                <w:lang w:val="es-ES"/>
              </w:rPr>
            </w:pPr>
            <w:r w:rsidRPr="00EB4BAB">
              <w:rPr>
                <w:rFonts w:ascii="Cambria" w:hAnsi="Cambria"/>
                <w:bCs/>
                <w:sz w:val="20"/>
                <w:szCs w:val="20"/>
                <w:lang w:val="es-ES"/>
              </w:rPr>
              <w:t>18 de febrero y 15 de diciembre de 2008</w:t>
            </w:r>
          </w:p>
        </w:tc>
      </w:tr>
      <w:tr w:rsidR="003239B8" w:rsidRPr="00EB4BAB" w14:paraId="1AE3EED6" w14:textId="77777777" w:rsidTr="008D2290">
        <w:tc>
          <w:tcPr>
            <w:tcW w:w="4680" w:type="dxa"/>
            <w:tcBorders>
              <w:top w:val="single" w:sz="6" w:space="0" w:color="auto"/>
              <w:bottom w:val="single" w:sz="6" w:space="0" w:color="auto"/>
            </w:tcBorders>
            <w:shd w:val="clear" w:color="auto" w:fill="386294"/>
            <w:vAlign w:val="center"/>
          </w:tcPr>
          <w:p w14:paraId="39F49918" w14:textId="77777777" w:rsidR="003239B8" w:rsidRPr="00EB4BAB" w:rsidRDefault="003239B8" w:rsidP="008D2290">
            <w:pPr>
              <w:jc w:val="center"/>
              <w:rPr>
                <w:rFonts w:ascii="Cambria" w:hAnsi="Cambria"/>
                <w:b/>
                <w:bCs/>
                <w:color w:val="FFFFFF" w:themeColor="background1"/>
                <w:sz w:val="20"/>
                <w:szCs w:val="20"/>
                <w:lang w:val="es-ES"/>
              </w:rPr>
            </w:pPr>
            <w:r w:rsidRPr="00EB4BAB">
              <w:rPr>
                <w:rFonts w:ascii="Cambria" w:hAnsi="Cambria"/>
                <w:b/>
                <w:color w:val="FFFFFF" w:themeColor="background1"/>
                <w:sz w:val="20"/>
                <w:szCs w:val="20"/>
                <w:lang w:val="es-ES"/>
              </w:rPr>
              <w:t>Fecha de notificación de la petición al Estado:</w:t>
            </w:r>
          </w:p>
        </w:tc>
        <w:tc>
          <w:tcPr>
            <w:tcW w:w="4680" w:type="dxa"/>
            <w:vAlign w:val="center"/>
          </w:tcPr>
          <w:p w14:paraId="77A1F293" w14:textId="77777777" w:rsidR="003239B8" w:rsidRPr="00EB4BAB" w:rsidRDefault="008D7E5B" w:rsidP="008D2290">
            <w:pPr>
              <w:jc w:val="both"/>
              <w:rPr>
                <w:rFonts w:ascii="Cambria" w:hAnsi="Cambria"/>
                <w:bCs/>
                <w:sz w:val="20"/>
                <w:szCs w:val="20"/>
                <w:lang w:val="es-ES"/>
              </w:rPr>
            </w:pPr>
            <w:r w:rsidRPr="00EB4BAB">
              <w:rPr>
                <w:rFonts w:ascii="Cambria" w:hAnsi="Cambria"/>
                <w:bCs/>
                <w:sz w:val="20"/>
                <w:szCs w:val="20"/>
                <w:lang w:val="es-ES"/>
              </w:rPr>
              <w:t>4 de febrero de 2014</w:t>
            </w:r>
          </w:p>
        </w:tc>
      </w:tr>
      <w:tr w:rsidR="003239B8" w:rsidRPr="00EB4BAB" w14:paraId="3AA847E8" w14:textId="77777777" w:rsidTr="008D2290">
        <w:tc>
          <w:tcPr>
            <w:tcW w:w="4680" w:type="dxa"/>
            <w:tcBorders>
              <w:top w:val="single" w:sz="6" w:space="0" w:color="auto"/>
              <w:bottom w:val="single" w:sz="6" w:space="0" w:color="auto"/>
            </w:tcBorders>
            <w:shd w:val="clear" w:color="auto" w:fill="386294"/>
            <w:vAlign w:val="center"/>
          </w:tcPr>
          <w:p w14:paraId="354E3DEB" w14:textId="77777777" w:rsidR="003239B8" w:rsidRPr="00EB4BAB" w:rsidRDefault="003239B8" w:rsidP="008D2290">
            <w:pPr>
              <w:jc w:val="center"/>
              <w:rPr>
                <w:rFonts w:ascii="Cambria" w:hAnsi="Cambria"/>
                <w:b/>
                <w:bCs/>
                <w:color w:val="FFFFFF" w:themeColor="background1"/>
                <w:sz w:val="20"/>
                <w:szCs w:val="20"/>
                <w:lang w:val="es-ES"/>
              </w:rPr>
            </w:pPr>
            <w:r w:rsidRPr="00EB4BAB">
              <w:rPr>
                <w:rFonts w:ascii="Cambria" w:hAnsi="Cambria"/>
                <w:b/>
                <w:color w:val="FFFFFF" w:themeColor="background1"/>
                <w:sz w:val="20"/>
                <w:szCs w:val="20"/>
                <w:lang w:val="es-ES"/>
              </w:rPr>
              <w:t>Fecha de primera respuesta del Estado:</w:t>
            </w:r>
          </w:p>
        </w:tc>
        <w:tc>
          <w:tcPr>
            <w:tcW w:w="4680" w:type="dxa"/>
            <w:vAlign w:val="center"/>
          </w:tcPr>
          <w:p w14:paraId="15AA205D" w14:textId="77777777" w:rsidR="003239B8" w:rsidRPr="00EB4BAB" w:rsidRDefault="008D7E5B" w:rsidP="008D2290">
            <w:pPr>
              <w:jc w:val="both"/>
              <w:rPr>
                <w:rFonts w:ascii="Cambria" w:hAnsi="Cambria"/>
                <w:bCs/>
                <w:sz w:val="20"/>
                <w:szCs w:val="20"/>
                <w:lang w:val="es-ES"/>
              </w:rPr>
            </w:pPr>
            <w:r w:rsidRPr="00EB4BAB">
              <w:rPr>
                <w:rFonts w:ascii="Cambria" w:hAnsi="Cambria"/>
                <w:bCs/>
                <w:sz w:val="20"/>
                <w:szCs w:val="20"/>
                <w:lang w:val="es-ES"/>
              </w:rPr>
              <w:t>6 de junio de 2014</w:t>
            </w:r>
          </w:p>
        </w:tc>
      </w:tr>
      <w:tr w:rsidR="003239B8" w:rsidRPr="00EB4BAB" w14:paraId="50B7507B" w14:textId="77777777" w:rsidTr="008D2290">
        <w:tc>
          <w:tcPr>
            <w:tcW w:w="4680" w:type="dxa"/>
            <w:tcBorders>
              <w:top w:val="single" w:sz="6" w:space="0" w:color="auto"/>
              <w:bottom w:val="single" w:sz="6" w:space="0" w:color="auto"/>
            </w:tcBorders>
            <w:shd w:val="clear" w:color="auto" w:fill="386294"/>
            <w:vAlign w:val="center"/>
          </w:tcPr>
          <w:p w14:paraId="252F065E" w14:textId="77777777" w:rsidR="0074011C" w:rsidRPr="00EB4BAB" w:rsidRDefault="003239B8" w:rsidP="006C1364">
            <w:pPr>
              <w:ind w:left="-288"/>
              <w:jc w:val="center"/>
              <w:rPr>
                <w:rFonts w:ascii="Cambria" w:hAnsi="Cambria"/>
                <w:b/>
                <w:bCs/>
                <w:color w:val="FFFFFF" w:themeColor="background1"/>
                <w:sz w:val="20"/>
                <w:szCs w:val="20"/>
                <w:lang w:val="es-ES"/>
              </w:rPr>
            </w:pPr>
            <w:r w:rsidRPr="00EB4BAB">
              <w:rPr>
                <w:rFonts w:ascii="Cambria" w:hAnsi="Cambria"/>
                <w:b/>
                <w:bCs/>
                <w:color w:val="FFFFFF" w:themeColor="background1"/>
                <w:sz w:val="20"/>
                <w:szCs w:val="20"/>
                <w:lang w:val="es-ES"/>
              </w:rPr>
              <w:t xml:space="preserve">Observaciones adicionales </w:t>
            </w:r>
          </w:p>
          <w:p w14:paraId="64DB6AFE" w14:textId="5F1DDBB8" w:rsidR="003239B8" w:rsidRPr="00EB4BAB" w:rsidRDefault="003239B8" w:rsidP="006C1364">
            <w:pPr>
              <w:ind w:left="-288"/>
              <w:jc w:val="center"/>
              <w:rPr>
                <w:rFonts w:ascii="Cambria" w:hAnsi="Cambria"/>
                <w:b/>
                <w:bCs/>
                <w:color w:val="FFFFFF" w:themeColor="background1"/>
                <w:sz w:val="20"/>
                <w:szCs w:val="20"/>
                <w:lang w:val="es-ES"/>
              </w:rPr>
            </w:pPr>
            <w:r w:rsidRPr="00EB4BAB">
              <w:rPr>
                <w:rFonts w:ascii="Cambria" w:hAnsi="Cambria"/>
                <w:b/>
                <w:bCs/>
                <w:color w:val="FFFFFF" w:themeColor="background1"/>
                <w:sz w:val="20"/>
                <w:szCs w:val="20"/>
                <w:lang w:val="es-ES"/>
              </w:rPr>
              <w:t>de la parte peticionaria</w:t>
            </w:r>
            <w:r w:rsidR="00407B5F" w:rsidRPr="00EB4BAB">
              <w:rPr>
                <w:rStyle w:val="FootnoteReference"/>
                <w:rFonts w:ascii="Cambria" w:hAnsi="Cambria"/>
                <w:bCs/>
                <w:sz w:val="20"/>
                <w:szCs w:val="20"/>
                <w:lang w:val="es-ES"/>
              </w:rPr>
              <w:footnoteReference w:id="5"/>
            </w:r>
            <w:r w:rsidRPr="00EB4BAB">
              <w:rPr>
                <w:rFonts w:ascii="Cambria" w:hAnsi="Cambria"/>
                <w:b/>
                <w:bCs/>
                <w:color w:val="FFFFFF" w:themeColor="background1"/>
                <w:sz w:val="20"/>
                <w:szCs w:val="20"/>
                <w:lang w:val="es-ES"/>
              </w:rPr>
              <w:t>:</w:t>
            </w:r>
          </w:p>
        </w:tc>
        <w:tc>
          <w:tcPr>
            <w:tcW w:w="4680" w:type="dxa"/>
            <w:vAlign w:val="center"/>
          </w:tcPr>
          <w:p w14:paraId="50A478B3" w14:textId="17830A99" w:rsidR="003239B8" w:rsidRPr="00EB4BAB" w:rsidRDefault="008D7E5B" w:rsidP="008D2290">
            <w:pPr>
              <w:jc w:val="both"/>
              <w:rPr>
                <w:rFonts w:ascii="Cambria" w:hAnsi="Cambria"/>
                <w:bCs/>
                <w:sz w:val="20"/>
                <w:szCs w:val="20"/>
                <w:lang w:val="es-ES"/>
              </w:rPr>
            </w:pPr>
            <w:r w:rsidRPr="00EB4BAB">
              <w:rPr>
                <w:rFonts w:ascii="Cambria" w:hAnsi="Cambria"/>
                <w:bCs/>
                <w:sz w:val="20"/>
                <w:szCs w:val="20"/>
                <w:lang w:val="es-ES"/>
              </w:rPr>
              <w:t>31 de agosto de 2014</w:t>
            </w:r>
          </w:p>
        </w:tc>
      </w:tr>
      <w:tr w:rsidR="003239B8" w:rsidRPr="00EB4BAB" w14:paraId="41BD935D" w14:textId="77777777" w:rsidTr="008D2290">
        <w:tc>
          <w:tcPr>
            <w:tcW w:w="4680" w:type="dxa"/>
            <w:tcBorders>
              <w:top w:val="single" w:sz="6" w:space="0" w:color="auto"/>
              <w:bottom w:val="single" w:sz="6" w:space="0" w:color="auto"/>
            </w:tcBorders>
            <w:shd w:val="clear" w:color="auto" w:fill="386294"/>
            <w:vAlign w:val="center"/>
          </w:tcPr>
          <w:p w14:paraId="23975647" w14:textId="193A4083" w:rsidR="003239B8" w:rsidRPr="00EB4BAB" w:rsidRDefault="003239B8" w:rsidP="006C1364">
            <w:pPr>
              <w:jc w:val="center"/>
              <w:rPr>
                <w:rFonts w:ascii="Cambria" w:hAnsi="Cambria"/>
                <w:b/>
                <w:bCs/>
                <w:color w:val="FFFFFF" w:themeColor="background1"/>
                <w:sz w:val="20"/>
                <w:szCs w:val="20"/>
              </w:rPr>
            </w:pPr>
            <w:r w:rsidRPr="00EB4BAB">
              <w:rPr>
                <w:rFonts w:ascii="Cambria" w:hAnsi="Cambria"/>
                <w:b/>
                <w:bCs/>
                <w:color w:val="FFFFFF" w:themeColor="background1"/>
                <w:sz w:val="20"/>
                <w:szCs w:val="20"/>
              </w:rPr>
              <w:t>Observaciones adicionales del Estado:</w:t>
            </w:r>
          </w:p>
        </w:tc>
        <w:tc>
          <w:tcPr>
            <w:tcW w:w="4680" w:type="dxa"/>
            <w:vAlign w:val="center"/>
          </w:tcPr>
          <w:p w14:paraId="7FD5A23A" w14:textId="77777777" w:rsidR="003239B8" w:rsidRPr="00EB4BAB" w:rsidRDefault="008D7E5B" w:rsidP="008D2290">
            <w:pPr>
              <w:jc w:val="both"/>
              <w:rPr>
                <w:rFonts w:ascii="Cambria" w:hAnsi="Cambria"/>
                <w:bCs/>
                <w:sz w:val="20"/>
                <w:szCs w:val="20"/>
              </w:rPr>
            </w:pPr>
            <w:r w:rsidRPr="00EB4BAB">
              <w:rPr>
                <w:rFonts w:ascii="Cambria" w:hAnsi="Cambria"/>
                <w:bCs/>
                <w:sz w:val="20"/>
                <w:szCs w:val="20"/>
              </w:rPr>
              <w:t>4 de marzo de 2015</w:t>
            </w:r>
          </w:p>
        </w:tc>
      </w:tr>
    </w:tbl>
    <w:p w14:paraId="20CB4036" w14:textId="6E558FA9" w:rsidR="003239B8" w:rsidRPr="00EB4BAB" w:rsidRDefault="003239B8" w:rsidP="003239B8">
      <w:pPr>
        <w:spacing w:before="240" w:after="240"/>
        <w:ind w:firstLine="720"/>
        <w:jc w:val="both"/>
        <w:rPr>
          <w:rFonts w:asciiTheme="majorHAnsi" w:hAnsiTheme="majorHAnsi"/>
          <w:b/>
          <w:bCs/>
          <w:sz w:val="20"/>
          <w:szCs w:val="20"/>
          <w:lang w:val="es-ES"/>
        </w:rPr>
      </w:pPr>
      <w:r w:rsidRPr="00EB4BAB">
        <w:rPr>
          <w:rFonts w:asciiTheme="majorHAnsi" w:hAnsiTheme="majorHAnsi"/>
          <w:b/>
          <w:bCs/>
          <w:sz w:val="20"/>
          <w:szCs w:val="20"/>
          <w:lang w:val="es-ES"/>
        </w:rPr>
        <w:t xml:space="preserve">III. </w:t>
      </w:r>
      <w:r w:rsidRPr="00EB4BAB">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B4BAB" w14:paraId="7A0358E6" w14:textId="77777777" w:rsidTr="008D2290">
        <w:trPr>
          <w:cantSplit/>
        </w:trPr>
        <w:tc>
          <w:tcPr>
            <w:tcW w:w="4680" w:type="dxa"/>
            <w:tcBorders>
              <w:top w:val="single" w:sz="4" w:space="0" w:color="auto"/>
              <w:bottom w:val="single" w:sz="6" w:space="0" w:color="auto"/>
            </w:tcBorders>
            <w:shd w:val="clear" w:color="auto" w:fill="386294"/>
            <w:vAlign w:val="center"/>
          </w:tcPr>
          <w:p w14:paraId="306B20E6" w14:textId="77777777" w:rsidR="003239B8" w:rsidRPr="00EB4BAB" w:rsidRDefault="003239B8" w:rsidP="008D2290">
            <w:pPr>
              <w:jc w:val="center"/>
              <w:rPr>
                <w:rFonts w:ascii="Cambria" w:hAnsi="Cambria"/>
                <w:b/>
                <w:bCs/>
                <w:i/>
                <w:color w:val="FFFFFF" w:themeColor="background1"/>
                <w:sz w:val="20"/>
                <w:szCs w:val="20"/>
              </w:rPr>
            </w:pPr>
            <w:r w:rsidRPr="00EB4BAB">
              <w:rPr>
                <w:rFonts w:ascii="Cambria" w:hAnsi="Cambria"/>
                <w:b/>
                <w:bCs/>
                <w:color w:val="FFFFFF" w:themeColor="background1"/>
                <w:sz w:val="20"/>
                <w:szCs w:val="20"/>
              </w:rPr>
              <w:t>Competencia</w:t>
            </w:r>
            <w:r w:rsidRPr="00EB4BAB">
              <w:rPr>
                <w:rFonts w:ascii="Cambria" w:hAnsi="Cambria"/>
                <w:b/>
                <w:bCs/>
                <w:i/>
                <w:color w:val="FFFFFF" w:themeColor="background1"/>
                <w:sz w:val="20"/>
                <w:szCs w:val="20"/>
              </w:rPr>
              <w:t xml:space="preserve"> Ratione personae:</w:t>
            </w:r>
          </w:p>
        </w:tc>
        <w:tc>
          <w:tcPr>
            <w:tcW w:w="4680" w:type="dxa"/>
            <w:vAlign w:val="center"/>
          </w:tcPr>
          <w:p w14:paraId="18D9E3C2" w14:textId="77777777" w:rsidR="003239B8" w:rsidRPr="00EB4BAB" w:rsidRDefault="008D7E5B" w:rsidP="008D2290">
            <w:pPr>
              <w:rPr>
                <w:rFonts w:ascii="Cambria" w:hAnsi="Cambria"/>
                <w:bCs/>
                <w:sz w:val="20"/>
                <w:szCs w:val="20"/>
              </w:rPr>
            </w:pPr>
            <w:r w:rsidRPr="00EB4BAB">
              <w:rPr>
                <w:rFonts w:ascii="Cambria" w:hAnsi="Cambria"/>
                <w:bCs/>
                <w:sz w:val="20"/>
                <w:szCs w:val="20"/>
              </w:rPr>
              <w:t>Sí</w:t>
            </w:r>
          </w:p>
        </w:tc>
      </w:tr>
      <w:tr w:rsidR="003239B8" w:rsidRPr="00EB4BAB" w14:paraId="3B2BC7F2" w14:textId="77777777" w:rsidTr="008D2290">
        <w:trPr>
          <w:cantSplit/>
        </w:trPr>
        <w:tc>
          <w:tcPr>
            <w:tcW w:w="4680" w:type="dxa"/>
            <w:tcBorders>
              <w:top w:val="single" w:sz="6" w:space="0" w:color="auto"/>
              <w:bottom w:val="single" w:sz="6" w:space="0" w:color="auto"/>
            </w:tcBorders>
            <w:shd w:val="clear" w:color="auto" w:fill="386294"/>
            <w:vAlign w:val="center"/>
          </w:tcPr>
          <w:p w14:paraId="6D765E12" w14:textId="77777777" w:rsidR="003239B8" w:rsidRPr="00EB4BAB" w:rsidRDefault="003239B8" w:rsidP="008D2290">
            <w:pPr>
              <w:jc w:val="center"/>
              <w:rPr>
                <w:rFonts w:ascii="Cambria" w:hAnsi="Cambria"/>
                <w:b/>
                <w:bCs/>
                <w:color w:val="FFFFFF" w:themeColor="background1"/>
                <w:sz w:val="20"/>
                <w:szCs w:val="20"/>
              </w:rPr>
            </w:pPr>
            <w:r w:rsidRPr="00EB4BAB">
              <w:rPr>
                <w:rFonts w:ascii="Cambria" w:hAnsi="Cambria"/>
                <w:b/>
                <w:bCs/>
                <w:color w:val="FFFFFF" w:themeColor="background1"/>
                <w:sz w:val="20"/>
                <w:szCs w:val="20"/>
              </w:rPr>
              <w:t>Competencia</w:t>
            </w:r>
            <w:r w:rsidRPr="00EB4BAB">
              <w:rPr>
                <w:rFonts w:ascii="Cambria" w:hAnsi="Cambria"/>
                <w:b/>
                <w:bCs/>
                <w:i/>
                <w:color w:val="FFFFFF" w:themeColor="background1"/>
                <w:sz w:val="20"/>
                <w:szCs w:val="20"/>
              </w:rPr>
              <w:t xml:space="preserve"> Ratione loci</w:t>
            </w:r>
            <w:r w:rsidRPr="00EB4BAB">
              <w:rPr>
                <w:rFonts w:ascii="Cambria" w:hAnsi="Cambria"/>
                <w:b/>
                <w:bCs/>
                <w:color w:val="FFFFFF" w:themeColor="background1"/>
                <w:sz w:val="20"/>
                <w:szCs w:val="20"/>
              </w:rPr>
              <w:t>:</w:t>
            </w:r>
          </w:p>
        </w:tc>
        <w:tc>
          <w:tcPr>
            <w:tcW w:w="4680" w:type="dxa"/>
            <w:vAlign w:val="center"/>
          </w:tcPr>
          <w:p w14:paraId="7103D5BE" w14:textId="77777777" w:rsidR="003239B8" w:rsidRPr="00EB4BAB" w:rsidRDefault="008D7E5B" w:rsidP="008D2290">
            <w:pPr>
              <w:rPr>
                <w:rFonts w:ascii="Cambria" w:hAnsi="Cambria"/>
                <w:bCs/>
                <w:sz w:val="20"/>
                <w:szCs w:val="20"/>
              </w:rPr>
            </w:pPr>
            <w:r w:rsidRPr="00EB4BAB">
              <w:rPr>
                <w:rFonts w:ascii="Cambria" w:hAnsi="Cambria"/>
                <w:bCs/>
                <w:sz w:val="20"/>
                <w:szCs w:val="20"/>
              </w:rPr>
              <w:t>Sí</w:t>
            </w:r>
          </w:p>
        </w:tc>
      </w:tr>
      <w:tr w:rsidR="003239B8" w:rsidRPr="00EB4BAB" w14:paraId="1FDDC727" w14:textId="77777777" w:rsidTr="008D2290">
        <w:trPr>
          <w:cantSplit/>
        </w:trPr>
        <w:tc>
          <w:tcPr>
            <w:tcW w:w="4680" w:type="dxa"/>
            <w:tcBorders>
              <w:top w:val="single" w:sz="6" w:space="0" w:color="auto"/>
              <w:bottom w:val="single" w:sz="6" w:space="0" w:color="auto"/>
            </w:tcBorders>
            <w:shd w:val="clear" w:color="auto" w:fill="386294"/>
            <w:vAlign w:val="center"/>
          </w:tcPr>
          <w:p w14:paraId="19A25460" w14:textId="77777777" w:rsidR="003239B8" w:rsidRPr="00EB4BAB" w:rsidRDefault="003239B8" w:rsidP="008D2290">
            <w:pPr>
              <w:jc w:val="center"/>
              <w:rPr>
                <w:rFonts w:ascii="Cambria" w:hAnsi="Cambria"/>
                <w:b/>
                <w:bCs/>
                <w:color w:val="FFFFFF" w:themeColor="background1"/>
                <w:sz w:val="20"/>
                <w:szCs w:val="20"/>
              </w:rPr>
            </w:pPr>
            <w:r w:rsidRPr="00EB4BAB">
              <w:rPr>
                <w:rFonts w:ascii="Cambria" w:hAnsi="Cambria"/>
                <w:b/>
                <w:bCs/>
                <w:color w:val="FFFFFF" w:themeColor="background1"/>
                <w:sz w:val="20"/>
                <w:szCs w:val="20"/>
              </w:rPr>
              <w:t>Competencia</w:t>
            </w:r>
            <w:r w:rsidRPr="00EB4BAB">
              <w:rPr>
                <w:rFonts w:ascii="Cambria" w:hAnsi="Cambria"/>
                <w:b/>
                <w:bCs/>
                <w:i/>
                <w:color w:val="FFFFFF" w:themeColor="background1"/>
                <w:sz w:val="20"/>
                <w:szCs w:val="20"/>
              </w:rPr>
              <w:t xml:space="preserve"> Ratione temporis</w:t>
            </w:r>
            <w:r w:rsidRPr="00EB4BAB">
              <w:rPr>
                <w:rFonts w:ascii="Cambria" w:hAnsi="Cambria"/>
                <w:b/>
                <w:bCs/>
                <w:color w:val="FFFFFF" w:themeColor="background1"/>
                <w:sz w:val="20"/>
                <w:szCs w:val="20"/>
              </w:rPr>
              <w:t>:</w:t>
            </w:r>
          </w:p>
        </w:tc>
        <w:tc>
          <w:tcPr>
            <w:tcW w:w="4680" w:type="dxa"/>
            <w:vAlign w:val="center"/>
          </w:tcPr>
          <w:p w14:paraId="038BA8F7" w14:textId="77777777" w:rsidR="003239B8" w:rsidRPr="00EB4BAB" w:rsidRDefault="008D7E5B" w:rsidP="008D2290">
            <w:pPr>
              <w:rPr>
                <w:bCs/>
                <w:sz w:val="20"/>
                <w:szCs w:val="20"/>
              </w:rPr>
            </w:pPr>
            <w:r w:rsidRPr="00EB4BAB">
              <w:rPr>
                <w:rFonts w:ascii="Cambria" w:hAnsi="Cambria"/>
                <w:bCs/>
                <w:sz w:val="20"/>
                <w:szCs w:val="20"/>
              </w:rPr>
              <w:t>Sí</w:t>
            </w:r>
          </w:p>
        </w:tc>
      </w:tr>
      <w:tr w:rsidR="003239B8" w:rsidRPr="001151C9" w14:paraId="252B9521" w14:textId="77777777" w:rsidTr="008D2290">
        <w:trPr>
          <w:cantSplit/>
        </w:trPr>
        <w:tc>
          <w:tcPr>
            <w:tcW w:w="4680" w:type="dxa"/>
            <w:tcBorders>
              <w:top w:val="single" w:sz="6" w:space="0" w:color="auto"/>
              <w:bottom w:val="single" w:sz="6" w:space="0" w:color="auto"/>
            </w:tcBorders>
            <w:shd w:val="clear" w:color="auto" w:fill="386294"/>
            <w:vAlign w:val="center"/>
          </w:tcPr>
          <w:p w14:paraId="1A2DD838" w14:textId="77777777" w:rsidR="003239B8" w:rsidRPr="00EB4BAB" w:rsidRDefault="003239B8" w:rsidP="008D2290">
            <w:pPr>
              <w:jc w:val="center"/>
              <w:rPr>
                <w:rFonts w:ascii="Cambria" w:hAnsi="Cambria"/>
                <w:b/>
                <w:bCs/>
                <w:color w:val="FFFFFF" w:themeColor="background1"/>
                <w:sz w:val="20"/>
                <w:szCs w:val="20"/>
              </w:rPr>
            </w:pPr>
            <w:r w:rsidRPr="00EB4BAB">
              <w:rPr>
                <w:rFonts w:ascii="Cambria" w:hAnsi="Cambria"/>
                <w:b/>
                <w:bCs/>
                <w:color w:val="FFFFFF" w:themeColor="background1"/>
                <w:sz w:val="20"/>
                <w:szCs w:val="20"/>
              </w:rPr>
              <w:t>Competencia</w:t>
            </w:r>
            <w:r w:rsidRPr="00EB4BAB">
              <w:rPr>
                <w:rFonts w:ascii="Cambria" w:hAnsi="Cambria"/>
                <w:b/>
                <w:bCs/>
                <w:i/>
                <w:color w:val="FFFFFF" w:themeColor="background1"/>
                <w:sz w:val="20"/>
                <w:szCs w:val="20"/>
              </w:rPr>
              <w:t xml:space="preserve"> Ratione materia</w:t>
            </w:r>
            <w:r w:rsidR="006C1364" w:rsidRPr="00EB4BAB">
              <w:rPr>
                <w:rFonts w:ascii="Cambria" w:hAnsi="Cambria"/>
                <w:b/>
                <w:bCs/>
                <w:i/>
                <w:color w:val="FFFFFF" w:themeColor="background1"/>
                <w:sz w:val="20"/>
                <w:szCs w:val="20"/>
              </w:rPr>
              <w:t>e</w:t>
            </w:r>
            <w:r w:rsidRPr="00EB4BAB">
              <w:rPr>
                <w:rFonts w:ascii="Cambria" w:hAnsi="Cambria"/>
                <w:b/>
                <w:bCs/>
                <w:color w:val="FFFFFF" w:themeColor="background1"/>
                <w:sz w:val="20"/>
                <w:szCs w:val="20"/>
              </w:rPr>
              <w:t>:</w:t>
            </w:r>
          </w:p>
        </w:tc>
        <w:tc>
          <w:tcPr>
            <w:tcW w:w="4680" w:type="dxa"/>
            <w:vAlign w:val="center"/>
          </w:tcPr>
          <w:p w14:paraId="6BCCA6E5" w14:textId="6C91E1F4" w:rsidR="003239B8" w:rsidRPr="00EB4BAB" w:rsidRDefault="008D7E5B" w:rsidP="001C09DC">
            <w:pPr>
              <w:jc w:val="both"/>
              <w:rPr>
                <w:rFonts w:ascii="Cambria" w:hAnsi="Cambria"/>
                <w:bCs/>
                <w:sz w:val="20"/>
                <w:szCs w:val="20"/>
                <w:lang w:val="es-CO"/>
              </w:rPr>
            </w:pPr>
            <w:r w:rsidRPr="00EB4BAB">
              <w:rPr>
                <w:rFonts w:ascii="Cambria" w:hAnsi="Cambria"/>
                <w:bCs/>
                <w:sz w:val="20"/>
                <w:szCs w:val="20"/>
                <w:bdr w:val="none" w:sz="0" w:space="0" w:color="auto" w:frame="1"/>
                <w:lang w:val="es-ES"/>
              </w:rPr>
              <w:t>S</w:t>
            </w:r>
            <w:r w:rsidRPr="00EB4BAB">
              <w:rPr>
                <w:bCs/>
                <w:sz w:val="20"/>
                <w:szCs w:val="20"/>
                <w:bdr w:val="none" w:sz="0" w:space="0" w:color="auto" w:frame="1"/>
                <w:lang w:val="es-ES"/>
              </w:rPr>
              <w:t xml:space="preserve">í, </w:t>
            </w:r>
            <w:r w:rsidRPr="00EB4BAB">
              <w:rPr>
                <w:rFonts w:ascii="Cambria" w:hAnsi="Cambria"/>
                <w:bCs/>
                <w:sz w:val="20"/>
                <w:szCs w:val="20"/>
                <w:bdr w:val="none" w:sz="0" w:space="0" w:color="auto" w:frame="1"/>
                <w:lang w:val="es-ES"/>
              </w:rPr>
              <w:t>Convención Americana (</w:t>
            </w:r>
            <w:r w:rsidR="0004734A" w:rsidRPr="00EB4BAB">
              <w:rPr>
                <w:rFonts w:ascii="Cambria" w:hAnsi="Cambria"/>
                <w:bCs/>
                <w:sz w:val="20"/>
                <w:szCs w:val="20"/>
                <w:bdr w:val="none" w:sz="0" w:space="0" w:color="auto" w:frame="1"/>
                <w:lang w:val="es-ES"/>
              </w:rPr>
              <w:t>d</w:t>
            </w:r>
            <w:r w:rsidRPr="00EB4BAB">
              <w:rPr>
                <w:rFonts w:ascii="Cambria" w:hAnsi="Cambria"/>
                <w:bCs/>
                <w:sz w:val="20"/>
                <w:szCs w:val="20"/>
                <w:bdr w:val="none" w:sz="0" w:space="0" w:color="auto" w:frame="1"/>
                <w:lang w:val="es-ES"/>
              </w:rPr>
              <w:t xml:space="preserve">epósito de instrumento realizado el </w:t>
            </w:r>
            <w:r w:rsidR="000F5F84" w:rsidRPr="00EB4BAB">
              <w:rPr>
                <w:rFonts w:ascii="Cambria" w:hAnsi="Cambria"/>
                <w:bCs/>
                <w:sz w:val="20"/>
                <w:szCs w:val="20"/>
                <w:bdr w:val="none" w:sz="0" w:space="0" w:color="auto" w:frame="1"/>
                <w:lang w:val="es-ES"/>
              </w:rPr>
              <w:t>31 de julio de 1973</w:t>
            </w:r>
            <w:r w:rsidRPr="00EB4BAB">
              <w:rPr>
                <w:rFonts w:ascii="Cambria" w:hAnsi="Cambria"/>
                <w:bCs/>
                <w:sz w:val="20"/>
                <w:szCs w:val="20"/>
                <w:bdr w:val="none" w:sz="0" w:space="0" w:color="auto" w:frame="1"/>
                <w:lang w:val="es-ES"/>
              </w:rPr>
              <w:t>)</w:t>
            </w:r>
          </w:p>
        </w:tc>
      </w:tr>
    </w:tbl>
    <w:p w14:paraId="17B87203" w14:textId="77777777" w:rsidR="003239B8" w:rsidRPr="00EB4BAB" w:rsidRDefault="003239B8" w:rsidP="003239B8">
      <w:pPr>
        <w:spacing w:before="240" w:after="240"/>
        <w:ind w:firstLine="720"/>
        <w:jc w:val="both"/>
        <w:rPr>
          <w:rFonts w:asciiTheme="majorHAnsi" w:hAnsiTheme="majorHAnsi"/>
          <w:b/>
          <w:sz w:val="20"/>
          <w:szCs w:val="20"/>
          <w:lang w:val="es-ES"/>
        </w:rPr>
      </w:pPr>
      <w:r w:rsidRPr="00EB4BAB">
        <w:rPr>
          <w:rFonts w:asciiTheme="majorHAnsi" w:hAnsiTheme="majorHAnsi"/>
          <w:b/>
          <w:bCs/>
          <w:sz w:val="20"/>
          <w:szCs w:val="20"/>
          <w:lang w:val="es-ES"/>
        </w:rPr>
        <w:t xml:space="preserve">IV. </w:t>
      </w:r>
      <w:r w:rsidRPr="00EB4BAB">
        <w:rPr>
          <w:rFonts w:asciiTheme="majorHAnsi" w:hAnsiTheme="majorHAnsi"/>
          <w:b/>
          <w:bCs/>
          <w:sz w:val="20"/>
          <w:szCs w:val="20"/>
          <w:lang w:val="es-ES"/>
        </w:rPr>
        <w:tab/>
      </w:r>
      <w:r w:rsidR="006C1364" w:rsidRPr="00EB4BAB">
        <w:rPr>
          <w:rFonts w:asciiTheme="majorHAnsi" w:hAnsiTheme="majorHAnsi"/>
          <w:b/>
          <w:bCs/>
          <w:sz w:val="20"/>
          <w:szCs w:val="20"/>
          <w:lang w:val="es-ES"/>
        </w:rPr>
        <w:t>DUPLICACIÓN</w:t>
      </w:r>
      <w:r w:rsidR="006C1364" w:rsidRPr="00EB4BAB">
        <w:rPr>
          <w:rFonts w:asciiTheme="majorHAnsi" w:hAnsiTheme="majorHAnsi"/>
          <w:b/>
          <w:bCs/>
          <w:color w:val="FFFFFF" w:themeColor="background1"/>
          <w:sz w:val="20"/>
          <w:szCs w:val="20"/>
          <w:lang w:val="es-ES"/>
        </w:rPr>
        <w:t xml:space="preserve"> </w:t>
      </w:r>
      <w:r w:rsidR="006C1364" w:rsidRPr="00EB4BAB">
        <w:rPr>
          <w:rFonts w:asciiTheme="majorHAnsi" w:hAnsiTheme="majorHAnsi"/>
          <w:b/>
          <w:bCs/>
          <w:sz w:val="20"/>
          <w:szCs w:val="20"/>
          <w:lang w:val="es-ES"/>
        </w:rPr>
        <w:t>DE PROCEDIMIENTOS Y COSA JUZGADA</w:t>
      </w:r>
      <w:r w:rsidR="006C1364" w:rsidRPr="00EB4BAB">
        <w:rPr>
          <w:rFonts w:asciiTheme="majorHAnsi" w:hAnsiTheme="majorHAnsi"/>
          <w:b/>
          <w:bCs/>
          <w:i/>
          <w:sz w:val="20"/>
          <w:szCs w:val="20"/>
          <w:lang w:val="es-ES"/>
        </w:rPr>
        <w:t xml:space="preserve"> </w:t>
      </w:r>
      <w:r w:rsidR="006C1364" w:rsidRPr="00EB4BAB">
        <w:rPr>
          <w:rFonts w:asciiTheme="majorHAnsi" w:hAnsiTheme="majorHAnsi"/>
          <w:b/>
          <w:bCs/>
          <w:sz w:val="20"/>
          <w:szCs w:val="20"/>
          <w:lang w:val="es-ES"/>
        </w:rPr>
        <w:t xml:space="preserve">INTERNACIONAL, </w:t>
      </w:r>
      <w:r w:rsidRPr="00EB4BAB">
        <w:rPr>
          <w:rFonts w:asciiTheme="majorHAnsi" w:hAnsiTheme="majorHAnsi"/>
          <w:b/>
          <w:bCs/>
          <w:sz w:val="20"/>
          <w:szCs w:val="20"/>
          <w:lang w:val="es-ES"/>
        </w:rPr>
        <w:t xml:space="preserve">ANÁLISIS DE CARACTERIZACIÓN, </w:t>
      </w:r>
      <w:r w:rsidRPr="00EB4BA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4"/>
        <w:gridCol w:w="4736"/>
      </w:tblGrid>
      <w:tr w:rsidR="003239B8" w:rsidRPr="00EB4BAB" w14:paraId="28098160" w14:textId="77777777" w:rsidTr="00470B2A">
        <w:trPr>
          <w:cantSplit/>
        </w:trPr>
        <w:tc>
          <w:tcPr>
            <w:tcW w:w="4624" w:type="dxa"/>
            <w:tcBorders>
              <w:top w:val="single" w:sz="4" w:space="0" w:color="auto"/>
              <w:bottom w:val="single" w:sz="6" w:space="0" w:color="auto"/>
            </w:tcBorders>
            <w:shd w:val="clear" w:color="auto" w:fill="386294"/>
            <w:vAlign w:val="center"/>
          </w:tcPr>
          <w:p w14:paraId="4E7C9A7D" w14:textId="2854C7DF" w:rsidR="003239B8" w:rsidRPr="00EB4BAB" w:rsidRDefault="004A1995" w:rsidP="008D2290">
            <w:pPr>
              <w:jc w:val="center"/>
              <w:rPr>
                <w:rFonts w:ascii="Cambria" w:hAnsi="Cambria"/>
                <w:b/>
                <w:bCs/>
                <w:i/>
                <w:color w:val="FFFFFF" w:themeColor="background1"/>
                <w:sz w:val="20"/>
                <w:szCs w:val="20"/>
              </w:rPr>
            </w:pPr>
            <w:r w:rsidRPr="00EB4BAB">
              <w:rPr>
                <w:rFonts w:ascii="Cambria" w:hAnsi="Cambria"/>
                <w:b/>
                <w:bCs/>
                <w:color w:val="FFFFFF" w:themeColor="background1"/>
                <w:sz w:val="20"/>
                <w:szCs w:val="20"/>
              </w:rPr>
              <w:t>Duplicación:</w:t>
            </w:r>
          </w:p>
        </w:tc>
        <w:tc>
          <w:tcPr>
            <w:tcW w:w="4736" w:type="dxa"/>
            <w:vAlign w:val="center"/>
          </w:tcPr>
          <w:p w14:paraId="1D3F7F76" w14:textId="1BC0E611" w:rsidR="003239B8" w:rsidRPr="00EB4BAB" w:rsidRDefault="004A1995" w:rsidP="00467B71">
            <w:pPr>
              <w:jc w:val="both"/>
              <w:rPr>
                <w:rFonts w:ascii="Cambria" w:hAnsi="Cambria"/>
                <w:bCs/>
                <w:sz w:val="20"/>
                <w:szCs w:val="20"/>
                <w:lang w:val="es-CO"/>
              </w:rPr>
            </w:pPr>
            <w:r w:rsidRPr="00EB4BAB">
              <w:rPr>
                <w:rFonts w:ascii="Cambria" w:hAnsi="Cambria"/>
                <w:bCs/>
                <w:sz w:val="20"/>
                <w:szCs w:val="20"/>
                <w:lang w:val="es-CO"/>
              </w:rPr>
              <w:t>No</w:t>
            </w:r>
          </w:p>
        </w:tc>
      </w:tr>
      <w:tr w:rsidR="004A1995" w:rsidRPr="001151C9" w14:paraId="695920D9" w14:textId="77777777" w:rsidTr="00470B2A">
        <w:trPr>
          <w:cantSplit/>
        </w:trPr>
        <w:tc>
          <w:tcPr>
            <w:tcW w:w="4624" w:type="dxa"/>
            <w:tcBorders>
              <w:top w:val="single" w:sz="4" w:space="0" w:color="auto"/>
              <w:bottom w:val="single" w:sz="6" w:space="0" w:color="auto"/>
            </w:tcBorders>
            <w:shd w:val="clear" w:color="auto" w:fill="386294"/>
            <w:vAlign w:val="center"/>
          </w:tcPr>
          <w:p w14:paraId="6F6AE3EC" w14:textId="4EE05A90" w:rsidR="004A1995" w:rsidRPr="00EB4BAB" w:rsidRDefault="004A1995" w:rsidP="004A1995">
            <w:pPr>
              <w:jc w:val="center"/>
              <w:rPr>
                <w:rFonts w:ascii="Cambria" w:hAnsi="Cambria"/>
                <w:b/>
                <w:bCs/>
                <w:color w:val="FFFFFF" w:themeColor="background1"/>
                <w:sz w:val="20"/>
                <w:szCs w:val="20"/>
              </w:rPr>
            </w:pPr>
            <w:r w:rsidRPr="00EB4BAB">
              <w:rPr>
                <w:rFonts w:ascii="Cambria" w:hAnsi="Cambria"/>
                <w:b/>
                <w:bCs/>
                <w:color w:val="FFFFFF" w:themeColor="background1"/>
                <w:sz w:val="20"/>
                <w:szCs w:val="20"/>
              </w:rPr>
              <w:t>Derechos declarados admisibles:</w:t>
            </w:r>
          </w:p>
        </w:tc>
        <w:tc>
          <w:tcPr>
            <w:tcW w:w="4736" w:type="dxa"/>
            <w:vAlign w:val="center"/>
          </w:tcPr>
          <w:p w14:paraId="72B6C965" w14:textId="591491F9" w:rsidR="004A1995" w:rsidRPr="00EB4BAB" w:rsidRDefault="004A1995" w:rsidP="00636E73">
            <w:pPr>
              <w:jc w:val="both"/>
              <w:rPr>
                <w:rFonts w:ascii="Cambria" w:hAnsi="Cambria"/>
                <w:bCs/>
                <w:sz w:val="20"/>
                <w:szCs w:val="20"/>
                <w:lang w:val="es-CO"/>
              </w:rPr>
            </w:pPr>
            <w:r w:rsidRPr="00EB4BAB">
              <w:rPr>
                <w:rFonts w:ascii="Cambria" w:hAnsi="Cambria"/>
                <w:bCs/>
                <w:sz w:val="20"/>
                <w:szCs w:val="20"/>
                <w:lang w:val="es-CO"/>
              </w:rPr>
              <w:t>Artículos 8 (garantías judiciales), 21 (propiedad), 24 (igualdad ante la ley) y 25 (acceso a la justicia) de la Convención Americana</w:t>
            </w:r>
            <w:r w:rsidR="008A5DE5" w:rsidRPr="00EB4BAB">
              <w:rPr>
                <w:rFonts w:ascii="Cambria" w:hAnsi="Cambria"/>
                <w:bCs/>
                <w:sz w:val="20"/>
                <w:szCs w:val="20"/>
                <w:lang w:val="es-CO"/>
              </w:rPr>
              <w:t xml:space="preserve">, </w:t>
            </w:r>
            <w:r w:rsidR="00636E73" w:rsidRPr="00EB4BAB">
              <w:rPr>
                <w:rFonts w:ascii="Cambria" w:hAnsi="Cambria"/>
                <w:bCs/>
                <w:sz w:val="20"/>
                <w:szCs w:val="20"/>
                <w:lang w:val="es-CO"/>
              </w:rPr>
              <w:t xml:space="preserve">en relación con su artículo 1.1 </w:t>
            </w:r>
            <w:r w:rsidR="00636E73" w:rsidRPr="00EB4BAB">
              <w:rPr>
                <w:rFonts w:ascii="Cambria" w:hAnsi="Cambria"/>
                <w:sz w:val="20"/>
                <w:szCs w:val="20"/>
                <w:lang w:val="es-ES"/>
              </w:rPr>
              <w:t>(obligación de respetar los derechos)</w:t>
            </w:r>
          </w:p>
        </w:tc>
      </w:tr>
      <w:tr w:rsidR="004A1995" w:rsidRPr="001151C9" w14:paraId="6744FB92" w14:textId="77777777" w:rsidTr="00470B2A">
        <w:trPr>
          <w:cantSplit/>
        </w:trPr>
        <w:tc>
          <w:tcPr>
            <w:tcW w:w="4624" w:type="dxa"/>
            <w:tcBorders>
              <w:top w:val="single" w:sz="6" w:space="0" w:color="auto"/>
              <w:bottom w:val="single" w:sz="6" w:space="0" w:color="auto"/>
            </w:tcBorders>
            <w:shd w:val="clear" w:color="auto" w:fill="386294"/>
            <w:vAlign w:val="center"/>
          </w:tcPr>
          <w:p w14:paraId="0FB4F980" w14:textId="77777777" w:rsidR="004A1995" w:rsidRPr="00EB4BAB" w:rsidRDefault="004A1995" w:rsidP="004A1995">
            <w:pPr>
              <w:jc w:val="center"/>
              <w:rPr>
                <w:rFonts w:ascii="Cambria" w:hAnsi="Cambria"/>
                <w:b/>
                <w:bCs/>
                <w:color w:val="FFFFFF" w:themeColor="background1"/>
                <w:sz w:val="20"/>
                <w:szCs w:val="20"/>
                <w:lang w:val="es-CO"/>
              </w:rPr>
            </w:pPr>
            <w:r w:rsidRPr="00EB4BAB">
              <w:rPr>
                <w:rFonts w:ascii="Cambria" w:hAnsi="Cambria"/>
                <w:b/>
                <w:bCs/>
                <w:color w:val="FFFFFF" w:themeColor="background1"/>
                <w:sz w:val="20"/>
                <w:szCs w:val="20"/>
                <w:lang w:val="es-CO"/>
              </w:rPr>
              <w:t>Agotamiento de recursos internos:</w:t>
            </w:r>
          </w:p>
        </w:tc>
        <w:tc>
          <w:tcPr>
            <w:tcW w:w="4736" w:type="dxa"/>
            <w:vAlign w:val="center"/>
          </w:tcPr>
          <w:p w14:paraId="2CD44AC4" w14:textId="77777777" w:rsidR="004A1995" w:rsidRPr="00EB4BAB" w:rsidRDefault="004A1995" w:rsidP="004A1995">
            <w:pPr>
              <w:rPr>
                <w:rFonts w:ascii="Cambria" w:hAnsi="Cambria"/>
                <w:bCs/>
                <w:sz w:val="20"/>
                <w:szCs w:val="20"/>
                <w:lang w:val="es-CO"/>
              </w:rPr>
            </w:pPr>
            <w:r w:rsidRPr="00EB4BAB">
              <w:rPr>
                <w:rFonts w:ascii="Cambria" w:hAnsi="Cambria"/>
                <w:bCs/>
                <w:sz w:val="20"/>
                <w:szCs w:val="20"/>
                <w:lang w:val="es-CO"/>
              </w:rPr>
              <w:t>Sí, 11 de julio de 2007 y 14 de agosto de 2007</w:t>
            </w:r>
          </w:p>
        </w:tc>
      </w:tr>
      <w:tr w:rsidR="004A1995" w:rsidRPr="00EB4BAB" w14:paraId="3C84C5A7" w14:textId="77777777" w:rsidTr="00470B2A">
        <w:trPr>
          <w:cantSplit/>
        </w:trPr>
        <w:tc>
          <w:tcPr>
            <w:tcW w:w="4624" w:type="dxa"/>
            <w:tcBorders>
              <w:top w:val="single" w:sz="6" w:space="0" w:color="auto"/>
              <w:bottom w:val="single" w:sz="6" w:space="0" w:color="auto"/>
            </w:tcBorders>
            <w:shd w:val="clear" w:color="auto" w:fill="386294"/>
            <w:vAlign w:val="center"/>
          </w:tcPr>
          <w:p w14:paraId="5C73FCFC" w14:textId="77777777" w:rsidR="004A1995" w:rsidRPr="00EB4BAB" w:rsidRDefault="004A1995" w:rsidP="004A1995">
            <w:pPr>
              <w:jc w:val="center"/>
              <w:rPr>
                <w:rFonts w:ascii="Cambria" w:hAnsi="Cambria"/>
                <w:b/>
                <w:bCs/>
                <w:color w:val="FFFFFF" w:themeColor="background1"/>
                <w:sz w:val="20"/>
                <w:szCs w:val="20"/>
                <w:lang w:val="es-CO"/>
              </w:rPr>
            </w:pPr>
            <w:r w:rsidRPr="00EB4BAB">
              <w:rPr>
                <w:rFonts w:ascii="Cambria" w:hAnsi="Cambria"/>
                <w:b/>
                <w:bCs/>
                <w:color w:val="FFFFFF" w:themeColor="background1"/>
                <w:sz w:val="20"/>
                <w:szCs w:val="20"/>
                <w:lang w:val="es-CO"/>
              </w:rPr>
              <w:t>Presentación dentro de plazo:</w:t>
            </w:r>
          </w:p>
        </w:tc>
        <w:tc>
          <w:tcPr>
            <w:tcW w:w="4736" w:type="dxa"/>
            <w:vAlign w:val="center"/>
          </w:tcPr>
          <w:p w14:paraId="68BD2D6E" w14:textId="77777777" w:rsidR="004A1995" w:rsidRPr="00EB4BAB" w:rsidRDefault="004A1995" w:rsidP="004A1995">
            <w:pPr>
              <w:rPr>
                <w:bCs/>
                <w:sz w:val="20"/>
                <w:szCs w:val="20"/>
              </w:rPr>
            </w:pPr>
            <w:r w:rsidRPr="00EB4BAB">
              <w:rPr>
                <w:rFonts w:ascii="Cambria" w:hAnsi="Cambria"/>
                <w:bCs/>
                <w:sz w:val="20"/>
                <w:szCs w:val="20"/>
                <w:lang w:val="es-CO"/>
              </w:rPr>
              <w:t>Sí, 11 de enero de 2008</w:t>
            </w:r>
          </w:p>
        </w:tc>
      </w:tr>
    </w:tbl>
    <w:p w14:paraId="4C9F78B3" w14:textId="6E79798A" w:rsidR="003239B8" w:rsidRPr="00EB4BAB" w:rsidRDefault="003239B8" w:rsidP="003239B8">
      <w:pPr>
        <w:spacing w:before="240" w:after="240"/>
        <w:ind w:firstLine="720"/>
        <w:jc w:val="both"/>
        <w:rPr>
          <w:rFonts w:asciiTheme="majorHAnsi" w:hAnsiTheme="majorHAnsi"/>
          <w:b/>
          <w:sz w:val="20"/>
          <w:szCs w:val="20"/>
          <w:lang w:val="es-UY"/>
        </w:rPr>
      </w:pPr>
      <w:r w:rsidRPr="00EB4BAB">
        <w:rPr>
          <w:rFonts w:asciiTheme="majorHAnsi" w:hAnsiTheme="majorHAnsi"/>
          <w:b/>
          <w:sz w:val="20"/>
          <w:szCs w:val="20"/>
          <w:lang w:val="es-UY"/>
        </w:rPr>
        <w:lastRenderedPageBreak/>
        <w:t xml:space="preserve">V. </w:t>
      </w:r>
      <w:r w:rsidRPr="00EB4BAB">
        <w:rPr>
          <w:rFonts w:asciiTheme="majorHAnsi" w:hAnsiTheme="majorHAnsi"/>
          <w:b/>
          <w:sz w:val="20"/>
          <w:szCs w:val="20"/>
          <w:lang w:val="es-UY"/>
        </w:rPr>
        <w:tab/>
        <w:t xml:space="preserve">HECHOS ALEGADOS </w:t>
      </w:r>
    </w:p>
    <w:p w14:paraId="1CE64D7C" w14:textId="040DBDD8" w:rsidR="002B543F" w:rsidRPr="00EB4BAB" w:rsidRDefault="00E46989" w:rsidP="000409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EB4BAB">
        <w:rPr>
          <w:rFonts w:ascii="Cambria" w:hAnsi="Cambria"/>
          <w:sz w:val="20"/>
          <w:szCs w:val="20"/>
          <w:lang w:val="es-CO"/>
        </w:rPr>
        <w:t xml:space="preserve">Los </w:t>
      </w:r>
      <w:r w:rsidR="00C1030F" w:rsidRPr="00EB4BAB">
        <w:rPr>
          <w:rFonts w:ascii="Cambria" w:hAnsi="Cambria"/>
          <w:sz w:val="20"/>
          <w:szCs w:val="20"/>
          <w:lang w:val="es-CO"/>
        </w:rPr>
        <w:t xml:space="preserve">peticionarios indican que los señores Ernesto Lizarralde Ardila, Luis Alfonso Olaya Fonseca y la señora Blanca Lyliam López López, </w:t>
      </w:r>
      <w:r w:rsidR="00467B71" w:rsidRPr="00EB4BAB">
        <w:rPr>
          <w:rFonts w:ascii="Cambria" w:hAnsi="Cambria"/>
          <w:sz w:val="20"/>
          <w:szCs w:val="20"/>
          <w:lang w:val="es-CO"/>
        </w:rPr>
        <w:t>durante el periodo comprendido entre el 31 de diciembre de 1969 y el 1 de abril de 1994, cumplieron más de 20 años de prestar sus servicios</w:t>
      </w:r>
      <w:r w:rsidRPr="00EB4BAB">
        <w:rPr>
          <w:rFonts w:ascii="Cambria" w:hAnsi="Cambria"/>
          <w:sz w:val="20"/>
          <w:szCs w:val="20"/>
          <w:lang w:val="es-CO"/>
        </w:rPr>
        <w:t xml:space="preserve"> laborales a la entidad denominada ALMACENES GENERALES DE DEPÓSITO S.A – ALMADELCO S.A</w:t>
      </w:r>
      <w:r w:rsidR="00467B71" w:rsidRPr="00EB4BAB">
        <w:rPr>
          <w:rFonts w:ascii="Cambria" w:hAnsi="Cambria"/>
          <w:sz w:val="20"/>
          <w:szCs w:val="20"/>
          <w:lang w:val="es-CO"/>
        </w:rPr>
        <w:t xml:space="preserve">. </w:t>
      </w:r>
      <w:r w:rsidR="007223C3" w:rsidRPr="00EB4BAB">
        <w:rPr>
          <w:rFonts w:ascii="Cambria" w:hAnsi="Cambria"/>
          <w:sz w:val="20"/>
          <w:szCs w:val="20"/>
          <w:lang w:val="es-CO"/>
        </w:rPr>
        <w:t>S</w:t>
      </w:r>
      <w:r w:rsidR="00467B71" w:rsidRPr="00EB4BAB">
        <w:rPr>
          <w:rFonts w:ascii="Cambria" w:hAnsi="Cambria"/>
          <w:sz w:val="20"/>
          <w:szCs w:val="20"/>
          <w:lang w:val="es-CO"/>
        </w:rPr>
        <w:t>eñalan que</w:t>
      </w:r>
      <w:r w:rsidR="007223C3" w:rsidRPr="00EB4BAB">
        <w:rPr>
          <w:rFonts w:ascii="Cambria" w:hAnsi="Cambria"/>
          <w:sz w:val="20"/>
          <w:szCs w:val="20"/>
          <w:lang w:val="es-CO"/>
        </w:rPr>
        <w:t>,</w:t>
      </w:r>
      <w:r w:rsidR="00467B71" w:rsidRPr="00EB4BAB">
        <w:rPr>
          <w:rFonts w:ascii="Cambria" w:hAnsi="Cambria"/>
          <w:sz w:val="20"/>
          <w:szCs w:val="20"/>
          <w:lang w:val="es-CO"/>
        </w:rPr>
        <w:t xml:space="preserve"> para ese momento</w:t>
      </w:r>
      <w:r w:rsidR="006313DA" w:rsidRPr="00EB4BAB">
        <w:rPr>
          <w:rFonts w:ascii="Cambria" w:hAnsi="Cambria"/>
          <w:sz w:val="20"/>
          <w:szCs w:val="20"/>
          <w:lang w:val="es-CO"/>
        </w:rPr>
        <w:t>,</w:t>
      </w:r>
      <w:r w:rsidR="00A772DD" w:rsidRPr="00EB4BAB">
        <w:rPr>
          <w:rFonts w:ascii="Cambria" w:hAnsi="Cambria"/>
          <w:sz w:val="20"/>
          <w:szCs w:val="20"/>
          <w:lang w:val="es-CO"/>
        </w:rPr>
        <w:t xml:space="preserve"> y hasta el 4 de julio de 1994, la entidad era una Sociedad de Economía Mixta Indirecta o de segundo grado con capital estatal superior al</w:t>
      </w:r>
      <w:r w:rsidR="006313DA" w:rsidRPr="00EB4BAB">
        <w:rPr>
          <w:rFonts w:ascii="Cambria" w:hAnsi="Cambria"/>
          <w:sz w:val="20"/>
          <w:szCs w:val="20"/>
          <w:lang w:val="es-CO"/>
        </w:rPr>
        <w:t xml:space="preserve"> 90% de las acciones y por lo tanto</w:t>
      </w:r>
      <w:r w:rsidR="00AD2075" w:rsidRPr="00EB4BAB">
        <w:rPr>
          <w:rFonts w:ascii="Cambria" w:hAnsi="Cambria"/>
          <w:sz w:val="20"/>
          <w:szCs w:val="20"/>
          <w:lang w:val="es-CO"/>
        </w:rPr>
        <w:t>,</w:t>
      </w:r>
      <w:r w:rsidR="006313DA" w:rsidRPr="00EB4BAB">
        <w:rPr>
          <w:rFonts w:ascii="Cambria" w:hAnsi="Cambria"/>
          <w:sz w:val="20"/>
          <w:szCs w:val="20"/>
          <w:lang w:val="es-CO"/>
        </w:rPr>
        <w:t xml:space="preserve"> </w:t>
      </w:r>
      <w:r w:rsidR="00C77EAF" w:rsidRPr="00EB4BAB">
        <w:rPr>
          <w:rFonts w:ascii="Cambria" w:hAnsi="Cambria"/>
          <w:sz w:val="20"/>
          <w:szCs w:val="20"/>
          <w:lang w:val="es-CO"/>
        </w:rPr>
        <w:t xml:space="preserve">de acuerdo con lo establecido en la Ley 33 de 1985, </w:t>
      </w:r>
      <w:r w:rsidR="006313DA" w:rsidRPr="00EB4BAB">
        <w:rPr>
          <w:rFonts w:ascii="Cambria" w:hAnsi="Cambria"/>
          <w:sz w:val="20"/>
          <w:szCs w:val="20"/>
          <w:lang w:val="es-CO"/>
        </w:rPr>
        <w:t xml:space="preserve">aplicaba el régimen pensional para trabajadores oficiales. Señalan que </w:t>
      </w:r>
      <w:r w:rsidR="0011340D" w:rsidRPr="00EB4BAB">
        <w:rPr>
          <w:rFonts w:ascii="Cambria" w:hAnsi="Cambria"/>
          <w:sz w:val="20"/>
          <w:szCs w:val="20"/>
          <w:lang w:val="es-CO"/>
        </w:rPr>
        <w:t>b</w:t>
      </w:r>
      <w:r w:rsidR="00420A5D" w:rsidRPr="00EB4BAB">
        <w:rPr>
          <w:rFonts w:ascii="Cambria" w:hAnsi="Cambria"/>
          <w:sz w:val="20"/>
          <w:szCs w:val="20"/>
          <w:lang w:val="es-CO"/>
        </w:rPr>
        <w:t>ajo este supuesto solicitaron su pensión a la empresa</w:t>
      </w:r>
      <w:r w:rsidR="0011340D" w:rsidRPr="00EB4BAB">
        <w:rPr>
          <w:rFonts w:ascii="Cambria" w:hAnsi="Cambria"/>
          <w:sz w:val="20"/>
          <w:szCs w:val="20"/>
          <w:lang w:val="es-CO"/>
        </w:rPr>
        <w:t xml:space="preserve">, </w:t>
      </w:r>
      <w:r w:rsidR="006313DA" w:rsidRPr="00EB4BAB">
        <w:rPr>
          <w:rFonts w:ascii="Cambria" w:hAnsi="Cambria"/>
          <w:sz w:val="20"/>
          <w:szCs w:val="20"/>
          <w:lang w:val="es-CO"/>
        </w:rPr>
        <w:t>sin embargo</w:t>
      </w:r>
      <w:r w:rsidR="001C09DC" w:rsidRPr="00EB4BAB">
        <w:rPr>
          <w:rFonts w:ascii="Cambria" w:hAnsi="Cambria"/>
          <w:sz w:val="20"/>
          <w:szCs w:val="20"/>
          <w:lang w:val="es-CO"/>
        </w:rPr>
        <w:t>,</w:t>
      </w:r>
      <w:r w:rsidR="006313DA" w:rsidRPr="00EB4BAB">
        <w:rPr>
          <w:rFonts w:ascii="Cambria" w:hAnsi="Cambria"/>
          <w:sz w:val="20"/>
          <w:szCs w:val="20"/>
          <w:lang w:val="es-CO"/>
        </w:rPr>
        <w:t xml:space="preserve"> la solicitud</w:t>
      </w:r>
      <w:r w:rsidR="0011340D" w:rsidRPr="00EB4BAB">
        <w:rPr>
          <w:rFonts w:ascii="Cambria" w:hAnsi="Cambria"/>
          <w:sz w:val="20"/>
          <w:szCs w:val="20"/>
          <w:lang w:val="es-CO"/>
        </w:rPr>
        <w:t xml:space="preserve"> les fue rechazad</w:t>
      </w:r>
      <w:r w:rsidR="006313DA" w:rsidRPr="00EB4BAB">
        <w:rPr>
          <w:rFonts w:ascii="Cambria" w:hAnsi="Cambria"/>
          <w:sz w:val="20"/>
          <w:szCs w:val="20"/>
          <w:lang w:val="es-CO"/>
        </w:rPr>
        <w:t>a</w:t>
      </w:r>
      <w:r w:rsidR="001C09DC" w:rsidRPr="00EB4BAB">
        <w:rPr>
          <w:rFonts w:ascii="Cambria" w:hAnsi="Cambria"/>
          <w:sz w:val="20"/>
          <w:szCs w:val="20"/>
          <w:lang w:val="es-CO"/>
        </w:rPr>
        <w:t>, indicándoles que el régimen aplicable era el de trabajadores particulares, establecido en la Ley 100 de 1993.</w:t>
      </w:r>
      <w:r w:rsidR="00420A5D" w:rsidRPr="00EB4BAB">
        <w:rPr>
          <w:rFonts w:ascii="Cambria" w:hAnsi="Cambria"/>
          <w:sz w:val="20"/>
          <w:szCs w:val="20"/>
          <w:lang w:val="es-CO"/>
        </w:rPr>
        <w:t xml:space="preserve"> </w:t>
      </w:r>
      <w:r w:rsidR="006313DA" w:rsidRPr="00EB4BAB">
        <w:rPr>
          <w:rFonts w:ascii="Cambria" w:hAnsi="Cambria"/>
          <w:sz w:val="20"/>
          <w:szCs w:val="20"/>
          <w:lang w:val="es-CO"/>
        </w:rPr>
        <w:t xml:space="preserve">Los peticionarios indican que </w:t>
      </w:r>
      <w:r w:rsidR="0011340D" w:rsidRPr="00EB4BAB">
        <w:rPr>
          <w:rFonts w:ascii="Cambria" w:hAnsi="Cambria"/>
          <w:sz w:val="20"/>
          <w:szCs w:val="20"/>
          <w:lang w:val="es-CO"/>
        </w:rPr>
        <w:t>este régimen aumentaba la edad para acceder a la pensión y disminuía el monto de la misma.</w:t>
      </w:r>
    </w:p>
    <w:p w14:paraId="4A375B73" w14:textId="0C40CEBC" w:rsidR="004215FB" w:rsidRPr="00EB4BAB" w:rsidRDefault="00ED6B7C" w:rsidP="00546C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EB4BAB">
        <w:rPr>
          <w:rFonts w:ascii="Cambria" w:hAnsi="Cambria"/>
          <w:sz w:val="20"/>
          <w:szCs w:val="20"/>
          <w:lang w:val="es-CO"/>
        </w:rPr>
        <w:t xml:space="preserve">Los señores Lizarralde y Olaya, y la señora López, presentaron demandas laborales que </w:t>
      </w:r>
      <w:r w:rsidR="00E53589" w:rsidRPr="00EB4BAB">
        <w:rPr>
          <w:rFonts w:ascii="Cambria" w:hAnsi="Cambria"/>
          <w:sz w:val="20"/>
          <w:szCs w:val="20"/>
          <w:lang w:val="es-CO"/>
        </w:rPr>
        <w:t>fueron rechazadas tanto en primera como en segunda instancia</w:t>
      </w:r>
      <w:r w:rsidR="00F2325A" w:rsidRPr="00EB4BAB">
        <w:rPr>
          <w:rFonts w:ascii="Cambria" w:hAnsi="Cambria"/>
          <w:sz w:val="20"/>
          <w:szCs w:val="20"/>
          <w:lang w:val="es-CO"/>
        </w:rPr>
        <w:t>. En el caso del señor Lizarralde</w:t>
      </w:r>
      <w:r w:rsidR="004215FB" w:rsidRPr="00EB4BAB">
        <w:rPr>
          <w:rFonts w:ascii="Cambria" w:hAnsi="Cambria"/>
          <w:sz w:val="20"/>
          <w:szCs w:val="20"/>
          <w:lang w:val="es-CO"/>
        </w:rPr>
        <w:t>, el 7 de octubre de 2002, el Tribunal indicó que su contrato no tenía la naturaleza de trabajador oficial, que siempre se rigió por las normas que regulan las relaciones con empleados particulares, y nunca manifestó oposición a las mismas.</w:t>
      </w:r>
      <w:r w:rsidR="00546C3F" w:rsidRPr="00EB4BAB">
        <w:rPr>
          <w:rFonts w:ascii="Cambria" w:hAnsi="Cambria"/>
          <w:sz w:val="20"/>
          <w:szCs w:val="20"/>
          <w:lang w:val="es-CO"/>
        </w:rPr>
        <w:t xml:space="preserve"> Igualmente</w:t>
      </w:r>
      <w:r w:rsidR="001C09DC" w:rsidRPr="00EB4BAB">
        <w:rPr>
          <w:rFonts w:ascii="Cambria" w:hAnsi="Cambria"/>
          <w:sz w:val="20"/>
          <w:szCs w:val="20"/>
          <w:lang w:val="es-CO"/>
        </w:rPr>
        <w:t>,</w:t>
      </w:r>
      <w:r w:rsidR="00546C3F" w:rsidRPr="00EB4BAB">
        <w:rPr>
          <w:rFonts w:ascii="Cambria" w:hAnsi="Cambria"/>
          <w:sz w:val="20"/>
          <w:szCs w:val="20"/>
          <w:lang w:val="es-CO"/>
        </w:rPr>
        <w:t xml:space="preserve"> que</w:t>
      </w:r>
      <w:r w:rsidR="0079405A" w:rsidRPr="00EB4BAB">
        <w:rPr>
          <w:rFonts w:ascii="Cambria" w:hAnsi="Cambria"/>
          <w:sz w:val="20"/>
          <w:szCs w:val="20"/>
          <w:lang w:val="es-CO"/>
        </w:rPr>
        <w:t xml:space="preserve"> no es cierto que</w:t>
      </w:r>
      <w:r w:rsidR="001030FA" w:rsidRPr="00EB4BAB">
        <w:rPr>
          <w:rFonts w:ascii="Cambria" w:hAnsi="Cambria"/>
          <w:sz w:val="20"/>
          <w:szCs w:val="20"/>
          <w:lang w:val="es-CO"/>
        </w:rPr>
        <w:t>,</w:t>
      </w:r>
      <w:r w:rsidR="0079405A" w:rsidRPr="00EB4BAB">
        <w:rPr>
          <w:rFonts w:ascii="Cambria" w:hAnsi="Cambria"/>
          <w:sz w:val="20"/>
          <w:szCs w:val="20"/>
          <w:lang w:val="es-CO"/>
        </w:rPr>
        <w:t xml:space="preserve"> a lo largo </w:t>
      </w:r>
      <w:r w:rsidR="001C09DC" w:rsidRPr="00EB4BAB">
        <w:rPr>
          <w:rFonts w:ascii="Cambria" w:hAnsi="Cambria"/>
          <w:sz w:val="20"/>
          <w:szCs w:val="20"/>
          <w:lang w:val="es-CO"/>
        </w:rPr>
        <w:t>del tiempo de prestación</w:t>
      </w:r>
      <w:r w:rsidR="0079405A" w:rsidRPr="00EB4BAB">
        <w:rPr>
          <w:rFonts w:ascii="Cambria" w:hAnsi="Cambria"/>
          <w:sz w:val="20"/>
          <w:szCs w:val="20"/>
          <w:lang w:val="es-CO"/>
        </w:rPr>
        <w:t xml:space="preserve"> de servicios a la empresa, esta tuviera una naturaleza </w:t>
      </w:r>
      <w:r w:rsidR="0097373C" w:rsidRPr="00EB4BAB">
        <w:rPr>
          <w:rFonts w:ascii="Cambria" w:hAnsi="Cambria"/>
          <w:sz w:val="20"/>
          <w:szCs w:val="20"/>
          <w:lang w:val="es-CO"/>
        </w:rPr>
        <w:t>en la que aplicara el régimen pensional para trabajadores ofic</w:t>
      </w:r>
      <w:r w:rsidR="007061B7" w:rsidRPr="00EB4BAB">
        <w:rPr>
          <w:rFonts w:ascii="Cambria" w:hAnsi="Cambria"/>
          <w:sz w:val="20"/>
          <w:szCs w:val="20"/>
          <w:lang w:val="es-CO"/>
        </w:rPr>
        <w:t>i</w:t>
      </w:r>
      <w:r w:rsidR="0097373C" w:rsidRPr="00EB4BAB">
        <w:rPr>
          <w:rFonts w:ascii="Cambria" w:hAnsi="Cambria"/>
          <w:sz w:val="20"/>
          <w:szCs w:val="20"/>
          <w:lang w:val="es-CO"/>
        </w:rPr>
        <w:t>ales</w:t>
      </w:r>
      <w:r w:rsidR="007061B7" w:rsidRPr="00EB4BAB">
        <w:rPr>
          <w:rFonts w:ascii="Cambria" w:hAnsi="Cambria"/>
          <w:sz w:val="20"/>
          <w:szCs w:val="20"/>
          <w:lang w:val="es-CO"/>
        </w:rPr>
        <w:t>.</w:t>
      </w:r>
      <w:r w:rsidR="004215FB" w:rsidRPr="00EB4BAB">
        <w:rPr>
          <w:rFonts w:ascii="Cambria" w:hAnsi="Cambria"/>
          <w:sz w:val="20"/>
          <w:szCs w:val="20"/>
          <w:lang w:val="es-CO"/>
        </w:rPr>
        <w:t xml:space="preserve"> Respecto del señor Olaya</w:t>
      </w:r>
      <w:r w:rsidR="00904E5A" w:rsidRPr="00EB4BAB">
        <w:rPr>
          <w:rFonts w:ascii="Cambria" w:hAnsi="Cambria"/>
          <w:sz w:val="20"/>
          <w:szCs w:val="20"/>
          <w:lang w:val="es-CO"/>
        </w:rPr>
        <w:t>, el 15 de agosto de 2002 y la señora López</w:t>
      </w:r>
      <w:r w:rsidR="004215FB" w:rsidRPr="00EB4BAB">
        <w:rPr>
          <w:rFonts w:ascii="Cambria" w:hAnsi="Cambria"/>
          <w:sz w:val="20"/>
          <w:szCs w:val="20"/>
          <w:lang w:val="es-CO"/>
        </w:rPr>
        <w:t>,</w:t>
      </w:r>
      <w:r w:rsidR="00904E5A" w:rsidRPr="00EB4BAB">
        <w:rPr>
          <w:rFonts w:ascii="Cambria" w:hAnsi="Cambria"/>
          <w:sz w:val="20"/>
          <w:szCs w:val="20"/>
          <w:lang w:val="es-CO"/>
        </w:rPr>
        <w:t xml:space="preserve"> el 27 de septiembre de 2002,</w:t>
      </w:r>
      <w:r w:rsidR="004215FB" w:rsidRPr="00EB4BAB">
        <w:rPr>
          <w:rFonts w:ascii="Cambria" w:hAnsi="Cambria"/>
          <w:sz w:val="20"/>
          <w:szCs w:val="20"/>
          <w:lang w:val="es-CO"/>
        </w:rPr>
        <w:t xml:space="preserve"> el Tribunal señaló que</w:t>
      </w:r>
      <w:r w:rsidR="00C77EAF" w:rsidRPr="00EB4BAB">
        <w:rPr>
          <w:rFonts w:ascii="Cambria" w:hAnsi="Cambria"/>
          <w:sz w:val="20"/>
          <w:szCs w:val="20"/>
          <w:lang w:val="es-CO"/>
        </w:rPr>
        <w:t xml:space="preserve"> </w:t>
      </w:r>
      <w:r w:rsidR="001C09DC" w:rsidRPr="00EB4BAB">
        <w:rPr>
          <w:rFonts w:ascii="Cambria" w:hAnsi="Cambria"/>
          <w:sz w:val="20"/>
          <w:szCs w:val="20"/>
          <w:lang w:val="es-CO"/>
        </w:rPr>
        <w:t xml:space="preserve">lo determinante es </w:t>
      </w:r>
      <w:r w:rsidR="00904E5A" w:rsidRPr="00EB4BAB">
        <w:rPr>
          <w:rFonts w:ascii="Cambria" w:hAnsi="Cambria"/>
          <w:sz w:val="20"/>
          <w:szCs w:val="20"/>
          <w:lang w:val="es-CO"/>
        </w:rPr>
        <w:t>el régimen</w:t>
      </w:r>
      <w:r w:rsidR="00C77EAF" w:rsidRPr="00EB4BAB">
        <w:rPr>
          <w:rFonts w:ascii="Cambria" w:hAnsi="Cambria"/>
          <w:sz w:val="20"/>
          <w:szCs w:val="20"/>
          <w:lang w:val="es-CO"/>
        </w:rPr>
        <w:t xml:space="preserve"> </w:t>
      </w:r>
      <w:r w:rsidR="00904E5A" w:rsidRPr="00EB4BAB">
        <w:rPr>
          <w:rFonts w:ascii="Cambria" w:hAnsi="Cambria"/>
          <w:sz w:val="20"/>
          <w:szCs w:val="20"/>
          <w:lang w:val="es-CO"/>
        </w:rPr>
        <w:t>aplicable a la fecha de terminación del contrato</w:t>
      </w:r>
      <w:r w:rsidR="001C09DC" w:rsidRPr="00EB4BAB">
        <w:rPr>
          <w:rFonts w:ascii="Cambria" w:hAnsi="Cambria"/>
          <w:sz w:val="20"/>
          <w:szCs w:val="20"/>
          <w:lang w:val="es-CO"/>
        </w:rPr>
        <w:t xml:space="preserve"> el cual, en el caso de las presuntas víctimas,</w:t>
      </w:r>
      <w:r w:rsidR="00904E5A" w:rsidRPr="00EB4BAB">
        <w:rPr>
          <w:rFonts w:ascii="Cambria" w:hAnsi="Cambria"/>
          <w:sz w:val="20"/>
          <w:szCs w:val="20"/>
          <w:lang w:val="es-CO"/>
        </w:rPr>
        <w:t xml:space="preserve"> era el de trabajadores particulares.</w:t>
      </w:r>
    </w:p>
    <w:p w14:paraId="48BC169B" w14:textId="34CA2AF2" w:rsidR="00BD420F" w:rsidRPr="00EB4BAB" w:rsidRDefault="0060195C" w:rsidP="00E469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EB4BAB">
        <w:rPr>
          <w:rFonts w:ascii="Cambria" w:hAnsi="Cambria"/>
          <w:sz w:val="20"/>
          <w:szCs w:val="20"/>
          <w:lang w:val="es-CO"/>
        </w:rPr>
        <w:t xml:space="preserve">Contra estas decisiones las presuntas víctimas presentaron </w:t>
      </w:r>
      <w:r w:rsidR="00F2325A" w:rsidRPr="00EB4BAB">
        <w:rPr>
          <w:rFonts w:ascii="Cambria" w:hAnsi="Cambria"/>
          <w:sz w:val="20"/>
          <w:szCs w:val="20"/>
          <w:lang w:val="es-CO"/>
        </w:rPr>
        <w:t>recursos</w:t>
      </w:r>
      <w:r w:rsidRPr="00EB4BAB">
        <w:rPr>
          <w:rFonts w:ascii="Cambria" w:hAnsi="Cambria"/>
          <w:sz w:val="20"/>
          <w:szCs w:val="20"/>
          <w:lang w:val="es-CO"/>
        </w:rPr>
        <w:t xml:space="preserve"> de casación</w:t>
      </w:r>
      <w:r w:rsidR="00546C3F" w:rsidRPr="00EB4BAB">
        <w:rPr>
          <w:rFonts w:ascii="Cambria" w:hAnsi="Cambria"/>
          <w:sz w:val="20"/>
          <w:szCs w:val="20"/>
          <w:lang w:val="es-CO"/>
        </w:rPr>
        <w:t>,</w:t>
      </w:r>
      <w:r w:rsidR="00F2325A" w:rsidRPr="00EB4BAB">
        <w:rPr>
          <w:rFonts w:ascii="Cambria" w:hAnsi="Cambria"/>
          <w:sz w:val="20"/>
          <w:szCs w:val="20"/>
          <w:lang w:val="es-CO"/>
        </w:rPr>
        <w:t xml:space="preserve"> los cuales fueron </w:t>
      </w:r>
      <w:r w:rsidR="00904E5A" w:rsidRPr="00EB4BAB">
        <w:rPr>
          <w:rFonts w:ascii="Cambria" w:hAnsi="Cambria"/>
          <w:sz w:val="20"/>
          <w:szCs w:val="20"/>
          <w:lang w:val="es-CO"/>
        </w:rPr>
        <w:t>rechazados por</w:t>
      </w:r>
      <w:r w:rsidR="0011340D" w:rsidRPr="00EB4BAB">
        <w:rPr>
          <w:rFonts w:ascii="Cambria" w:hAnsi="Cambria"/>
          <w:sz w:val="20"/>
          <w:szCs w:val="20"/>
          <w:lang w:val="es-CO"/>
        </w:rPr>
        <w:t xml:space="preserve"> la Sala Laboral de la Corte Suprema de Justicia</w:t>
      </w:r>
      <w:r w:rsidR="00F2325A" w:rsidRPr="00EB4BAB">
        <w:rPr>
          <w:rFonts w:ascii="Cambria" w:hAnsi="Cambria"/>
          <w:sz w:val="20"/>
          <w:szCs w:val="20"/>
          <w:lang w:val="es-CO"/>
        </w:rPr>
        <w:t>. En el caso del señor Lizarralde, la sentencia se pronunció</w:t>
      </w:r>
      <w:r w:rsidR="000E2E1C" w:rsidRPr="00EB4BAB">
        <w:rPr>
          <w:rFonts w:ascii="Cambria" w:hAnsi="Cambria"/>
          <w:sz w:val="20"/>
          <w:szCs w:val="20"/>
          <w:lang w:val="es-CO"/>
        </w:rPr>
        <w:t xml:space="preserve"> e</w:t>
      </w:r>
      <w:r w:rsidR="0011340D" w:rsidRPr="00EB4BAB">
        <w:rPr>
          <w:rFonts w:asciiTheme="majorHAnsi" w:hAnsiTheme="majorHAnsi"/>
          <w:sz w:val="20"/>
          <w:szCs w:val="20"/>
          <w:lang w:val="es-CO"/>
        </w:rPr>
        <w:t>l 12 de agosto de 2003</w:t>
      </w:r>
      <w:r w:rsidR="0079405A" w:rsidRPr="00EB4BAB">
        <w:rPr>
          <w:rFonts w:asciiTheme="majorHAnsi" w:hAnsiTheme="majorHAnsi"/>
          <w:sz w:val="20"/>
          <w:szCs w:val="20"/>
          <w:lang w:val="es-CO"/>
        </w:rPr>
        <w:t xml:space="preserve"> y, en el caso de la señora López, el recurso se resolvió el 29 de septiembre de 2003. En estos casos la Corte indicó que el recurso</w:t>
      </w:r>
      <w:r w:rsidR="00467B71" w:rsidRPr="00EB4BAB">
        <w:rPr>
          <w:rFonts w:asciiTheme="majorHAnsi" w:hAnsiTheme="majorHAnsi"/>
          <w:sz w:val="20"/>
          <w:szCs w:val="20"/>
          <w:lang w:val="es-CO"/>
        </w:rPr>
        <w:t xml:space="preserve"> </w:t>
      </w:r>
      <w:r w:rsidR="0079405A" w:rsidRPr="00EB4BAB">
        <w:rPr>
          <w:rFonts w:asciiTheme="majorHAnsi" w:hAnsiTheme="majorHAnsi"/>
          <w:sz w:val="20"/>
          <w:szCs w:val="20"/>
          <w:lang w:val="es-CO"/>
        </w:rPr>
        <w:t>era improcedente por cuanto la inconformidad se presentaba contra supuestos que no fueron objeto de pronunciamiento del Tribunal.</w:t>
      </w:r>
      <w:r w:rsidR="00F2325A" w:rsidRPr="00EB4BAB">
        <w:rPr>
          <w:rFonts w:asciiTheme="majorHAnsi" w:hAnsiTheme="majorHAnsi"/>
          <w:sz w:val="20"/>
          <w:szCs w:val="20"/>
          <w:lang w:val="es-CO"/>
        </w:rPr>
        <w:t xml:space="preserve">  En el caso del señor Olaya, la sentencia se emitió el</w:t>
      </w:r>
      <w:r w:rsidR="0011340D" w:rsidRPr="00EB4BAB">
        <w:rPr>
          <w:rFonts w:asciiTheme="majorHAnsi" w:hAnsiTheme="majorHAnsi"/>
          <w:sz w:val="20"/>
          <w:szCs w:val="20"/>
          <w:lang w:val="es-CO"/>
        </w:rPr>
        <w:t xml:space="preserve"> 23 de octubre de 2003</w:t>
      </w:r>
      <w:r w:rsidR="00F2325A" w:rsidRPr="00EB4BAB">
        <w:rPr>
          <w:rFonts w:asciiTheme="majorHAnsi" w:hAnsiTheme="majorHAnsi"/>
          <w:sz w:val="20"/>
          <w:szCs w:val="20"/>
          <w:lang w:val="es-CO"/>
        </w:rPr>
        <w:t>, señalando que era un hecho probado que para el momento en que se retiró del servicio</w:t>
      </w:r>
      <w:r w:rsidR="00467B71" w:rsidRPr="00EB4BAB">
        <w:rPr>
          <w:rFonts w:asciiTheme="majorHAnsi" w:hAnsiTheme="majorHAnsi"/>
          <w:sz w:val="20"/>
          <w:szCs w:val="20"/>
          <w:lang w:val="es-CO"/>
        </w:rPr>
        <w:t>,</w:t>
      </w:r>
      <w:r w:rsidR="00F2325A" w:rsidRPr="00EB4BAB">
        <w:rPr>
          <w:rFonts w:asciiTheme="majorHAnsi" w:hAnsiTheme="majorHAnsi"/>
          <w:sz w:val="20"/>
          <w:szCs w:val="20"/>
          <w:lang w:val="es-CO"/>
        </w:rPr>
        <w:t xml:space="preserve"> el régimen jurídico aplicable era el de </w:t>
      </w:r>
      <w:r w:rsidR="001C09DC" w:rsidRPr="00EB4BAB">
        <w:rPr>
          <w:rFonts w:asciiTheme="majorHAnsi" w:hAnsiTheme="majorHAnsi"/>
          <w:sz w:val="20"/>
          <w:szCs w:val="20"/>
          <w:lang w:val="es-CO"/>
        </w:rPr>
        <w:t>trabajadores</w:t>
      </w:r>
      <w:r w:rsidR="00F2325A" w:rsidRPr="00EB4BAB">
        <w:rPr>
          <w:rFonts w:asciiTheme="majorHAnsi" w:hAnsiTheme="majorHAnsi"/>
          <w:sz w:val="20"/>
          <w:szCs w:val="20"/>
          <w:lang w:val="es-CO"/>
        </w:rPr>
        <w:t xml:space="preserve"> particulares.</w:t>
      </w:r>
    </w:p>
    <w:p w14:paraId="72BC0B40" w14:textId="77777777" w:rsidR="00546C3F" w:rsidRPr="00EB4BAB" w:rsidRDefault="0011340D" w:rsidP="000E2E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EB4BAB">
        <w:rPr>
          <w:rFonts w:asciiTheme="majorHAnsi" w:hAnsiTheme="majorHAnsi"/>
          <w:sz w:val="20"/>
          <w:szCs w:val="20"/>
          <w:lang w:val="es-CO"/>
        </w:rPr>
        <w:t>Tres años despu</w:t>
      </w:r>
      <w:r w:rsidR="00BD420F" w:rsidRPr="00EB4BAB">
        <w:rPr>
          <w:rFonts w:asciiTheme="majorHAnsi" w:hAnsiTheme="majorHAnsi"/>
          <w:sz w:val="20"/>
          <w:szCs w:val="20"/>
          <w:lang w:val="es-CO"/>
        </w:rPr>
        <w:t>és,</w:t>
      </w:r>
      <w:r w:rsidRPr="00EB4BAB">
        <w:rPr>
          <w:rFonts w:asciiTheme="majorHAnsi" w:hAnsiTheme="majorHAnsi"/>
          <w:sz w:val="20"/>
          <w:szCs w:val="20"/>
          <w:lang w:val="es-CO"/>
        </w:rPr>
        <w:t xml:space="preserve"> e</w:t>
      </w:r>
      <w:r w:rsidRPr="00EB4BAB">
        <w:rPr>
          <w:rFonts w:ascii="Cambria" w:hAnsi="Cambria"/>
          <w:sz w:val="20"/>
          <w:szCs w:val="20"/>
          <w:lang w:val="es-CO"/>
        </w:rPr>
        <w:t xml:space="preserve">l  28 de junio de 2006, el mismo órgano emitió la sentencia en el caso del señor Carlos Urbano Rivas, otro empleado de ALMADELCO S.A, al cual le fue reconocida la pensión del régimen de trabajadores oficiales. </w:t>
      </w:r>
      <w:r w:rsidR="00BD420F" w:rsidRPr="00EB4BAB">
        <w:rPr>
          <w:rFonts w:ascii="Cambria" w:hAnsi="Cambria"/>
          <w:sz w:val="20"/>
          <w:szCs w:val="20"/>
          <w:lang w:val="es-CO"/>
        </w:rPr>
        <w:t>El argumento central de esta decisi</w:t>
      </w:r>
      <w:r w:rsidR="00C1030F" w:rsidRPr="00EB4BAB">
        <w:rPr>
          <w:rFonts w:ascii="Cambria" w:hAnsi="Cambria"/>
          <w:sz w:val="20"/>
          <w:szCs w:val="20"/>
          <w:lang w:val="es-CO"/>
        </w:rPr>
        <w:t>ón estableció</w:t>
      </w:r>
      <w:r w:rsidR="00BD420F" w:rsidRPr="00EB4BAB">
        <w:rPr>
          <w:rFonts w:ascii="Cambria" w:hAnsi="Cambria"/>
          <w:sz w:val="20"/>
          <w:szCs w:val="20"/>
          <w:lang w:val="es-CO"/>
        </w:rPr>
        <w:t xml:space="preserve"> que lo que importa</w:t>
      </w:r>
      <w:r w:rsidR="00E02459" w:rsidRPr="00EB4BAB">
        <w:rPr>
          <w:rFonts w:ascii="Cambria" w:hAnsi="Cambria"/>
          <w:sz w:val="20"/>
          <w:szCs w:val="20"/>
          <w:lang w:val="es-CO"/>
        </w:rPr>
        <w:t xml:space="preserve"> para definir el régimen pensional aplicable,</w:t>
      </w:r>
      <w:r w:rsidR="00BD420F" w:rsidRPr="00EB4BAB">
        <w:rPr>
          <w:rFonts w:ascii="Cambria" w:hAnsi="Cambria"/>
          <w:sz w:val="20"/>
          <w:szCs w:val="20"/>
          <w:lang w:val="es-CO"/>
        </w:rPr>
        <w:t xml:space="preserve"> es </w:t>
      </w:r>
      <w:r w:rsidR="00E02459" w:rsidRPr="00EB4BAB">
        <w:rPr>
          <w:rFonts w:ascii="Cambria" w:hAnsi="Cambria"/>
          <w:sz w:val="20"/>
          <w:szCs w:val="20"/>
          <w:lang w:val="es-CO"/>
        </w:rPr>
        <w:t xml:space="preserve">la naturaleza de la empresa durante el tiempo que se </w:t>
      </w:r>
      <w:r w:rsidR="001C09DC" w:rsidRPr="00EB4BAB">
        <w:rPr>
          <w:rFonts w:ascii="Cambria" w:hAnsi="Cambria"/>
          <w:sz w:val="20"/>
          <w:szCs w:val="20"/>
          <w:lang w:val="es-CO"/>
        </w:rPr>
        <w:t>prestaron los servicios</w:t>
      </w:r>
      <w:r w:rsidR="00E02459" w:rsidRPr="00EB4BAB">
        <w:rPr>
          <w:rFonts w:ascii="Cambria" w:hAnsi="Cambria"/>
          <w:sz w:val="20"/>
          <w:szCs w:val="20"/>
          <w:lang w:val="es-CO"/>
        </w:rPr>
        <w:t xml:space="preserve">, y </w:t>
      </w:r>
      <w:r w:rsidR="00BD420F" w:rsidRPr="00EB4BAB">
        <w:rPr>
          <w:rFonts w:ascii="Cambria" w:hAnsi="Cambria"/>
          <w:sz w:val="20"/>
          <w:szCs w:val="20"/>
          <w:lang w:val="es-CO"/>
        </w:rPr>
        <w:t>no a la fe</w:t>
      </w:r>
      <w:r w:rsidR="00C1030F" w:rsidRPr="00EB4BAB">
        <w:rPr>
          <w:rFonts w:ascii="Cambria" w:hAnsi="Cambria"/>
          <w:sz w:val="20"/>
          <w:szCs w:val="20"/>
          <w:lang w:val="es-CO"/>
        </w:rPr>
        <w:t xml:space="preserve">cha de </w:t>
      </w:r>
      <w:r w:rsidR="00E02459" w:rsidRPr="00EB4BAB">
        <w:rPr>
          <w:rFonts w:ascii="Cambria" w:hAnsi="Cambria"/>
          <w:sz w:val="20"/>
          <w:szCs w:val="20"/>
          <w:lang w:val="es-CO"/>
        </w:rPr>
        <w:t>la terminación del contrato</w:t>
      </w:r>
      <w:r w:rsidR="00C1030F" w:rsidRPr="00EB4BAB">
        <w:rPr>
          <w:rFonts w:ascii="Cambria" w:hAnsi="Cambria"/>
          <w:sz w:val="20"/>
          <w:szCs w:val="20"/>
          <w:lang w:val="es-CO"/>
        </w:rPr>
        <w:t>. Indicó q</w:t>
      </w:r>
      <w:r w:rsidR="00BD420F" w:rsidRPr="00EB4BAB">
        <w:rPr>
          <w:rFonts w:ascii="Cambria" w:hAnsi="Cambria"/>
          <w:sz w:val="20"/>
          <w:szCs w:val="20"/>
          <w:lang w:val="es-CO"/>
        </w:rPr>
        <w:t xml:space="preserve">ue un trabajador </w:t>
      </w:r>
      <w:r w:rsidR="00C1030F" w:rsidRPr="00EB4BAB">
        <w:rPr>
          <w:rFonts w:ascii="Cambria" w:hAnsi="Cambria"/>
          <w:sz w:val="20"/>
          <w:szCs w:val="20"/>
          <w:lang w:val="es-CO"/>
        </w:rPr>
        <w:t>no</w:t>
      </w:r>
      <w:r w:rsidR="00B152C0" w:rsidRPr="00EB4BAB">
        <w:rPr>
          <w:rFonts w:ascii="Cambria" w:hAnsi="Cambria"/>
          <w:sz w:val="20"/>
          <w:szCs w:val="20"/>
          <w:lang w:val="es-CO"/>
        </w:rPr>
        <w:t xml:space="preserve"> puede</w:t>
      </w:r>
      <w:r w:rsidR="00C1030F" w:rsidRPr="00EB4BAB">
        <w:rPr>
          <w:rFonts w:ascii="Cambria" w:hAnsi="Cambria"/>
          <w:sz w:val="20"/>
          <w:szCs w:val="20"/>
          <w:lang w:val="es-CO"/>
        </w:rPr>
        <w:t xml:space="preserve"> </w:t>
      </w:r>
      <w:r w:rsidR="007340BF" w:rsidRPr="00EB4BAB">
        <w:rPr>
          <w:rFonts w:ascii="Cambria" w:hAnsi="Cambria"/>
          <w:sz w:val="20"/>
          <w:szCs w:val="20"/>
          <w:lang w:val="es-CO"/>
        </w:rPr>
        <w:t>perder sus beneficios por</w:t>
      </w:r>
      <w:r w:rsidR="00BD420F" w:rsidRPr="00EB4BAB">
        <w:rPr>
          <w:rFonts w:ascii="Cambria" w:hAnsi="Cambria"/>
          <w:sz w:val="20"/>
          <w:szCs w:val="20"/>
          <w:lang w:val="es-CO"/>
        </w:rPr>
        <w:t xml:space="preserve">que la empresa cambia de naturaleza. </w:t>
      </w:r>
      <w:r w:rsidRPr="00EB4BAB">
        <w:rPr>
          <w:rFonts w:ascii="Cambria" w:hAnsi="Cambria"/>
          <w:sz w:val="20"/>
          <w:szCs w:val="20"/>
          <w:lang w:val="es-CO"/>
        </w:rPr>
        <w:t xml:space="preserve">Los peticionarios alegan que las </w:t>
      </w:r>
      <w:r w:rsidR="00E02459" w:rsidRPr="00EB4BAB">
        <w:rPr>
          <w:rFonts w:ascii="Cambria" w:hAnsi="Cambria"/>
          <w:sz w:val="20"/>
          <w:szCs w:val="20"/>
          <w:lang w:val="es-CO"/>
        </w:rPr>
        <w:t xml:space="preserve">presuntas </w:t>
      </w:r>
      <w:r w:rsidRPr="00EB4BAB">
        <w:rPr>
          <w:rFonts w:ascii="Cambria" w:hAnsi="Cambria"/>
          <w:sz w:val="20"/>
          <w:szCs w:val="20"/>
          <w:lang w:val="es-CO"/>
        </w:rPr>
        <w:t>víctimas y el señor Urbano compartían las mismas condiciones en relación con el periodo en que cumpli</w:t>
      </w:r>
      <w:r w:rsidR="00BD420F" w:rsidRPr="00EB4BAB">
        <w:rPr>
          <w:rFonts w:ascii="Cambria" w:hAnsi="Cambria"/>
          <w:sz w:val="20"/>
          <w:szCs w:val="20"/>
          <w:lang w:val="es-CO"/>
        </w:rPr>
        <w:t>eron</w:t>
      </w:r>
      <w:r w:rsidR="00546C3F" w:rsidRPr="00EB4BAB">
        <w:rPr>
          <w:rFonts w:ascii="Cambria" w:hAnsi="Cambria"/>
          <w:sz w:val="20"/>
          <w:szCs w:val="20"/>
          <w:lang w:val="es-CO"/>
        </w:rPr>
        <w:t xml:space="preserve"> más de 20 años de servicios, requisito </w:t>
      </w:r>
      <w:r w:rsidRPr="00EB4BAB">
        <w:rPr>
          <w:rFonts w:ascii="Cambria" w:hAnsi="Cambria"/>
          <w:sz w:val="20"/>
          <w:szCs w:val="20"/>
          <w:lang w:val="es-CO"/>
        </w:rPr>
        <w:t xml:space="preserve"> exigido por la Ley 33 de 1985</w:t>
      </w:r>
      <w:r w:rsidR="00546C3F" w:rsidRPr="00EB4BAB">
        <w:rPr>
          <w:rFonts w:ascii="Cambria" w:hAnsi="Cambria"/>
          <w:sz w:val="20"/>
          <w:szCs w:val="20"/>
          <w:lang w:val="es-CO"/>
        </w:rPr>
        <w:t xml:space="preserve"> para acceder al régimen </w:t>
      </w:r>
      <w:r w:rsidR="0079405A" w:rsidRPr="00EB4BAB">
        <w:rPr>
          <w:rFonts w:ascii="Cambria" w:hAnsi="Cambria"/>
          <w:sz w:val="20"/>
          <w:szCs w:val="20"/>
          <w:lang w:val="es-CO"/>
        </w:rPr>
        <w:t>pensional de trabajadores oficiales</w:t>
      </w:r>
      <w:r w:rsidR="006313DA" w:rsidRPr="00EB4BAB">
        <w:rPr>
          <w:rFonts w:ascii="Cambria" w:hAnsi="Cambria"/>
          <w:sz w:val="20"/>
          <w:szCs w:val="20"/>
          <w:lang w:val="es-CO"/>
        </w:rPr>
        <w:t>.</w:t>
      </w:r>
      <w:r w:rsidR="000E2E1C" w:rsidRPr="00EB4BAB">
        <w:rPr>
          <w:rFonts w:ascii="Cambria" w:hAnsi="Cambria"/>
          <w:sz w:val="20"/>
          <w:szCs w:val="20"/>
          <w:lang w:val="es-CO"/>
        </w:rPr>
        <w:t xml:space="preserve"> </w:t>
      </w:r>
    </w:p>
    <w:p w14:paraId="33089960" w14:textId="77777777" w:rsidR="000E2E1C" w:rsidRPr="00EB4BAB" w:rsidRDefault="00E46989" w:rsidP="000E2E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EB4BAB">
        <w:rPr>
          <w:rFonts w:ascii="Cambria" w:hAnsi="Cambria"/>
          <w:sz w:val="20"/>
          <w:szCs w:val="20"/>
          <w:lang w:val="es-CO"/>
        </w:rPr>
        <w:t>Los peticionarios indican que</w:t>
      </w:r>
      <w:r w:rsidR="000E2E1C" w:rsidRPr="00EB4BAB">
        <w:rPr>
          <w:rFonts w:ascii="Cambria" w:hAnsi="Cambria"/>
          <w:sz w:val="20"/>
          <w:szCs w:val="20"/>
          <w:lang w:val="es-CO"/>
        </w:rPr>
        <w:t>,</w:t>
      </w:r>
      <w:r w:rsidRPr="00EB4BAB">
        <w:rPr>
          <w:rFonts w:ascii="Cambria" w:hAnsi="Cambria"/>
          <w:sz w:val="20"/>
          <w:szCs w:val="20"/>
          <w:lang w:val="es-CO"/>
        </w:rPr>
        <w:t xml:space="preserve"> por considerar </w:t>
      </w:r>
      <w:r w:rsidR="00041FD3" w:rsidRPr="00EB4BAB">
        <w:rPr>
          <w:rFonts w:ascii="Cambria" w:hAnsi="Cambria"/>
          <w:sz w:val="20"/>
          <w:szCs w:val="20"/>
          <w:lang w:val="es-CO"/>
        </w:rPr>
        <w:t xml:space="preserve">que </w:t>
      </w:r>
      <w:r w:rsidR="000E2E1C" w:rsidRPr="00EB4BAB">
        <w:rPr>
          <w:rFonts w:ascii="Cambria" w:hAnsi="Cambria"/>
          <w:sz w:val="20"/>
          <w:szCs w:val="20"/>
          <w:lang w:val="es-CO"/>
        </w:rPr>
        <w:t>con esta</w:t>
      </w:r>
      <w:r w:rsidRPr="00EB4BAB">
        <w:rPr>
          <w:rFonts w:ascii="Cambria" w:hAnsi="Cambria"/>
          <w:sz w:val="20"/>
          <w:szCs w:val="20"/>
          <w:lang w:val="es-CO"/>
        </w:rPr>
        <w:t xml:space="preserve"> decisión</w:t>
      </w:r>
      <w:r w:rsidR="000E2E1C" w:rsidRPr="00EB4BAB">
        <w:rPr>
          <w:rFonts w:ascii="Cambria" w:hAnsi="Cambria"/>
          <w:sz w:val="20"/>
          <w:szCs w:val="20"/>
          <w:lang w:val="es-CO"/>
        </w:rPr>
        <w:t xml:space="preserve"> se veían vulnerados sus </w:t>
      </w:r>
      <w:r w:rsidRPr="00EB4BAB">
        <w:rPr>
          <w:rFonts w:asciiTheme="majorHAnsi" w:hAnsiTheme="majorHAnsi"/>
          <w:sz w:val="20"/>
          <w:szCs w:val="20"/>
          <w:lang w:val="es-CO"/>
        </w:rPr>
        <w:t>derecho</w:t>
      </w:r>
      <w:r w:rsidR="000E2E1C" w:rsidRPr="00EB4BAB">
        <w:rPr>
          <w:rFonts w:asciiTheme="majorHAnsi" w:hAnsiTheme="majorHAnsi"/>
          <w:sz w:val="20"/>
          <w:szCs w:val="20"/>
          <w:lang w:val="es-CO"/>
        </w:rPr>
        <w:t>s</w:t>
      </w:r>
      <w:r w:rsidRPr="00EB4BAB">
        <w:rPr>
          <w:rFonts w:asciiTheme="majorHAnsi" w:hAnsiTheme="majorHAnsi"/>
          <w:sz w:val="20"/>
          <w:szCs w:val="20"/>
          <w:lang w:val="es-CO"/>
        </w:rPr>
        <w:t xml:space="preserve"> al debido proceso, a la igualdad, a la seguridad social y al trabajo,</w:t>
      </w:r>
      <w:r w:rsidR="00041FD3" w:rsidRPr="00EB4BAB">
        <w:rPr>
          <w:rFonts w:asciiTheme="majorHAnsi" w:hAnsiTheme="majorHAnsi"/>
          <w:sz w:val="20"/>
          <w:szCs w:val="20"/>
          <w:lang w:val="es-CO"/>
        </w:rPr>
        <w:t xml:space="preserve"> </w:t>
      </w:r>
      <w:r w:rsidRPr="00EB4BAB">
        <w:rPr>
          <w:rFonts w:asciiTheme="majorHAnsi" w:hAnsiTheme="majorHAnsi"/>
          <w:sz w:val="20"/>
          <w:szCs w:val="20"/>
          <w:lang w:val="es-CO"/>
        </w:rPr>
        <w:t xml:space="preserve">promovieron acciones de </w:t>
      </w:r>
      <w:r w:rsidR="00C1030F" w:rsidRPr="00EB4BAB">
        <w:rPr>
          <w:rFonts w:asciiTheme="majorHAnsi" w:hAnsiTheme="majorHAnsi"/>
          <w:sz w:val="20"/>
          <w:szCs w:val="20"/>
          <w:lang w:val="es-CO"/>
        </w:rPr>
        <w:t>amparo</w:t>
      </w:r>
      <w:r w:rsidR="00041FD3" w:rsidRPr="00EB4BAB">
        <w:rPr>
          <w:rFonts w:asciiTheme="majorHAnsi" w:hAnsiTheme="majorHAnsi"/>
          <w:sz w:val="20"/>
          <w:szCs w:val="20"/>
          <w:lang w:val="es-CO"/>
        </w:rPr>
        <w:t xml:space="preserve"> que fueron desestimadas. </w:t>
      </w:r>
      <w:r w:rsidRPr="00EB4BAB">
        <w:rPr>
          <w:rFonts w:asciiTheme="majorHAnsi" w:hAnsiTheme="majorHAnsi"/>
          <w:sz w:val="20"/>
          <w:szCs w:val="20"/>
          <w:lang w:val="es-CO"/>
        </w:rPr>
        <w:t xml:space="preserve">La última sentencia en esos procesos fue la que resolvió no seleccionar los fallos para revisión ante la Corte Constitucional </w:t>
      </w:r>
      <w:r w:rsidRPr="00EB4BAB">
        <w:rPr>
          <w:rFonts w:ascii="Cambria" w:hAnsi="Cambria"/>
          <w:bCs/>
          <w:sz w:val="20"/>
          <w:szCs w:val="20"/>
          <w:lang w:val="es-CO"/>
        </w:rPr>
        <w:t xml:space="preserve">notificadas el 11 de julio de 2007 para los señores Lizarralde y Olaya, y el 14 de agosto de 2007 para la señora López. </w:t>
      </w:r>
    </w:p>
    <w:p w14:paraId="6BF0CCEB" w14:textId="0EADFA6A" w:rsidR="00472B4D" w:rsidRPr="00EB4BAB" w:rsidRDefault="001030FA" w:rsidP="000E2E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EB4BAB">
        <w:rPr>
          <w:rFonts w:ascii="Cambria" w:hAnsi="Cambria"/>
          <w:bCs/>
          <w:sz w:val="20"/>
          <w:szCs w:val="20"/>
          <w:lang w:val="es-CO"/>
        </w:rPr>
        <w:t>S</w:t>
      </w:r>
      <w:r w:rsidR="00E46989" w:rsidRPr="00EB4BAB">
        <w:rPr>
          <w:rFonts w:ascii="Cambria" w:hAnsi="Cambria"/>
          <w:bCs/>
          <w:sz w:val="20"/>
          <w:szCs w:val="20"/>
          <w:lang w:val="es-CO"/>
        </w:rPr>
        <w:t xml:space="preserve">eñalan que el 21 de octubre de 2008, la Sala Laboral de la Corte Suprema de Justicia profirió sentencia en el caso del señor Tito Julio Villamil Sánchez, </w:t>
      </w:r>
      <w:r w:rsidR="00BD420F" w:rsidRPr="00EB4BAB">
        <w:rPr>
          <w:rFonts w:ascii="Cambria" w:hAnsi="Cambria"/>
          <w:bCs/>
          <w:sz w:val="20"/>
          <w:szCs w:val="20"/>
          <w:lang w:val="es-CO"/>
        </w:rPr>
        <w:t>otro empleado de ALMADEL</w:t>
      </w:r>
      <w:r w:rsidR="00C1030F" w:rsidRPr="00EB4BAB">
        <w:rPr>
          <w:rFonts w:ascii="Cambria" w:hAnsi="Cambria"/>
          <w:bCs/>
          <w:sz w:val="20"/>
          <w:szCs w:val="20"/>
          <w:lang w:val="es-CO"/>
        </w:rPr>
        <w:t xml:space="preserve">CO S.A, al que </w:t>
      </w:r>
      <w:r w:rsidR="00BD420F" w:rsidRPr="00EB4BAB">
        <w:rPr>
          <w:rFonts w:ascii="Cambria" w:hAnsi="Cambria"/>
          <w:bCs/>
          <w:sz w:val="20"/>
          <w:szCs w:val="20"/>
          <w:lang w:val="es-CO"/>
        </w:rPr>
        <w:t>le fue reconocida la pensión del ré</w:t>
      </w:r>
      <w:r w:rsidR="00C1030F" w:rsidRPr="00EB4BAB">
        <w:rPr>
          <w:rFonts w:ascii="Cambria" w:hAnsi="Cambria"/>
          <w:bCs/>
          <w:sz w:val="20"/>
          <w:szCs w:val="20"/>
          <w:lang w:val="es-CO"/>
        </w:rPr>
        <w:t>gimen de trabajadores oficiales, aun cuando compartía la misma situaci</w:t>
      </w:r>
      <w:r w:rsidR="00C37CD4" w:rsidRPr="00EB4BAB">
        <w:rPr>
          <w:rFonts w:ascii="Cambria" w:hAnsi="Cambria"/>
          <w:bCs/>
          <w:sz w:val="20"/>
          <w:szCs w:val="20"/>
          <w:lang w:val="es-CO"/>
        </w:rPr>
        <w:t>ón de</w:t>
      </w:r>
      <w:r w:rsidR="00C1030F" w:rsidRPr="00EB4BAB">
        <w:rPr>
          <w:rFonts w:ascii="Cambria" w:hAnsi="Cambria"/>
          <w:bCs/>
          <w:sz w:val="20"/>
          <w:szCs w:val="20"/>
          <w:lang w:val="es-CO"/>
        </w:rPr>
        <w:t xml:space="preserve"> las víctimas. </w:t>
      </w:r>
    </w:p>
    <w:p w14:paraId="0FF2336F" w14:textId="77777777" w:rsidR="0011340D" w:rsidRPr="00EB4BAB" w:rsidRDefault="00C1030F" w:rsidP="000E2E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EB4BAB">
        <w:rPr>
          <w:rFonts w:ascii="Cambria" w:hAnsi="Cambria"/>
          <w:bCs/>
          <w:sz w:val="20"/>
          <w:szCs w:val="20"/>
          <w:lang w:val="es-CO"/>
        </w:rPr>
        <w:t xml:space="preserve">Los peticionarios alegan que </w:t>
      </w:r>
      <w:r w:rsidR="007340BF" w:rsidRPr="00EB4BAB">
        <w:rPr>
          <w:rFonts w:ascii="Cambria" w:hAnsi="Cambria"/>
          <w:bCs/>
          <w:sz w:val="20"/>
          <w:szCs w:val="20"/>
          <w:lang w:val="es-CO"/>
        </w:rPr>
        <w:t>los</w:t>
      </w:r>
      <w:r w:rsidR="00C37CD4" w:rsidRPr="00EB4BAB">
        <w:rPr>
          <w:rFonts w:ascii="Cambria" w:hAnsi="Cambria"/>
          <w:bCs/>
          <w:sz w:val="20"/>
          <w:szCs w:val="20"/>
          <w:lang w:val="es-CO"/>
        </w:rPr>
        <w:t xml:space="preserve"> hechos</w:t>
      </w:r>
      <w:r w:rsidRPr="00EB4BAB">
        <w:rPr>
          <w:rFonts w:ascii="Cambria" w:hAnsi="Cambria"/>
          <w:bCs/>
          <w:sz w:val="20"/>
          <w:szCs w:val="20"/>
          <w:lang w:val="es-CO"/>
        </w:rPr>
        <w:t xml:space="preserve"> </w:t>
      </w:r>
      <w:r w:rsidR="007340BF" w:rsidRPr="00EB4BAB">
        <w:rPr>
          <w:rFonts w:ascii="Cambria" w:hAnsi="Cambria"/>
          <w:bCs/>
          <w:sz w:val="20"/>
          <w:szCs w:val="20"/>
          <w:lang w:val="es-CO"/>
        </w:rPr>
        <w:t xml:space="preserve">descritos </w:t>
      </w:r>
      <w:r w:rsidRPr="00EB4BAB">
        <w:rPr>
          <w:rFonts w:ascii="Cambria" w:hAnsi="Cambria"/>
          <w:bCs/>
          <w:sz w:val="20"/>
          <w:szCs w:val="20"/>
          <w:lang w:val="es-CO"/>
        </w:rPr>
        <w:t>vulnera</w:t>
      </w:r>
      <w:r w:rsidR="00C37CD4" w:rsidRPr="00EB4BAB">
        <w:rPr>
          <w:rFonts w:ascii="Cambria" w:hAnsi="Cambria"/>
          <w:bCs/>
          <w:sz w:val="20"/>
          <w:szCs w:val="20"/>
          <w:lang w:val="es-CO"/>
        </w:rPr>
        <w:t>n</w:t>
      </w:r>
      <w:r w:rsidRPr="00EB4BAB">
        <w:rPr>
          <w:rFonts w:ascii="Cambria" w:hAnsi="Cambria"/>
          <w:bCs/>
          <w:sz w:val="20"/>
          <w:szCs w:val="20"/>
          <w:lang w:val="es-CO"/>
        </w:rPr>
        <w:t xml:space="preserve"> el artículo 8 de la Convención Americana.</w:t>
      </w:r>
      <w:r w:rsidR="00B152C0" w:rsidRPr="00EB4BAB">
        <w:rPr>
          <w:rFonts w:ascii="Cambria" w:hAnsi="Cambria"/>
          <w:bCs/>
          <w:sz w:val="20"/>
          <w:szCs w:val="20"/>
          <w:lang w:val="es-CO"/>
        </w:rPr>
        <w:t xml:space="preserve"> Alegan que los recursos internos quedaron agotados con las decisiones que resolvieron no </w:t>
      </w:r>
      <w:r w:rsidR="00B152C0" w:rsidRPr="00EB4BAB">
        <w:rPr>
          <w:rFonts w:ascii="Cambria" w:hAnsi="Cambria"/>
          <w:bCs/>
          <w:sz w:val="20"/>
          <w:szCs w:val="20"/>
          <w:lang w:val="es-CO"/>
        </w:rPr>
        <w:lastRenderedPageBreak/>
        <w:t>seleccionar los fallos</w:t>
      </w:r>
      <w:r w:rsidR="007340BF" w:rsidRPr="00EB4BAB">
        <w:rPr>
          <w:rFonts w:ascii="Cambria" w:hAnsi="Cambria"/>
          <w:bCs/>
          <w:sz w:val="20"/>
          <w:szCs w:val="20"/>
          <w:lang w:val="es-CO"/>
        </w:rPr>
        <w:t xml:space="preserve"> de tutela</w:t>
      </w:r>
      <w:r w:rsidR="00B152C0" w:rsidRPr="00EB4BAB">
        <w:rPr>
          <w:rFonts w:ascii="Cambria" w:hAnsi="Cambria"/>
          <w:bCs/>
          <w:sz w:val="20"/>
          <w:szCs w:val="20"/>
          <w:lang w:val="es-CO"/>
        </w:rPr>
        <w:t xml:space="preserve"> para la revisión de la Corte Constitucional, y que la petición se presentó dentro del plazo de los 6 meses posteriores a la fecha de notificación de esas decisiones.</w:t>
      </w:r>
    </w:p>
    <w:p w14:paraId="59ABD7B4" w14:textId="77777777" w:rsidR="006F0D2F" w:rsidRPr="00EB4BAB" w:rsidRDefault="00ED6B7C" w:rsidP="006F0D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EB4BAB">
        <w:rPr>
          <w:rFonts w:ascii="Cambria" w:hAnsi="Cambria"/>
          <w:sz w:val="20"/>
          <w:szCs w:val="20"/>
          <w:lang w:val="es-CO"/>
        </w:rPr>
        <w:t>Por su parte, el</w:t>
      </w:r>
      <w:r w:rsidR="006F0D2F" w:rsidRPr="00EB4BAB">
        <w:rPr>
          <w:rFonts w:ascii="Cambria" w:hAnsi="Cambria"/>
          <w:sz w:val="20"/>
          <w:szCs w:val="20"/>
          <w:lang w:val="es-CO"/>
        </w:rPr>
        <w:t xml:space="preserve"> Estado alega que la petición es extemporánea por cuanto el plazo de los 6 meses debe contarse desde las fechas de notificación de las sentencias de la Sala de Casación Laboral de la Corte Suprema de Justicia, porque la interposición del recurso de amparo perseguía solo el efecto de revivir el plazo de presentación ante la CIDH.</w:t>
      </w:r>
      <w:r w:rsidR="007340BF" w:rsidRPr="00EB4BAB">
        <w:rPr>
          <w:rFonts w:ascii="Cambria" w:hAnsi="Cambria"/>
          <w:sz w:val="20"/>
          <w:szCs w:val="20"/>
          <w:lang w:val="es-CO"/>
        </w:rPr>
        <w:t xml:space="preserve"> Sobre este punto también alega que no se cumplía con el requisito de inmediatez al momento de pres</w:t>
      </w:r>
      <w:r w:rsidR="00472B4D" w:rsidRPr="00EB4BAB">
        <w:rPr>
          <w:rFonts w:ascii="Cambria" w:hAnsi="Cambria"/>
          <w:sz w:val="20"/>
          <w:szCs w:val="20"/>
          <w:lang w:val="es-CO"/>
        </w:rPr>
        <w:t xml:space="preserve">entación de </w:t>
      </w:r>
      <w:r w:rsidR="007340BF" w:rsidRPr="00EB4BAB">
        <w:rPr>
          <w:rFonts w:ascii="Cambria" w:hAnsi="Cambria"/>
          <w:sz w:val="20"/>
          <w:szCs w:val="20"/>
          <w:lang w:val="es-CO"/>
        </w:rPr>
        <w:t>la</w:t>
      </w:r>
      <w:r w:rsidR="00472B4D" w:rsidRPr="00EB4BAB">
        <w:rPr>
          <w:rFonts w:ascii="Cambria" w:hAnsi="Cambria"/>
          <w:sz w:val="20"/>
          <w:szCs w:val="20"/>
          <w:lang w:val="es-CO"/>
        </w:rPr>
        <w:t>s</w:t>
      </w:r>
      <w:r w:rsidR="007340BF" w:rsidRPr="00EB4BAB">
        <w:rPr>
          <w:rFonts w:ascii="Cambria" w:hAnsi="Cambria"/>
          <w:sz w:val="20"/>
          <w:szCs w:val="20"/>
          <w:lang w:val="es-CO"/>
        </w:rPr>
        <w:t xml:space="preserve"> demanda</w:t>
      </w:r>
      <w:r w:rsidR="00472B4D" w:rsidRPr="00EB4BAB">
        <w:rPr>
          <w:rFonts w:ascii="Cambria" w:hAnsi="Cambria"/>
          <w:sz w:val="20"/>
          <w:szCs w:val="20"/>
          <w:lang w:val="es-CO"/>
        </w:rPr>
        <w:t>s</w:t>
      </w:r>
      <w:r w:rsidR="007340BF" w:rsidRPr="00EB4BAB">
        <w:rPr>
          <w:rFonts w:ascii="Cambria" w:hAnsi="Cambria"/>
          <w:sz w:val="20"/>
          <w:szCs w:val="20"/>
          <w:lang w:val="es-CO"/>
        </w:rPr>
        <w:t xml:space="preserve"> de tutela. Por otro lado, el Estado</w:t>
      </w:r>
      <w:r w:rsidR="006F0D2F" w:rsidRPr="00EB4BAB">
        <w:rPr>
          <w:rFonts w:ascii="Cambria" w:hAnsi="Cambria"/>
          <w:sz w:val="20"/>
          <w:szCs w:val="20"/>
          <w:lang w:val="es-CO"/>
        </w:rPr>
        <w:t xml:space="preserve"> alega que los peticionarios pretenden que la Comisión actúe como un tribunal de alzada, por cuanto sólo manifiestan su desacuerdo con las decisiones adoptadas a nivel interno. Finalmente el Estado alega que los hechos de la petición no caracterizan violaciones a la Convención A</w:t>
      </w:r>
      <w:r w:rsidR="00AD2075" w:rsidRPr="00EB4BAB">
        <w:rPr>
          <w:rFonts w:ascii="Cambria" w:hAnsi="Cambria"/>
          <w:sz w:val="20"/>
          <w:szCs w:val="20"/>
          <w:lang w:val="es-CO"/>
        </w:rPr>
        <w:t>mericana. Afirma</w:t>
      </w:r>
      <w:r w:rsidR="006F0D2F" w:rsidRPr="00EB4BAB">
        <w:rPr>
          <w:rFonts w:ascii="Cambria" w:hAnsi="Cambria"/>
          <w:sz w:val="20"/>
          <w:szCs w:val="20"/>
          <w:lang w:val="es-CO"/>
        </w:rPr>
        <w:t xml:space="preserve"> que las </w:t>
      </w:r>
      <w:r w:rsidR="00E02459" w:rsidRPr="00EB4BAB">
        <w:rPr>
          <w:rFonts w:ascii="Cambria" w:hAnsi="Cambria"/>
          <w:sz w:val="20"/>
          <w:szCs w:val="20"/>
          <w:lang w:val="es-CO"/>
        </w:rPr>
        <w:t xml:space="preserve">presuntas </w:t>
      </w:r>
      <w:r w:rsidR="006F0D2F" w:rsidRPr="00EB4BAB">
        <w:rPr>
          <w:rFonts w:ascii="Cambria" w:hAnsi="Cambria"/>
          <w:sz w:val="20"/>
          <w:szCs w:val="20"/>
          <w:lang w:val="es-CO"/>
        </w:rPr>
        <w:t>víctimas</w:t>
      </w:r>
      <w:r w:rsidR="007C65EE" w:rsidRPr="00EB4BAB">
        <w:rPr>
          <w:rFonts w:ascii="Cambria" w:hAnsi="Cambria"/>
          <w:sz w:val="20"/>
          <w:szCs w:val="20"/>
          <w:lang w:val="es-CO"/>
        </w:rPr>
        <w:t>,</w:t>
      </w:r>
      <w:r w:rsidR="006F0D2F" w:rsidRPr="00EB4BAB">
        <w:rPr>
          <w:rFonts w:ascii="Cambria" w:hAnsi="Cambria"/>
          <w:sz w:val="20"/>
          <w:szCs w:val="20"/>
          <w:lang w:val="es-CO"/>
        </w:rPr>
        <w:t xml:space="preserve"> si bien no les fue reconocida la pensión como trabajadores oficiales, podían acceder a la pensión del régimen general. </w:t>
      </w:r>
    </w:p>
    <w:p w14:paraId="307EFEF1" w14:textId="16B01173" w:rsidR="00A11E44" w:rsidRPr="00EB4BAB" w:rsidRDefault="006F0D2F" w:rsidP="006F0D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EB4BAB">
        <w:rPr>
          <w:rFonts w:ascii="Cambria" w:hAnsi="Cambria"/>
          <w:sz w:val="20"/>
          <w:szCs w:val="20"/>
          <w:lang w:val="es-CO"/>
        </w:rPr>
        <w:t xml:space="preserve">En concreto respecto del argumento de los peticionarios sobre </w:t>
      </w:r>
      <w:r w:rsidR="00C37CD4" w:rsidRPr="00EB4BAB">
        <w:rPr>
          <w:rFonts w:ascii="Cambria" w:hAnsi="Cambria"/>
          <w:sz w:val="20"/>
          <w:szCs w:val="20"/>
          <w:lang w:val="es-CO"/>
        </w:rPr>
        <w:t>los diferentes resultados entre los fallos de la Sala L</w:t>
      </w:r>
      <w:r w:rsidRPr="00EB4BAB">
        <w:rPr>
          <w:rFonts w:ascii="Cambria" w:hAnsi="Cambria"/>
          <w:sz w:val="20"/>
          <w:szCs w:val="20"/>
          <w:lang w:val="es-CO"/>
        </w:rPr>
        <w:t>aboral de la Corte Suprema de Justicia en los casos de las</w:t>
      </w:r>
      <w:r w:rsidR="00E02459" w:rsidRPr="00EB4BAB">
        <w:rPr>
          <w:rFonts w:ascii="Cambria" w:hAnsi="Cambria"/>
          <w:sz w:val="20"/>
          <w:szCs w:val="20"/>
          <w:lang w:val="es-CO"/>
        </w:rPr>
        <w:t xml:space="preserve"> presuntas</w:t>
      </w:r>
      <w:r w:rsidRPr="00EB4BAB">
        <w:rPr>
          <w:rFonts w:ascii="Cambria" w:hAnsi="Cambria"/>
          <w:sz w:val="20"/>
          <w:szCs w:val="20"/>
          <w:lang w:val="es-CO"/>
        </w:rPr>
        <w:t xml:space="preserve"> víctimas, y los fallos </w:t>
      </w:r>
      <w:r w:rsidR="00C1030F" w:rsidRPr="00EB4BAB">
        <w:rPr>
          <w:rFonts w:ascii="Cambria" w:hAnsi="Cambria"/>
          <w:sz w:val="20"/>
          <w:szCs w:val="20"/>
          <w:lang w:val="es-CO"/>
        </w:rPr>
        <w:t>en los casos de los señores Urbano y Villamil</w:t>
      </w:r>
      <w:r w:rsidRPr="00EB4BAB">
        <w:rPr>
          <w:rFonts w:ascii="Cambria" w:hAnsi="Cambria"/>
          <w:sz w:val="20"/>
          <w:szCs w:val="20"/>
          <w:lang w:val="es-CO"/>
        </w:rPr>
        <w:t>, el Estado alega que</w:t>
      </w:r>
      <w:r w:rsidR="004F430B" w:rsidRPr="00EB4BAB">
        <w:rPr>
          <w:rFonts w:ascii="Cambria" w:hAnsi="Cambria"/>
          <w:sz w:val="20"/>
          <w:szCs w:val="20"/>
          <w:lang w:val="es-CO"/>
        </w:rPr>
        <w:t xml:space="preserve"> éstos no constituyeron un cambio jurisprudencial dado que las hipótesis fácticas, aunque similares, no eran idénticas a las de las presuntas víctimas. </w:t>
      </w:r>
      <w:r w:rsidR="00D6093B" w:rsidRPr="00EB4BAB">
        <w:rPr>
          <w:rFonts w:ascii="Cambria" w:hAnsi="Cambria"/>
          <w:sz w:val="20"/>
          <w:szCs w:val="20"/>
          <w:lang w:val="es-CO"/>
        </w:rPr>
        <w:t xml:space="preserve">En la etapa de admisibilidad el Estado no ha especificado en qué sentido las hipótesis fácticas son distintas. </w:t>
      </w:r>
      <w:r w:rsidR="004F430B" w:rsidRPr="00EB4BAB">
        <w:rPr>
          <w:rFonts w:ascii="Cambria" w:hAnsi="Cambria"/>
          <w:sz w:val="20"/>
          <w:szCs w:val="20"/>
          <w:lang w:val="es-CO"/>
        </w:rPr>
        <w:t>Señala además que,</w:t>
      </w:r>
      <w:r w:rsidRPr="00EB4BAB">
        <w:rPr>
          <w:rFonts w:ascii="Cambria" w:hAnsi="Cambria"/>
          <w:sz w:val="20"/>
          <w:szCs w:val="20"/>
          <w:lang w:val="es-CO"/>
        </w:rPr>
        <w:t xml:space="preserve"> </w:t>
      </w:r>
      <w:r w:rsidR="00105B1F" w:rsidRPr="00EB4BAB">
        <w:rPr>
          <w:rFonts w:ascii="Cambria" w:hAnsi="Cambria"/>
          <w:sz w:val="20"/>
          <w:szCs w:val="20"/>
          <w:lang w:val="es-CO"/>
        </w:rPr>
        <w:t>aun cuando lo fueren</w:t>
      </w:r>
      <w:r w:rsidR="00C37CD4" w:rsidRPr="00EB4BAB">
        <w:rPr>
          <w:rFonts w:ascii="Cambria" w:hAnsi="Cambria"/>
          <w:sz w:val="20"/>
          <w:szCs w:val="20"/>
          <w:lang w:val="es-CO"/>
        </w:rPr>
        <w:t>,</w:t>
      </w:r>
      <w:r w:rsidRPr="00EB4BAB">
        <w:rPr>
          <w:rFonts w:ascii="Cambria" w:hAnsi="Cambria"/>
          <w:sz w:val="20"/>
          <w:szCs w:val="20"/>
          <w:lang w:val="es-CO"/>
        </w:rPr>
        <w:t xml:space="preserve"> bajo ninguna circunstancia la existencia de un cambio legítimo de jurisprudencia puede conducir a que la decisión judicial que lo contiene sea considerada como contraria a las garantías de la Convención. Indica que los cambios jurisprudenciales resultan admisibles en el seno de cualquier sistema jurídico, o de lo contrario se estaría limitando de manera irrazonable la evolución del derecho.</w:t>
      </w:r>
    </w:p>
    <w:p w14:paraId="13072245" w14:textId="77777777" w:rsidR="003239B8" w:rsidRPr="00EB4BAB" w:rsidRDefault="003239B8" w:rsidP="003239B8">
      <w:pPr>
        <w:spacing w:before="240" w:after="240"/>
        <w:ind w:firstLine="720"/>
        <w:jc w:val="both"/>
        <w:rPr>
          <w:rFonts w:ascii="Cambria" w:hAnsi="Cambria"/>
          <w:sz w:val="20"/>
          <w:szCs w:val="20"/>
          <w:lang w:val="es-UY"/>
        </w:rPr>
      </w:pPr>
      <w:r w:rsidRPr="00EB4BAB">
        <w:rPr>
          <w:rFonts w:asciiTheme="majorHAnsi" w:eastAsia="Cambria" w:hAnsiTheme="majorHAnsi" w:cs="Cambria"/>
          <w:b/>
          <w:bCs/>
          <w:color w:val="000000"/>
          <w:sz w:val="20"/>
          <w:szCs w:val="20"/>
          <w:u w:color="000000"/>
          <w:lang w:val="es-ES" w:eastAsia="es-ES"/>
        </w:rPr>
        <w:t>VI.</w:t>
      </w:r>
      <w:r w:rsidRPr="00EB4BAB">
        <w:rPr>
          <w:rFonts w:asciiTheme="majorHAnsi" w:eastAsia="Cambria" w:hAnsiTheme="majorHAnsi" w:cs="Cambria"/>
          <w:b/>
          <w:bCs/>
          <w:color w:val="000000"/>
          <w:sz w:val="20"/>
          <w:szCs w:val="20"/>
          <w:u w:color="000000"/>
          <w:lang w:val="es-ES" w:eastAsia="es-ES"/>
        </w:rPr>
        <w:tab/>
      </w:r>
      <w:r w:rsidR="00C21FEF" w:rsidRPr="00EB4BAB">
        <w:rPr>
          <w:rFonts w:asciiTheme="majorHAnsi" w:hAnsiTheme="majorHAnsi"/>
          <w:b/>
          <w:sz w:val="20"/>
          <w:szCs w:val="20"/>
          <w:lang w:val="es-ES"/>
        </w:rPr>
        <w:t>AGOTAMIENTO DE LOS RECURSOS INTERNOS Y PLAZO DE PRESENTACIÓN</w:t>
      </w:r>
      <w:r w:rsidR="00C21FEF" w:rsidRPr="00EB4BAB">
        <w:rPr>
          <w:rFonts w:asciiTheme="majorHAnsi" w:eastAsia="Cambria" w:hAnsiTheme="majorHAnsi" w:cs="Cambria"/>
          <w:b/>
          <w:bCs/>
          <w:color w:val="000000"/>
          <w:sz w:val="20"/>
          <w:szCs w:val="20"/>
          <w:u w:color="000000"/>
          <w:lang w:val="es-ES" w:eastAsia="es-ES"/>
        </w:rPr>
        <w:t xml:space="preserve"> </w:t>
      </w:r>
    </w:p>
    <w:p w14:paraId="13BA65D2" w14:textId="79207F47" w:rsidR="006608A2" w:rsidRPr="00EB4BAB" w:rsidRDefault="00E02459" w:rsidP="006608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B4BAB">
        <w:rPr>
          <w:rFonts w:asciiTheme="majorHAnsi" w:hAnsiTheme="majorHAnsi"/>
          <w:sz w:val="20"/>
          <w:szCs w:val="20"/>
          <w:lang w:val="es-CO"/>
        </w:rPr>
        <w:t xml:space="preserve">De los hechos alegados por los peticionarios, se desprende </w:t>
      </w:r>
      <w:r w:rsidR="00DC6BCF" w:rsidRPr="00EB4BAB">
        <w:rPr>
          <w:rFonts w:asciiTheme="majorHAnsi" w:hAnsiTheme="majorHAnsi"/>
          <w:sz w:val="20"/>
          <w:szCs w:val="20"/>
          <w:lang w:val="es-CO"/>
        </w:rPr>
        <w:t>que el hecho que motiv</w:t>
      </w:r>
      <w:r w:rsidR="00CB61C9" w:rsidRPr="00EB4BAB">
        <w:rPr>
          <w:rFonts w:asciiTheme="majorHAnsi" w:hAnsiTheme="majorHAnsi"/>
          <w:sz w:val="20"/>
          <w:szCs w:val="20"/>
          <w:lang w:val="es-CO"/>
        </w:rPr>
        <w:t>ó la presentación de</w:t>
      </w:r>
      <w:r w:rsidR="006608A2" w:rsidRPr="00EB4BAB">
        <w:rPr>
          <w:rFonts w:asciiTheme="majorHAnsi" w:hAnsiTheme="majorHAnsi"/>
          <w:sz w:val="20"/>
          <w:szCs w:val="20"/>
          <w:lang w:val="es-CO"/>
        </w:rPr>
        <w:t xml:space="preserve"> la </w:t>
      </w:r>
      <w:r w:rsidR="00A47256" w:rsidRPr="00EB4BAB">
        <w:rPr>
          <w:rFonts w:asciiTheme="majorHAnsi" w:hAnsiTheme="majorHAnsi"/>
          <w:sz w:val="20"/>
          <w:szCs w:val="20"/>
          <w:lang w:val="es-CO"/>
        </w:rPr>
        <w:t>petición</w:t>
      </w:r>
      <w:r w:rsidR="006608A2" w:rsidRPr="00EB4BAB">
        <w:rPr>
          <w:rFonts w:asciiTheme="majorHAnsi" w:hAnsiTheme="majorHAnsi"/>
          <w:sz w:val="20"/>
          <w:szCs w:val="20"/>
          <w:lang w:val="es-CO"/>
        </w:rPr>
        <w:t xml:space="preserve"> no fue</w:t>
      </w:r>
      <w:r w:rsidR="00A47256" w:rsidRPr="00EB4BAB">
        <w:rPr>
          <w:rFonts w:asciiTheme="majorHAnsi" w:hAnsiTheme="majorHAnsi"/>
          <w:sz w:val="20"/>
          <w:szCs w:val="20"/>
          <w:lang w:val="es-CO"/>
        </w:rPr>
        <w:t xml:space="preserve"> </w:t>
      </w:r>
      <w:r w:rsidR="00DC6BCF" w:rsidRPr="00EB4BAB">
        <w:rPr>
          <w:rFonts w:asciiTheme="majorHAnsi" w:hAnsiTheme="majorHAnsi"/>
          <w:sz w:val="20"/>
          <w:szCs w:val="20"/>
          <w:lang w:val="es-CO"/>
        </w:rPr>
        <w:t xml:space="preserve">la sentencia de la Sala Laboral de la Corte Suprema de Justicia en cada uno de </w:t>
      </w:r>
      <w:r w:rsidRPr="00EB4BAB">
        <w:rPr>
          <w:rFonts w:asciiTheme="majorHAnsi" w:hAnsiTheme="majorHAnsi"/>
          <w:sz w:val="20"/>
          <w:szCs w:val="20"/>
          <w:lang w:val="es-CO"/>
        </w:rPr>
        <w:t>los</w:t>
      </w:r>
      <w:r w:rsidR="00DC6BCF" w:rsidRPr="00EB4BAB">
        <w:rPr>
          <w:rFonts w:asciiTheme="majorHAnsi" w:hAnsiTheme="majorHAnsi"/>
          <w:sz w:val="20"/>
          <w:szCs w:val="20"/>
          <w:lang w:val="es-CO"/>
        </w:rPr>
        <w:t xml:space="preserve"> procesos</w:t>
      </w:r>
      <w:r w:rsidR="00B152C0" w:rsidRPr="00EB4BAB">
        <w:rPr>
          <w:rFonts w:asciiTheme="majorHAnsi" w:hAnsiTheme="majorHAnsi"/>
          <w:sz w:val="20"/>
          <w:szCs w:val="20"/>
          <w:lang w:val="es-CO"/>
        </w:rPr>
        <w:t xml:space="preserve"> laborales</w:t>
      </w:r>
      <w:r w:rsidR="00DC6BCF" w:rsidRPr="00EB4BAB">
        <w:rPr>
          <w:rFonts w:asciiTheme="majorHAnsi" w:hAnsiTheme="majorHAnsi"/>
          <w:sz w:val="20"/>
          <w:szCs w:val="20"/>
          <w:lang w:val="es-CO"/>
        </w:rPr>
        <w:t>, sino el conocimiento de la sentencia emitida en el caso del señor Urbano, el 28 de junio de 2006</w:t>
      </w:r>
      <w:r w:rsidR="00DB7D46" w:rsidRPr="00EB4BAB">
        <w:rPr>
          <w:rFonts w:asciiTheme="majorHAnsi" w:hAnsiTheme="majorHAnsi"/>
          <w:sz w:val="20"/>
          <w:szCs w:val="20"/>
          <w:lang w:val="es-CO"/>
        </w:rPr>
        <w:t>, lo que consideraron un trato desigual respecto al derecho a la seguridad social</w:t>
      </w:r>
      <w:r w:rsidR="006608A2" w:rsidRPr="00EB4BAB">
        <w:rPr>
          <w:rFonts w:asciiTheme="majorHAnsi" w:hAnsiTheme="majorHAnsi"/>
          <w:sz w:val="20"/>
          <w:szCs w:val="20"/>
          <w:lang w:val="es-CO"/>
        </w:rPr>
        <w:t>.</w:t>
      </w:r>
      <w:r w:rsidRPr="00EB4BAB">
        <w:rPr>
          <w:rFonts w:asciiTheme="majorHAnsi" w:hAnsiTheme="majorHAnsi"/>
          <w:sz w:val="20"/>
          <w:szCs w:val="20"/>
          <w:lang w:val="es-CO"/>
        </w:rPr>
        <w:t xml:space="preserve"> Al respecto</w:t>
      </w:r>
      <w:r w:rsidR="00D87C5F" w:rsidRPr="00EB4BAB">
        <w:rPr>
          <w:rFonts w:asciiTheme="majorHAnsi" w:hAnsiTheme="majorHAnsi"/>
          <w:sz w:val="20"/>
          <w:szCs w:val="20"/>
          <w:lang w:val="es-CO"/>
        </w:rPr>
        <w:t>,</w:t>
      </w:r>
      <w:r w:rsidRPr="00EB4BAB">
        <w:rPr>
          <w:rFonts w:asciiTheme="majorHAnsi" w:hAnsiTheme="majorHAnsi"/>
          <w:sz w:val="20"/>
          <w:szCs w:val="20"/>
          <w:lang w:val="es-CO"/>
        </w:rPr>
        <w:t xml:space="preserve"> la Comisión considera que</w:t>
      </w:r>
      <w:r w:rsidR="00DC6BCF" w:rsidRPr="00EB4BAB">
        <w:rPr>
          <w:rFonts w:asciiTheme="majorHAnsi" w:hAnsiTheme="majorHAnsi"/>
          <w:sz w:val="20"/>
          <w:szCs w:val="20"/>
          <w:lang w:val="es-CO"/>
        </w:rPr>
        <w:t xml:space="preserve"> </w:t>
      </w:r>
      <w:r w:rsidRPr="00EB4BAB">
        <w:rPr>
          <w:rFonts w:asciiTheme="majorHAnsi" w:hAnsiTheme="majorHAnsi"/>
          <w:sz w:val="20"/>
          <w:szCs w:val="20"/>
          <w:lang w:val="es-CO"/>
        </w:rPr>
        <w:t>e</w:t>
      </w:r>
      <w:r w:rsidR="00520A1F" w:rsidRPr="00EB4BAB">
        <w:rPr>
          <w:rFonts w:asciiTheme="majorHAnsi" w:hAnsiTheme="majorHAnsi"/>
          <w:sz w:val="20"/>
          <w:szCs w:val="20"/>
          <w:lang w:val="es-CO"/>
        </w:rPr>
        <w:t>l recurso</w:t>
      </w:r>
      <w:r w:rsidR="00DC6BCF" w:rsidRPr="00EB4BAB">
        <w:rPr>
          <w:rFonts w:asciiTheme="majorHAnsi" w:hAnsiTheme="majorHAnsi"/>
          <w:sz w:val="20"/>
          <w:szCs w:val="20"/>
          <w:lang w:val="es-CO"/>
        </w:rPr>
        <w:t xml:space="preserve"> </w:t>
      </w:r>
      <w:r w:rsidR="00520A1F" w:rsidRPr="00EB4BAB">
        <w:rPr>
          <w:rFonts w:asciiTheme="majorHAnsi" w:hAnsiTheme="majorHAnsi"/>
          <w:sz w:val="20"/>
          <w:szCs w:val="20"/>
          <w:lang w:val="es-CO"/>
        </w:rPr>
        <w:t xml:space="preserve">mediante el cual podían revertir las decisiones obtenidas en caso  que existiera lo que consideraron era una vía de hecho por violación al derecho al debido proceso, a la igualdad, a la seguridad social y al trabajo, era la acción de amparo, la cual fue </w:t>
      </w:r>
      <w:r w:rsidR="00A47256" w:rsidRPr="00EB4BAB">
        <w:rPr>
          <w:rFonts w:asciiTheme="majorHAnsi" w:hAnsiTheme="majorHAnsi"/>
          <w:sz w:val="20"/>
          <w:szCs w:val="20"/>
          <w:lang w:val="es-CO"/>
        </w:rPr>
        <w:t>debidamente</w:t>
      </w:r>
      <w:r w:rsidR="00520A1F" w:rsidRPr="00EB4BAB">
        <w:rPr>
          <w:rFonts w:asciiTheme="majorHAnsi" w:hAnsiTheme="majorHAnsi"/>
          <w:sz w:val="20"/>
          <w:szCs w:val="20"/>
          <w:lang w:val="es-CO"/>
        </w:rPr>
        <w:t xml:space="preserve"> </w:t>
      </w:r>
      <w:r w:rsidR="00584435" w:rsidRPr="00EB4BAB">
        <w:rPr>
          <w:rFonts w:asciiTheme="majorHAnsi" w:hAnsiTheme="majorHAnsi"/>
          <w:sz w:val="20"/>
          <w:szCs w:val="20"/>
          <w:lang w:val="es-CO"/>
        </w:rPr>
        <w:t>agotada</w:t>
      </w:r>
      <w:r w:rsidRPr="00EB4BAB">
        <w:rPr>
          <w:rFonts w:asciiTheme="majorHAnsi" w:hAnsiTheme="majorHAnsi"/>
          <w:sz w:val="20"/>
          <w:szCs w:val="20"/>
          <w:lang w:val="es-CO"/>
        </w:rPr>
        <w:t>.</w:t>
      </w:r>
      <w:r w:rsidR="00307116" w:rsidRPr="00EB4BAB">
        <w:rPr>
          <w:rFonts w:asciiTheme="majorHAnsi" w:hAnsiTheme="majorHAnsi"/>
          <w:sz w:val="20"/>
          <w:szCs w:val="20"/>
          <w:lang w:val="es-CO"/>
        </w:rPr>
        <w:t xml:space="preserve"> </w:t>
      </w:r>
      <w:r w:rsidR="006D042C" w:rsidRPr="00EB4BAB">
        <w:rPr>
          <w:rFonts w:asciiTheme="majorHAnsi" w:hAnsiTheme="majorHAnsi"/>
          <w:sz w:val="20"/>
          <w:szCs w:val="20"/>
          <w:lang w:val="es-CO"/>
        </w:rPr>
        <w:t>En relación con el alegato del Estado en cuanto al supuesto incumplimiento del requisito de inmediatez en la presentación de las acciones de amparo,</w:t>
      </w:r>
      <w:r w:rsidR="00041FD3" w:rsidRPr="00EB4BAB">
        <w:rPr>
          <w:rFonts w:asciiTheme="majorHAnsi" w:hAnsiTheme="majorHAnsi"/>
          <w:sz w:val="20"/>
          <w:szCs w:val="20"/>
          <w:lang w:val="es-CO"/>
        </w:rPr>
        <w:t xml:space="preserve"> la Comisión observa </w:t>
      </w:r>
      <w:r w:rsidRPr="00EB4BAB">
        <w:rPr>
          <w:rFonts w:asciiTheme="majorHAnsi" w:hAnsiTheme="majorHAnsi"/>
          <w:i/>
          <w:sz w:val="20"/>
          <w:szCs w:val="20"/>
          <w:lang w:val="es-CO"/>
        </w:rPr>
        <w:t>prima facie</w:t>
      </w:r>
      <w:r w:rsidRPr="00EB4BAB">
        <w:rPr>
          <w:rFonts w:asciiTheme="majorHAnsi" w:hAnsiTheme="majorHAnsi"/>
          <w:sz w:val="20"/>
          <w:szCs w:val="20"/>
          <w:lang w:val="es-CO"/>
        </w:rPr>
        <w:t xml:space="preserve"> </w:t>
      </w:r>
      <w:r w:rsidR="00041FD3" w:rsidRPr="00EB4BAB">
        <w:rPr>
          <w:rFonts w:asciiTheme="majorHAnsi" w:hAnsiTheme="majorHAnsi"/>
          <w:sz w:val="20"/>
          <w:szCs w:val="20"/>
          <w:lang w:val="es-CO"/>
        </w:rPr>
        <w:t>que</w:t>
      </w:r>
      <w:r w:rsidR="00105B1F" w:rsidRPr="00EB4BAB">
        <w:rPr>
          <w:rFonts w:asciiTheme="majorHAnsi" w:hAnsiTheme="majorHAnsi"/>
          <w:sz w:val="20"/>
          <w:szCs w:val="20"/>
          <w:lang w:val="es-CO"/>
        </w:rPr>
        <w:t xml:space="preserve"> no </w:t>
      </w:r>
      <w:r w:rsidR="00584435" w:rsidRPr="00EB4BAB">
        <w:rPr>
          <w:rFonts w:asciiTheme="majorHAnsi" w:hAnsiTheme="majorHAnsi"/>
          <w:sz w:val="20"/>
          <w:szCs w:val="20"/>
          <w:lang w:val="es-CO"/>
        </w:rPr>
        <w:t>se desprende</w:t>
      </w:r>
      <w:r w:rsidR="00105B1F" w:rsidRPr="00EB4BAB">
        <w:rPr>
          <w:rFonts w:asciiTheme="majorHAnsi" w:hAnsiTheme="majorHAnsi"/>
          <w:sz w:val="20"/>
          <w:szCs w:val="20"/>
          <w:lang w:val="es-CO"/>
        </w:rPr>
        <w:t xml:space="preserve"> </w:t>
      </w:r>
      <w:r w:rsidR="00584435" w:rsidRPr="00EB4BAB">
        <w:rPr>
          <w:rFonts w:asciiTheme="majorHAnsi" w:hAnsiTheme="majorHAnsi"/>
          <w:sz w:val="20"/>
          <w:szCs w:val="20"/>
          <w:lang w:val="es-CO"/>
        </w:rPr>
        <w:t>d</w:t>
      </w:r>
      <w:r w:rsidR="00105B1F" w:rsidRPr="00EB4BAB">
        <w:rPr>
          <w:rFonts w:asciiTheme="majorHAnsi" w:hAnsiTheme="majorHAnsi"/>
          <w:sz w:val="20"/>
          <w:szCs w:val="20"/>
          <w:lang w:val="es-CO"/>
        </w:rPr>
        <w:t>el expediente que estas fueron declaradas improcedentes por incumplimiento de ese requisito</w:t>
      </w:r>
      <w:r w:rsidR="006D042C" w:rsidRPr="00EB4BAB">
        <w:rPr>
          <w:rFonts w:asciiTheme="majorHAnsi" w:hAnsiTheme="majorHAnsi"/>
          <w:sz w:val="20"/>
          <w:szCs w:val="20"/>
          <w:lang w:val="es-CO"/>
        </w:rPr>
        <w:t xml:space="preserve">. </w:t>
      </w:r>
      <w:r w:rsidR="00105B1F" w:rsidRPr="00EB4BAB">
        <w:rPr>
          <w:rFonts w:asciiTheme="majorHAnsi" w:hAnsiTheme="majorHAnsi"/>
          <w:sz w:val="20"/>
          <w:szCs w:val="20"/>
          <w:lang w:val="es-CO"/>
        </w:rPr>
        <w:t xml:space="preserve">De acuerdo con lo anterior, </w:t>
      </w:r>
      <w:r w:rsidR="00105B1F" w:rsidRPr="00EB4BAB">
        <w:rPr>
          <w:rFonts w:asciiTheme="majorHAnsi" w:hAnsiTheme="majorHAnsi"/>
          <w:sz w:val="20"/>
          <w:szCs w:val="20"/>
          <w:lang w:val="es-ES"/>
        </w:rPr>
        <w:t>la Comisión considera que</w:t>
      </w:r>
      <w:r w:rsidR="006608A2" w:rsidRPr="00EB4BAB">
        <w:rPr>
          <w:rFonts w:asciiTheme="majorHAnsi" w:hAnsiTheme="majorHAnsi"/>
          <w:sz w:val="20"/>
          <w:szCs w:val="20"/>
          <w:lang w:val="es-ES"/>
        </w:rPr>
        <w:t xml:space="preserve"> en el presente caso se han interpuesto y agotado los recursos de la jurisdicción interna de conformidad con el artículo </w:t>
      </w:r>
      <w:r w:rsidR="006608A2" w:rsidRPr="00EB4BAB">
        <w:rPr>
          <w:rFonts w:asciiTheme="majorHAnsi" w:hAnsiTheme="majorHAnsi" w:cs="Arial"/>
          <w:sz w:val="20"/>
          <w:szCs w:val="20"/>
          <w:lang w:val="es-ES"/>
        </w:rPr>
        <w:t>46.1.a de la Convención Americana</w:t>
      </w:r>
      <w:r w:rsidR="006608A2" w:rsidRPr="00EB4BAB">
        <w:rPr>
          <w:rFonts w:asciiTheme="majorHAnsi" w:hAnsiTheme="majorHAnsi"/>
          <w:sz w:val="20"/>
          <w:szCs w:val="20"/>
          <w:lang w:val="es-ES"/>
        </w:rPr>
        <w:t xml:space="preserve"> y 31.1 del Reglamento.</w:t>
      </w:r>
    </w:p>
    <w:p w14:paraId="70E0D7F7" w14:textId="083FCC10" w:rsidR="003239B8" w:rsidRPr="00EB4BAB" w:rsidRDefault="006D042C" w:rsidP="00AD20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EB4BAB">
        <w:rPr>
          <w:rFonts w:asciiTheme="majorHAnsi" w:hAnsiTheme="majorHAnsi"/>
          <w:sz w:val="20"/>
          <w:szCs w:val="20"/>
          <w:lang w:val="es-ES"/>
        </w:rPr>
        <w:t>En relación con el plazo de presentación, se observa que la petición se presentó el 1</w:t>
      </w:r>
      <w:r w:rsidR="00DF3284" w:rsidRPr="00EB4BAB">
        <w:rPr>
          <w:rFonts w:asciiTheme="majorHAnsi" w:hAnsiTheme="majorHAnsi"/>
          <w:sz w:val="20"/>
          <w:szCs w:val="20"/>
          <w:lang w:val="es-ES"/>
        </w:rPr>
        <w:t>1</w:t>
      </w:r>
      <w:r w:rsidRPr="00EB4BAB">
        <w:rPr>
          <w:rFonts w:asciiTheme="majorHAnsi" w:hAnsiTheme="majorHAnsi"/>
          <w:sz w:val="20"/>
          <w:szCs w:val="20"/>
          <w:lang w:val="es-ES"/>
        </w:rPr>
        <w:t xml:space="preserve"> de enero de 2008, dentro de los 6 meses siguientes a la notificación de las sentencias que</w:t>
      </w:r>
      <w:r w:rsidR="00CC183B" w:rsidRPr="00EB4BAB">
        <w:rPr>
          <w:rFonts w:asciiTheme="majorHAnsi" w:hAnsiTheme="majorHAnsi"/>
          <w:sz w:val="20"/>
          <w:szCs w:val="20"/>
          <w:lang w:val="es-ES"/>
        </w:rPr>
        <w:t xml:space="preserve"> resolvieron no escoger los fallos para revisión ante la Corte Constitucional</w:t>
      </w:r>
      <w:r w:rsidR="00472B4D" w:rsidRPr="00EB4BAB">
        <w:rPr>
          <w:rFonts w:asciiTheme="majorHAnsi" w:hAnsiTheme="majorHAnsi"/>
          <w:sz w:val="20"/>
          <w:szCs w:val="20"/>
          <w:lang w:val="es-ES"/>
        </w:rPr>
        <w:t>,</w:t>
      </w:r>
      <w:r w:rsidR="00CC183B" w:rsidRPr="00EB4BAB">
        <w:rPr>
          <w:rFonts w:asciiTheme="majorHAnsi" w:hAnsiTheme="majorHAnsi"/>
          <w:sz w:val="20"/>
          <w:szCs w:val="20"/>
          <w:lang w:val="es-ES"/>
        </w:rPr>
        <w:t xml:space="preserve"> notificadas el</w:t>
      </w:r>
      <w:r w:rsidR="00AD2075" w:rsidRPr="00EB4BAB">
        <w:rPr>
          <w:rFonts w:ascii="Cambria" w:hAnsi="Cambria"/>
          <w:bCs/>
          <w:sz w:val="20"/>
          <w:szCs w:val="20"/>
          <w:lang w:val="es-CO"/>
        </w:rPr>
        <w:t xml:space="preserve"> 11 de julio de 2007 para los señores Lizarralde y Olaya, y el 14 de agosto de 2007 para la señora López. </w:t>
      </w:r>
      <w:r w:rsidRPr="00EB4BAB">
        <w:rPr>
          <w:rFonts w:asciiTheme="majorHAnsi" w:hAnsiTheme="majorHAnsi"/>
          <w:sz w:val="20"/>
          <w:szCs w:val="20"/>
          <w:lang w:val="es-ES"/>
        </w:rPr>
        <w:t>Por lo tanto, la Comisión concluye que la presente petición cumple el requisito establecido en el artículo 46.1.b de la Convención y 32.1 del Reglamento.</w:t>
      </w:r>
    </w:p>
    <w:p w14:paraId="7CCA2526" w14:textId="77777777" w:rsidR="003239B8" w:rsidRPr="00EB4BAB" w:rsidRDefault="003239B8" w:rsidP="003239B8">
      <w:pPr>
        <w:pStyle w:val="ListParagraph"/>
        <w:spacing w:before="240" w:after="240"/>
        <w:jc w:val="both"/>
        <w:rPr>
          <w:rFonts w:asciiTheme="majorHAnsi" w:hAnsiTheme="majorHAnsi"/>
          <w:b/>
          <w:sz w:val="20"/>
          <w:szCs w:val="20"/>
          <w:lang w:val="es-ES"/>
        </w:rPr>
      </w:pPr>
      <w:r w:rsidRPr="00EB4BAB">
        <w:rPr>
          <w:rFonts w:asciiTheme="majorHAnsi" w:hAnsiTheme="majorHAnsi"/>
          <w:b/>
          <w:bCs/>
          <w:sz w:val="20"/>
          <w:szCs w:val="20"/>
          <w:lang w:val="es-ES"/>
        </w:rPr>
        <w:t>VII.</w:t>
      </w:r>
      <w:r w:rsidRPr="00EB4BAB">
        <w:rPr>
          <w:rFonts w:asciiTheme="majorHAnsi" w:hAnsiTheme="majorHAnsi"/>
          <w:b/>
          <w:bCs/>
          <w:sz w:val="20"/>
          <w:szCs w:val="20"/>
          <w:lang w:val="es-ES"/>
        </w:rPr>
        <w:tab/>
      </w:r>
      <w:r w:rsidR="00C21FEF" w:rsidRPr="00EB4BAB">
        <w:rPr>
          <w:rFonts w:asciiTheme="majorHAnsi" w:hAnsiTheme="majorHAnsi"/>
          <w:b/>
          <w:bCs/>
          <w:sz w:val="20"/>
          <w:szCs w:val="20"/>
          <w:lang w:val="es-ES"/>
        </w:rPr>
        <w:t xml:space="preserve">CARACTERIZACIÓN </w:t>
      </w:r>
      <w:r w:rsidR="00C21FEF" w:rsidRPr="00EB4BAB">
        <w:rPr>
          <w:rFonts w:asciiTheme="majorHAnsi" w:hAnsiTheme="majorHAnsi"/>
          <w:b/>
          <w:bCs/>
          <w:sz w:val="20"/>
          <w:szCs w:val="20"/>
          <w:lang w:val="es-UY"/>
        </w:rPr>
        <w:t>DE LOS HECHOS ALEGADOS</w:t>
      </w:r>
    </w:p>
    <w:p w14:paraId="4D47F0B2" w14:textId="4DFACD15" w:rsidR="000A27E1" w:rsidRPr="00EB4BAB" w:rsidRDefault="000A27E1" w:rsidP="000A27E1">
      <w:pPr>
        <w:pStyle w:val="ListParagraph"/>
        <w:numPr>
          <w:ilvl w:val="0"/>
          <w:numId w:val="103"/>
        </w:numPr>
        <w:jc w:val="both"/>
        <w:rPr>
          <w:rFonts w:eastAsia="Arial Unicode MS" w:cs="Times New Roman"/>
          <w:bCs/>
          <w:color w:val="auto"/>
          <w:sz w:val="20"/>
          <w:szCs w:val="20"/>
          <w:lang w:val="es-CO" w:eastAsia="en-US"/>
        </w:rPr>
      </w:pPr>
      <w:r w:rsidRPr="00EB4BAB">
        <w:rPr>
          <w:rFonts w:eastAsia="Arial Unicode MS" w:cs="Times New Roman"/>
          <w:bCs/>
          <w:color w:val="auto"/>
          <w:sz w:val="20"/>
          <w:szCs w:val="20"/>
          <w:lang w:val="es-CO" w:eastAsia="en-US"/>
        </w:rPr>
        <w:t xml:space="preserve">Los peticionarios alegan que las decisiones judiciales les negaron la aplicación del régimen pensionario que les era aplicable durante más de 20 años de trabajo, indicando que lo determinante era el régimen aplicable al momento de la terminación del contrato.  Alegan que posteriormente, respecto a personas que trabajaron para la misma empresa en las mismas condiciones, la misma Sala Laboral estableció lo contrario, esto es, que lo determinante era el régimen aplicable durante el tiempo que prestaron los servicios y no la fecha de terminar el contrato, y que los trabajadores no pueden perder sus beneficios debido al cambio de naturaleza de la empresa.  El Estado, por un lado, indica que los casos referidos no son iguales, </w:t>
      </w:r>
      <w:r w:rsidRPr="00EB4BAB">
        <w:rPr>
          <w:rFonts w:eastAsia="Arial Unicode MS" w:cs="Times New Roman"/>
          <w:bCs/>
          <w:color w:val="auto"/>
          <w:sz w:val="20"/>
          <w:szCs w:val="20"/>
          <w:lang w:val="es-CO" w:eastAsia="en-US"/>
        </w:rPr>
        <w:lastRenderedPageBreak/>
        <w:t>aunque no ha especificado en qué sentido, y por otro que un cambio jurisprudencial es parte de la evolución de la normativa interna y no implica una violación de los derechos humanos. La Comisión considera que la controversia planteada requiere un desarrollo y análisis en la etapa de fondo.</w:t>
      </w:r>
    </w:p>
    <w:p w14:paraId="6C5ABCC2" w14:textId="77777777" w:rsidR="000A27E1" w:rsidRPr="00EB4BAB" w:rsidRDefault="000A27E1" w:rsidP="000A27E1">
      <w:pPr>
        <w:pStyle w:val="ListParagraph"/>
        <w:jc w:val="both"/>
        <w:rPr>
          <w:rFonts w:eastAsia="Arial Unicode MS" w:cs="Times New Roman"/>
          <w:bCs/>
          <w:color w:val="auto"/>
          <w:sz w:val="20"/>
          <w:szCs w:val="20"/>
          <w:lang w:val="es-CO" w:eastAsia="en-US"/>
        </w:rPr>
      </w:pPr>
    </w:p>
    <w:p w14:paraId="19F56216" w14:textId="178443AD" w:rsidR="00573292" w:rsidRPr="00EB4BAB" w:rsidRDefault="007832C3" w:rsidP="00420A5D">
      <w:pPr>
        <w:pStyle w:val="List"/>
        <w:numPr>
          <w:ilvl w:val="0"/>
          <w:numId w:val="103"/>
        </w:numPr>
        <w:spacing w:after="240"/>
        <w:jc w:val="both"/>
        <w:rPr>
          <w:rFonts w:ascii="Cambria" w:hAnsi="Cambria"/>
          <w:sz w:val="20"/>
          <w:szCs w:val="20"/>
          <w:lang w:eastAsia="en-US"/>
        </w:rPr>
      </w:pPr>
      <w:r w:rsidRPr="00EB4BAB">
        <w:rPr>
          <w:rFonts w:ascii="Cambria" w:hAnsi="Cambria"/>
          <w:sz w:val="20"/>
          <w:szCs w:val="20"/>
        </w:rPr>
        <w:t>En vista de los elementos de hecho y de derecho presentados</w:t>
      </w:r>
      <w:r w:rsidR="00225597" w:rsidRPr="00EB4BAB">
        <w:rPr>
          <w:rFonts w:ascii="Cambria" w:hAnsi="Cambria"/>
          <w:sz w:val="20"/>
          <w:szCs w:val="20"/>
        </w:rPr>
        <w:t xml:space="preserve"> por las partes</w:t>
      </w:r>
      <w:r w:rsidRPr="00EB4BAB">
        <w:rPr>
          <w:rFonts w:ascii="Cambria" w:hAnsi="Cambria"/>
          <w:sz w:val="20"/>
          <w:szCs w:val="20"/>
        </w:rPr>
        <w:t xml:space="preserve"> y la naturaleza del asunto puesto bajo su conocimiento, la CIDH considera que, de ser probad</w:t>
      </w:r>
      <w:r w:rsidR="000B7E18" w:rsidRPr="00EB4BAB">
        <w:rPr>
          <w:rFonts w:ascii="Cambria" w:hAnsi="Cambria"/>
          <w:sz w:val="20"/>
          <w:szCs w:val="20"/>
        </w:rPr>
        <w:t>o</w:t>
      </w:r>
      <w:r w:rsidRPr="00EB4BAB">
        <w:rPr>
          <w:rFonts w:ascii="Cambria" w:hAnsi="Cambria"/>
          <w:sz w:val="20"/>
          <w:szCs w:val="20"/>
        </w:rPr>
        <w:t>s</w:t>
      </w:r>
      <w:r w:rsidR="000B7E18" w:rsidRPr="00EB4BAB">
        <w:rPr>
          <w:rFonts w:ascii="Cambria" w:hAnsi="Cambria"/>
          <w:sz w:val="20"/>
          <w:szCs w:val="20"/>
        </w:rPr>
        <w:t xml:space="preserve">, </w:t>
      </w:r>
      <w:r w:rsidRPr="00EB4BAB">
        <w:rPr>
          <w:rFonts w:ascii="Cambria" w:hAnsi="Cambria"/>
          <w:sz w:val="20"/>
          <w:szCs w:val="20"/>
        </w:rPr>
        <w:t>los hechos</w:t>
      </w:r>
      <w:r w:rsidR="000B7E18" w:rsidRPr="00EB4BAB">
        <w:rPr>
          <w:rFonts w:ascii="Cambria" w:hAnsi="Cambria"/>
          <w:sz w:val="20"/>
          <w:szCs w:val="20"/>
        </w:rPr>
        <w:t xml:space="preserve"> alegados</w:t>
      </w:r>
      <w:r w:rsidRPr="00EB4BAB">
        <w:rPr>
          <w:rFonts w:ascii="Cambria" w:hAnsi="Cambria"/>
          <w:sz w:val="20"/>
          <w:szCs w:val="20"/>
        </w:rPr>
        <w:t xml:space="preserve"> podrían caracterizar violaciones a los artículos </w:t>
      </w:r>
      <w:r w:rsidRPr="00EB4BAB">
        <w:rPr>
          <w:rFonts w:asciiTheme="majorHAnsi" w:hAnsiTheme="majorHAnsi"/>
          <w:sz w:val="20"/>
          <w:szCs w:val="20"/>
          <w:lang w:val="es-AR"/>
        </w:rPr>
        <w:t>8</w:t>
      </w:r>
      <w:r w:rsidR="00FC6975" w:rsidRPr="00EB4BAB">
        <w:rPr>
          <w:rFonts w:asciiTheme="majorHAnsi" w:hAnsiTheme="majorHAnsi"/>
          <w:sz w:val="20"/>
          <w:szCs w:val="20"/>
          <w:lang w:val="es-AR"/>
        </w:rPr>
        <w:t xml:space="preserve"> </w:t>
      </w:r>
      <w:r w:rsidR="00FC6975" w:rsidRPr="00EB4BAB">
        <w:rPr>
          <w:rFonts w:asciiTheme="majorHAnsi" w:hAnsiTheme="majorHAnsi"/>
          <w:bCs/>
          <w:sz w:val="20"/>
          <w:szCs w:val="20"/>
          <w:lang w:val="es-CO"/>
        </w:rPr>
        <w:t>(garantías judiciales)</w:t>
      </w:r>
      <w:r w:rsidRPr="00EB4BAB">
        <w:rPr>
          <w:rFonts w:asciiTheme="majorHAnsi" w:hAnsiTheme="majorHAnsi"/>
          <w:sz w:val="20"/>
          <w:szCs w:val="20"/>
          <w:lang w:val="es-AR"/>
        </w:rPr>
        <w:t>, 21</w:t>
      </w:r>
      <w:r w:rsidR="00FC6975" w:rsidRPr="00EB4BAB">
        <w:rPr>
          <w:rFonts w:asciiTheme="majorHAnsi" w:hAnsiTheme="majorHAnsi"/>
          <w:sz w:val="20"/>
          <w:szCs w:val="20"/>
          <w:lang w:val="es-AR"/>
        </w:rPr>
        <w:t xml:space="preserve"> </w:t>
      </w:r>
      <w:r w:rsidR="00FC6975" w:rsidRPr="00EB4BAB">
        <w:rPr>
          <w:rFonts w:asciiTheme="majorHAnsi" w:hAnsiTheme="majorHAnsi"/>
          <w:bCs/>
          <w:sz w:val="20"/>
          <w:szCs w:val="20"/>
          <w:lang w:val="es-CO"/>
        </w:rPr>
        <w:t>(propiedad)</w:t>
      </w:r>
      <w:r w:rsidRPr="00EB4BAB">
        <w:rPr>
          <w:rFonts w:asciiTheme="majorHAnsi" w:hAnsiTheme="majorHAnsi"/>
          <w:sz w:val="20"/>
          <w:szCs w:val="20"/>
          <w:lang w:val="es-AR"/>
        </w:rPr>
        <w:t xml:space="preserve">, 24 </w:t>
      </w:r>
      <w:r w:rsidR="00FC6975" w:rsidRPr="00EB4BAB">
        <w:rPr>
          <w:rFonts w:asciiTheme="majorHAnsi" w:hAnsiTheme="majorHAnsi"/>
          <w:bCs/>
          <w:sz w:val="20"/>
          <w:szCs w:val="20"/>
          <w:lang w:val="es-CO"/>
        </w:rPr>
        <w:t xml:space="preserve">(igualdad ante la ley) </w:t>
      </w:r>
      <w:r w:rsidRPr="00EB4BAB">
        <w:rPr>
          <w:rFonts w:asciiTheme="majorHAnsi" w:hAnsiTheme="majorHAnsi"/>
          <w:sz w:val="20"/>
          <w:szCs w:val="20"/>
          <w:lang w:val="es-AR"/>
        </w:rPr>
        <w:t xml:space="preserve">y 25 </w:t>
      </w:r>
      <w:r w:rsidR="00FC6975" w:rsidRPr="00EB4BAB">
        <w:rPr>
          <w:rFonts w:asciiTheme="majorHAnsi" w:hAnsiTheme="majorHAnsi"/>
          <w:bCs/>
          <w:sz w:val="20"/>
          <w:szCs w:val="20"/>
          <w:lang w:val="es-CO"/>
        </w:rPr>
        <w:t xml:space="preserve">(protección judicial) </w:t>
      </w:r>
      <w:r w:rsidRPr="00EB4BAB">
        <w:rPr>
          <w:rFonts w:asciiTheme="majorHAnsi" w:hAnsiTheme="majorHAnsi"/>
          <w:sz w:val="20"/>
          <w:szCs w:val="20"/>
          <w:lang w:val="es-AR"/>
        </w:rPr>
        <w:t>de la Convención Americana, en relación con su artículo 1.1</w:t>
      </w:r>
      <w:r w:rsidR="000B7E18" w:rsidRPr="00EB4BAB">
        <w:rPr>
          <w:rFonts w:asciiTheme="majorHAnsi" w:hAnsiTheme="majorHAnsi"/>
          <w:sz w:val="20"/>
          <w:szCs w:val="20"/>
          <w:lang w:val="es-AR"/>
        </w:rPr>
        <w:t xml:space="preserve"> </w:t>
      </w:r>
      <w:r w:rsidR="000A27E1" w:rsidRPr="00EB4BAB">
        <w:rPr>
          <w:rFonts w:ascii="Cambria" w:hAnsi="Cambria"/>
          <w:bCs/>
          <w:sz w:val="20"/>
          <w:szCs w:val="20"/>
          <w:lang w:val="es-CO"/>
        </w:rPr>
        <w:t xml:space="preserve"> </w:t>
      </w:r>
      <w:r w:rsidR="000A27E1" w:rsidRPr="00EB4BAB">
        <w:rPr>
          <w:rFonts w:ascii="Cambria" w:hAnsi="Cambria"/>
          <w:sz w:val="20"/>
          <w:szCs w:val="20"/>
        </w:rPr>
        <w:t xml:space="preserve">(obligación de respetar los derechos) </w:t>
      </w:r>
      <w:r w:rsidR="000B7E18" w:rsidRPr="00EB4BAB">
        <w:rPr>
          <w:rFonts w:asciiTheme="majorHAnsi" w:hAnsiTheme="majorHAnsi"/>
          <w:sz w:val="20"/>
          <w:szCs w:val="20"/>
          <w:lang w:val="es-AR"/>
        </w:rPr>
        <w:t xml:space="preserve">en perjuicio de las presuntas víctimas. </w:t>
      </w:r>
      <w:r w:rsidRPr="00EB4BAB">
        <w:rPr>
          <w:rFonts w:asciiTheme="majorHAnsi" w:hAnsiTheme="majorHAnsi"/>
          <w:sz w:val="20"/>
          <w:szCs w:val="20"/>
        </w:rPr>
        <w:t>La</w:t>
      </w:r>
      <w:r w:rsidR="00A47256" w:rsidRPr="00EB4BAB">
        <w:rPr>
          <w:rFonts w:asciiTheme="majorHAnsi" w:hAnsiTheme="majorHAnsi"/>
          <w:sz w:val="20"/>
          <w:szCs w:val="20"/>
          <w:lang w:val="es-CO"/>
        </w:rPr>
        <w:t xml:space="preserve"> Comisión </w:t>
      </w:r>
      <w:r w:rsidRPr="00EB4BAB">
        <w:rPr>
          <w:rFonts w:asciiTheme="majorHAnsi" w:hAnsiTheme="majorHAnsi"/>
          <w:sz w:val="20"/>
          <w:szCs w:val="20"/>
          <w:lang w:val="es-CO"/>
        </w:rPr>
        <w:t xml:space="preserve">recuerda que el </w:t>
      </w:r>
      <w:r w:rsidR="00573292" w:rsidRPr="00EB4BAB">
        <w:rPr>
          <w:rFonts w:asciiTheme="majorHAnsi" w:hAnsiTheme="majorHAnsi"/>
          <w:sz w:val="20"/>
          <w:szCs w:val="20"/>
          <w:lang w:val="es-CO"/>
        </w:rPr>
        <w:t xml:space="preserve">presente requisito constituye </w:t>
      </w:r>
      <w:r w:rsidR="00A47256" w:rsidRPr="00EB4BAB">
        <w:rPr>
          <w:rFonts w:asciiTheme="majorHAnsi" w:hAnsiTheme="majorHAnsi"/>
          <w:sz w:val="20"/>
          <w:szCs w:val="20"/>
          <w:lang w:val="es-CO"/>
        </w:rPr>
        <w:t xml:space="preserve">un análisis </w:t>
      </w:r>
      <w:r w:rsidR="00A47256" w:rsidRPr="00EB4BAB">
        <w:rPr>
          <w:rFonts w:asciiTheme="majorHAnsi" w:hAnsiTheme="majorHAnsi"/>
          <w:i/>
          <w:sz w:val="20"/>
          <w:szCs w:val="20"/>
          <w:lang w:val="es-CO"/>
        </w:rPr>
        <w:t>prima facie</w:t>
      </w:r>
      <w:r w:rsidR="00A47256" w:rsidRPr="00EB4BAB">
        <w:rPr>
          <w:rFonts w:asciiTheme="majorHAnsi" w:hAnsiTheme="majorHAnsi"/>
          <w:sz w:val="20"/>
          <w:szCs w:val="20"/>
          <w:lang w:val="es-CO"/>
        </w:rPr>
        <w:t xml:space="preserve"> </w:t>
      </w:r>
      <w:r w:rsidR="00573292" w:rsidRPr="00EB4BAB">
        <w:rPr>
          <w:rFonts w:asciiTheme="majorHAnsi" w:hAnsiTheme="majorHAnsi"/>
          <w:sz w:val="20"/>
          <w:szCs w:val="20"/>
          <w:lang w:val="es-CO"/>
        </w:rPr>
        <w:t xml:space="preserve">con el </w:t>
      </w:r>
      <w:r w:rsidR="00FC6975" w:rsidRPr="00EB4BAB">
        <w:rPr>
          <w:rFonts w:asciiTheme="majorHAnsi" w:hAnsiTheme="majorHAnsi"/>
          <w:sz w:val="20"/>
          <w:szCs w:val="20"/>
          <w:lang w:val="es-CO"/>
        </w:rPr>
        <w:t xml:space="preserve">único </w:t>
      </w:r>
      <w:r w:rsidR="00573292" w:rsidRPr="00EB4BAB">
        <w:rPr>
          <w:rFonts w:asciiTheme="majorHAnsi" w:hAnsiTheme="majorHAnsi"/>
          <w:sz w:val="20"/>
          <w:szCs w:val="20"/>
          <w:lang w:val="es-CO"/>
        </w:rPr>
        <w:t>objetivo de</w:t>
      </w:r>
      <w:r w:rsidR="00A47256" w:rsidRPr="00EB4BAB">
        <w:rPr>
          <w:rFonts w:asciiTheme="majorHAnsi" w:hAnsiTheme="majorHAnsi"/>
          <w:sz w:val="20"/>
          <w:szCs w:val="20"/>
          <w:lang w:val="es-CO"/>
        </w:rPr>
        <w:t xml:space="preserve"> determinar si los </w:t>
      </w:r>
      <w:r w:rsidR="00573292" w:rsidRPr="00EB4BAB">
        <w:rPr>
          <w:rFonts w:asciiTheme="majorHAnsi" w:hAnsiTheme="majorHAnsi"/>
          <w:sz w:val="20"/>
          <w:szCs w:val="20"/>
          <w:lang w:val="es-CO"/>
        </w:rPr>
        <w:t>hechos expuestos caracterizan una posible violación a los derechos consagrados en la Convención Americana u otros instrumentos aplicables, y que los mismos no resulten manifiestamente infundados o improcedentes.</w:t>
      </w:r>
      <w:r w:rsidR="00225597" w:rsidRPr="00EB4BAB">
        <w:rPr>
          <w:rFonts w:asciiTheme="majorHAnsi" w:hAnsiTheme="majorHAnsi"/>
          <w:sz w:val="20"/>
          <w:szCs w:val="20"/>
          <w:lang w:val="es-CO"/>
        </w:rPr>
        <w:t xml:space="preserve"> </w:t>
      </w:r>
      <w:r w:rsidR="00FC6975" w:rsidRPr="00EB4BAB">
        <w:rPr>
          <w:rFonts w:asciiTheme="majorHAnsi" w:hAnsiTheme="majorHAnsi"/>
          <w:sz w:val="20"/>
          <w:szCs w:val="20"/>
          <w:lang w:val="es-CO"/>
        </w:rPr>
        <w:t>En tal sentido</w:t>
      </w:r>
      <w:r w:rsidR="00225597" w:rsidRPr="00EB4BAB">
        <w:rPr>
          <w:rFonts w:asciiTheme="majorHAnsi" w:hAnsiTheme="majorHAnsi"/>
          <w:sz w:val="20"/>
          <w:szCs w:val="20"/>
          <w:lang w:val="es-CO"/>
        </w:rPr>
        <w:t xml:space="preserve">, la CIDH considera que </w:t>
      </w:r>
      <w:r w:rsidR="00FC6975" w:rsidRPr="00EB4BAB">
        <w:rPr>
          <w:rFonts w:asciiTheme="majorHAnsi" w:hAnsiTheme="majorHAnsi"/>
          <w:sz w:val="20"/>
          <w:szCs w:val="20"/>
          <w:lang w:val="es-CO"/>
        </w:rPr>
        <w:t xml:space="preserve">los hechos expuestos no resultan infundados ni improcedentes, </w:t>
      </w:r>
      <w:r w:rsidR="00733FD7" w:rsidRPr="00EB4BAB">
        <w:rPr>
          <w:rFonts w:asciiTheme="majorHAnsi" w:hAnsiTheme="majorHAnsi"/>
          <w:sz w:val="20"/>
          <w:szCs w:val="20"/>
          <w:lang w:val="es-CO"/>
        </w:rPr>
        <w:t xml:space="preserve">y que </w:t>
      </w:r>
      <w:r w:rsidR="00225597" w:rsidRPr="00EB4BAB">
        <w:rPr>
          <w:rFonts w:asciiTheme="majorHAnsi" w:hAnsiTheme="majorHAnsi"/>
          <w:sz w:val="20"/>
          <w:szCs w:val="20"/>
          <w:lang w:val="es-CO"/>
        </w:rPr>
        <w:t>deberá analizar en etapa de fondo los alegatos de los peticionarios relativos a</w:t>
      </w:r>
      <w:r w:rsidR="00FC6975" w:rsidRPr="00EB4BAB">
        <w:rPr>
          <w:rFonts w:asciiTheme="majorHAnsi" w:hAnsiTheme="majorHAnsi"/>
          <w:sz w:val="20"/>
          <w:szCs w:val="20"/>
          <w:lang w:val="es-CO"/>
        </w:rPr>
        <w:t xml:space="preserve"> supuestas afectaciones, entre otros, a sus garantías judiciales y protección judicial por</w:t>
      </w:r>
      <w:r w:rsidR="00225597" w:rsidRPr="00EB4BAB">
        <w:rPr>
          <w:rFonts w:asciiTheme="majorHAnsi" w:hAnsiTheme="majorHAnsi"/>
          <w:sz w:val="20"/>
          <w:szCs w:val="20"/>
          <w:lang w:val="es-CO"/>
        </w:rPr>
        <w:t xml:space="preserve"> la alegada aplicación de un régimen</w:t>
      </w:r>
      <w:r w:rsidR="00FC6975" w:rsidRPr="00EB4BAB">
        <w:rPr>
          <w:rFonts w:asciiTheme="majorHAnsi" w:hAnsiTheme="majorHAnsi"/>
          <w:sz w:val="20"/>
          <w:szCs w:val="20"/>
          <w:lang w:val="es-CO"/>
        </w:rPr>
        <w:t xml:space="preserve"> de pensión menos beneficioso al que les correspondía.</w:t>
      </w:r>
    </w:p>
    <w:p w14:paraId="09885E45" w14:textId="77777777" w:rsidR="003239B8" w:rsidRPr="00EB4BAB" w:rsidRDefault="003239B8" w:rsidP="003239B8">
      <w:pPr>
        <w:pStyle w:val="ListParagraph"/>
        <w:spacing w:before="240" w:after="240"/>
        <w:jc w:val="both"/>
        <w:rPr>
          <w:rFonts w:asciiTheme="majorHAnsi" w:hAnsiTheme="majorHAnsi"/>
          <w:b/>
          <w:bCs/>
          <w:sz w:val="20"/>
          <w:szCs w:val="20"/>
          <w:lang w:val="es-ES"/>
        </w:rPr>
      </w:pPr>
      <w:r w:rsidRPr="00EB4BAB">
        <w:rPr>
          <w:rFonts w:asciiTheme="majorHAnsi" w:hAnsiTheme="majorHAnsi"/>
          <w:b/>
          <w:bCs/>
          <w:sz w:val="20"/>
          <w:szCs w:val="20"/>
          <w:lang w:val="es-ES"/>
        </w:rPr>
        <w:t xml:space="preserve">VIII. </w:t>
      </w:r>
      <w:r w:rsidRPr="00EB4BAB">
        <w:rPr>
          <w:rFonts w:asciiTheme="majorHAnsi" w:hAnsiTheme="majorHAnsi"/>
          <w:b/>
          <w:bCs/>
          <w:sz w:val="20"/>
          <w:szCs w:val="20"/>
          <w:lang w:val="es-ES"/>
        </w:rPr>
        <w:tab/>
        <w:t>DECISIÓN</w:t>
      </w:r>
    </w:p>
    <w:p w14:paraId="4F9542D3" w14:textId="4421ADA4" w:rsidR="003239B8" w:rsidRPr="00EB4BAB"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B4BAB">
        <w:rPr>
          <w:rFonts w:asciiTheme="majorHAnsi" w:hAnsiTheme="majorHAnsi"/>
          <w:sz w:val="20"/>
          <w:szCs w:val="20"/>
          <w:lang w:val="es-ES"/>
        </w:rPr>
        <w:t xml:space="preserve">Declarar admisible la presente petición en relación con </w:t>
      </w:r>
      <w:r w:rsidR="00990899" w:rsidRPr="00EB4BAB">
        <w:rPr>
          <w:rFonts w:asciiTheme="majorHAnsi" w:hAnsiTheme="majorHAnsi"/>
          <w:sz w:val="20"/>
          <w:szCs w:val="20"/>
          <w:lang w:val="es-ES"/>
        </w:rPr>
        <w:t xml:space="preserve">los artículos </w:t>
      </w:r>
      <w:r w:rsidR="00990899" w:rsidRPr="00EB4BAB">
        <w:rPr>
          <w:rFonts w:asciiTheme="majorHAnsi" w:hAnsiTheme="majorHAnsi"/>
          <w:bCs/>
          <w:sz w:val="20"/>
          <w:szCs w:val="20"/>
          <w:lang w:val="es-CO"/>
        </w:rPr>
        <w:t>8, 21, 24 y 25 de la Convención Americana de Derechos Humanos</w:t>
      </w:r>
      <w:r w:rsidR="00D87E14" w:rsidRPr="00EB4BAB">
        <w:rPr>
          <w:rFonts w:asciiTheme="majorHAnsi" w:hAnsiTheme="majorHAnsi"/>
          <w:bCs/>
          <w:sz w:val="20"/>
          <w:szCs w:val="20"/>
          <w:lang w:val="es-CO"/>
        </w:rPr>
        <w:t>, en relación con su artículo 1.1</w:t>
      </w:r>
      <w:r w:rsidR="00A758AA" w:rsidRPr="00EB4BAB">
        <w:rPr>
          <w:rFonts w:asciiTheme="majorHAnsi" w:hAnsiTheme="majorHAnsi"/>
          <w:sz w:val="20"/>
          <w:szCs w:val="20"/>
          <w:lang w:val="es-ES"/>
        </w:rPr>
        <w:t>;</w:t>
      </w:r>
    </w:p>
    <w:p w14:paraId="2C31769D" w14:textId="77777777" w:rsidR="003239B8" w:rsidRPr="00EB4BAB"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B4BAB">
        <w:rPr>
          <w:rFonts w:asciiTheme="majorHAnsi" w:hAnsiTheme="majorHAnsi"/>
          <w:sz w:val="20"/>
          <w:szCs w:val="20"/>
          <w:lang w:val="es-ES"/>
        </w:rPr>
        <w:t>Notificar a las partes la presente decisión;</w:t>
      </w:r>
    </w:p>
    <w:p w14:paraId="00A03656" w14:textId="77777777" w:rsidR="003239B8" w:rsidRPr="00EB4BAB"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B4BAB">
        <w:rPr>
          <w:rFonts w:asciiTheme="majorHAnsi" w:hAnsiTheme="majorHAnsi"/>
          <w:sz w:val="20"/>
          <w:szCs w:val="20"/>
          <w:lang w:val="es-ES"/>
        </w:rPr>
        <w:t>Continuar con el análisis del fondo de la cuestión; y</w:t>
      </w:r>
    </w:p>
    <w:p w14:paraId="1D5137CB" w14:textId="77777777" w:rsidR="003239B8" w:rsidRPr="00EB4BAB"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B4BAB">
        <w:rPr>
          <w:rFonts w:asciiTheme="majorHAnsi" w:hAnsiTheme="majorHAnsi"/>
          <w:sz w:val="20"/>
          <w:szCs w:val="20"/>
          <w:lang w:val="es-ES"/>
        </w:rPr>
        <w:t>Publicar esta decisión e incluirla en su Informe Anual a la Asamblea General de la Organización de los Estados Americanos.</w:t>
      </w:r>
    </w:p>
    <w:p w14:paraId="3677365D" w14:textId="4CF27993" w:rsidR="00A93EDF" w:rsidRPr="00A37B82" w:rsidRDefault="00A93EDF" w:rsidP="00A93ED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electrónicamente por la Comisión</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8 días del mes de agosto</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(Firmado): </w:t>
      </w:r>
      <w:r w:rsidRPr="006C351B">
        <w:rPr>
          <w:rFonts w:asciiTheme="majorHAnsi" w:hAnsiTheme="majorHAnsi" w:cs="Arial"/>
          <w:noProof/>
          <w:spacing w:val="-2"/>
          <w:sz w:val="20"/>
          <w:szCs w:val="20"/>
          <w:lang w:val="es-CL"/>
        </w:rPr>
        <w:t>Francisco José Eguiguren, Presidente; Margarette May Macaulay, Primera Vicepresidenta; Esmeralda E. Arosemena Bernal de Troitiño, Segunda Vicepresidenta; José de Jesús Orozco Henríquez, Paul</w:t>
      </w:r>
      <w:r>
        <w:rPr>
          <w:rFonts w:asciiTheme="majorHAnsi" w:hAnsiTheme="majorHAnsi" w:cs="Arial"/>
          <w:noProof/>
          <w:spacing w:val="-2"/>
          <w:sz w:val="20"/>
          <w:szCs w:val="20"/>
          <w:lang w:val="es-CL"/>
        </w:rPr>
        <w:t>o Vannuchi, y James L. Cavallaro</w:t>
      </w:r>
      <w:r w:rsidRPr="006C351B">
        <w:rPr>
          <w:rFonts w:asciiTheme="majorHAnsi" w:hAnsiTheme="majorHAnsi" w:cs="Arial"/>
          <w:noProof/>
          <w:spacing w:val="-2"/>
          <w:sz w:val="20"/>
          <w:szCs w:val="20"/>
          <w:lang w:val="es-CL"/>
        </w:rPr>
        <w:t>, Miembros de la Comisión</w:t>
      </w:r>
      <w:r w:rsidRPr="00A37B82">
        <w:rPr>
          <w:rFonts w:asciiTheme="majorHAnsi" w:hAnsiTheme="majorHAnsi" w:cs="Arial"/>
          <w:noProof/>
          <w:spacing w:val="-2"/>
          <w:sz w:val="20"/>
          <w:szCs w:val="20"/>
          <w:lang w:val="es-CL"/>
        </w:rPr>
        <w:t>.</w:t>
      </w:r>
      <w:r w:rsidRPr="00A37B82">
        <w:rPr>
          <w:rFonts w:asciiTheme="majorHAnsi" w:hAnsiTheme="majorHAnsi" w:cs="Arial"/>
          <w:noProof/>
          <w:sz w:val="20"/>
          <w:szCs w:val="20"/>
          <w:lang w:val="es-CL"/>
        </w:rPr>
        <w:t xml:space="preserve"> </w:t>
      </w:r>
    </w:p>
    <w:p w14:paraId="166D5D70" w14:textId="77777777" w:rsidR="00A93EDF" w:rsidRPr="00A37B82" w:rsidRDefault="00A93EDF" w:rsidP="00A93EDF">
      <w:pPr>
        <w:suppressAutoHyphens/>
        <w:ind w:firstLine="720"/>
        <w:jc w:val="both"/>
        <w:rPr>
          <w:rFonts w:asciiTheme="majorHAnsi" w:hAnsiTheme="majorHAnsi" w:cs="Arial"/>
          <w:noProof/>
          <w:spacing w:val="-2"/>
          <w:sz w:val="20"/>
          <w:szCs w:val="20"/>
          <w:lang w:val="es-CL"/>
        </w:rPr>
      </w:pPr>
    </w:p>
    <w:p w14:paraId="768D179E" w14:textId="46829E82" w:rsidR="00722C9F" w:rsidRPr="00A93EDF" w:rsidRDefault="00722C9F" w:rsidP="00A93EDF">
      <w:pPr>
        <w:ind w:left="720" w:hanging="720"/>
        <w:jc w:val="center"/>
        <w:rPr>
          <w:rFonts w:asciiTheme="majorHAnsi" w:hAnsiTheme="majorHAnsi"/>
          <w:spacing w:val="-2"/>
          <w:sz w:val="20"/>
          <w:szCs w:val="20"/>
          <w:lang w:val="es-SV"/>
        </w:rPr>
      </w:pPr>
    </w:p>
    <w:sectPr w:rsidR="00722C9F" w:rsidRPr="00A93ED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40C5D" w14:textId="77777777" w:rsidR="004B4C2D" w:rsidRDefault="004B4C2D">
      <w:r>
        <w:separator/>
      </w:r>
    </w:p>
  </w:endnote>
  <w:endnote w:type="continuationSeparator" w:id="0">
    <w:p w14:paraId="5DBC92D6" w14:textId="77777777" w:rsidR="004B4C2D" w:rsidRDefault="004B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63228" w14:textId="77777777" w:rsidR="001151C9" w:rsidRDefault="00115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7F9221CB" w14:textId="39F56E9F"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151C9">
          <w:rPr>
            <w:noProof/>
            <w:sz w:val="16"/>
            <w:szCs w:val="22"/>
          </w:rPr>
          <w:t>1</w:t>
        </w:r>
        <w:r w:rsidRPr="00934A2C">
          <w:rPr>
            <w:noProof/>
            <w:sz w:val="16"/>
            <w:szCs w:val="22"/>
          </w:rPr>
          <w:fldChar w:fldCharType="end"/>
        </w:r>
      </w:p>
    </w:sdtContent>
  </w:sdt>
  <w:p w14:paraId="2427552B"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40768" w14:textId="77777777" w:rsidR="0070697F" w:rsidRPr="00934A2C" w:rsidRDefault="0070697F">
    <w:pPr>
      <w:pStyle w:val="Footer"/>
      <w:jc w:val="center"/>
      <w:rPr>
        <w:sz w:val="16"/>
        <w:szCs w:val="22"/>
      </w:rPr>
    </w:pPr>
  </w:p>
  <w:p w14:paraId="40CCD4B5"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A6E3A" w14:textId="77777777" w:rsidR="004B4C2D" w:rsidRPr="000F35ED" w:rsidRDefault="004B4C2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BCE945E" w14:textId="77777777" w:rsidR="004B4C2D" w:rsidRPr="000F35ED" w:rsidRDefault="004B4C2D" w:rsidP="000F35ED">
      <w:pPr>
        <w:rPr>
          <w:rFonts w:asciiTheme="majorHAnsi" w:hAnsiTheme="majorHAnsi"/>
          <w:sz w:val="16"/>
          <w:szCs w:val="16"/>
        </w:rPr>
      </w:pPr>
      <w:r w:rsidRPr="000F35ED">
        <w:rPr>
          <w:rFonts w:asciiTheme="majorHAnsi" w:hAnsiTheme="majorHAnsi"/>
          <w:sz w:val="16"/>
          <w:szCs w:val="16"/>
        </w:rPr>
        <w:separator/>
      </w:r>
    </w:p>
    <w:p w14:paraId="6F1ED926" w14:textId="77777777" w:rsidR="004B4C2D" w:rsidRPr="000F35ED" w:rsidRDefault="004B4C2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304B13C" w14:textId="77777777" w:rsidR="004B4C2D" w:rsidRPr="000F35ED" w:rsidRDefault="004B4C2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DA9C94E" w14:textId="41BD9116" w:rsidR="00636E73" w:rsidRPr="00EB4BAB" w:rsidRDefault="00636E73" w:rsidP="00636E73">
      <w:pPr>
        <w:pStyle w:val="FootnoteText"/>
        <w:spacing w:before="120"/>
        <w:ind w:firstLine="720"/>
        <w:jc w:val="both"/>
        <w:rPr>
          <w:lang w:val="es-ES"/>
        </w:rPr>
      </w:pPr>
      <w:r w:rsidRPr="00EB4BAB">
        <w:rPr>
          <w:rStyle w:val="FootnoteReference"/>
        </w:rPr>
        <w:footnoteRef/>
      </w:r>
      <w:r w:rsidRPr="00EB4BAB">
        <w:rPr>
          <w:lang w:val="es-ES"/>
        </w:rPr>
        <w:t xml:space="preserve"> </w:t>
      </w:r>
      <w:r w:rsidRPr="00EB4BAB">
        <w:rPr>
          <w:rFonts w:asciiTheme="majorHAnsi" w:hAnsiTheme="majorHAnsi"/>
          <w:sz w:val="16"/>
          <w:szCs w:val="16"/>
          <w:lang w:val="es-MX"/>
        </w:rPr>
        <w:t xml:space="preserve">Conforme </w:t>
      </w:r>
      <w:r w:rsidRPr="00EB4BAB">
        <w:rPr>
          <w:rFonts w:asciiTheme="majorHAnsi" w:hAnsiTheme="majorHAnsi" w:cs="Arial"/>
          <w:sz w:val="16"/>
          <w:szCs w:val="16"/>
          <w:lang w:val="es-ES"/>
        </w:rPr>
        <w:t>a lo dispuesto en el artículo 17.2.a del Reglamento de la Comisión, el Comisionado Luis Ernesto Vargas Silva, de nacionalidad colombiana, no participó en el debate ni en la decisión del presente asunto.</w:t>
      </w:r>
    </w:p>
  </w:footnote>
  <w:footnote w:id="3">
    <w:p w14:paraId="14E0D1F9" w14:textId="77777777" w:rsidR="0074011C" w:rsidRPr="00EB4BAB" w:rsidRDefault="0074011C" w:rsidP="00636E73">
      <w:pPr>
        <w:pStyle w:val="FootnoteText"/>
        <w:spacing w:before="120"/>
        <w:ind w:firstLine="720"/>
        <w:rPr>
          <w:lang w:val="es-CO"/>
        </w:rPr>
      </w:pPr>
      <w:r w:rsidRPr="00EB4BAB">
        <w:rPr>
          <w:rStyle w:val="FootnoteReference"/>
        </w:rPr>
        <w:footnoteRef/>
      </w:r>
      <w:r w:rsidRPr="00EB4BAB">
        <w:rPr>
          <w:lang w:val="es-CO"/>
        </w:rPr>
        <w:t xml:space="preserve"> </w:t>
      </w:r>
      <w:r w:rsidRPr="00EB4BAB">
        <w:rPr>
          <w:rFonts w:ascii="Cambria" w:hAnsi="Cambria"/>
          <w:sz w:val="16"/>
          <w:szCs w:val="16"/>
          <w:lang w:val="es-ES"/>
        </w:rPr>
        <w:t>En Adelante “Convención” o “Convención Americana”.</w:t>
      </w:r>
    </w:p>
  </w:footnote>
  <w:footnote w:id="4">
    <w:p w14:paraId="5D13631B" w14:textId="77777777" w:rsidR="006C1364" w:rsidRPr="00EB4BAB" w:rsidRDefault="006C1364" w:rsidP="00636E73">
      <w:pPr>
        <w:pStyle w:val="FootnoteText"/>
        <w:spacing w:before="120"/>
        <w:ind w:firstLine="720"/>
        <w:rPr>
          <w:lang w:val="es-CO"/>
        </w:rPr>
      </w:pPr>
      <w:r w:rsidRPr="00EB4BAB">
        <w:rPr>
          <w:rStyle w:val="FootnoteReference"/>
        </w:rPr>
        <w:footnoteRef/>
      </w:r>
      <w:r w:rsidRPr="00EB4BAB">
        <w:rPr>
          <w:lang w:val="es-CO"/>
        </w:rPr>
        <w:t xml:space="preserve"> </w:t>
      </w:r>
      <w:r w:rsidRPr="00EB4BAB">
        <w:rPr>
          <w:rFonts w:ascii="Cambria" w:hAnsi="Cambria"/>
          <w:sz w:val="16"/>
          <w:szCs w:val="16"/>
          <w:lang w:val="es-ES"/>
        </w:rPr>
        <w:t>Todas las observaciones fueron debidamente trasladadas a la parte contraria.</w:t>
      </w:r>
    </w:p>
  </w:footnote>
  <w:footnote w:id="5">
    <w:p w14:paraId="0F69347B" w14:textId="77777777" w:rsidR="00407B5F" w:rsidRPr="00990899" w:rsidRDefault="00407B5F" w:rsidP="00636E73">
      <w:pPr>
        <w:pStyle w:val="FootnoteText"/>
        <w:spacing w:before="120"/>
        <w:ind w:firstLine="720"/>
        <w:rPr>
          <w:lang w:val="es-CO"/>
        </w:rPr>
      </w:pPr>
      <w:r w:rsidRPr="00EB4BAB">
        <w:rPr>
          <w:rStyle w:val="FootnoteReference"/>
          <w:rFonts w:ascii="Cambria" w:hAnsi="Cambria"/>
          <w:sz w:val="16"/>
          <w:szCs w:val="16"/>
        </w:rPr>
        <w:footnoteRef/>
      </w:r>
      <w:r w:rsidRPr="00EB4BAB">
        <w:rPr>
          <w:rStyle w:val="FootnoteReference"/>
          <w:rFonts w:ascii="Cambria" w:hAnsi="Cambria"/>
          <w:sz w:val="16"/>
          <w:szCs w:val="16"/>
          <w:lang w:val="es-CO"/>
        </w:rPr>
        <w:t xml:space="preserve"> </w:t>
      </w:r>
      <w:r w:rsidRPr="00EB4BAB">
        <w:rPr>
          <w:rFonts w:ascii="Cambria" w:hAnsi="Cambria" w:cs="Arial"/>
          <w:color w:val="auto"/>
          <w:sz w:val="16"/>
          <w:szCs w:val="16"/>
          <w:lang w:val="es-ES"/>
        </w:rPr>
        <w:t>El 10 de febrero de 2016 los peticionarios remitieron comunicaciones actualizando los datos de contacto.</w:t>
      </w:r>
      <w:r w:rsidRPr="00990899">
        <w:rPr>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A2368"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9D2B0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6AA44"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E30D21B" wp14:editId="71F932C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30EB0AC" w14:textId="77777777" w:rsidR="00040C3A" w:rsidRPr="00EC7D62" w:rsidRDefault="004B4C2D" w:rsidP="00A50FCF">
    <w:pPr>
      <w:pStyle w:val="Header"/>
      <w:tabs>
        <w:tab w:val="clear" w:pos="4320"/>
        <w:tab w:val="clear" w:pos="8640"/>
      </w:tabs>
      <w:jc w:val="center"/>
      <w:rPr>
        <w:sz w:val="22"/>
        <w:szCs w:val="22"/>
      </w:rPr>
    </w:pPr>
    <w:r>
      <w:rPr>
        <w:sz w:val="22"/>
        <w:szCs w:val="22"/>
      </w:rPr>
      <w:pict w14:anchorId="001E7F8D">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11F43" w14:textId="77777777" w:rsidR="001151C9" w:rsidRDefault="00115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DCD2501"/>
    <w:multiLevelType w:val="hybridMultilevel"/>
    <w:tmpl w:val="BA7A669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E1D2261"/>
    <w:multiLevelType w:val="hybridMultilevel"/>
    <w:tmpl w:val="4CB67904"/>
    <w:lvl w:ilvl="0" w:tplc="C100B19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8867108"/>
    <w:multiLevelType w:val="hybridMultilevel"/>
    <w:tmpl w:val="06AC43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5"/>
  </w:num>
  <w:num w:numId="9">
    <w:abstractNumId w:val="53"/>
  </w:num>
  <w:num w:numId="10">
    <w:abstractNumId w:val="18"/>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11"/>
  </w:num>
  <w:num w:numId="60">
    <w:abstractNumId w:val="12"/>
  </w:num>
  <w:num w:numId="61">
    <w:abstractNumId w:val="13"/>
  </w:num>
  <w:num w:numId="62">
    <w:abstractNumId w:val="14"/>
  </w:num>
  <w:num w:numId="63">
    <w:abstractNumId w:val="15"/>
  </w:num>
  <w:num w:numId="64">
    <w:abstractNumId w:val="17"/>
  </w:num>
  <w:num w:numId="65">
    <w:abstractNumId w:val="18"/>
  </w:num>
  <w:num w:numId="66">
    <w:abstractNumId w:val="19"/>
  </w:num>
  <w:num w:numId="67">
    <w:abstractNumId w:val="20"/>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4"/>
  </w:num>
  <w:num w:numId="95">
    <w:abstractNumId w:val="46"/>
  </w:num>
  <w:num w:numId="96">
    <w:abstractNumId w:val="58"/>
  </w:num>
  <w:num w:numId="97">
    <w:abstractNumId w:val="55"/>
  </w:num>
  <w:num w:numId="98">
    <w:abstractNumId w:val="50"/>
  </w:num>
  <w:num w:numId="99">
    <w:abstractNumId w:val="41"/>
  </w:num>
  <w:num w:numId="100">
    <w:abstractNumId w:val="3"/>
  </w:num>
  <w:num w:numId="101">
    <w:abstractNumId w:val="29"/>
  </w:num>
  <w:num w:numId="102">
    <w:abstractNumId w:val="52"/>
  </w:num>
  <w:num w:numId="103">
    <w:abstractNumId w:val="7"/>
  </w:num>
  <w:num w:numId="104">
    <w:abstractNumId w:val="67"/>
  </w:num>
  <w:num w:numId="105">
    <w:abstractNumId w:val="56"/>
  </w:num>
  <w:num w:numId="106">
    <w:abstractNumId w:val="4"/>
  </w:num>
  <w:num w:numId="107">
    <w:abstractNumId w:val="33"/>
  </w:num>
  <w:num w:numId="108">
    <w:abstractNumId w:val="16"/>
  </w:num>
  <w:num w:numId="109">
    <w:abstractNumId w:val="48"/>
  </w:num>
  <w:num w:numId="110">
    <w:abstractNumId w:val="5"/>
  </w:num>
  <w:num w:numId="111">
    <w:abstractNumId w:val="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4091B"/>
    <w:rsid w:val="00040C3A"/>
    <w:rsid w:val="000419AD"/>
    <w:rsid w:val="00041FD3"/>
    <w:rsid w:val="0004734A"/>
    <w:rsid w:val="000716C5"/>
    <w:rsid w:val="00075E23"/>
    <w:rsid w:val="00075FDF"/>
    <w:rsid w:val="0009344A"/>
    <w:rsid w:val="000A27E1"/>
    <w:rsid w:val="000A392E"/>
    <w:rsid w:val="000A575F"/>
    <w:rsid w:val="000B7E18"/>
    <w:rsid w:val="000D10DB"/>
    <w:rsid w:val="000E2E1C"/>
    <w:rsid w:val="000E5EB5"/>
    <w:rsid w:val="000F35ED"/>
    <w:rsid w:val="000F5F84"/>
    <w:rsid w:val="001030FA"/>
    <w:rsid w:val="00104AFB"/>
    <w:rsid w:val="00105B1F"/>
    <w:rsid w:val="00107131"/>
    <w:rsid w:val="0010736F"/>
    <w:rsid w:val="0011340D"/>
    <w:rsid w:val="00113F73"/>
    <w:rsid w:val="001151C9"/>
    <w:rsid w:val="00121CC2"/>
    <w:rsid w:val="00133EE5"/>
    <w:rsid w:val="00167A34"/>
    <w:rsid w:val="001A7870"/>
    <w:rsid w:val="001C09DC"/>
    <w:rsid w:val="001C1B41"/>
    <w:rsid w:val="001D65EF"/>
    <w:rsid w:val="001F7201"/>
    <w:rsid w:val="00216C85"/>
    <w:rsid w:val="002250A3"/>
    <w:rsid w:val="00225597"/>
    <w:rsid w:val="00235217"/>
    <w:rsid w:val="00246D1F"/>
    <w:rsid w:val="00247403"/>
    <w:rsid w:val="00247542"/>
    <w:rsid w:val="00257A97"/>
    <w:rsid w:val="00266B61"/>
    <w:rsid w:val="0026712A"/>
    <w:rsid w:val="002704DB"/>
    <w:rsid w:val="00290E2E"/>
    <w:rsid w:val="002A0AAE"/>
    <w:rsid w:val="002A34E7"/>
    <w:rsid w:val="002A5820"/>
    <w:rsid w:val="002B543F"/>
    <w:rsid w:val="002D2B26"/>
    <w:rsid w:val="002D2CBD"/>
    <w:rsid w:val="002D7EA2"/>
    <w:rsid w:val="002E187C"/>
    <w:rsid w:val="00302733"/>
    <w:rsid w:val="00307116"/>
    <w:rsid w:val="00314078"/>
    <w:rsid w:val="0031535D"/>
    <w:rsid w:val="003239B8"/>
    <w:rsid w:val="00324DC8"/>
    <w:rsid w:val="0033169F"/>
    <w:rsid w:val="00346C95"/>
    <w:rsid w:val="00356185"/>
    <w:rsid w:val="00360380"/>
    <w:rsid w:val="0036236D"/>
    <w:rsid w:val="00374650"/>
    <w:rsid w:val="0037519E"/>
    <w:rsid w:val="00386CF0"/>
    <w:rsid w:val="003A269D"/>
    <w:rsid w:val="003B70FB"/>
    <w:rsid w:val="003C676B"/>
    <w:rsid w:val="003D3BC2"/>
    <w:rsid w:val="003E6CA1"/>
    <w:rsid w:val="00407B5F"/>
    <w:rsid w:val="004165C2"/>
    <w:rsid w:val="00420A5D"/>
    <w:rsid w:val="004215FB"/>
    <w:rsid w:val="00441ECB"/>
    <w:rsid w:val="00445193"/>
    <w:rsid w:val="00462C1B"/>
    <w:rsid w:val="00467B71"/>
    <w:rsid w:val="00467B7E"/>
    <w:rsid w:val="00470B2A"/>
    <w:rsid w:val="00472B4D"/>
    <w:rsid w:val="00473BB4"/>
    <w:rsid w:val="00477592"/>
    <w:rsid w:val="00482D6F"/>
    <w:rsid w:val="00486F1C"/>
    <w:rsid w:val="0049419D"/>
    <w:rsid w:val="004A1995"/>
    <w:rsid w:val="004B4608"/>
    <w:rsid w:val="004B4C2D"/>
    <w:rsid w:val="004C20D2"/>
    <w:rsid w:val="004C2106"/>
    <w:rsid w:val="004C4B62"/>
    <w:rsid w:val="004C54C9"/>
    <w:rsid w:val="004D4ABA"/>
    <w:rsid w:val="004D4C33"/>
    <w:rsid w:val="004D6025"/>
    <w:rsid w:val="004E2649"/>
    <w:rsid w:val="004F430B"/>
    <w:rsid w:val="00501399"/>
    <w:rsid w:val="00504668"/>
    <w:rsid w:val="0050633D"/>
    <w:rsid w:val="00507BC4"/>
    <w:rsid w:val="005128E4"/>
    <w:rsid w:val="005133DB"/>
    <w:rsid w:val="00520A1F"/>
    <w:rsid w:val="00525560"/>
    <w:rsid w:val="00544C49"/>
    <w:rsid w:val="00546C3F"/>
    <w:rsid w:val="005516A1"/>
    <w:rsid w:val="00563557"/>
    <w:rsid w:val="00573292"/>
    <w:rsid w:val="0057402A"/>
    <w:rsid w:val="005771D0"/>
    <w:rsid w:val="005817DB"/>
    <w:rsid w:val="00584435"/>
    <w:rsid w:val="0059191A"/>
    <w:rsid w:val="005921FF"/>
    <w:rsid w:val="00592BC8"/>
    <w:rsid w:val="005A24ED"/>
    <w:rsid w:val="005A6D0E"/>
    <w:rsid w:val="005B52B0"/>
    <w:rsid w:val="005B6806"/>
    <w:rsid w:val="005B73EB"/>
    <w:rsid w:val="005C4225"/>
    <w:rsid w:val="005F0DAD"/>
    <w:rsid w:val="005F0F33"/>
    <w:rsid w:val="00600DEB"/>
    <w:rsid w:val="0060195C"/>
    <w:rsid w:val="00627C9F"/>
    <w:rsid w:val="006311E9"/>
    <w:rsid w:val="006313DA"/>
    <w:rsid w:val="00632354"/>
    <w:rsid w:val="00636E73"/>
    <w:rsid w:val="00642810"/>
    <w:rsid w:val="0064451F"/>
    <w:rsid w:val="00652333"/>
    <w:rsid w:val="006608A2"/>
    <w:rsid w:val="0068009E"/>
    <w:rsid w:val="00692219"/>
    <w:rsid w:val="00697E86"/>
    <w:rsid w:val="006A17D2"/>
    <w:rsid w:val="006A73E6"/>
    <w:rsid w:val="006B2D5C"/>
    <w:rsid w:val="006B6944"/>
    <w:rsid w:val="006C1364"/>
    <w:rsid w:val="006C25F8"/>
    <w:rsid w:val="006C4EB1"/>
    <w:rsid w:val="006D042C"/>
    <w:rsid w:val="006E0166"/>
    <w:rsid w:val="006E7B34"/>
    <w:rsid w:val="006F0D2F"/>
    <w:rsid w:val="007061B7"/>
    <w:rsid w:val="0070697F"/>
    <w:rsid w:val="0072199C"/>
    <w:rsid w:val="007223C3"/>
    <w:rsid w:val="00722C9F"/>
    <w:rsid w:val="007253B8"/>
    <w:rsid w:val="00733FD7"/>
    <w:rsid w:val="007340BF"/>
    <w:rsid w:val="0073741F"/>
    <w:rsid w:val="0074011C"/>
    <w:rsid w:val="0075064F"/>
    <w:rsid w:val="0076643F"/>
    <w:rsid w:val="00777F63"/>
    <w:rsid w:val="007832C3"/>
    <w:rsid w:val="0079405A"/>
    <w:rsid w:val="007A5817"/>
    <w:rsid w:val="007B05C4"/>
    <w:rsid w:val="007B60E9"/>
    <w:rsid w:val="007B6CC3"/>
    <w:rsid w:val="007C3334"/>
    <w:rsid w:val="007C65EE"/>
    <w:rsid w:val="007D2B98"/>
    <w:rsid w:val="007E21BC"/>
    <w:rsid w:val="00803F1C"/>
    <w:rsid w:val="0080600E"/>
    <w:rsid w:val="00817612"/>
    <w:rsid w:val="008308EC"/>
    <w:rsid w:val="008338A4"/>
    <w:rsid w:val="00837C45"/>
    <w:rsid w:val="00844730"/>
    <w:rsid w:val="008457C2"/>
    <w:rsid w:val="00857A82"/>
    <w:rsid w:val="00873836"/>
    <w:rsid w:val="00875D22"/>
    <w:rsid w:val="00885737"/>
    <w:rsid w:val="00890650"/>
    <w:rsid w:val="00897E12"/>
    <w:rsid w:val="008A5DE5"/>
    <w:rsid w:val="008A7E0F"/>
    <w:rsid w:val="008B12F5"/>
    <w:rsid w:val="008D768D"/>
    <w:rsid w:val="008D7E5B"/>
    <w:rsid w:val="008E2AE8"/>
    <w:rsid w:val="008E3759"/>
    <w:rsid w:val="008F1912"/>
    <w:rsid w:val="0090270B"/>
    <w:rsid w:val="009041DC"/>
    <w:rsid w:val="00904E5A"/>
    <w:rsid w:val="00917B5A"/>
    <w:rsid w:val="00920A58"/>
    <w:rsid w:val="00920A8C"/>
    <w:rsid w:val="00934A2C"/>
    <w:rsid w:val="0096706E"/>
    <w:rsid w:val="0097373C"/>
    <w:rsid w:val="00974491"/>
    <w:rsid w:val="00975C4E"/>
    <w:rsid w:val="00981FBA"/>
    <w:rsid w:val="00982A5C"/>
    <w:rsid w:val="00990899"/>
    <w:rsid w:val="00997BC5"/>
    <w:rsid w:val="009A4F41"/>
    <w:rsid w:val="009B381B"/>
    <w:rsid w:val="009B4E7D"/>
    <w:rsid w:val="009C3B67"/>
    <w:rsid w:val="009D1753"/>
    <w:rsid w:val="009D4B96"/>
    <w:rsid w:val="009D7611"/>
    <w:rsid w:val="009E0B61"/>
    <w:rsid w:val="009E53DE"/>
    <w:rsid w:val="00A11E44"/>
    <w:rsid w:val="00A328B3"/>
    <w:rsid w:val="00A47256"/>
    <w:rsid w:val="00A50FCF"/>
    <w:rsid w:val="00A528D1"/>
    <w:rsid w:val="00A610CD"/>
    <w:rsid w:val="00A758AA"/>
    <w:rsid w:val="00A772DD"/>
    <w:rsid w:val="00A8515A"/>
    <w:rsid w:val="00A85B48"/>
    <w:rsid w:val="00A93EDF"/>
    <w:rsid w:val="00AA09A2"/>
    <w:rsid w:val="00AA539B"/>
    <w:rsid w:val="00AA7996"/>
    <w:rsid w:val="00AB712D"/>
    <w:rsid w:val="00AC1748"/>
    <w:rsid w:val="00AC19CB"/>
    <w:rsid w:val="00AD2075"/>
    <w:rsid w:val="00AE5488"/>
    <w:rsid w:val="00AE6F91"/>
    <w:rsid w:val="00AF2A28"/>
    <w:rsid w:val="00AF5571"/>
    <w:rsid w:val="00B07341"/>
    <w:rsid w:val="00B152C0"/>
    <w:rsid w:val="00B30539"/>
    <w:rsid w:val="00B314DB"/>
    <w:rsid w:val="00B361F2"/>
    <w:rsid w:val="00B3718B"/>
    <w:rsid w:val="00B4632A"/>
    <w:rsid w:val="00B530F1"/>
    <w:rsid w:val="00B60179"/>
    <w:rsid w:val="00B62DC7"/>
    <w:rsid w:val="00BA276C"/>
    <w:rsid w:val="00BB306F"/>
    <w:rsid w:val="00BD25C3"/>
    <w:rsid w:val="00BD420F"/>
    <w:rsid w:val="00BD4B89"/>
    <w:rsid w:val="00BF02CB"/>
    <w:rsid w:val="00BF6FD8"/>
    <w:rsid w:val="00C03680"/>
    <w:rsid w:val="00C054DF"/>
    <w:rsid w:val="00C1030F"/>
    <w:rsid w:val="00C21762"/>
    <w:rsid w:val="00C21FEF"/>
    <w:rsid w:val="00C2328B"/>
    <w:rsid w:val="00C24543"/>
    <w:rsid w:val="00C256A2"/>
    <w:rsid w:val="00C37401"/>
    <w:rsid w:val="00C37CD4"/>
    <w:rsid w:val="00C51515"/>
    <w:rsid w:val="00C5660B"/>
    <w:rsid w:val="00C66B72"/>
    <w:rsid w:val="00C77EAF"/>
    <w:rsid w:val="00C86163"/>
    <w:rsid w:val="00C9567A"/>
    <w:rsid w:val="00CA1028"/>
    <w:rsid w:val="00CB212D"/>
    <w:rsid w:val="00CB2660"/>
    <w:rsid w:val="00CB61C9"/>
    <w:rsid w:val="00CC183B"/>
    <w:rsid w:val="00CC5E90"/>
    <w:rsid w:val="00CD046C"/>
    <w:rsid w:val="00CE076C"/>
    <w:rsid w:val="00CE5199"/>
    <w:rsid w:val="00CE66D5"/>
    <w:rsid w:val="00CF637A"/>
    <w:rsid w:val="00D059DE"/>
    <w:rsid w:val="00D13FCE"/>
    <w:rsid w:val="00D306D1"/>
    <w:rsid w:val="00D30800"/>
    <w:rsid w:val="00D34786"/>
    <w:rsid w:val="00D37BFC"/>
    <w:rsid w:val="00D47A8E"/>
    <w:rsid w:val="00D52D14"/>
    <w:rsid w:val="00D6093B"/>
    <w:rsid w:val="00D712D3"/>
    <w:rsid w:val="00D71422"/>
    <w:rsid w:val="00D72DC6"/>
    <w:rsid w:val="00D7558D"/>
    <w:rsid w:val="00D81D92"/>
    <w:rsid w:val="00D87C5F"/>
    <w:rsid w:val="00D87E14"/>
    <w:rsid w:val="00DA7B5F"/>
    <w:rsid w:val="00DB0D06"/>
    <w:rsid w:val="00DB7D46"/>
    <w:rsid w:val="00DC11E7"/>
    <w:rsid w:val="00DC6BCF"/>
    <w:rsid w:val="00DC7023"/>
    <w:rsid w:val="00DC769A"/>
    <w:rsid w:val="00DD3D86"/>
    <w:rsid w:val="00DE5E4E"/>
    <w:rsid w:val="00DF1EC4"/>
    <w:rsid w:val="00DF3284"/>
    <w:rsid w:val="00E02459"/>
    <w:rsid w:val="00E0340B"/>
    <w:rsid w:val="00E04A90"/>
    <w:rsid w:val="00E0551F"/>
    <w:rsid w:val="00E15C62"/>
    <w:rsid w:val="00E169EA"/>
    <w:rsid w:val="00E219C7"/>
    <w:rsid w:val="00E43157"/>
    <w:rsid w:val="00E461CE"/>
    <w:rsid w:val="00E46989"/>
    <w:rsid w:val="00E53589"/>
    <w:rsid w:val="00E720CA"/>
    <w:rsid w:val="00E84EB5"/>
    <w:rsid w:val="00E85662"/>
    <w:rsid w:val="00E859EF"/>
    <w:rsid w:val="00E8789F"/>
    <w:rsid w:val="00E903B0"/>
    <w:rsid w:val="00E97B71"/>
    <w:rsid w:val="00EA3D34"/>
    <w:rsid w:val="00EB454D"/>
    <w:rsid w:val="00EB4BAB"/>
    <w:rsid w:val="00ED549D"/>
    <w:rsid w:val="00ED6B7C"/>
    <w:rsid w:val="00ED76BE"/>
    <w:rsid w:val="00EF619B"/>
    <w:rsid w:val="00F00B55"/>
    <w:rsid w:val="00F02AD1"/>
    <w:rsid w:val="00F2325A"/>
    <w:rsid w:val="00F253CC"/>
    <w:rsid w:val="00F37106"/>
    <w:rsid w:val="00F5140A"/>
    <w:rsid w:val="00F519CF"/>
    <w:rsid w:val="00F56BA5"/>
    <w:rsid w:val="00F60E22"/>
    <w:rsid w:val="00F81395"/>
    <w:rsid w:val="00F81BB8"/>
    <w:rsid w:val="00F917D1"/>
    <w:rsid w:val="00F9653B"/>
    <w:rsid w:val="00FA15ED"/>
    <w:rsid w:val="00FB5076"/>
    <w:rsid w:val="00FB62CF"/>
    <w:rsid w:val="00FC6975"/>
    <w:rsid w:val="00FC7243"/>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2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08A2"/>
    <w:rPr>
      <w:color w:val="808080"/>
    </w:rPr>
  </w:style>
  <w:style w:type="paragraph" w:styleId="List">
    <w:name w:val="List"/>
    <w:basedOn w:val="Normal"/>
    <w:rsid w:val="00420A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CommentReference">
    <w:name w:val="annotation reference"/>
    <w:basedOn w:val="DefaultParagraphFont"/>
    <w:uiPriority w:val="99"/>
    <w:semiHidden/>
    <w:unhideWhenUsed/>
    <w:rsid w:val="00E169EA"/>
    <w:rPr>
      <w:sz w:val="16"/>
      <w:szCs w:val="16"/>
    </w:rPr>
  </w:style>
  <w:style w:type="paragraph" w:styleId="CommentText">
    <w:name w:val="annotation text"/>
    <w:basedOn w:val="Normal"/>
    <w:link w:val="CommentTextChar"/>
    <w:uiPriority w:val="99"/>
    <w:semiHidden/>
    <w:unhideWhenUsed/>
    <w:rsid w:val="00E169EA"/>
    <w:rPr>
      <w:sz w:val="20"/>
      <w:szCs w:val="20"/>
    </w:rPr>
  </w:style>
  <w:style w:type="character" w:customStyle="1" w:styleId="CommentTextChar">
    <w:name w:val="Comment Text Char"/>
    <w:basedOn w:val="DefaultParagraphFont"/>
    <w:link w:val="CommentText"/>
    <w:uiPriority w:val="99"/>
    <w:semiHidden/>
    <w:rsid w:val="00E169EA"/>
    <w:rPr>
      <w:lang w:val="en-US" w:eastAsia="en-US"/>
    </w:rPr>
  </w:style>
  <w:style w:type="paragraph" w:styleId="CommentSubject">
    <w:name w:val="annotation subject"/>
    <w:basedOn w:val="CommentText"/>
    <w:next w:val="CommentText"/>
    <w:link w:val="CommentSubjectChar"/>
    <w:uiPriority w:val="99"/>
    <w:semiHidden/>
    <w:unhideWhenUsed/>
    <w:rsid w:val="00E169EA"/>
    <w:rPr>
      <w:b/>
      <w:bCs/>
    </w:rPr>
  </w:style>
  <w:style w:type="character" w:customStyle="1" w:styleId="CommentSubjectChar">
    <w:name w:val="Comment Subject Char"/>
    <w:basedOn w:val="CommentTextChar"/>
    <w:link w:val="CommentSubject"/>
    <w:uiPriority w:val="99"/>
    <w:semiHidden/>
    <w:rsid w:val="00E169EA"/>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08A2"/>
    <w:rPr>
      <w:color w:val="808080"/>
    </w:rPr>
  </w:style>
  <w:style w:type="paragraph" w:styleId="List">
    <w:name w:val="List"/>
    <w:basedOn w:val="Normal"/>
    <w:rsid w:val="00420A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CommentReference">
    <w:name w:val="annotation reference"/>
    <w:basedOn w:val="DefaultParagraphFont"/>
    <w:uiPriority w:val="99"/>
    <w:semiHidden/>
    <w:unhideWhenUsed/>
    <w:rsid w:val="00E169EA"/>
    <w:rPr>
      <w:sz w:val="16"/>
      <w:szCs w:val="16"/>
    </w:rPr>
  </w:style>
  <w:style w:type="paragraph" w:styleId="CommentText">
    <w:name w:val="annotation text"/>
    <w:basedOn w:val="Normal"/>
    <w:link w:val="CommentTextChar"/>
    <w:uiPriority w:val="99"/>
    <w:semiHidden/>
    <w:unhideWhenUsed/>
    <w:rsid w:val="00E169EA"/>
    <w:rPr>
      <w:sz w:val="20"/>
      <w:szCs w:val="20"/>
    </w:rPr>
  </w:style>
  <w:style w:type="character" w:customStyle="1" w:styleId="CommentTextChar">
    <w:name w:val="Comment Text Char"/>
    <w:basedOn w:val="DefaultParagraphFont"/>
    <w:link w:val="CommentText"/>
    <w:uiPriority w:val="99"/>
    <w:semiHidden/>
    <w:rsid w:val="00E169EA"/>
    <w:rPr>
      <w:lang w:val="en-US" w:eastAsia="en-US"/>
    </w:rPr>
  </w:style>
  <w:style w:type="paragraph" w:styleId="CommentSubject">
    <w:name w:val="annotation subject"/>
    <w:basedOn w:val="CommentText"/>
    <w:next w:val="CommentText"/>
    <w:link w:val="CommentSubjectChar"/>
    <w:uiPriority w:val="99"/>
    <w:semiHidden/>
    <w:unhideWhenUsed/>
    <w:rsid w:val="00E169EA"/>
    <w:rPr>
      <w:b/>
      <w:bCs/>
    </w:rPr>
  </w:style>
  <w:style w:type="character" w:customStyle="1" w:styleId="CommentSubjectChar">
    <w:name w:val="Comment Subject Char"/>
    <w:basedOn w:val="CommentTextChar"/>
    <w:link w:val="CommentSubject"/>
    <w:uiPriority w:val="99"/>
    <w:semiHidden/>
    <w:rsid w:val="00E169E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1816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746D5"/>
    <w:rsid w:val="002A68AA"/>
    <w:rsid w:val="00386DB1"/>
    <w:rsid w:val="00394049"/>
    <w:rsid w:val="004378E7"/>
    <w:rsid w:val="004F2DF8"/>
    <w:rsid w:val="0061778E"/>
    <w:rsid w:val="00653BEC"/>
    <w:rsid w:val="007B6439"/>
    <w:rsid w:val="00852232"/>
    <w:rsid w:val="00962E10"/>
    <w:rsid w:val="009A261B"/>
    <w:rsid w:val="009A4460"/>
    <w:rsid w:val="00A33E09"/>
    <w:rsid w:val="00AC15A4"/>
    <w:rsid w:val="00BB2F3A"/>
    <w:rsid w:val="00BF44F0"/>
    <w:rsid w:val="00C353C5"/>
    <w:rsid w:val="00CE0372"/>
    <w:rsid w:val="00D35354"/>
    <w:rsid w:val="00E17E00"/>
    <w:rsid w:val="00F00D2F"/>
    <w:rsid w:val="00F7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8E7"/>
  </w:style>
  <w:style w:type="paragraph" w:customStyle="1" w:styleId="EF85E8F873F2494CB1B0EF413DA4B061">
    <w:name w:val="EF85E8F873F2494CB1B0EF413DA4B061"/>
    <w:rsid w:val="00394049"/>
  </w:style>
  <w:style w:type="paragraph" w:customStyle="1" w:styleId="99AF50BCDB104A0498A4DFC2044D524B">
    <w:name w:val="99AF50BCDB104A0498A4DFC2044D524B"/>
    <w:rsid w:val="00386DB1"/>
    <w:rPr>
      <w:lang w:val="es-CO" w:eastAsia="es-CO"/>
    </w:rPr>
  </w:style>
  <w:style w:type="paragraph" w:customStyle="1" w:styleId="48E0700C35364841A947D8C4D62EF708">
    <w:name w:val="48E0700C35364841A947D8C4D62EF708"/>
    <w:rsid w:val="00386DB1"/>
    <w:rPr>
      <w:lang w:val="es-CO" w:eastAsia="es-CO"/>
    </w:rPr>
  </w:style>
  <w:style w:type="paragraph" w:customStyle="1" w:styleId="2C0EA16555E1406BA1886829F1B798DC">
    <w:name w:val="2C0EA16555E1406BA1886829F1B798DC"/>
    <w:rsid w:val="00386DB1"/>
    <w:rPr>
      <w:lang w:val="es-CO" w:eastAsia="es-CO"/>
    </w:rPr>
  </w:style>
  <w:style w:type="paragraph" w:customStyle="1" w:styleId="571E36742C1F4F27A21076C09DD0692B">
    <w:name w:val="571E36742C1F4F27A21076C09DD0692B"/>
    <w:rsid w:val="00386DB1"/>
    <w:rPr>
      <w:lang w:val="es-CO" w:eastAsia="es-CO"/>
    </w:rPr>
  </w:style>
  <w:style w:type="paragraph" w:customStyle="1" w:styleId="CC16D1B94B5741918AC5FA7C7ECFFE05">
    <w:name w:val="CC16D1B94B5741918AC5FA7C7ECFFE05"/>
    <w:rsid w:val="00386DB1"/>
    <w:rPr>
      <w:lang w:val="es-CO" w:eastAsia="es-CO"/>
    </w:rPr>
  </w:style>
  <w:style w:type="paragraph" w:customStyle="1" w:styleId="EEBE6BA2A42B48BDB2019369EB7B04C2">
    <w:name w:val="EEBE6BA2A42B48BDB2019369EB7B04C2"/>
    <w:rsid w:val="00386DB1"/>
    <w:rPr>
      <w:lang w:val="es-CO" w:eastAsia="es-CO"/>
    </w:rPr>
  </w:style>
  <w:style w:type="paragraph" w:customStyle="1" w:styleId="D54C4B99EC924048A80EDC9102455140">
    <w:name w:val="D54C4B99EC924048A80EDC9102455140"/>
    <w:rsid w:val="00386DB1"/>
    <w:rPr>
      <w:lang w:val="es-CO" w:eastAsia="es-CO"/>
    </w:rPr>
  </w:style>
  <w:style w:type="paragraph" w:customStyle="1" w:styleId="816F536822EE4825B62657A59D133E5E">
    <w:name w:val="816F536822EE4825B62657A59D133E5E"/>
    <w:rsid w:val="00386DB1"/>
    <w:rPr>
      <w:lang w:val="es-CO" w:eastAsia="es-CO"/>
    </w:rPr>
  </w:style>
  <w:style w:type="paragraph" w:customStyle="1" w:styleId="BF8F6DBAB688418CBDCC87054D928AF9">
    <w:name w:val="BF8F6DBAB688418CBDCC87054D928AF9"/>
    <w:rsid w:val="00386DB1"/>
    <w:rPr>
      <w:lang w:val="es-CO" w:eastAsia="es-CO"/>
    </w:rPr>
  </w:style>
  <w:style w:type="paragraph" w:customStyle="1" w:styleId="2F4C60EBF6154D4B90A6657A63891A45">
    <w:name w:val="2F4C60EBF6154D4B90A6657A63891A45"/>
    <w:rsid w:val="00386DB1"/>
    <w:rPr>
      <w:lang w:val="es-CO" w:eastAsia="es-CO"/>
    </w:rPr>
  </w:style>
  <w:style w:type="paragraph" w:customStyle="1" w:styleId="5123F38C5D4A407EB17A1FC841F400C9">
    <w:name w:val="5123F38C5D4A407EB17A1FC841F400C9"/>
    <w:rsid w:val="00386DB1"/>
    <w:rPr>
      <w:lang w:val="es-CO" w:eastAsia="es-CO"/>
    </w:rPr>
  </w:style>
  <w:style w:type="paragraph" w:customStyle="1" w:styleId="6DD061186ED94591B4B5D718A061FFCC">
    <w:name w:val="6DD061186ED94591B4B5D718A061FFCC"/>
    <w:rsid w:val="004378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8E7"/>
  </w:style>
  <w:style w:type="paragraph" w:customStyle="1" w:styleId="EF85E8F873F2494CB1B0EF413DA4B061">
    <w:name w:val="EF85E8F873F2494CB1B0EF413DA4B061"/>
    <w:rsid w:val="00394049"/>
  </w:style>
  <w:style w:type="paragraph" w:customStyle="1" w:styleId="99AF50BCDB104A0498A4DFC2044D524B">
    <w:name w:val="99AF50BCDB104A0498A4DFC2044D524B"/>
    <w:rsid w:val="00386DB1"/>
    <w:rPr>
      <w:lang w:val="es-CO" w:eastAsia="es-CO"/>
    </w:rPr>
  </w:style>
  <w:style w:type="paragraph" w:customStyle="1" w:styleId="48E0700C35364841A947D8C4D62EF708">
    <w:name w:val="48E0700C35364841A947D8C4D62EF708"/>
    <w:rsid w:val="00386DB1"/>
    <w:rPr>
      <w:lang w:val="es-CO" w:eastAsia="es-CO"/>
    </w:rPr>
  </w:style>
  <w:style w:type="paragraph" w:customStyle="1" w:styleId="2C0EA16555E1406BA1886829F1B798DC">
    <w:name w:val="2C0EA16555E1406BA1886829F1B798DC"/>
    <w:rsid w:val="00386DB1"/>
    <w:rPr>
      <w:lang w:val="es-CO" w:eastAsia="es-CO"/>
    </w:rPr>
  </w:style>
  <w:style w:type="paragraph" w:customStyle="1" w:styleId="571E36742C1F4F27A21076C09DD0692B">
    <w:name w:val="571E36742C1F4F27A21076C09DD0692B"/>
    <w:rsid w:val="00386DB1"/>
    <w:rPr>
      <w:lang w:val="es-CO" w:eastAsia="es-CO"/>
    </w:rPr>
  </w:style>
  <w:style w:type="paragraph" w:customStyle="1" w:styleId="CC16D1B94B5741918AC5FA7C7ECFFE05">
    <w:name w:val="CC16D1B94B5741918AC5FA7C7ECFFE05"/>
    <w:rsid w:val="00386DB1"/>
    <w:rPr>
      <w:lang w:val="es-CO" w:eastAsia="es-CO"/>
    </w:rPr>
  </w:style>
  <w:style w:type="paragraph" w:customStyle="1" w:styleId="EEBE6BA2A42B48BDB2019369EB7B04C2">
    <w:name w:val="EEBE6BA2A42B48BDB2019369EB7B04C2"/>
    <w:rsid w:val="00386DB1"/>
    <w:rPr>
      <w:lang w:val="es-CO" w:eastAsia="es-CO"/>
    </w:rPr>
  </w:style>
  <w:style w:type="paragraph" w:customStyle="1" w:styleId="D54C4B99EC924048A80EDC9102455140">
    <w:name w:val="D54C4B99EC924048A80EDC9102455140"/>
    <w:rsid w:val="00386DB1"/>
    <w:rPr>
      <w:lang w:val="es-CO" w:eastAsia="es-CO"/>
    </w:rPr>
  </w:style>
  <w:style w:type="paragraph" w:customStyle="1" w:styleId="816F536822EE4825B62657A59D133E5E">
    <w:name w:val="816F536822EE4825B62657A59D133E5E"/>
    <w:rsid w:val="00386DB1"/>
    <w:rPr>
      <w:lang w:val="es-CO" w:eastAsia="es-CO"/>
    </w:rPr>
  </w:style>
  <w:style w:type="paragraph" w:customStyle="1" w:styleId="BF8F6DBAB688418CBDCC87054D928AF9">
    <w:name w:val="BF8F6DBAB688418CBDCC87054D928AF9"/>
    <w:rsid w:val="00386DB1"/>
    <w:rPr>
      <w:lang w:val="es-CO" w:eastAsia="es-CO"/>
    </w:rPr>
  </w:style>
  <w:style w:type="paragraph" w:customStyle="1" w:styleId="2F4C60EBF6154D4B90A6657A63891A45">
    <w:name w:val="2F4C60EBF6154D4B90A6657A63891A45"/>
    <w:rsid w:val="00386DB1"/>
    <w:rPr>
      <w:lang w:val="es-CO" w:eastAsia="es-CO"/>
    </w:rPr>
  </w:style>
  <w:style w:type="paragraph" w:customStyle="1" w:styleId="5123F38C5D4A407EB17A1FC841F400C9">
    <w:name w:val="5123F38C5D4A407EB17A1FC841F400C9"/>
    <w:rsid w:val="00386DB1"/>
    <w:rPr>
      <w:lang w:val="es-CO" w:eastAsia="es-CO"/>
    </w:rPr>
  </w:style>
  <w:style w:type="paragraph" w:customStyle="1" w:styleId="6DD061186ED94591B4B5D718A061FFCC">
    <w:name w:val="6DD061186ED94591B4B5D718A061FFCC"/>
    <w:rsid w:val="00437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703AA-3B33-42C8-A2D8-67C62BDD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2064</Words>
  <Characters>11126</Characters>
  <Application>Microsoft Office Word</Application>
  <DocSecurity>0</DocSecurity>
  <Lines>258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93/17</dc:title>
  <dc:creator/>
  <cp:lastModifiedBy/>
  <cp:revision>1</cp:revision>
  <dcterms:created xsi:type="dcterms:W3CDTF">2018-01-17T17:18:00Z</dcterms:created>
  <dcterms:modified xsi:type="dcterms:W3CDTF">2018-01-17T17:18:00Z</dcterms:modified>
</cp:coreProperties>
</file>