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9386C93" w14:textId="77777777" w:rsidR="00040C3A" w:rsidRPr="00636D7E" w:rsidRDefault="00D306D1" w:rsidP="00627C9F">
      <w:pPr>
        <w:jc w:val="both"/>
        <w:rPr>
          <w:rFonts w:asciiTheme="majorHAnsi" w:hAnsiTheme="majorHAnsi" w:cs="Univers"/>
          <w:b/>
          <w:bCs/>
          <w:sz w:val="22"/>
          <w:szCs w:val="22"/>
          <w:lang w:val="es-ES_tradnl"/>
        </w:rPr>
      </w:pPr>
      <w:r w:rsidRPr="00636D7E">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A83D2C1" wp14:editId="3E3906F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36D7E">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CCCE4D5" wp14:editId="4B73949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0D25B" w14:textId="77777777" w:rsidR="00E95692" w:rsidRDefault="00E95692" w:rsidP="00AE5488">
                            <w:r>
                              <w:rPr>
                                <w:noProof/>
                              </w:rPr>
                              <w:drawing>
                                <wp:inline distT="0" distB="0" distL="0" distR="0" wp14:anchorId="0C0804FF" wp14:editId="2AB46BA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1250D25B" w14:textId="77777777" w:rsidR="00E95692" w:rsidRDefault="00E95692" w:rsidP="00AE5488">
                      <w:r>
                        <w:rPr>
                          <w:noProof/>
                        </w:rPr>
                        <w:drawing>
                          <wp:inline distT="0" distB="0" distL="0" distR="0" wp14:anchorId="0C0804FF" wp14:editId="2AB46BA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4AA2F86" w14:textId="77777777" w:rsidR="00040C3A" w:rsidRPr="00636D7E" w:rsidRDefault="00040C3A" w:rsidP="00040C3A">
      <w:pPr>
        <w:tabs>
          <w:tab w:val="center" w:pos="5400"/>
        </w:tabs>
        <w:suppressAutoHyphens/>
        <w:jc w:val="both"/>
        <w:rPr>
          <w:rFonts w:asciiTheme="majorHAnsi" w:hAnsiTheme="majorHAnsi"/>
          <w:sz w:val="22"/>
          <w:szCs w:val="22"/>
          <w:lang w:val="es-ES"/>
        </w:rPr>
      </w:pPr>
    </w:p>
    <w:p w14:paraId="7FEE05A3" w14:textId="77777777" w:rsidR="00040C3A" w:rsidRPr="00636D7E" w:rsidRDefault="00040C3A" w:rsidP="00040C3A">
      <w:pPr>
        <w:tabs>
          <w:tab w:val="center" w:pos="5400"/>
        </w:tabs>
        <w:suppressAutoHyphens/>
        <w:jc w:val="both"/>
        <w:rPr>
          <w:rFonts w:asciiTheme="majorHAnsi" w:hAnsiTheme="majorHAnsi"/>
          <w:sz w:val="22"/>
          <w:szCs w:val="22"/>
          <w:lang w:val="es-ES"/>
        </w:rPr>
      </w:pPr>
    </w:p>
    <w:p w14:paraId="695B35E0" w14:textId="77777777" w:rsidR="005128E4" w:rsidRPr="00636D7E" w:rsidRDefault="005128E4" w:rsidP="00040C3A">
      <w:pPr>
        <w:tabs>
          <w:tab w:val="center" w:pos="5400"/>
        </w:tabs>
        <w:suppressAutoHyphens/>
        <w:rPr>
          <w:rFonts w:asciiTheme="majorHAnsi" w:hAnsiTheme="majorHAnsi"/>
          <w:sz w:val="22"/>
          <w:szCs w:val="22"/>
          <w:lang w:val="es-ES_tradnl"/>
        </w:rPr>
      </w:pPr>
    </w:p>
    <w:p w14:paraId="6B2EAF5C" w14:textId="2C927C3E" w:rsidR="005128E4" w:rsidRPr="00636D7E" w:rsidRDefault="005128E4" w:rsidP="00040C3A">
      <w:pPr>
        <w:tabs>
          <w:tab w:val="center" w:pos="5400"/>
        </w:tabs>
        <w:suppressAutoHyphens/>
        <w:rPr>
          <w:rFonts w:asciiTheme="majorHAnsi" w:hAnsiTheme="majorHAnsi"/>
          <w:sz w:val="22"/>
          <w:szCs w:val="22"/>
          <w:lang w:val="es-ES_tradnl"/>
        </w:rPr>
      </w:pPr>
    </w:p>
    <w:p w14:paraId="790A4638" w14:textId="77777777" w:rsidR="005128E4" w:rsidRPr="00636D7E" w:rsidRDefault="005128E4" w:rsidP="00040C3A">
      <w:pPr>
        <w:tabs>
          <w:tab w:val="center" w:pos="5400"/>
        </w:tabs>
        <w:suppressAutoHyphens/>
        <w:rPr>
          <w:rFonts w:asciiTheme="majorHAnsi" w:hAnsiTheme="majorHAnsi"/>
          <w:sz w:val="22"/>
          <w:szCs w:val="22"/>
          <w:lang w:val="es-ES_tradnl"/>
        </w:rPr>
      </w:pPr>
    </w:p>
    <w:p w14:paraId="1A34BE78" w14:textId="77777777" w:rsidR="00040C3A" w:rsidRPr="00636D7E" w:rsidRDefault="00040C3A" w:rsidP="005128E4">
      <w:pPr>
        <w:tabs>
          <w:tab w:val="center" w:pos="5400"/>
        </w:tabs>
        <w:suppressAutoHyphens/>
        <w:jc w:val="center"/>
        <w:rPr>
          <w:rFonts w:asciiTheme="majorHAnsi" w:hAnsiTheme="majorHAnsi"/>
          <w:sz w:val="22"/>
          <w:szCs w:val="22"/>
          <w:lang w:val="es-ES_tradnl"/>
        </w:rPr>
      </w:pPr>
    </w:p>
    <w:p w14:paraId="747BB943" w14:textId="77777777" w:rsidR="00040C3A" w:rsidRPr="00636D7E" w:rsidRDefault="00040C3A" w:rsidP="005128E4">
      <w:pPr>
        <w:tabs>
          <w:tab w:val="center" w:pos="5400"/>
        </w:tabs>
        <w:suppressAutoHyphens/>
        <w:jc w:val="center"/>
        <w:rPr>
          <w:rFonts w:asciiTheme="majorHAnsi" w:hAnsiTheme="majorHAnsi"/>
          <w:sz w:val="22"/>
          <w:szCs w:val="22"/>
          <w:lang w:val="es-ES_tradnl"/>
        </w:rPr>
      </w:pPr>
    </w:p>
    <w:p w14:paraId="497F3DF8" w14:textId="77777777" w:rsidR="005B52B0" w:rsidRPr="00636D7E" w:rsidRDefault="005B52B0" w:rsidP="005128E4">
      <w:pPr>
        <w:tabs>
          <w:tab w:val="center" w:pos="5400"/>
        </w:tabs>
        <w:suppressAutoHyphens/>
        <w:jc w:val="center"/>
        <w:rPr>
          <w:rFonts w:asciiTheme="majorHAnsi" w:hAnsiTheme="majorHAnsi"/>
          <w:sz w:val="22"/>
          <w:szCs w:val="22"/>
          <w:lang w:val="es-ES_tradnl"/>
        </w:rPr>
      </w:pPr>
    </w:p>
    <w:p w14:paraId="31792C09" w14:textId="77777777" w:rsidR="005B52B0" w:rsidRPr="00636D7E" w:rsidRDefault="005B52B0" w:rsidP="005128E4">
      <w:pPr>
        <w:tabs>
          <w:tab w:val="center" w:pos="5400"/>
        </w:tabs>
        <w:suppressAutoHyphens/>
        <w:jc w:val="center"/>
        <w:rPr>
          <w:rFonts w:asciiTheme="majorHAnsi" w:hAnsiTheme="majorHAnsi"/>
          <w:sz w:val="22"/>
          <w:szCs w:val="22"/>
          <w:lang w:val="es-ES_tradnl"/>
        </w:rPr>
      </w:pPr>
    </w:p>
    <w:p w14:paraId="109B200D" w14:textId="77777777" w:rsidR="005B52B0" w:rsidRPr="00636D7E" w:rsidRDefault="005B52B0" w:rsidP="005128E4">
      <w:pPr>
        <w:tabs>
          <w:tab w:val="center" w:pos="5400"/>
        </w:tabs>
        <w:suppressAutoHyphens/>
        <w:jc w:val="center"/>
        <w:rPr>
          <w:rFonts w:asciiTheme="majorHAnsi" w:hAnsiTheme="majorHAnsi"/>
          <w:sz w:val="22"/>
          <w:szCs w:val="22"/>
          <w:lang w:val="es-ES_tradnl"/>
        </w:rPr>
      </w:pPr>
    </w:p>
    <w:p w14:paraId="2A2950D7" w14:textId="77777777" w:rsidR="00040C3A" w:rsidRPr="00636D7E" w:rsidRDefault="00040C3A" w:rsidP="00040C3A">
      <w:pPr>
        <w:tabs>
          <w:tab w:val="center" w:pos="5400"/>
        </w:tabs>
        <w:suppressAutoHyphens/>
        <w:jc w:val="center"/>
        <w:rPr>
          <w:rFonts w:asciiTheme="majorHAnsi" w:hAnsiTheme="majorHAnsi"/>
          <w:sz w:val="22"/>
          <w:szCs w:val="22"/>
          <w:lang w:val="es-ES_tradnl"/>
        </w:rPr>
      </w:pPr>
    </w:p>
    <w:p w14:paraId="0E0F11D7" w14:textId="77777777" w:rsidR="00040C3A" w:rsidRPr="00636D7E" w:rsidRDefault="00040C3A" w:rsidP="00040C3A">
      <w:pPr>
        <w:tabs>
          <w:tab w:val="center" w:pos="5400"/>
        </w:tabs>
        <w:suppressAutoHyphens/>
        <w:jc w:val="center"/>
        <w:rPr>
          <w:rFonts w:asciiTheme="majorHAnsi" w:hAnsiTheme="majorHAnsi"/>
          <w:sz w:val="22"/>
          <w:szCs w:val="22"/>
          <w:lang w:val="es-ES_tradnl"/>
        </w:rPr>
      </w:pPr>
    </w:p>
    <w:p w14:paraId="732C0E63" w14:textId="77777777" w:rsidR="00040C3A" w:rsidRPr="00636D7E" w:rsidRDefault="003D3BC2" w:rsidP="00040C3A">
      <w:pPr>
        <w:tabs>
          <w:tab w:val="center" w:pos="5400"/>
        </w:tabs>
        <w:suppressAutoHyphens/>
        <w:jc w:val="center"/>
        <w:rPr>
          <w:rFonts w:asciiTheme="majorHAnsi" w:hAnsiTheme="majorHAnsi"/>
          <w:sz w:val="22"/>
          <w:szCs w:val="22"/>
          <w:lang w:val="es-ES_tradnl"/>
        </w:rPr>
      </w:pPr>
      <w:r w:rsidRPr="00636D7E">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C179309" wp14:editId="1F708CA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1754E" w14:textId="6D57FBC9" w:rsidR="00E95692" w:rsidRPr="004E2649" w:rsidRDefault="00E9569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905486">
                              <w:rPr>
                                <w:rFonts w:asciiTheme="majorHAnsi" w:hAnsiTheme="majorHAnsi" w:cs="Arial"/>
                                <w:b/>
                                <w:bCs/>
                                <w:color w:val="0D0D0D" w:themeColor="text1" w:themeTint="F2"/>
                                <w:sz w:val="36"/>
                                <w:szCs w:val="22"/>
                                <w:lang w:val="es-ES_tradnl"/>
                              </w:rPr>
                              <w:t xml:space="preserve"> 109</w:t>
                            </w:r>
                            <w:r>
                              <w:rPr>
                                <w:rFonts w:asciiTheme="majorHAnsi" w:hAnsiTheme="majorHAnsi" w:cs="Arial"/>
                                <w:b/>
                                <w:bCs/>
                                <w:color w:val="0D0D0D" w:themeColor="text1" w:themeTint="F2"/>
                                <w:sz w:val="36"/>
                                <w:szCs w:val="22"/>
                                <w:lang w:val="es-ES_tradnl"/>
                              </w:rPr>
                              <w:t>/1</w:t>
                            </w:r>
                            <w:r w:rsidR="00822B96">
                              <w:rPr>
                                <w:rFonts w:asciiTheme="majorHAnsi" w:hAnsiTheme="majorHAnsi" w:cs="Arial"/>
                                <w:b/>
                                <w:bCs/>
                                <w:color w:val="0D0D0D" w:themeColor="text1" w:themeTint="F2"/>
                                <w:sz w:val="36"/>
                                <w:szCs w:val="22"/>
                                <w:lang w:val="es-ES_tradnl"/>
                              </w:rPr>
                              <w:t>7</w:t>
                            </w:r>
                          </w:p>
                          <w:p w14:paraId="2B0DF9F1" w14:textId="77777777" w:rsidR="00E95692" w:rsidRDefault="00E9569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B21E3">
                              <w:rPr>
                                <w:rFonts w:asciiTheme="majorHAnsi" w:hAnsiTheme="majorHAnsi" w:cs="Arial"/>
                                <w:b/>
                                <w:color w:val="0D0D0D" w:themeColor="text1" w:themeTint="F2"/>
                                <w:sz w:val="36"/>
                                <w:szCs w:val="22"/>
                                <w:lang w:val="es-ES_tradnl"/>
                              </w:rPr>
                              <w:t>795</w:t>
                            </w:r>
                            <w:r w:rsidRPr="004E2649">
                              <w:rPr>
                                <w:rFonts w:asciiTheme="majorHAnsi" w:hAnsiTheme="majorHAnsi" w:cs="Arial"/>
                                <w:b/>
                                <w:color w:val="0D0D0D" w:themeColor="text1" w:themeTint="F2"/>
                                <w:sz w:val="36"/>
                                <w:szCs w:val="22"/>
                                <w:lang w:val="es-ES_tradnl"/>
                              </w:rPr>
                              <w:t>-</w:t>
                            </w:r>
                            <w:r w:rsidR="00EB21E3">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523A6CC3" w14:textId="77777777" w:rsidR="00E95692" w:rsidRPr="0010736F" w:rsidRDefault="00E95692"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bookmarkStart w:id="1" w:name="_ftnref1"/>
                          </w:p>
                          <w:p w14:paraId="2A948B92" w14:textId="77777777" w:rsidR="001204D9" w:rsidRDefault="001204D9" w:rsidP="00997BC5">
                            <w:pPr>
                              <w:spacing w:line="276" w:lineRule="auto"/>
                              <w:rPr>
                                <w:rFonts w:asciiTheme="majorHAnsi" w:hAnsiTheme="majorHAnsi" w:cs="Arial"/>
                                <w:bCs/>
                                <w:color w:val="0D0D0D" w:themeColor="text1" w:themeTint="F2"/>
                                <w:szCs w:val="22"/>
                                <w:lang w:val="es-MX"/>
                              </w:rPr>
                            </w:pPr>
                          </w:p>
                          <w:p w14:paraId="266B695B" w14:textId="77777777" w:rsidR="00E95692" w:rsidRPr="0010736F" w:rsidRDefault="00822B9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bCs/>
                                <w:color w:val="0D0D0D" w:themeColor="text1" w:themeTint="F2"/>
                                <w:szCs w:val="22"/>
                                <w:lang w:val="es-MX"/>
                              </w:rPr>
                              <w:t>ROSALÍA</w:t>
                            </w:r>
                            <w:r w:rsidR="00EB21E3" w:rsidRPr="00EB21E3">
                              <w:rPr>
                                <w:rFonts w:asciiTheme="majorHAnsi" w:hAnsiTheme="majorHAnsi" w:cs="Arial"/>
                                <w:bCs/>
                                <w:color w:val="0D0D0D" w:themeColor="text1" w:themeTint="F2"/>
                                <w:szCs w:val="22"/>
                                <w:lang w:val="es-MX"/>
                              </w:rPr>
                              <w:t xml:space="preserve"> BENAVIDES FRANCO Y OTROS</w:t>
                            </w:r>
                          </w:p>
                          <w:bookmarkEnd w:id="1"/>
                          <w:p w14:paraId="01B58CD9" w14:textId="77777777" w:rsidR="00E95692" w:rsidRPr="0010736F" w:rsidRDefault="00EB21E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2CE90A92" w14:textId="77777777" w:rsidR="00E95692" w:rsidRPr="00AE5488" w:rsidRDefault="00E95692"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751754E" w14:textId="6D57FBC9" w:rsidR="00E95692" w:rsidRPr="004E2649" w:rsidRDefault="00E9569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905486">
                        <w:rPr>
                          <w:rFonts w:asciiTheme="majorHAnsi" w:hAnsiTheme="majorHAnsi" w:cs="Arial"/>
                          <w:b/>
                          <w:bCs/>
                          <w:color w:val="0D0D0D" w:themeColor="text1" w:themeTint="F2"/>
                          <w:sz w:val="36"/>
                          <w:szCs w:val="22"/>
                          <w:lang w:val="es-ES_tradnl"/>
                        </w:rPr>
                        <w:t xml:space="preserve"> 109</w:t>
                      </w:r>
                      <w:r>
                        <w:rPr>
                          <w:rFonts w:asciiTheme="majorHAnsi" w:hAnsiTheme="majorHAnsi" w:cs="Arial"/>
                          <w:b/>
                          <w:bCs/>
                          <w:color w:val="0D0D0D" w:themeColor="text1" w:themeTint="F2"/>
                          <w:sz w:val="36"/>
                          <w:szCs w:val="22"/>
                          <w:lang w:val="es-ES_tradnl"/>
                        </w:rPr>
                        <w:t>/1</w:t>
                      </w:r>
                      <w:r w:rsidR="00822B96">
                        <w:rPr>
                          <w:rFonts w:asciiTheme="majorHAnsi" w:hAnsiTheme="majorHAnsi" w:cs="Arial"/>
                          <w:b/>
                          <w:bCs/>
                          <w:color w:val="0D0D0D" w:themeColor="text1" w:themeTint="F2"/>
                          <w:sz w:val="36"/>
                          <w:szCs w:val="22"/>
                          <w:lang w:val="es-ES_tradnl"/>
                        </w:rPr>
                        <w:t>7</w:t>
                      </w:r>
                    </w:p>
                    <w:p w14:paraId="2B0DF9F1" w14:textId="77777777" w:rsidR="00E95692" w:rsidRDefault="00E9569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B21E3">
                        <w:rPr>
                          <w:rFonts w:asciiTheme="majorHAnsi" w:hAnsiTheme="majorHAnsi" w:cs="Arial"/>
                          <w:b/>
                          <w:color w:val="0D0D0D" w:themeColor="text1" w:themeTint="F2"/>
                          <w:sz w:val="36"/>
                          <w:szCs w:val="22"/>
                          <w:lang w:val="es-ES_tradnl"/>
                        </w:rPr>
                        <w:t>795</w:t>
                      </w:r>
                      <w:r w:rsidRPr="004E2649">
                        <w:rPr>
                          <w:rFonts w:asciiTheme="majorHAnsi" w:hAnsiTheme="majorHAnsi" w:cs="Arial"/>
                          <w:b/>
                          <w:color w:val="0D0D0D" w:themeColor="text1" w:themeTint="F2"/>
                          <w:sz w:val="36"/>
                          <w:szCs w:val="22"/>
                          <w:lang w:val="es-ES_tradnl"/>
                        </w:rPr>
                        <w:t>-</w:t>
                      </w:r>
                      <w:r w:rsidR="00EB21E3">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523A6CC3" w14:textId="77777777" w:rsidR="00E95692" w:rsidRPr="0010736F" w:rsidRDefault="00E95692"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bookmarkStart w:id="1" w:name="_ftnref1"/>
                    </w:p>
                    <w:p w14:paraId="2A948B92" w14:textId="77777777" w:rsidR="001204D9" w:rsidRDefault="001204D9" w:rsidP="00997BC5">
                      <w:pPr>
                        <w:spacing w:line="276" w:lineRule="auto"/>
                        <w:rPr>
                          <w:rFonts w:asciiTheme="majorHAnsi" w:hAnsiTheme="majorHAnsi" w:cs="Arial"/>
                          <w:bCs/>
                          <w:color w:val="0D0D0D" w:themeColor="text1" w:themeTint="F2"/>
                          <w:szCs w:val="22"/>
                          <w:lang w:val="es-MX"/>
                        </w:rPr>
                      </w:pPr>
                    </w:p>
                    <w:p w14:paraId="266B695B" w14:textId="77777777" w:rsidR="00E95692" w:rsidRPr="0010736F" w:rsidRDefault="00822B9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bCs/>
                          <w:color w:val="0D0D0D" w:themeColor="text1" w:themeTint="F2"/>
                          <w:szCs w:val="22"/>
                          <w:lang w:val="es-MX"/>
                        </w:rPr>
                        <w:t>ROSALÍA</w:t>
                      </w:r>
                      <w:r w:rsidR="00EB21E3" w:rsidRPr="00EB21E3">
                        <w:rPr>
                          <w:rFonts w:asciiTheme="majorHAnsi" w:hAnsiTheme="majorHAnsi" w:cs="Arial"/>
                          <w:bCs/>
                          <w:color w:val="0D0D0D" w:themeColor="text1" w:themeTint="F2"/>
                          <w:szCs w:val="22"/>
                          <w:lang w:val="es-MX"/>
                        </w:rPr>
                        <w:t xml:space="preserve"> BENAVIDES FRANCO Y OTROS</w:t>
                      </w:r>
                    </w:p>
                    <w:bookmarkEnd w:id="1"/>
                    <w:p w14:paraId="01B58CD9" w14:textId="77777777" w:rsidR="00E95692" w:rsidRPr="0010736F" w:rsidRDefault="00EB21E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2CE90A92" w14:textId="77777777" w:rsidR="00E95692" w:rsidRPr="00AE5488" w:rsidRDefault="00E95692" w:rsidP="007A5817">
                      <w:pPr>
                        <w:rPr>
                          <w:color w:val="0D0D0D" w:themeColor="text1" w:themeTint="F2"/>
                          <w:lang w:val="es-ES_tradnl"/>
                        </w:rPr>
                      </w:pPr>
                    </w:p>
                  </w:txbxContent>
                </v:textbox>
              </v:shape>
            </w:pict>
          </mc:Fallback>
        </mc:AlternateContent>
      </w:r>
      <w:r w:rsidR="004E2649" w:rsidRPr="00636D7E">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BCF8D1F" wp14:editId="2465C48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03231E" w14:textId="3EB9D4D4" w:rsidR="00E95692" w:rsidRPr="00090FA9" w:rsidRDefault="00E95692" w:rsidP="007A5817">
                            <w:pPr>
                              <w:spacing w:line="276" w:lineRule="auto"/>
                              <w:jc w:val="right"/>
                              <w:rPr>
                                <w:rFonts w:asciiTheme="minorHAnsi" w:hAnsiTheme="minorHAnsi"/>
                                <w:color w:val="FFFFFF" w:themeColor="background1"/>
                                <w:sz w:val="22"/>
                                <w:lang w:val="pt-BR"/>
                              </w:rPr>
                            </w:pPr>
                            <w:r w:rsidRPr="00090FA9">
                              <w:rPr>
                                <w:rFonts w:asciiTheme="minorHAnsi" w:hAnsiTheme="minorHAnsi"/>
                                <w:color w:val="FFFFFF" w:themeColor="background1"/>
                                <w:sz w:val="22"/>
                                <w:lang w:val="pt-BR"/>
                              </w:rPr>
                              <w:t>OEA/Ser.L/V/II.1</w:t>
                            </w:r>
                            <w:r w:rsidR="00905486" w:rsidRPr="00090FA9">
                              <w:rPr>
                                <w:rFonts w:asciiTheme="minorHAnsi" w:hAnsiTheme="minorHAnsi"/>
                                <w:color w:val="FFFFFF" w:themeColor="background1"/>
                                <w:sz w:val="22"/>
                                <w:lang w:val="pt-BR"/>
                              </w:rPr>
                              <w:t>64</w:t>
                            </w:r>
                          </w:p>
                          <w:p w14:paraId="16671716" w14:textId="6E4A49AA" w:rsidR="00E95692" w:rsidRPr="00090FA9" w:rsidRDefault="00905486" w:rsidP="007A5817">
                            <w:pPr>
                              <w:spacing w:line="276" w:lineRule="auto"/>
                              <w:jc w:val="right"/>
                              <w:rPr>
                                <w:rFonts w:asciiTheme="minorHAnsi" w:hAnsiTheme="minorHAnsi"/>
                                <w:color w:val="FFFFFF" w:themeColor="background1"/>
                                <w:sz w:val="22"/>
                                <w:lang w:val="pt-BR"/>
                              </w:rPr>
                            </w:pPr>
                            <w:r w:rsidRPr="00090FA9">
                              <w:rPr>
                                <w:rFonts w:asciiTheme="minorHAnsi" w:hAnsiTheme="minorHAnsi"/>
                                <w:color w:val="FFFFFF" w:themeColor="background1"/>
                                <w:sz w:val="22"/>
                                <w:lang w:val="pt-BR"/>
                              </w:rPr>
                              <w:t>Doc. 130</w:t>
                            </w:r>
                          </w:p>
                          <w:p w14:paraId="0BED61AA" w14:textId="5B86E06B" w:rsidR="00E95692" w:rsidRPr="002F0294" w:rsidRDefault="0090548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septiembre</w:t>
                            </w:r>
                            <w:r w:rsidR="00E95692" w:rsidRPr="002F0294">
                              <w:rPr>
                                <w:rFonts w:asciiTheme="minorHAnsi" w:hAnsiTheme="minorHAnsi"/>
                                <w:color w:val="FFFFFF" w:themeColor="background1"/>
                                <w:sz w:val="22"/>
                                <w:lang w:val="es-ES"/>
                              </w:rPr>
                              <w:t xml:space="preserve"> 201</w:t>
                            </w:r>
                            <w:r w:rsidR="00822B96" w:rsidRPr="002F0294">
                              <w:rPr>
                                <w:rFonts w:asciiTheme="minorHAnsi" w:hAnsiTheme="minorHAnsi"/>
                                <w:color w:val="FFFFFF" w:themeColor="background1"/>
                                <w:sz w:val="22"/>
                                <w:lang w:val="es-ES"/>
                              </w:rPr>
                              <w:t>7</w:t>
                            </w:r>
                          </w:p>
                          <w:p w14:paraId="2CC872DA" w14:textId="77777777" w:rsidR="00E95692" w:rsidRPr="002F0294" w:rsidRDefault="00E95692" w:rsidP="007A5817">
                            <w:pPr>
                              <w:spacing w:line="276" w:lineRule="auto"/>
                              <w:jc w:val="right"/>
                              <w:rPr>
                                <w:rFonts w:asciiTheme="minorHAnsi" w:hAnsiTheme="minorHAnsi"/>
                                <w:color w:val="FFFFFF" w:themeColor="background1"/>
                                <w:sz w:val="22"/>
                                <w:lang w:val="es-ES"/>
                              </w:rPr>
                            </w:pPr>
                            <w:r w:rsidRPr="002F0294">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5F03231E" w14:textId="3EB9D4D4" w:rsidR="00E95692" w:rsidRPr="00905486" w:rsidRDefault="00E95692" w:rsidP="007A5817">
                      <w:pPr>
                        <w:spacing w:line="276" w:lineRule="auto"/>
                        <w:jc w:val="right"/>
                        <w:rPr>
                          <w:rFonts w:asciiTheme="minorHAnsi" w:hAnsiTheme="minorHAnsi"/>
                          <w:color w:val="FFFFFF" w:themeColor="background1"/>
                          <w:sz w:val="22"/>
                          <w:lang w:val="es-ES"/>
                        </w:rPr>
                      </w:pPr>
                      <w:r w:rsidRPr="00905486">
                        <w:rPr>
                          <w:rFonts w:asciiTheme="minorHAnsi" w:hAnsiTheme="minorHAnsi"/>
                          <w:color w:val="FFFFFF" w:themeColor="background1"/>
                          <w:sz w:val="22"/>
                          <w:lang w:val="es-ES"/>
                        </w:rPr>
                        <w:t>OEA/</w:t>
                      </w:r>
                      <w:proofErr w:type="spellStart"/>
                      <w:r w:rsidRPr="00905486">
                        <w:rPr>
                          <w:rFonts w:asciiTheme="minorHAnsi" w:hAnsiTheme="minorHAnsi"/>
                          <w:color w:val="FFFFFF" w:themeColor="background1"/>
                          <w:sz w:val="22"/>
                          <w:lang w:val="es-ES"/>
                        </w:rPr>
                        <w:t>Ser.L</w:t>
                      </w:r>
                      <w:proofErr w:type="spellEnd"/>
                      <w:r w:rsidRPr="00905486">
                        <w:rPr>
                          <w:rFonts w:asciiTheme="minorHAnsi" w:hAnsiTheme="minorHAnsi"/>
                          <w:color w:val="FFFFFF" w:themeColor="background1"/>
                          <w:sz w:val="22"/>
                          <w:lang w:val="es-ES"/>
                        </w:rPr>
                        <w:t>/V/II.1</w:t>
                      </w:r>
                      <w:r w:rsidR="00905486" w:rsidRPr="00905486">
                        <w:rPr>
                          <w:rFonts w:asciiTheme="minorHAnsi" w:hAnsiTheme="minorHAnsi"/>
                          <w:color w:val="FFFFFF" w:themeColor="background1"/>
                          <w:sz w:val="22"/>
                          <w:lang w:val="es-ES"/>
                        </w:rPr>
                        <w:t>64</w:t>
                      </w:r>
                    </w:p>
                    <w:p w14:paraId="16671716" w14:textId="6E4A49AA" w:rsidR="00E95692" w:rsidRPr="00905486" w:rsidRDefault="00905486" w:rsidP="007A5817">
                      <w:pPr>
                        <w:spacing w:line="276" w:lineRule="auto"/>
                        <w:jc w:val="right"/>
                        <w:rPr>
                          <w:rFonts w:asciiTheme="minorHAnsi" w:hAnsiTheme="minorHAnsi"/>
                          <w:color w:val="FFFFFF" w:themeColor="background1"/>
                          <w:sz w:val="22"/>
                          <w:lang w:val="es-ES"/>
                        </w:rPr>
                      </w:pPr>
                      <w:r w:rsidRPr="00905486">
                        <w:rPr>
                          <w:rFonts w:asciiTheme="minorHAnsi" w:hAnsiTheme="minorHAnsi"/>
                          <w:color w:val="FFFFFF" w:themeColor="background1"/>
                          <w:sz w:val="22"/>
                          <w:lang w:val="es-ES"/>
                        </w:rPr>
                        <w:t>Doc. 1</w:t>
                      </w:r>
                      <w:r>
                        <w:rPr>
                          <w:rFonts w:asciiTheme="minorHAnsi" w:hAnsiTheme="minorHAnsi"/>
                          <w:color w:val="FFFFFF" w:themeColor="background1"/>
                          <w:sz w:val="22"/>
                          <w:lang w:val="es-ES"/>
                        </w:rPr>
                        <w:t>30</w:t>
                      </w:r>
                    </w:p>
                    <w:p w14:paraId="0BED61AA" w14:textId="5B86E06B" w:rsidR="00E95692" w:rsidRPr="002F0294" w:rsidRDefault="0090548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septiembre</w:t>
                      </w:r>
                      <w:r w:rsidR="00E95692" w:rsidRPr="002F0294">
                        <w:rPr>
                          <w:rFonts w:asciiTheme="minorHAnsi" w:hAnsiTheme="minorHAnsi"/>
                          <w:color w:val="FFFFFF" w:themeColor="background1"/>
                          <w:sz w:val="22"/>
                          <w:lang w:val="es-ES"/>
                        </w:rPr>
                        <w:t xml:space="preserve"> 201</w:t>
                      </w:r>
                      <w:r w:rsidR="00822B96" w:rsidRPr="002F0294">
                        <w:rPr>
                          <w:rFonts w:asciiTheme="minorHAnsi" w:hAnsiTheme="minorHAnsi"/>
                          <w:color w:val="FFFFFF" w:themeColor="background1"/>
                          <w:sz w:val="22"/>
                          <w:lang w:val="es-ES"/>
                        </w:rPr>
                        <w:t>7</w:t>
                      </w:r>
                    </w:p>
                    <w:p w14:paraId="2CC872DA" w14:textId="77777777" w:rsidR="00E95692" w:rsidRPr="002F0294" w:rsidRDefault="00E95692" w:rsidP="007A5817">
                      <w:pPr>
                        <w:spacing w:line="276" w:lineRule="auto"/>
                        <w:jc w:val="right"/>
                        <w:rPr>
                          <w:rFonts w:asciiTheme="minorHAnsi" w:hAnsiTheme="minorHAnsi"/>
                          <w:color w:val="FFFFFF" w:themeColor="background1"/>
                          <w:sz w:val="22"/>
                          <w:lang w:val="es-ES"/>
                        </w:rPr>
                      </w:pPr>
                      <w:r w:rsidRPr="002F0294">
                        <w:rPr>
                          <w:rFonts w:asciiTheme="minorHAnsi" w:hAnsiTheme="minorHAnsi"/>
                          <w:color w:val="FFFFFF" w:themeColor="background1"/>
                          <w:sz w:val="22"/>
                          <w:lang w:val="es-ES"/>
                        </w:rPr>
                        <w:t>Original: español</w:t>
                      </w:r>
                    </w:p>
                  </w:txbxContent>
                </v:textbox>
              </v:shape>
            </w:pict>
          </mc:Fallback>
        </mc:AlternateContent>
      </w:r>
    </w:p>
    <w:p w14:paraId="7C30EF63" w14:textId="77777777" w:rsidR="00040C3A" w:rsidRPr="00636D7E" w:rsidRDefault="00040C3A" w:rsidP="00040C3A">
      <w:pPr>
        <w:tabs>
          <w:tab w:val="center" w:pos="5400"/>
        </w:tabs>
        <w:suppressAutoHyphens/>
        <w:jc w:val="center"/>
        <w:rPr>
          <w:rFonts w:asciiTheme="majorHAnsi" w:hAnsiTheme="majorHAnsi"/>
          <w:sz w:val="22"/>
          <w:szCs w:val="22"/>
          <w:lang w:val="es-ES_tradnl"/>
        </w:rPr>
      </w:pPr>
    </w:p>
    <w:p w14:paraId="7C5C99E1" w14:textId="77777777" w:rsidR="00040C3A" w:rsidRPr="00636D7E" w:rsidRDefault="00040C3A" w:rsidP="00040C3A">
      <w:pPr>
        <w:tabs>
          <w:tab w:val="center" w:pos="5400"/>
        </w:tabs>
        <w:suppressAutoHyphens/>
        <w:jc w:val="center"/>
        <w:rPr>
          <w:rFonts w:asciiTheme="majorHAnsi" w:hAnsiTheme="majorHAnsi"/>
          <w:sz w:val="22"/>
          <w:szCs w:val="22"/>
          <w:lang w:val="es-ES_tradnl"/>
        </w:rPr>
      </w:pPr>
    </w:p>
    <w:p w14:paraId="078842C1" w14:textId="77777777" w:rsidR="00040C3A" w:rsidRPr="00636D7E" w:rsidRDefault="00040C3A" w:rsidP="00040C3A">
      <w:pPr>
        <w:tabs>
          <w:tab w:val="center" w:pos="5400"/>
        </w:tabs>
        <w:suppressAutoHyphens/>
        <w:jc w:val="center"/>
        <w:rPr>
          <w:rFonts w:asciiTheme="majorHAnsi" w:hAnsiTheme="majorHAnsi" w:cs="Arial"/>
          <w:sz w:val="22"/>
          <w:szCs w:val="22"/>
          <w:lang w:val="es-ES_tradnl"/>
        </w:rPr>
      </w:pPr>
    </w:p>
    <w:p w14:paraId="11759CE4" w14:textId="77777777" w:rsidR="00040C3A" w:rsidRPr="00636D7E" w:rsidRDefault="00040C3A" w:rsidP="00040C3A">
      <w:pPr>
        <w:tabs>
          <w:tab w:val="center" w:pos="5400"/>
        </w:tabs>
        <w:suppressAutoHyphens/>
        <w:jc w:val="center"/>
        <w:rPr>
          <w:rFonts w:asciiTheme="majorHAnsi" w:hAnsiTheme="majorHAnsi"/>
          <w:sz w:val="22"/>
          <w:szCs w:val="22"/>
          <w:lang w:val="es-ES_tradnl"/>
        </w:rPr>
      </w:pPr>
    </w:p>
    <w:p w14:paraId="681081D6" w14:textId="77777777" w:rsidR="00040C3A" w:rsidRPr="00636D7E" w:rsidRDefault="00040C3A" w:rsidP="00040C3A">
      <w:pPr>
        <w:tabs>
          <w:tab w:val="center" w:pos="5400"/>
        </w:tabs>
        <w:suppressAutoHyphens/>
        <w:jc w:val="center"/>
        <w:rPr>
          <w:rFonts w:asciiTheme="majorHAnsi" w:hAnsiTheme="majorHAnsi"/>
          <w:sz w:val="22"/>
          <w:szCs w:val="22"/>
          <w:lang w:val="es-ES_tradnl"/>
        </w:rPr>
      </w:pPr>
    </w:p>
    <w:p w14:paraId="5C51D29F" w14:textId="77777777" w:rsidR="00040C3A" w:rsidRPr="00636D7E" w:rsidRDefault="00040C3A" w:rsidP="00040C3A">
      <w:pPr>
        <w:tabs>
          <w:tab w:val="center" w:pos="5400"/>
        </w:tabs>
        <w:suppressAutoHyphens/>
        <w:jc w:val="center"/>
        <w:rPr>
          <w:rFonts w:asciiTheme="majorHAnsi" w:hAnsiTheme="majorHAnsi"/>
          <w:sz w:val="22"/>
          <w:szCs w:val="22"/>
          <w:lang w:val="es-ES_tradnl"/>
        </w:rPr>
      </w:pPr>
    </w:p>
    <w:p w14:paraId="4A09FC79" w14:textId="77777777" w:rsidR="00040C3A" w:rsidRPr="00636D7E" w:rsidRDefault="00040C3A" w:rsidP="00040C3A">
      <w:pPr>
        <w:tabs>
          <w:tab w:val="center" w:pos="5400"/>
        </w:tabs>
        <w:suppressAutoHyphens/>
        <w:jc w:val="center"/>
        <w:rPr>
          <w:rFonts w:asciiTheme="majorHAnsi" w:hAnsiTheme="majorHAnsi"/>
          <w:sz w:val="22"/>
          <w:szCs w:val="22"/>
          <w:lang w:val="es-ES_tradnl"/>
        </w:rPr>
      </w:pPr>
    </w:p>
    <w:p w14:paraId="7C277835" w14:textId="77777777" w:rsidR="005128E4" w:rsidRPr="00636D7E" w:rsidRDefault="005128E4" w:rsidP="00040C3A">
      <w:pPr>
        <w:tabs>
          <w:tab w:val="center" w:pos="5400"/>
        </w:tabs>
        <w:suppressAutoHyphens/>
        <w:jc w:val="center"/>
        <w:rPr>
          <w:rFonts w:asciiTheme="majorHAnsi" w:hAnsiTheme="majorHAnsi"/>
          <w:sz w:val="22"/>
          <w:szCs w:val="22"/>
          <w:lang w:val="es-ES_tradnl"/>
        </w:rPr>
      </w:pPr>
    </w:p>
    <w:p w14:paraId="113B89AF" w14:textId="77777777" w:rsidR="00040C3A" w:rsidRPr="00636D7E" w:rsidRDefault="00040C3A" w:rsidP="00040C3A">
      <w:pPr>
        <w:tabs>
          <w:tab w:val="center" w:pos="5400"/>
        </w:tabs>
        <w:suppressAutoHyphens/>
        <w:jc w:val="center"/>
        <w:rPr>
          <w:rFonts w:asciiTheme="majorHAnsi" w:hAnsiTheme="majorHAnsi"/>
          <w:sz w:val="22"/>
          <w:szCs w:val="22"/>
          <w:lang w:val="es-ES_tradnl"/>
        </w:rPr>
      </w:pPr>
    </w:p>
    <w:p w14:paraId="341DBEF0" w14:textId="77777777" w:rsidR="005128E4" w:rsidRPr="00636D7E" w:rsidRDefault="005128E4" w:rsidP="00040C3A">
      <w:pPr>
        <w:tabs>
          <w:tab w:val="center" w:pos="5400"/>
        </w:tabs>
        <w:suppressAutoHyphens/>
        <w:jc w:val="center"/>
        <w:rPr>
          <w:rFonts w:asciiTheme="majorHAnsi" w:hAnsiTheme="majorHAnsi"/>
          <w:sz w:val="22"/>
          <w:szCs w:val="22"/>
          <w:lang w:val="es-ES_tradnl"/>
        </w:rPr>
      </w:pPr>
    </w:p>
    <w:p w14:paraId="7432D826" w14:textId="77777777" w:rsidR="005128E4" w:rsidRPr="00636D7E" w:rsidRDefault="005128E4" w:rsidP="00040C3A">
      <w:pPr>
        <w:tabs>
          <w:tab w:val="center" w:pos="5400"/>
        </w:tabs>
        <w:suppressAutoHyphens/>
        <w:jc w:val="center"/>
        <w:rPr>
          <w:rFonts w:asciiTheme="majorHAnsi" w:hAnsiTheme="majorHAnsi"/>
          <w:sz w:val="22"/>
          <w:szCs w:val="22"/>
          <w:lang w:val="es-ES_tradnl"/>
        </w:rPr>
      </w:pPr>
    </w:p>
    <w:p w14:paraId="5D9B1746" w14:textId="77777777" w:rsidR="005128E4" w:rsidRPr="00636D7E" w:rsidRDefault="005128E4" w:rsidP="00040C3A">
      <w:pPr>
        <w:tabs>
          <w:tab w:val="center" w:pos="5400"/>
        </w:tabs>
        <w:suppressAutoHyphens/>
        <w:jc w:val="center"/>
        <w:rPr>
          <w:rFonts w:asciiTheme="majorHAnsi" w:hAnsiTheme="majorHAnsi"/>
          <w:sz w:val="22"/>
          <w:szCs w:val="22"/>
          <w:lang w:val="es-ES_tradnl"/>
        </w:rPr>
      </w:pPr>
    </w:p>
    <w:p w14:paraId="21D8C0CF" w14:textId="77777777" w:rsidR="00040C3A" w:rsidRPr="00636D7E" w:rsidRDefault="00040C3A" w:rsidP="00040C3A">
      <w:pPr>
        <w:tabs>
          <w:tab w:val="center" w:pos="5400"/>
        </w:tabs>
        <w:suppressAutoHyphens/>
        <w:jc w:val="center"/>
        <w:rPr>
          <w:rFonts w:asciiTheme="majorHAnsi" w:hAnsiTheme="majorHAnsi"/>
          <w:sz w:val="22"/>
          <w:szCs w:val="22"/>
          <w:lang w:val="es-ES_tradnl"/>
        </w:rPr>
      </w:pPr>
    </w:p>
    <w:p w14:paraId="136979A7" w14:textId="77777777" w:rsidR="00040C3A" w:rsidRPr="00636D7E" w:rsidRDefault="00040C3A" w:rsidP="00040C3A">
      <w:pPr>
        <w:tabs>
          <w:tab w:val="center" w:pos="5400"/>
        </w:tabs>
        <w:suppressAutoHyphens/>
        <w:jc w:val="center"/>
        <w:rPr>
          <w:rFonts w:asciiTheme="majorHAnsi" w:hAnsiTheme="majorHAnsi"/>
          <w:sz w:val="22"/>
          <w:szCs w:val="22"/>
          <w:lang w:val="es-ES_tradnl"/>
        </w:rPr>
      </w:pPr>
    </w:p>
    <w:p w14:paraId="506CB4D6" w14:textId="77777777" w:rsidR="00A50FCF" w:rsidRPr="00636D7E" w:rsidRDefault="00A50FCF" w:rsidP="00040C3A">
      <w:pPr>
        <w:tabs>
          <w:tab w:val="center" w:pos="5400"/>
        </w:tabs>
        <w:suppressAutoHyphens/>
        <w:jc w:val="center"/>
        <w:rPr>
          <w:rFonts w:asciiTheme="majorHAnsi" w:hAnsiTheme="majorHAnsi"/>
          <w:sz w:val="18"/>
          <w:szCs w:val="22"/>
          <w:lang w:val="es-ES_tradnl"/>
        </w:rPr>
      </w:pPr>
    </w:p>
    <w:p w14:paraId="75626648" w14:textId="77777777" w:rsidR="00A50FCF" w:rsidRPr="00636D7E" w:rsidRDefault="00A50FCF" w:rsidP="00040C3A">
      <w:pPr>
        <w:tabs>
          <w:tab w:val="center" w:pos="5400"/>
        </w:tabs>
        <w:suppressAutoHyphens/>
        <w:jc w:val="center"/>
        <w:rPr>
          <w:rFonts w:asciiTheme="majorHAnsi" w:hAnsiTheme="majorHAnsi"/>
          <w:sz w:val="18"/>
          <w:szCs w:val="22"/>
          <w:lang w:val="es-ES_tradnl"/>
        </w:rPr>
      </w:pPr>
    </w:p>
    <w:p w14:paraId="5AFAD19D" w14:textId="77777777" w:rsidR="00A50FCF" w:rsidRPr="00636D7E" w:rsidRDefault="00A50FCF" w:rsidP="00040C3A">
      <w:pPr>
        <w:tabs>
          <w:tab w:val="center" w:pos="5400"/>
        </w:tabs>
        <w:suppressAutoHyphens/>
        <w:jc w:val="center"/>
        <w:rPr>
          <w:rFonts w:asciiTheme="majorHAnsi" w:hAnsiTheme="majorHAnsi"/>
          <w:sz w:val="18"/>
          <w:szCs w:val="22"/>
          <w:lang w:val="es-ES_tradnl"/>
        </w:rPr>
      </w:pPr>
    </w:p>
    <w:p w14:paraId="63485ECE" w14:textId="77777777" w:rsidR="00A50FCF" w:rsidRPr="00636D7E" w:rsidRDefault="00A50FCF" w:rsidP="00040C3A">
      <w:pPr>
        <w:tabs>
          <w:tab w:val="center" w:pos="5400"/>
        </w:tabs>
        <w:suppressAutoHyphens/>
        <w:jc w:val="center"/>
        <w:rPr>
          <w:rFonts w:asciiTheme="majorHAnsi" w:hAnsiTheme="majorHAnsi"/>
          <w:sz w:val="18"/>
          <w:szCs w:val="22"/>
          <w:lang w:val="es-ES_tradnl"/>
        </w:rPr>
      </w:pPr>
    </w:p>
    <w:p w14:paraId="6A69FED1" w14:textId="77777777" w:rsidR="00A50FCF" w:rsidRPr="00636D7E" w:rsidRDefault="00A50FCF" w:rsidP="00040C3A">
      <w:pPr>
        <w:tabs>
          <w:tab w:val="center" w:pos="5400"/>
        </w:tabs>
        <w:suppressAutoHyphens/>
        <w:jc w:val="center"/>
        <w:rPr>
          <w:rFonts w:asciiTheme="majorHAnsi" w:hAnsiTheme="majorHAnsi"/>
          <w:sz w:val="18"/>
          <w:szCs w:val="22"/>
          <w:lang w:val="es-ES_tradnl"/>
        </w:rPr>
      </w:pPr>
    </w:p>
    <w:p w14:paraId="7F618D09" w14:textId="77777777" w:rsidR="00A50FCF" w:rsidRPr="00636D7E" w:rsidRDefault="00A50FCF" w:rsidP="00040C3A">
      <w:pPr>
        <w:tabs>
          <w:tab w:val="center" w:pos="5400"/>
        </w:tabs>
        <w:suppressAutoHyphens/>
        <w:jc w:val="center"/>
        <w:rPr>
          <w:rFonts w:asciiTheme="majorHAnsi" w:hAnsiTheme="majorHAnsi"/>
          <w:sz w:val="18"/>
          <w:szCs w:val="22"/>
          <w:lang w:val="es-ES_tradnl"/>
        </w:rPr>
      </w:pPr>
    </w:p>
    <w:p w14:paraId="5C6C8ECD" w14:textId="77777777" w:rsidR="00A50FCF" w:rsidRPr="00636D7E" w:rsidRDefault="00A50FCF" w:rsidP="00040C3A">
      <w:pPr>
        <w:tabs>
          <w:tab w:val="center" w:pos="5400"/>
        </w:tabs>
        <w:suppressAutoHyphens/>
        <w:jc w:val="center"/>
        <w:rPr>
          <w:rFonts w:asciiTheme="majorHAnsi" w:hAnsiTheme="majorHAnsi"/>
          <w:sz w:val="18"/>
          <w:szCs w:val="22"/>
          <w:lang w:val="es-ES_tradnl"/>
        </w:rPr>
      </w:pPr>
    </w:p>
    <w:p w14:paraId="4BAF241E" w14:textId="77777777" w:rsidR="00A50FCF" w:rsidRPr="00636D7E" w:rsidRDefault="00A50FCF" w:rsidP="00040C3A">
      <w:pPr>
        <w:tabs>
          <w:tab w:val="center" w:pos="5400"/>
        </w:tabs>
        <w:suppressAutoHyphens/>
        <w:jc w:val="center"/>
        <w:rPr>
          <w:rFonts w:asciiTheme="majorHAnsi" w:hAnsiTheme="majorHAnsi"/>
          <w:sz w:val="18"/>
          <w:szCs w:val="22"/>
          <w:lang w:val="es-ES_tradnl"/>
        </w:rPr>
      </w:pPr>
    </w:p>
    <w:p w14:paraId="19095DFB" w14:textId="77777777" w:rsidR="00A50FCF" w:rsidRPr="00636D7E" w:rsidRDefault="00A50FCF" w:rsidP="00040C3A">
      <w:pPr>
        <w:tabs>
          <w:tab w:val="center" w:pos="5400"/>
        </w:tabs>
        <w:suppressAutoHyphens/>
        <w:jc w:val="center"/>
        <w:rPr>
          <w:rFonts w:asciiTheme="majorHAnsi" w:hAnsiTheme="majorHAnsi"/>
          <w:sz w:val="18"/>
          <w:szCs w:val="22"/>
          <w:lang w:val="es-ES_tradnl"/>
        </w:rPr>
      </w:pPr>
    </w:p>
    <w:p w14:paraId="176719D0" w14:textId="77777777" w:rsidR="00A50FCF" w:rsidRPr="00636D7E" w:rsidRDefault="00A50FCF" w:rsidP="00040C3A">
      <w:pPr>
        <w:tabs>
          <w:tab w:val="center" w:pos="5400"/>
        </w:tabs>
        <w:suppressAutoHyphens/>
        <w:jc w:val="center"/>
        <w:rPr>
          <w:rFonts w:asciiTheme="majorHAnsi" w:hAnsiTheme="majorHAnsi"/>
          <w:sz w:val="18"/>
          <w:szCs w:val="22"/>
          <w:lang w:val="es-ES_tradnl"/>
        </w:rPr>
      </w:pPr>
    </w:p>
    <w:p w14:paraId="6955F9CE" w14:textId="77777777" w:rsidR="00A50FCF" w:rsidRPr="00636D7E" w:rsidRDefault="00A50FCF" w:rsidP="00040C3A">
      <w:pPr>
        <w:tabs>
          <w:tab w:val="center" w:pos="5400"/>
        </w:tabs>
        <w:suppressAutoHyphens/>
        <w:jc w:val="center"/>
        <w:rPr>
          <w:rFonts w:asciiTheme="majorHAnsi" w:hAnsiTheme="majorHAnsi"/>
          <w:sz w:val="18"/>
          <w:szCs w:val="22"/>
          <w:lang w:val="es-ES_tradnl"/>
        </w:rPr>
      </w:pPr>
    </w:p>
    <w:p w14:paraId="225D4B59" w14:textId="77777777" w:rsidR="00A50FCF" w:rsidRPr="00636D7E" w:rsidRDefault="00A50FCF" w:rsidP="00040C3A">
      <w:pPr>
        <w:tabs>
          <w:tab w:val="center" w:pos="5400"/>
        </w:tabs>
        <w:suppressAutoHyphens/>
        <w:jc w:val="center"/>
        <w:rPr>
          <w:rFonts w:asciiTheme="majorHAnsi" w:hAnsiTheme="majorHAnsi"/>
          <w:sz w:val="18"/>
          <w:szCs w:val="22"/>
          <w:lang w:val="es-ES_tradnl"/>
        </w:rPr>
      </w:pPr>
    </w:p>
    <w:p w14:paraId="7020644E" w14:textId="77777777" w:rsidR="00A50FCF" w:rsidRPr="00636D7E" w:rsidRDefault="00A50FCF" w:rsidP="00040C3A">
      <w:pPr>
        <w:tabs>
          <w:tab w:val="center" w:pos="5400"/>
        </w:tabs>
        <w:suppressAutoHyphens/>
        <w:jc w:val="center"/>
        <w:rPr>
          <w:rFonts w:asciiTheme="majorHAnsi" w:hAnsiTheme="majorHAnsi"/>
          <w:sz w:val="18"/>
          <w:szCs w:val="22"/>
          <w:lang w:val="es-ES_tradnl"/>
        </w:rPr>
      </w:pPr>
    </w:p>
    <w:p w14:paraId="25B4EF69" w14:textId="77777777" w:rsidR="00A50FCF" w:rsidRPr="00636D7E" w:rsidRDefault="00A50FCF" w:rsidP="00040C3A">
      <w:pPr>
        <w:tabs>
          <w:tab w:val="center" w:pos="5400"/>
        </w:tabs>
        <w:suppressAutoHyphens/>
        <w:jc w:val="center"/>
        <w:rPr>
          <w:rFonts w:asciiTheme="majorHAnsi" w:hAnsiTheme="majorHAnsi"/>
          <w:sz w:val="18"/>
          <w:szCs w:val="22"/>
          <w:lang w:val="es-ES_tradnl"/>
        </w:rPr>
      </w:pPr>
    </w:p>
    <w:p w14:paraId="2951585A" w14:textId="77777777" w:rsidR="00A50FCF" w:rsidRPr="00636D7E" w:rsidRDefault="0090270B" w:rsidP="00040C3A">
      <w:pPr>
        <w:tabs>
          <w:tab w:val="center" w:pos="5400"/>
        </w:tabs>
        <w:suppressAutoHyphens/>
        <w:jc w:val="center"/>
        <w:rPr>
          <w:rFonts w:asciiTheme="majorHAnsi" w:hAnsiTheme="majorHAnsi"/>
          <w:sz w:val="18"/>
          <w:szCs w:val="22"/>
          <w:lang w:val="es-ES_tradnl"/>
        </w:rPr>
      </w:pPr>
      <w:r w:rsidRPr="00636D7E">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F31B9A6" wp14:editId="61ABF52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278A41" w14:textId="77777777" w:rsidR="00905486" w:rsidRPr="00890650" w:rsidRDefault="00905486" w:rsidP="00905486">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5271ED31" w14:textId="77777777" w:rsidR="00E95692" w:rsidRPr="00905486" w:rsidRDefault="00E95692"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77A54CA9" w14:textId="77777777" w:rsidR="00E95692" w:rsidRPr="00167A34" w:rsidRDefault="00E95692"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0278A41" w14:textId="77777777" w:rsidR="00905486" w:rsidRPr="00890650" w:rsidRDefault="00905486" w:rsidP="00905486">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5271ED31" w14:textId="77777777" w:rsidR="00E95692" w:rsidRPr="00905486" w:rsidRDefault="00E95692"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77A54CA9" w14:textId="77777777" w:rsidR="00E95692" w:rsidRPr="00167A34" w:rsidRDefault="00E95692"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739EE" w14:textId="77777777" w:rsidR="00A50FCF" w:rsidRPr="00636D7E" w:rsidRDefault="00A50FCF" w:rsidP="00040C3A">
      <w:pPr>
        <w:tabs>
          <w:tab w:val="center" w:pos="5400"/>
        </w:tabs>
        <w:suppressAutoHyphens/>
        <w:jc w:val="center"/>
        <w:rPr>
          <w:rFonts w:asciiTheme="majorHAnsi" w:hAnsiTheme="majorHAnsi"/>
          <w:sz w:val="18"/>
          <w:szCs w:val="22"/>
          <w:lang w:val="es-ES_tradnl"/>
        </w:rPr>
      </w:pPr>
    </w:p>
    <w:p w14:paraId="00363303" w14:textId="77777777" w:rsidR="00A50FCF" w:rsidRPr="00636D7E" w:rsidRDefault="00A50FCF" w:rsidP="00040C3A">
      <w:pPr>
        <w:tabs>
          <w:tab w:val="center" w:pos="5400"/>
        </w:tabs>
        <w:suppressAutoHyphens/>
        <w:jc w:val="center"/>
        <w:rPr>
          <w:rFonts w:asciiTheme="majorHAnsi" w:hAnsiTheme="majorHAnsi"/>
          <w:sz w:val="18"/>
          <w:szCs w:val="22"/>
          <w:lang w:val="es-ES_tradnl"/>
        </w:rPr>
      </w:pPr>
    </w:p>
    <w:p w14:paraId="3A4F9B82" w14:textId="77777777" w:rsidR="00A50FCF" w:rsidRPr="00636D7E" w:rsidRDefault="00A50FCF" w:rsidP="00040C3A">
      <w:pPr>
        <w:tabs>
          <w:tab w:val="center" w:pos="5400"/>
        </w:tabs>
        <w:suppressAutoHyphens/>
        <w:jc w:val="center"/>
        <w:rPr>
          <w:rFonts w:asciiTheme="majorHAnsi" w:hAnsiTheme="majorHAnsi"/>
          <w:sz w:val="18"/>
          <w:szCs w:val="22"/>
          <w:lang w:val="es-ES_tradnl"/>
        </w:rPr>
      </w:pPr>
    </w:p>
    <w:p w14:paraId="1B0DA485" w14:textId="77777777" w:rsidR="00A50FCF" w:rsidRPr="00636D7E" w:rsidRDefault="00A50FCF" w:rsidP="00040C3A">
      <w:pPr>
        <w:tabs>
          <w:tab w:val="center" w:pos="5400"/>
        </w:tabs>
        <w:suppressAutoHyphens/>
        <w:jc w:val="center"/>
        <w:rPr>
          <w:rFonts w:asciiTheme="majorHAnsi" w:hAnsiTheme="majorHAnsi"/>
          <w:sz w:val="18"/>
          <w:szCs w:val="22"/>
          <w:lang w:val="es-ES_tradnl"/>
        </w:rPr>
      </w:pPr>
    </w:p>
    <w:p w14:paraId="756D3F74" w14:textId="77777777" w:rsidR="00A50FCF" w:rsidRPr="00636D7E" w:rsidRDefault="0090270B" w:rsidP="00040C3A">
      <w:pPr>
        <w:tabs>
          <w:tab w:val="center" w:pos="5400"/>
        </w:tabs>
        <w:suppressAutoHyphens/>
        <w:jc w:val="center"/>
        <w:rPr>
          <w:rFonts w:asciiTheme="majorHAnsi" w:hAnsiTheme="majorHAnsi"/>
          <w:sz w:val="18"/>
          <w:szCs w:val="22"/>
          <w:lang w:val="es-ES_tradnl"/>
        </w:rPr>
      </w:pPr>
      <w:r w:rsidRPr="00636D7E">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CE825D8" wp14:editId="1100990D">
                <wp:simplePos x="0" y="0"/>
                <wp:positionH relativeFrom="column">
                  <wp:posOffset>1330658</wp:posOffset>
                </wp:positionH>
                <wp:positionV relativeFrom="paragraph">
                  <wp:posOffset>6094</wp:posOffset>
                </wp:positionV>
                <wp:extent cx="4797188"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797188"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066C3" w14:textId="65042915" w:rsidR="00E95692" w:rsidRPr="007B05C4" w:rsidRDefault="00E95692" w:rsidP="00905486">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05486">
                              <w:rPr>
                                <w:rFonts w:asciiTheme="majorHAnsi" w:hAnsiTheme="majorHAnsi"/>
                                <w:color w:val="595959" w:themeColor="text1" w:themeTint="A6"/>
                                <w:sz w:val="18"/>
                                <w:szCs w:val="18"/>
                                <w:lang w:val="pt-BR"/>
                              </w:rPr>
                              <w:t xml:space="preserve">109/17. </w:t>
                            </w:r>
                            <w:r w:rsidR="00905486">
                              <w:rPr>
                                <w:rFonts w:asciiTheme="majorHAnsi" w:hAnsiTheme="majorHAnsi"/>
                                <w:color w:val="595959" w:themeColor="text1" w:themeTint="A6"/>
                                <w:sz w:val="18"/>
                                <w:szCs w:val="18"/>
                                <w:lang w:val="es-ES_tradnl"/>
                              </w:rPr>
                              <w:t>Petición 795-08. Admisibil</w:t>
                            </w:r>
                            <w:r w:rsidR="00527E34">
                              <w:rPr>
                                <w:rFonts w:asciiTheme="majorHAnsi" w:hAnsiTheme="majorHAnsi"/>
                                <w:color w:val="595959" w:themeColor="text1" w:themeTint="A6"/>
                                <w:sz w:val="18"/>
                                <w:szCs w:val="18"/>
                                <w:lang w:val="es-ES_tradnl"/>
                              </w:rPr>
                              <w:t>idad. Rosalía Benavides Franco y o</w:t>
                            </w:r>
                            <w:r w:rsidR="00E53E1A">
                              <w:rPr>
                                <w:rFonts w:asciiTheme="majorHAnsi" w:hAnsiTheme="majorHAnsi"/>
                                <w:color w:val="595959" w:themeColor="text1" w:themeTint="A6"/>
                                <w:sz w:val="18"/>
                                <w:szCs w:val="18"/>
                                <w:lang w:val="es-ES_tradnl"/>
                              </w:rPr>
                              <w:t>tros.</w:t>
                            </w:r>
                            <w:r w:rsidR="00905486">
                              <w:rPr>
                                <w:rFonts w:asciiTheme="majorHAnsi" w:hAnsiTheme="majorHAnsi"/>
                                <w:color w:val="595959" w:themeColor="text1" w:themeTint="A6"/>
                                <w:sz w:val="18"/>
                                <w:szCs w:val="18"/>
                                <w:lang w:val="es-ES_tradnl"/>
                              </w:rPr>
                              <w:t xml:space="preserve"> </w:t>
                            </w:r>
                            <w:r w:rsidR="00905486" w:rsidRPr="00905486">
                              <w:rPr>
                                <w:rFonts w:asciiTheme="majorHAnsi" w:hAnsiTheme="majorHAnsi"/>
                                <w:color w:val="595959" w:themeColor="text1" w:themeTint="A6"/>
                                <w:sz w:val="18"/>
                                <w:szCs w:val="18"/>
                                <w:lang w:val="es-ES_tradnl"/>
                              </w:rPr>
                              <w:t>Colombia</w:t>
                            </w:r>
                            <w:r w:rsidR="00905486">
                              <w:rPr>
                                <w:rFonts w:asciiTheme="majorHAnsi" w:hAnsiTheme="majorHAnsi"/>
                                <w:color w:val="595959" w:themeColor="text1" w:themeTint="A6"/>
                                <w:sz w:val="18"/>
                                <w:szCs w:val="18"/>
                                <w:lang w:val="es-ES_tradnl"/>
                              </w:rPr>
                              <w:t>. 7 de septiembre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04.8pt;margin-top:.5pt;width:377.7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" filled="f" stroked="f" strokeweight=".5pt">
                <v:textbox>
                  <w:txbxContent>
                    <w:p w14:paraId="548066C3" w14:textId="65042915" w:rsidR="00E95692" w:rsidRPr="007B05C4" w:rsidRDefault="00E95692" w:rsidP="00905486">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05486">
                        <w:rPr>
                          <w:rFonts w:asciiTheme="majorHAnsi" w:hAnsiTheme="majorHAnsi"/>
                          <w:color w:val="595959" w:themeColor="text1" w:themeTint="A6"/>
                          <w:sz w:val="18"/>
                          <w:szCs w:val="18"/>
                          <w:lang w:val="pt-BR"/>
                        </w:rPr>
                        <w:t xml:space="preserve">109/17. </w:t>
                      </w:r>
                      <w:r w:rsidR="00905486">
                        <w:rPr>
                          <w:rFonts w:asciiTheme="majorHAnsi" w:hAnsiTheme="majorHAnsi"/>
                          <w:color w:val="595959" w:themeColor="text1" w:themeTint="A6"/>
                          <w:sz w:val="18"/>
                          <w:szCs w:val="18"/>
                          <w:lang w:val="es-ES_tradnl"/>
                        </w:rPr>
                        <w:t>Petición 795-08. Admisibil</w:t>
                      </w:r>
                      <w:r w:rsidR="00527E34">
                        <w:rPr>
                          <w:rFonts w:asciiTheme="majorHAnsi" w:hAnsiTheme="majorHAnsi"/>
                          <w:color w:val="595959" w:themeColor="text1" w:themeTint="A6"/>
                          <w:sz w:val="18"/>
                          <w:szCs w:val="18"/>
                          <w:lang w:val="es-ES_tradnl"/>
                        </w:rPr>
                        <w:t xml:space="preserve">idad. </w:t>
                      </w:r>
                      <w:r w:rsidR="00527E34">
                        <w:rPr>
                          <w:rFonts w:asciiTheme="majorHAnsi" w:hAnsiTheme="majorHAnsi"/>
                          <w:color w:val="595959" w:themeColor="text1" w:themeTint="A6"/>
                          <w:sz w:val="18"/>
                          <w:szCs w:val="18"/>
                          <w:lang w:val="es-ES_tradnl"/>
                        </w:rPr>
                        <w:t xml:space="preserve">Rosalía Benavides Franco y </w:t>
                      </w:r>
                      <w:r w:rsidR="00527E34">
                        <w:rPr>
                          <w:rFonts w:asciiTheme="majorHAnsi" w:hAnsiTheme="majorHAnsi"/>
                          <w:color w:val="595959" w:themeColor="text1" w:themeTint="A6"/>
                          <w:sz w:val="18"/>
                          <w:szCs w:val="18"/>
                          <w:lang w:val="es-ES_tradnl"/>
                        </w:rPr>
                        <w:t>o</w:t>
                      </w:r>
                      <w:r w:rsidR="00E53E1A">
                        <w:rPr>
                          <w:rFonts w:asciiTheme="majorHAnsi" w:hAnsiTheme="majorHAnsi"/>
                          <w:color w:val="595959" w:themeColor="text1" w:themeTint="A6"/>
                          <w:sz w:val="18"/>
                          <w:szCs w:val="18"/>
                          <w:lang w:val="es-ES_tradnl"/>
                        </w:rPr>
                        <w:t>tros.</w:t>
                      </w:r>
                      <w:bookmarkStart w:id="2" w:name="_GoBack"/>
                      <w:bookmarkEnd w:id="2"/>
                      <w:r w:rsidR="00905486">
                        <w:rPr>
                          <w:rFonts w:asciiTheme="majorHAnsi" w:hAnsiTheme="majorHAnsi"/>
                          <w:color w:val="595959" w:themeColor="text1" w:themeTint="A6"/>
                          <w:sz w:val="18"/>
                          <w:szCs w:val="18"/>
                          <w:lang w:val="es-ES_tradnl"/>
                        </w:rPr>
                        <w:t xml:space="preserve"> </w:t>
                      </w:r>
                      <w:r w:rsidR="00905486" w:rsidRPr="00905486">
                        <w:rPr>
                          <w:rFonts w:asciiTheme="majorHAnsi" w:hAnsiTheme="majorHAnsi"/>
                          <w:color w:val="595959" w:themeColor="text1" w:themeTint="A6"/>
                          <w:sz w:val="18"/>
                          <w:szCs w:val="18"/>
                          <w:lang w:val="es-ES_tradnl"/>
                        </w:rPr>
                        <w:t>Colombia</w:t>
                      </w:r>
                      <w:r w:rsidR="00905486">
                        <w:rPr>
                          <w:rFonts w:asciiTheme="majorHAnsi" w:hAnsiTheme="majorHAnsi"/>
                          <w:color w:val="595959" w:themeColor="text1" w:themeTint="A6"/>
                          <w:sz w:val="18"/>
                          <w:szCs w:val="18"/>
                          <w:lang w:val="es-ES_tradnl"/>
                        </w:rPr>
                        <w:t>. 7 de septiembre de 2017.</w:t>
                      </w:r>
                    </w:p>
                  </w:txbxContent>
                </v:textbox>
              </v:shape>
            </w:pict>
          </mc:Fallback>
        </mc:AlternateContent>
      </w:r>
    </w:p>
    <w:p w14:paraId="7B284DBB" w14:textId="77777777" w:rsidR="00A50FCF" w:rsidRPr="00636D7E" w:rsidRDefault="00A50FCF" w:rsidP="00040C3A">
      <w:pPr>
        <w:tabs>
          <w:tab w:val="center" w:pos="5400"/>
        </w:tabs>
        <w:suppressAutoHyphens/>
        <w:jc w:val="center"/>
        <w:rPr>
          <w:rFonts w:asciiTheme="majorHAnsi" w:hAnsiTheme="majorHAnsi"/>
          <w:sz w:val="18"/>
          <w:szCs w:val="22"/>
          <w:lang w:val="es-ES_tradnl"/>
        </w:rPr>
      </w:pPr>
    </w:p>
    <w:p w14:paraId="543B043B" w14:textId="77777777" w:rsidR="0090270B" w:rsidRPr="00636D7E" w:rsidRDefault="00D306D1" w:rsidP="005516A1">
      <w:pPr>
        <w:tabs>
          <w:tab w:val="center" w:pos="5400"/>
        </w:tabs>
        <w:suppressAutoHyphens/>
        <w:jc w:val="center"/>
        <w:rPr>
          <w:rFonts w:asciiTheme="majorHAnsi" w:hAnsiTheme="majorHAnsi"/>
          <w:b/>
          <w:sz w:val="20"/>
          <w:lang w:val="es-ES_tradnl"/>
        </w:rPr>
      </w:pPr>
      <w:r w:rsidRPr="00636D7E">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EFC496F" wp14:editId="0F9A0CA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B5B70" w14:textId="77777777" w:rsidR="00E95692" w:rsidRPr="00D72DC6" w:rsidRDefault="00E95692"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69398CC" wp14:editId="4759B8DA">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" fillcolor="white [3201]" stroked="f" strokeweight=".5pt">
                <v:textbox>
                  <w:txbxContent>
                    <w:p w14:paraId="770B5B70" w14:textId="77777777" w:rsidR="00E95692" w:rsidRPr="00D72DC6" w:rsidRDefault="00E95692"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69398CC" wp14:editId="4759B8DA">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36D7E">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3E34625" wp14:editId="6106C21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A1ADF4" w14:textId="77777777" w:rsidR="00E95692" w:rsidRPr="004B7EB6" w:rsidRDefault="00E9569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BZ&#10;HasJgQIAAGkFAAAOAAAAAAAAAAAAAAAAAC4CAABkcnMvZTJvRG9jLnhtbFBLAQItABQABgAIAAAA&#10;IQBdLTBP4gAAAAsBAAAPAAAAAAAAAAAAAAAAANsEAABkcnMvZG93bnJldi54bWxQSwUGAAAAAAQA&#10;BADzAAAA6gUAAAAA&#10;" filled="f" stroked="f" strokeweight=".5pt">
                <v:textbox>
                  <w:txbxContent>
                    <w:p w14:paraId="20A1ADF4" w14:textId="77777777" w:rsidR="00E95692" w:rsidRPr="004B7EB6" w:rsidRDefault="00E9569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71E2AAA" w14:textId="77777777" w:rsidR="0070697F" w:rsidRPr="00636D7E" w:rsidRDefault="0070697F" w:rsidP="005516A1">
      <w:pPr>
        <w:tabs>
          <w:tab w:val="center" w:pos="5400"/>
        </w:tabs>
        <w:suppressAutoHyphens/>
        <w:jc w:val="center"/>
        <w:rPr>
          <w:rFonts w:asciiTheme="majorHAnsi" w:hAnsiTheme="majorHAnsi"/>
          <w:b/>
          <w:sz w:val="20"/>
          <w:lang w:val="es-ES_tradnl"/>
        </w:rPr>
        <w:sectPr w:rsidR="0070697F" w:rsidRPr="00636D7E"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5B57B6CA" w14:textId="26F4B2C5" w:rsidR="00722C9F" w:rsidRPr="00636D7E" w:rsidRDefault="00527E34"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109</w:t>
      </w:r>
      <w:r w:rsidR="00722C9F" w:rsidRPr="00636D7E">
        <w:rPr>
          <w:rFonts w:asciiTheme="majorHAnsi" w:hAnsiTheme="majorHAnsi"/>
          <w:b/>
          <w:sz w:val="18"/>
          <w:szCs w:val="20"/>
          <w:lang w:val="es-ES_tradnl"/>
        </w:rPr>
        <w:t>/</w:t>
      </w:r>
      <w:r w:rsidR="00822B96" w:rsidRPr="00636D7E">
        <w:rPr>
          <w:rFonts w:asciiTheme="majorHAnsi" w:hAnsiTheme="majorHAnsi"/>
          <w:b/>
          <w:sz w:val="18"/>
          <w:szCs w:val="20"/>
          <w:lang w:val="es-ES_tradnl"/>
        </w:rPr>
        <w:t>17</w:t>
      </w:r>
      <w:r w:rsidR="00822B96" w:rsidRPr="00636D7E">
        <w:rPr>
          <w:rStyle w:val="FootnoteReference"/>
          <w:rFonts w:ascii="Cambria" w:hAnsi="Cambria"/>
          <w:b/>
          <w:sz w:val="18"/>
          <w:szCs w:val="18"/>
          <w:lang w:val="es-ES_tradnl"/>
        </w:rPr>
        <w:footnoteReference w:id="2"/>
      </w:r>
    </w:p>
    <w:p w14:paraId="4F0C471D" w14:textId="77777777" w:rsidR="00722C9F" w:rsidRPr="00636D7E" w:rsidRDefault="00722C9F" w:rsidP="00722C9F">
      <w:pPr>
        <w:tabs>
          <w:tab w:val="center" w:pos="5400"/>
        </w:tabs>
        <w:suppressAutoHyphens/>
        <w:spacing w:line="276" w:lineRule="auto"/>
        <w:jc w:val="center"/>
        <w:rPr>
          <w:rFonts w:asciiTheme="majorHAnsi" w:hAnsiTheme="majorHAnsi"/>
          <w:b/>
          <w:sz w:val="18"/>
          <w:szCs w:val="20"/>
          <w:lang w:val="es-ES_tradnl"/>
        </w:rPr>
      </w:pPr>
      <w:r w:rsidRPr="00636D7E">
        <w:rPr>
          <w:rFonts w:asciiTheme="majorHAnsi" w:hAnsiTheme="majorHAnsi"/>
          <w:b/>
          <w:sz w:val="18"/>
          <w:szCs w:val="20"/>
          <w:lang w:val="es-ES_tradnl"/>
        </w:rPr>
        <w:t xml:space="preserve">PETICIÓN </w:t>
      </w:r>
      <w:r w:rsidR="00242B78" w:rsidRPr="00636D7E">
        <w:rPr>
          <w:rFonts w:asciiTheme="majorHAnsi" w:hAnsiTheme="majorHAnsi"/>
          <w:b/>
          <w:sz w:val="18"/>
          <w:szCs w:val="20"/>
          <w:lang w:val="es-ES_tradnl"/>
        </w:rPr>
        <w:t>795</w:t>
      </w:r>
      <w:r w:rsidRPr="00636D7E">
        <w:rPr>
          <w:rFonts w:asciiTheme="majorHAnsi" w:hAnsiTheme="majorHAnsi"/>
          <w:b/>
          <w:sz w:val="18"/>
          <w:szCs w:val="20"/>
          <w:lang w:val="es-ES_tradnl"/>
        </w:rPr>
        <w:t>-</w:t>
      </w:r>
      <w:r w:rsidR="00242B78" w:rsidRPr="00636D7E">
        <w:rPr>
          <w:rFonts w:asciiTheme="majorHAnsi" w:hAnsiTheme="majorHAnsi"/>
          <w:b/>
          <w:sz w:val="18"/>
          <w:szCs w:val="20"/>
          <w:lang w:val="es-ES_tradnl"/>
        </w:rPr>
        <w:t>08</w:t>
      </w:r>
      <w:r w:rsidRPr="00636D7E">
        <w:rPr>
          <w:rFonts w:asciiTheme="majorHAnsi" w:hAnsiTheme="majorHAnsi"/>
          <w:b/>
          <w:sz w:val="18"/>
          <w:szCs w:val="20"/>
          <w:lang w:val="es-ES_tradnl"/>
        </w:rPr>
        <w:t xml:space="preserve"> </w:t>
      </w:r>
    </w:p>
    <w:p w14:paraId="2510F44F" w14:textId="77777777" w:rsidR="00722C9F" w:rsidRPr="00636D7E" w:rsidRDefault="00722C9F" w:rsidP="00722C9F">
      <w:pPr>
        <w:tabs>
          <w:tab w:val="center" w:pos="5400"/>
        </w:tabs>
        <w:suppressAutoHyphens/>
        <w:spacing w:line="276" w:lineRule="auto"/>
        <w:jc w:val="center"/>
        <w:rPr>
          <w:rFonts w:asciiTheme="majorHAnsi" w:hAnsiTheme="majorHAnsi"/>
          <w:sz w:val="18"/>
          <w:szCs w:val="20"/>
          <w:lang w:val="es-ES_tradnl"/>
        </w:rPr>
      </w:pPr>
      <w:r w:rsidRPr="00636D7E">
        <w:rPr>
          <w:rFonts w:asciiTheme="majorHAnsi" w:hAnsiTheme="majorHAnsi"/>
          <w:sz w:val="18"/>
          <w:szCs w:val="20"/>
          <w:lang w:val="es-ES_tradnl"/>
        </w:rPr>
        <w:t>INFORME DE A</w:t>
      </w:r>
      <w:r w:rsidR="005A24ED" w:rsidRPr="00636D7E">
        <w:rPr>
          <w:rFonts w:asciiTheme="majorHAnsi" w:hAnsiTheme="majorHAnsi"/>
          <w:sz w:val="18"/>
          <w:szCs w:val="20"/>
          <w:lang w:val="es-ES_tradnl"/>
        </w:rPr>
        <w:t xml:space="preserve">DMISIBILIDAD </w:t>
      </w:r>
    </w:p>
    <w:p w14:paraId="16794D33" w14:textId="77777777" w:rsidR="00722C9F" w:rsidRPr="00636D7E" w:rsidRDefault="00822B96" w:rsidP="00722C9F">
      <w:pPr>
        <w:tabs>
          <w:tab w:val="center" w:pos="5400"/>
        </w:tabs>
        <w:suppressAutoHyphens/>
        <w:spacing w:line="276" w:lineRule="auto"/>
        <w:jc w:val="center"/>
        <w:rPr>
          <w:rFonts w:asciiTheme="majorHAnsi" w:hAnsiTheme="majorHAnsi"/>
          <w:sz w:val="18"/>
          <w:szCs w:val="20"/>
          <w:lang w:val="es-ES_tradnl"/>
        </w:rPr>
      </w:pPr>
      <w:r w:rsidRPr="00636D7E">
        <w:rPr>
          <w:rFonts w:asciiTheme="majorHAnsi" w:hAnsiTheme="majorHAnsi"/>
          <w:sz w:val="18"/>
          <w:szCs w:val="20"/>
          <w:lang w:val="es-ES_tradnl"/>
        </w:rPr>
        <w:t>ROSALÍA</w:t>
      </w:r>
      <w:r w:rsidR="00242B78" w:rsidRPr="00636D7E">
        <w:rPr>
          <w:rFonts w:asciiTheme="majorHAnsi" w:hAnsiTheme="majorHAnsi"/>
          <w:sz w:val="18"/>
          <w:szCs w:val="20"/>
          <w:lang w:val="es-ES_tradnl"/>
        </w:rPr>
        <w:t xml:space="preserve"> BENAVIDES FRANCO Y OTROS </w:t>
      </w:r>
    </w:p>
    <w:p w14:paraId="4693507A" w14:textId="77777777" w:rsidR="0070697F" w:rsidRPr="00636D7E" w:rsidRDefault="00242B78" w:rsidP="00722C9F">
      <w:pPr>
        <w:tabs>
          <w:tab w:val="center" w:pos="5400"/>
        </w:tabs>
        <w:suppressAutoHyphens/>
        <w:spacing w:line="276" w:lineRule="auto"/>
        <w:jc w:val="center"/>
        <w:rPr>
          <w:rFonts w:asciiTheme="majorHAnsi" w:hAnsiTheme="majorHAnsi"/>
          <w:sz w:val="18"/>
          <w:szCs w:val="20"/>
          <w:lang w:val="es-ES_tradnl"/>
        </w:rPr>
      </w:pPr>
      <w:r w:rsidRPr="00636D7E">
        <w:rPr>
          <w:rFonts w:asciiTheme="majorHAnsi" w:hAnsiTheme="majorHAnsi"/>
          <w:sz w:val="18"/>
          <w:szCs w:val="20"/>
          <w:lang w:val="es-ES_tradnl"/>
        </w:rPr>
        <w:t>COLOMBIA</w:t>
      </w:r>
    </w:p>
    <w:p w14:paraId="1C8345F1" w14:textId="53AC0DD5" w:rsidR="00722C9F" w:rsidRPr="00636D7E" w:rsidRDefault="00527E34"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7 DE SEPTIEMBRE DE 2017</w:t>
      </w:r>
    </w:p>
    <w:p w14:paraId="731EFE6C" w14:textId="77777777" w:rsidR="0070697F" w:rsidRPr="00636D7E" w:rsidRDefault="0070697F" w:rsidP="001D65EF">
      <w:pPr>
        <w:tabs>
          <w:tab w:val="center" w:pos="5400"/>
        </w:tabs>
        <w:suppressAutoHyphens/>
        <w:spacing w:line="276" w:lineRule="auto"/>
        <w:rPr>
          <w:rFonts w:asciiTheme="majorHAnsi" w:hAnsiTheme="majorHAnsi"/>
          <w:sz w:val="20"/>
          <w:szCs w:val="20"/>
          <w:lang w:val="es-ES_tradnl"/>
        </w:rPr>
      </w:pPr>
    </w:p>
    <w:p w14:paraId="07136734" w14:textId="77777777" w:rsidR="003239B8" w:rsidRPr="00636D7E" w:rsidRDefault="003239B8" w:rsidP="003239B8">
      <w:pPr>
        <w:spacing w:after="240"/>
        <w:ind w:firstLine="720"/>
        <w:jc w:val="both"/>
        <w:rPr>
          <w:rFonts w:asciiTheme="majorHAnsi" w:hAnsiTheme="majorHAnsi"/>
          <w:b/>
          <w:bCs/>
          <w:sz w:val="20"/>
          <w:szCs w:val="20"/>
          <w:lang w:val="es-ES"/>
        </w:rPr>
      </w:pPr>
      <w:r w:rsidRPr="00636D7E">
        <w:rPr>
          <w:rFonts w:asciiTheme="majorHAnsi" w:hAnsiTheme="majorHAnsi"/>
          <w:b/>
          <w:bCs/>
          <w:sz w:val="20"/>
          <w:szCs w:val="20"/>
          <w:lang w:val="es-ES"/>
        </w:rPr>
        <w:t>I.</w:t>
      </w:r>
      <w:r w:rsidRPr="00636D7E">
        <w:rPr>
          <w:rFonts w:asciiTheme="majorHAnsi" w:hAnsiTheme="majorHAnsi"/>
          <w:b/>
          <w:bCs/>
          <w:sz w:val="20"/>
          <w:szCs w:val="20"/>
          <w:lang w:val="es-ES"/>
        </w:rPr>
        <w:tab/>
        <w:t xml:space="preserve">DATOS DE LA PETICIÓN </w:t>
      </w:r>
    </w:p>
    <w:tbl>
      <w:tblPr>
        <w:tblStyle w:val="TableGrid"/>
        <w:tblW w:w="9360" w:type="dxa"/>
        <w:tblInd w:w="-5" w:type="dxa"/>
        <w:tblBorders>
          <w:insideH w:val="single" w:sz="6" w:space="0" w:color="auto"/>
          <w:insideV w:val="single" w:sz="6" w:space="0" w:color="auto"/>
        </w:tblBorders>
        <w:tblLook w:val="04A0" w:firstRow="1" w:lastRow="0" w:firstColumn="1" w:lastColumn="0" w:noHBand="0" w:noVBand="1"/>
      </w:tblPr>
      <w:tblGrid>
        <w:gridCol w:w="3780"/>
        <w:gridCol w:w="5580"/>
      </w:tblGrid>
      <w:tr w:rsidR="003239B8" w:rsidRPr="00090FA9" w14:paraId="3440EA27" w14:textId="77777777" w:rsidTr="00405678">
        <w:tc>
          <w:tcPr>
            <w:tcW w:w="3780" w:type="dxa"/>
            <w:tcBorders>
              <w:top w:val="single" w:sz="4" w:space="0" w:color="auto"/>
              <w:bottom w:val="single" w:sz="6" w:space="0" w:color="auto"/>
            </w:tcBorders>
            <w:shd w:val="clear" w:color="auto" w:fill="386294"/>
            <w:vAlign w:val="center"/>
          </w:tcPr>
          <w:p w14:paraId="0E6AF402" w14:textId="77777777" w:rsidR="003239B8" w:rsidRPr="00636D7E" w:rsidRDefault="003239B8" w:rsidP="00E95692">
            <w:pPr>
              <w:jc w:val="center"/>
              <w:rPr>
                <w:rFonts w:ascii="Cambria" w:hAnsi="Cambria"/>
                <w:b/>
                <w:bCs/>
                <w:color w:val="FFFFFF" w:themeColor="background1"/>
                <w:sz w:val="20"/>
                <w:szCs w:val="20"/>
              </w:rPr>
            </w:pPr>
            <w:r w:rsidRPr="00636D7E">
              <w:rPr>
                <w:rFonts w:ascii="Cambria" w:hAnsi="Cambria"/>
                <w:b/>
                <w:bCs/>
                <w:color w:val="FFFFFF" w:themeColor="background1"/>
                <w:sz w:val="20"/>
                <w:szCs w:val="20"/>
              </w:rPr>
              <w:t>Parte peticionaria:</w:t>
            </w:r>
          </w:p>
        </w:tc>
        <w:tc>
          <w:tcPr>
            <w:tcW w:w="5580" w:type="dxa"/>
            <w:vAlign w:val="center"/>
          </w:tcPr>
          <w:p w14:paraId="381FBA75" w14:textId="77777777" w:rsidR="003239B8" w:rsidRPr="00636D7E" w:rsidRDefault="00DB0431" w:rsidP="00E95692">
            <w:pPr>
              <w:jc w:val="both"/>
              <w:rPr>
                <w:rFonts w:ascii="Cambria" w:hAnsi="Cambria"/>
                <w:bCs/>
                <w:sz w:val="20"/>
                <w:szCs w:val="20"/>
                <w:lang w:val="es-MX"/>
              </w:rPr>
            </w:pPr>
            <w:r w:rsidRPr="00636D7E">
              <w:rPr>
                <w:rFonts w:ascii="Cambria" w:hAnsi="Cambria"/>
                <w:bCs/>
                <w:sz w:val="20"/>
                <w:szCs w:val="20"/>
                <w:lang w:val="es-MX"/>
              </w:rPr>
              <w:t>Walter Mondrag</w:t>
            </w:r>
            <w:r w:rsidR="000026ED" w:rsidRPr="00636D7E">
              <w:rPr>
                <w:rFonts w:ascii="Cambria" w:hAnsi="Cambria"/>
                <w:bCs/>
                <w:sz w:val="20"/>
                <w:szCs w:val="20"/>
                <w:lang w:val="es-MX"/>
              </w:rPr>
              <w:t xml:space="preserve">ón Delgado, Alexander Montaña Narvaez </w:t>
            </w:r>
            <w:r w:rsidR="00980C3A" w:rsidRPr="00636D7E">
              <w:rPr>
                <w:rFonts w:ascii="Cambria" w:hAnsi="Cambria"/>
                <w:bCs/>
                <w:sz w:val="20"/>
                <w:szCs w:val="20"/>
                <w:lang w:val="es-MX"/>
              </w:rPr>
              <w:t>y Corporación Justicia y Dignidad</w:t>
            </w:r>
          </w:p>
        </w:tc>
      </w:tr>
      <w:tr w:rsidR="003239B8" w:rsidRPr="00090FA9" w14:paraId="5E5425BE" w14:textId="77777777" w:rsidTr="00405678">
        <w:tc>
          <w:tcPr>
            <w:tcW w:w="3780" w:type="dxa"/>
            <w:tcBorders>
              <w:top w:val="single" w:sz="6" w:space="0" w:color="auto"/>
              <w:bottom w:val="single" w:sz="6" w:space="0" w:color="auto"/>
            </w:tcBorders>
            <w:shd w:val="clear" w:color="auto" w:fill="386294"/>
            <w:vAlign w:val="center"/>
          </w:tcPr>
          <w:p w14:paraId="3963B73B" w14:textId="2FDAA873" w:rsidR="003239B8" w:rsidRPr="00636D7E" w:rsidRDefault="00A926C6" w:rsidP="00E95692">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D87B1B" w:rsidRPr="00636D7E">
                  <w:rPr>
                    <w:rFonts w:ascii="Cambria" w:hAnsi="Cambria"/>
                    <w:b/>
                    <w:bCs/>
                    <w:color w:val="FFFFFF" w:themeColor="background1"/>
                    <w:sz w:val="20"/>
                    <w:szCs w:val="20"/>
                  </w:rPr>
                  <w:t>Presuntas víctimas</w:t>
                </w:r>
              </w:sdtContent>
            </w:sdt>
            <w:r w:rsidR="003239B8" w:rsidRPr="00636D7E">
              <w:rPr>
                <w:rFonts w:ascii="Cambria" w:hAnsi="Cambria"/>
                <w:b/>
                <w:bCs/>
                <w:color w:val="FFFFFF" w:themeColor="background1"/>
                <w:sz w:val="20"/>
                <w:szCs w:val="20"/>
              </w:rPr>
              <w:t>:</w:t>
            </w:r>
          </w:p>
        </w:tc>
        <w:tc>
          <w:tcPr>
            <w:tcW w:w="5580" w:type="dxa"/>
            <w:vAlign w:val="center"/>
          </w:tcPr>
          <w:p w14:paraId="41791CD6" w14:textId="77777777" w:rsidR="003239B8" w:rsidRPr="00636D7E" w:rsidRDefault="00822B96" w:rsidP="00E95692">
            <w:pPr>
              <w:jc w:val="both"/>
              <w:rPr>
                <w:rFonts w:ascii="Cambria" w:hAnsi="Cambria"/>
                <w:bCs/>
                <w:sz w:val="20"/>
                <w:szCs w:val="20"/>
                <w:lang w:val="es-MX"/>
              </w:rPr>
            </w:pPr>
            <w:r w:rsidRPr="00636D7E">
              <w:rPr>
                <w:rFonts w:ascii="Cambria" w:hAnsi="Cambria"/>
                <w:bCs/>
                <w:sz w:val="20"/>
                <w:szCs w:val="20"/>
                <w:lang w:val="es-MX"/>
              </w:rPr>
              <w:t>Rosalía</w:t>
            </w:r>
            <w:r w:rsidR="00DB0431" w:rsidRPr="00636D7E">
              <w:rPr>
                <w:rFonts w:ascii="Cambria" w:hAnsi="Cambria"/>
                <w:bCs/>
                <w:sz w:val="20"/>
                <w:szCs w:val="20"/>
                <w:lang w:val="es-MX"/>
              </w:rPr>
              <w:t xml:space="preserve"> Benavides Franco</w:t>
            </w:r>
            <w:r w:rsidR="00503B2A" w:rsidRPr="00636D7E">
              <w:rPr>
                <w:rFonts w:ascii="Cambria" w:hAnsi="Cambria"/>
                <w:bCs/>
                <w:sz w:val="20"/>
                <w:szCs w:val="20"/>
                <w:lang w:val="es-MX"/>
              </w:rPr>
              <w:t xml:space="preserve"> y otros</w:t>
            </w:r>
            <w:r w:rsidR="00DB0431" w:rsidRPr="00636D7E">
              <w:rPr>
                <w:rStyle w:val="FootnoteReference"/>
                <w:rFonts w:ascii="Cambria" w:hAnsi="Cambria"/>
                <w:bCs/>
                <w:sz w:val="20"/>
                <w:szCs w:val="20"/>
              </w:rPr>
              <w:footnoteReference w:id="3"/>
            </w:r>
          </w:p>
        </w:tc>
      </w:tr>
      <w:tr w:rsidR="003239B8" w:rsidRPr="00636D7E" w14:paraId="3B644FD5" w14:textId="77777777" w:rsidTr="00405678">
        <w:tc>
          <w:tcPr>
            <w:tcW w:w="3780" w:type="dxa"/>
            <w:tcBorders>
              <w:top w:val="single" w:sz="6" w:space="0" w:color="auto"/>
              <w:bottom w:val="single" w:sz="6" w:space="0" w:color="auto"/>
            </w:tcBorders>
            <w:shd w:val="clear" w:color="auto" w:fill="386294"/>
            <w:vAlign w:val="center"/>
          </w:tcPr>
          <w:p w14:paraId="5D38C85B" w14:textId="77777777" w:rsidR="003239B8" w:rsidRPr="00636D7E" w:rsidRDefault="003239B8" w:rsidP="00E95692">
            <w:pPr>
              <w:jc w:val="center"/>
              <w:rPr>
                <w:rFonts w:ascii="Cambria" w:hAnsi="Cambria"/>
                <w:b/>
                <w:bCs/>
                <w:color w:val="FFFFFF" w:themeColor="background1"/>
                <w:sz w:val="20"/>
                <w:szCs w:val="20"/>
              </w:rPr>
            </w:pPr>
            <w:r w:rsidRPr="00636D7E">
              <w:rPr>
                <w:rFonts w:ascii="Cambria" w:hAnsi="Cambria"/>
                <w:b/>
                <w:bCs/>
                <w:color w:val="FFFFFF" w:themeColor="background1"/>
                <w:sz w:val="20"/>
                <w:szCs w:val="20"/>
              </w:rPr>
              <w:t>Estado denunciado:</w:t>
            </w:r>
          </w:p>
        </w:tc>
        <w:tc>
          <w:tcPr>
            <w:tcW w:w="5580" w:type="dxa"/>
            <w:vAlign w:val="center"/>
          </w:tcPr>
          <w:p w14:paraId="666B3F32" w14:textId="77777777" w:rsidR="003239B8" w:rsidRPr="00636D7E" w:rsidRDefault="000A6607" w:rsidP="00E95692">
            <w:pPr>
              <w:jc w:val="both"/>
              <w:rPr>
                <w:rFonts w:ascii="Cambria" w:hAnsi="Cambria"/>
                <w:bCs/>
                <w:sz w:val="20"/>
                <w:szCs w:val="20"/>
              </w:rPr>
            </w:pPr>
            <w:r w:rsidRPr="00636D7E">
              <w:rPr>
                <w:rFonts w:ascii="Cambria" w:hAnsi="Cambria"/>
                <w:bCs/>
                <w:sz w:val="20"/>
                <w:szCs w:val="20"/>
              </w:rPr>
              <w:t>Colombia</w:t>
            </w:r>
          </w:p>
        </w:tc>
      </w:tr>
      <w:tr w:rsidR="00052911" w:rsidRPr="00090FA9" w14:paraId="0FED42FE" w14:textId="77777777" w:rsidTr="00405678">
        <w:tc>
          <w:tcPr>
            <w:tcW w:w="3780" w:type="dxa"/>
            <w:tcBorders>
              <w:top w:val="single" w:sz="6" w:space="0" w:color="auto"/>
              <w:bottom w:val="single" w:sz="6" w:space="0" w:color="auto"/>
            </w:tcBorders>
            <w:shd w:val="clear" w:color="auto" w:fill="386294"/>
            <w:vAlign w:val="center"/>
          </w:tcPr>
          <w:p w14:paraId="12578316" w14:textId="77777777" w:rsidR="00052911" w:rsidRPr="00636D7E" w:rsidRDefault="00052911" w:rsidP="00E95692">
            <w:pPr>
              <w:jc w:val="center"/>
              <w:rPr>
                <w:rFonts w:ascii="Cambria" w:hAnsi="Cambria"/>
                <w:b/>
                <w:bCs/>
                <w:color w:val="FFFFFF" w:themeColor="background1"/>
                <w:sz w:val="20"/>
                <w:szCs w:val="20"/>
              </w:rPr>
            </w:pPr>
            <w:r w:rsidRPr="00636D7E">
              <w:rPr>
                <w:rFonts w:ascii="Cambria" w:hAnsi="Cambria"/>
                <w:b/>
                <w:bCs/>
                <w:color w:val="FFFFFF" w:themeColor="background1"/>
                <w:sz w:val="20"/>
                <w:szCs w:val="20"/>
              </w:rPr>
              <w:t>Derechos invocados:</w:t>
            </w:r>
          </w:p>
        </w:tc>
        <w:tc>
          <w:tcPr>
            <w:tcW w:w="5580" w:type="dxa"/>
            <w:vAlign w:val="center"/>
          </w:tcPr>
          <w:p w14:paraId="424C9B43" w14:textId="67381320" w:rsidR="00052911" w:rsidRPr="00636D7E" w:rsidRDefault="00241FCA" w:rsidP="00D542BF">
            <w:pPr>
              <w:jc w:val="both"/>
              <w:rPr>
                <w:rFonts w:ascii="Cambria" w:hAnsi="Cambria"/>
                <w:bCs/>
                <w:sz w:val="20"/>
                <w:szCs w:val="20"/>
                <w:lang w:val="es-MX"/>
              </w:rPr>
            </w:pPr>
            <w:r w:rsidRPr="00636D7E">
              <w:rPr>
                <w:rFonts w:ascii="Cambria" w:hAnsi="Cambria"/>
                <w:sz w:val="20"/>
                <w:szCs w:val="20"/>
                <w:lang w:val="es-MX"/>
              </w:rPr>
              <w:t xml:space="preserve">Artículos </w:t>
            </w:r>
            <w:r w:rsidRPr="00636D7E">
              <w:rPr>
                <w:rFonts w:ascii="Cambria" w:hAnsi="Cambria"/>
                <w:sz w:val="20"/>
                <w:szCs w:val="20"/>
                <w:lang w:val="es-ES"/>
              </w:rPr>
              <w:t>1.1</w:t>
            </w:r>
            <w:r w:rsidR="00AF568C" w:rsidRPr="00636D7E">
              <w:rPr>
                <w:rFonts w:ascii="Cambria" w:hAnsi="Cambria"/>
                <w:sz w:val="20"/>
                <w:szCs w:val="20"/>
                <w:lang w:val="es-ES"/>
              </w:rPr>
              <w:t xml:space="preserve"> </w:t>
            </w:r>
            <w:r w:rsidR="00AF568C" w:rsidRPr="00636D7E">
              <w:rPr>
                <w:rFonts w:asciiTheme="majorHAnsi" w:hAnsiTheme="majorHAnsi"/>
                <w:sz w:val="20"/>
                <w:szCs w:val="20"/>
                <w:lang w:val="es-AR"/>
              </w:rPr>
              <w:t>(obligación de respetar los derechos)</w:t>
            </w:r>
            <w:r w:rsidRPr="00636D7E">
              <w:rPr>
                <w:rFonts w:ascii="Cambria" w:hAnsi="Cambria"/>
                <w:sz w:val="20"/>
                <w:szCs w:val="20"/>
                <w:lang w:val="es-ES"/>
              </w:rPr>
              <w:t xml:space="preserve">, </w:t>
            </w:r>
            <w:r w:rsidR="00AF568C" w:rsidRPr="00636D7E">
              <w:rPr>
                <w:rFonts w:asciiTheme="majorHAnsi" w:hAnsiTheme="majorHAnsi"/>
                <w:sz w:val="20"/>
                <w:szCs w:val="20"/>
                <w:lang w:val="es-AR"/>
              </w:rPr>
              <w:t xml:space="preserve">3 (reconocimiento de la personalidad jurídica), 4 (vida), 5 (integridad personal), 7 (libertad personal), 8 (garantías judiciales), 11 (protección de la honra y dignidad), 17 (familia), 19 (derechos del niño), 22 (circulación y de residencia) y 25 (protección judicial) </w:t>
            </w:r>
            <w:r w:rsidRPr="00636D7E">
              <w:rPr>
                <w:rFonts w:ascii="Cambria" w:hAnsi="Cambria"/>
                <w:sz w:val="20"/>
                <w:szCs w:val="20"/>
                <w:lang w:val="es-ES"/>
              </w:rPr>
              <w:t>de la Convención Americana sobre Derechos Humanos</w:t>
            </w:r>
            <w:r w:rsidRPr="00636D7E">
              <w:rPr>
                <w:rStyle w:val="FootnoteReference"/>
                <w:rFonts w:ascii="Cambria" w:hAnsi="Cambria"/>
                <w:bCs/>
                <w:sz w:val="20"/>
                <w:szCs w:val="20"/>
                <w:lang w:val="es-MX"/>
              </w:rPr>
              <w:footnoteReference w:id="4"/>
            </w:r>
            <w:r w:rsidR="00745E83" w:rsidRPr="00636D7E">
              <w:rPr>
                <w:rFonts w:ascii="Cambria" w:hAnsi="Cambria"/>
                <w:sz w:val="20"/>
                <w:szCs w:val="20"/>
                <w:lang w:val="es-ES"/>
              </w:rPr>
              <w:t>;</w:t>
            </w:r>
            <w:r w:rsidRPr="00636D7E">
              <w:rPr>
                <w:rFonts w:ascii="Cambria" w:hAnsi="Cambria"/>
                <w:sz w:val="20"/>
                <w:szCs w:val="20"/>
                <w:lang w:val="es-ES"/>
              </w:rPr>
              <w:t xml:space="preserve"> artículos 3, 4, 5, 6, 7, y 8 de la </w:t>
            </w:r>
            <w:r w:rsidRPr="00636D7E">
              <w:rPr>
                <w:rFonts w:ascii="Cambria" w:hAnsi="Cambria"/>
                <w:bCs/>
                <w:sz w:val="20"/>
                <w:szCs w:val="20"/>
                <w:lang w:val="es-MX"/>
              </w:rPr>
              <w:t>Convención Interamericana para Prevenir, Sancionar y Erradicar la Violencia contra la Mujer, “Belém do Pará”</w:t>
            </w:r>
            <w:r w:rsidRPr="00636D7E">
              <w:rPr>
                <w:rStyle w:val="FootnoteReference"/>
                <w:rFonts w:ascii="Cambria" w:hAnsi="Cambria"/>
                <w:bCs/>
                <w:sz w:val="20"/>
                <w:szCs w:val="20"/>
                <w:lang w:val="es-MX"/>
              </w:rPr>
              <w:footnoteReference w:id="5"/>
            </w:r>
            <w:r w:rsidR="00745E83" w:rsidRPr="00636D7E">
              <w:rPr>
                <w:rFonts w:ascii="Cambria" w:hAnsi="Cambria"/>
                <w:bCs/>
                <w:sz w:val="20"/>
                <w:szCs w:val="20"/>
                <w:lang w:val="es-MX"/>
              </w:rPr>
              <w:t xml:space="preserve"> y </w:t>
            </w:r>
            <w:r w:rsidR="00D542BF" w:rsidRPr="00636D7E">
              <w:rPr>
                <w:rFonts w:ascii="Cambria" w:hAnsi="Cambria"/>
                <w:bCs/>
                <w:sz w:val="20"/>
                <w:szCs w:val="20"/>
                <w:lang w:val="es-MX"/>
              </w:rPr>
              <w:t>otros tratados internacionales</w:t>
            </w:r>
            <w:r w:rsidR="00D542BF" w:rsidRPr="00636D7E">
              <w:rPr>
                <w:rStyle w:val="FootnoteReference"/>
                <w:rFonts w:ascii="Cambria" w:hAnsi="Cambria"/>
                <w:bCs/>
                <w:sz w:val="20"/>
                <w:szCs w:val="20"/>
                <w:lang w:val="es-MX"/>
              </w:rPr>
              <w:footnoteReference w:id="6"/>
            </w:r>
            <w:r w:rsidR="00D542BF" w:rsidRPr="00636D7E">
              <w:rPr>
                <w:rFonts w:ascii="Cambria" w:hAnsi="Cambria"/>
                <w:bCs/>
                <w:sz w:val="20"/>
                <w:szCs w:val="20"/>
                <w:lang w:val="es-MX"/>
              </w:rPr>
              <w:t xml:space="preserve"> </w:t>
            </w:r>
          </w:p>
        </w:tc>
      </w:tr>
    </w:tbl>
    <w:p w14:paraId="1C2FC219" w14:textId="77777777" w:rsidR="003239B8" w:rsidRPr="00636D7E" w:rsidRDefault="003239B8" w:rsidP="003239B8">
      <w:pPr>
        <w:spacing w:before="240" w:after="240"/>
        <w:ind w:firstLine="720"/>
        <w:jc w:val="both"/>
        <w:rPr>
          <w:rFonts w:asciiTheme="majorHAnsi" w:hAnsiTheme="majorHAnsi"/>
          <w:b/>
          <w:bCs/>
          <w:sz w:val="20"/>
          <w:szCs w:val="20"/>
          <w:lang w:val="es-MX"/>
        </w:rPr>
      </w:pPr>
      <w:r w:rsidRPr="00636D7E">
        <w:rPr>
          <w:rFonts w:asciiTheme="majorHAnsi" w:hAnsiTheme="majorHAnsi"/>
          <w:b/>
          <w:bCs/>
          <w:sz w:val="20"/>
          <w:szCs w:val="20"/>
          <w:lang w:val="es-ES"/>
        </w:rPr>
        <w:t>II.</w:t>
      </w:r>
      <w:r w:rsidRPr="00636D7E">
        <w:rPr>
          <w:rFonts w:asciiTheme="majorHAnsi" w:hAnsiTheme="majorHAnsi"/>
          <w:b/>
          <w:bCs/>
          <w:sz w:val="20"/>
          <w:szCs w:val="20"/>
          <w:lang w:val="es-ES"/>
        </w:rPr>
        <w:tab/>
        <w:t>TRÁMITE ANTE LA CIDH</w:t>
      </w:r>
      <w:r w:rsidR="00052911" w:rsidRPr="00636D7E">
        <w:rPr>
          <w:rStyle w:val="FootnoteReference"/>
          <w:rFonts w:ascii="Cambria" w:hAnsi="Cambria"/>
          <w:b/>
          <w:sz w:val="20"/>
          <w:szCs w:val="20"/>
        </w:rPr>
        <w:footnoteReference w:id="7"/>
      </w:r>
    </w:p>
    <w:tbl>
      <w:tblPr>
        <w:tblStyle w:val="TableGrid"/>
        <w:tblW w:w="9360" w:type="dxa"/>
        <w:tblInd w:w="-5" w:type="dxa"/>
        <w:tblBorders>
          <w:insideH w:val="single" w:sz="6" w:space="0" w:color="auto"/>
          <w:insideV w:val="single" w:sz="6" w:space="0" w:color="auto"/>
        </w:tblBorders>
        <w:tblLook w:val="04A0" w:firstRow="1" w:lastRow="0" w:firstColumn="1" w:lastColumn="0" w:noHBand="0" w:noVBand="1"/>
      </w:tblPr>
      <w:tblGrid>
        <w:gridCol w:w="3780"/>
        <w:gridCol w:w="5580"/>
      </w:tblGrid>
      <w:tr w:rsidR="003239B8" w:rsidRPr="00636D7E" w14:paraId="53E41C2F" w14:textId="77777777" w:rsidTr="00405678">
        <w:tc>
          <w:tcPr>
            <w:tcW w:w="3780" w:type="dxa"/>
            <w:tcBorders>
              <w:top w:val="single" w:sz="6" w:space="0" w:color="auto"/>
              <w:bottom w:val="single" w:sz="6" w:space="0" w:color="auto"/>
            </w:tcBorders>
            <w:shd w:val="clear" w:color="auto" w:fill="386294"/>
            <w:vAlign w:val="center"/>
          </w:tcPr>
          <w:p w14:paraId="6F35F8EB" w14:textId="77777777" w:rsidR="003239B8" w:rsidRPr="00636D7E" w:rsidRDefault="003239B8" w:rsidP="00E95692">
            <w:pPr>
              <w:jc w:val="center"/>
              <w:rPr>
                <w:rFonts w:ascii="Cambria" w:hAnsi="Cambria"/>
                <w:b/>
                <w:bCs/>
                <w:color w:val="FFFFFF" w:themeColor="background1"/>
                <w:sz w:val="20"/>
                <w:szCs w:val="20"/>
                <w:lang w:val="es-ES"/>
              </w:rPr>
            </w:pPr>
            <w:r w:rsidRPr="00636D7E">
              <w:rPr>
                <w:rFonts w:ascii="Cambria" w:hAnsi="Cambria"/>
                <w:b/>
                <w:bCs/>
                <w:color w:val="FFFFFF" w:themeColor="background1"/>
                <w:sz w:val="20"/>
                <w:szCs w:val="20"/>
                <w:lang w:val="es-ES"/>
              </w:rPr>
              <w:t>Fecha de presentación de la petición:</w:t>
            </w:r>
          </w:p>
        </w:tc>
        <w:tc>
          <w:tcPr>
            <w:tcW w:w="5580" w:type="dxa"/>
            <w:vAlign w:val="center"/>
          </w:tcPr>
          <w:p w14:paraId="049B4649" w14:textId="77777777" w:rsidR="003239B8" w:rsidRPr="00636D7E" w:rsidRDefault="00DE73EF" w:rsidP="00052911">
            <w:pPr>
              <w:jc w:val="both"/>
              <w:rPr>
                <w:rFonts w:ascii="Cambria" w:hAnsi="Cambria"/>
                <w:bCs/>
                <w:sz w:val="20"/>
                <w:szCs w:val="20"/>
                <w:lang w:val="es-ES"/>
              </w:rPr>
            </w:pPr>
            <w:r w:rsidRPr="00636D7E">
              <w:rPr>
                <w:rFonts w:ascii="Cambria" w:hAnsi="Cambria"/>
                <w:bCs/>
                <w:sz w:val="20"/>
                <w:szCs w:val="20"/>
                <w:lang w:val="es-ES"/>
              </w:rPr>
              <w:t>1</w:t>
            </w:r>
            <w:r w:rsidR="00A77C88" w:rsidRPr="00636D7E">
              <w:rPr>
                <w:rFonts w:ascii="Cambria" w:hAnsi="Cambria"/>
                <w:bCs/>
                <w:sz w:val="20"/>
                <w:szCs w:val="20"/>
                <w:lang w:val="es-ES"/>
              </w:rPr>
              <w:t xml:space="preserve"> de julio de 2008</w:t>
            </w:r>
          </w:p>
        </w:tc>
      </w:tr>
      <w:tr w:rsidR="003239B8" w:rsidRPr="00636D7E" w14:paraId="3168693C" w14:textId="77777777" w:rsidTr="00405678">
        <w:tc>
          <w:tcPr>
            <w:tcW w:w="3780" w:type="dxa"/>
            <w:tcBorders>
              <w:top w:val="single" w:sz="6" w:space="0" w:color="auto"/>
              <w:bottom w:val="single" w:sz="6" w:space="0" w:color="auto"/>
            </w:tcBorders>
            <w:shd w:val="clear" w:color="auto" w:fill="386294"/>
            <w:vAlign w:val="center"/>
          </w:tcPr>
          <w:p w14:paraId="711A23B8" w14:textId="77777777" w:rsidR="003239B8" w:rsidRPr="00636D7E" w:rsidRDefault="003239B8" w:rsidP="00E95692">
            <w:pPr>
              <w:jc w:val="center"/>
              <w:rPr>
                <w:rFonts w:ascii="Cambria" w:hAnsi="Cambria"/>
                <w:b/>
                <w:bCs/>
                <w:color w:val="FFFFFF" w:themeColor="background1"/>
                <w:sz w:val="20"/>
                <w:szCs w:val="20"/>
                <w:lang w:val="es-ES"/>
              </w:rPr>
            </w:pPr>
            <w:r w:rsidRPr="00636D7E">
              <w:rPr>
                <w:rFonts w:ascii="Cambria" w:hAnsi="Cambria"/>
                <w:b/>
                <w:color w:val="FFFFFF" w:themeColor="background1"/>
                <w:sz w:val="20"/>
                <w:szCs w:val="20"/>
                <w:lang w:val="es-ES"/>
              </w:rPr>
              <w:t>Fecha de notificación de la petición al Estado:</w:t>
            </w:r>
          </w:p>
        </w:tc>
        <w:tc>
          <w:tcPr>
            <w:tcW w:w="5580" w:type="dxa"/>
            <w:vAlign w:val="center"/>
          </w:tcPr>
          <w:p w14:paraId="12D93239" w14:textId="77777777" w:rsidR="003239B8" w:rsidRPr="00636D7E" w:rsidRDefault="00DE73EF" w:rsidP="00E95692">
            <w:pPr>
              <w:jc w:val="both"/>
              <w:rPr>
                <w:rFonts w:ascii="Cambria" w:hAnsi="Cambria"/>
                <w:bCs/>
                <w:sz w:val="20"/>
                <w:szCs w:val="20"/>
                <w:lang w:val="es-ES"/>
              </w:rPr>
            </w:pPr>
            <w:r w:rsidRPr="00636D7E">
              <w:rPr>
                <w:rFonts w:ascii="Cambria" w:hAnsi="Cambria"/>
                <w:bCs/>
                <w:sz w:val="20"/>
                <w:szCs w:val="20"/>
                <w:lang w:val="es-ES"/>
              </w:rPr>
              <w:t>26 de julio de 2010</w:t>
            </w:r>
          </w:p>
        </w:tc>
      </w:tr>
      <w:tr w:rsidR="003239B8" w:rsidRPr="00636D7E" w14:paraId="1F855F5C" w14:textId="77777777" w:rsidTr="00405678">
        <w:tc>
          <w:tcPr>
            <w:tcW w:w="3780" w:type="dxa"/>
            <w:tcBorders>
              <w:top w:val="single" w:sz="6" w:space="0" w:color="auto"/>
              <w:bottom w:val="single" w:sz="6" w:space="0" w:color="auto"/>
            </w:tcBorders>
            <w:shd w:val="clear" w:color="auto" w:fill="386294"/>
            <w:vAlign w:val="center"/>
          </w:tcPr>
          <w:p w14:paraId="0D99E2F0" w14:textId="77777777" w:rsidR="003239B8" w:rsidRPr="00636D7E" w:rsidRDefault="003239B8" w:rsidP="00E95692">
            <w:pPr>
              <w:jc w:val="center"/>
              <w:rPr>
                <w:rFonts w:ascii="Cambria" w:hAnsi="Cambria"/>
                <w:b/>
                <w:bCs/>
                <w:color w:val="FFFFFF" w:themeColor="background1"/>
                <w:sz w:val="20"/>
                <w:szCs w:val="20"/>
                <w:lang w:val="es-ES"/>
              </w:rPr>
            </w:pPr>
            <w:r w:rsidRPr="00636D7E">
              <w:rPr>
                <w:rFonts w:ascii="Cambria" w:hAnsi="Cambria"/>
                <w:b/>
                <w:color w:val="FFFFFF" w:themeColor="background1"/>
                <w:sz w:val="20"/>
                <w:szCs w:val="20"/>
                <w:lang w:val="es-ES"/>
              </w:rPr>
              <w:t>Fecha de primera respuesta del Estado:</w:t>
            </w:r>
          </w:p>
        </w:tc>
        <w:tc>
          <w:tcPr>
            <w:tcW w:w="5580" w:type="dxa"/>
            <w:vAlign w:val="center"/>
          </w:tcPr>
          <w:p w14:paraId="63A3D73E" w14:textId="77777777" w:rsidR="003239B8" w:rsidRPr="00636D7E" w:rsidRDefault="00926140" w:rsidP="00E95692">
            <w:pPr>
              <w:jc w:val="both"/>
              <w:rPr>
                <w:rFonts w:ascii="Cambria" w:hAnsi="Cambria"/>
                <w:bCs/>
                <w:sz w:val="20"/>
                <w:szCs w:val="20"/>
                <w:lang w:val="es-ES"/>
              </w:rPr>
            </w:pPr>
            <w:r w:rsidRPr="00636D7E">
              <w:rPr>
                <w:rFonts w:ascii="Cambria" w:hAnsi="Cambria"/>
                <w:bCs/>
                <w:sz w:val="20"/>
                <w:szCs w:val="20"/>
                <w:lang w:val="es-ES"/>
              </w:rPr>
              <w:t>17 de noviembre de 2010</w:t>
            </w:r>
          </w:p>
        </w:tc>
      </w:tr>
      <w:tr w:rsidR="003239B8" w:rsidRPr="00090FA9" w14:paraId="5902AF42" w14:textId="77777777" w:rsidTr="00405678">
        <w:tc>
          <w:tcPr>
            <w:tcW w:w="3780" w:type="dxa"/>
            <w:tcBorders>
              <w:top w:val="single" w:sz="6" w:space="0" w:color="auto"/>
              <w:bottom w:val="single" w:sz="6" w:space="0" w:color="auto"/>
            </w:tcBorders>
            <w:shd w:val="clear" w:color="auto" w:fill="386294"/>
            <w:vAlign w:val="center"/>
          </w:tcPr>
          <w:p w14:paraId="5AA80D3C" w14:textId="77777777" w:rsidR="00052911" w:rsidRPr="00636D7E" w:rsidRDefault="003239B8" w:rsidP="00052911">
            <w:pPr>
              <w:ind w:left="-288"/>
              <w:jc w:val="center"/>
              <w:rPr>
                <w:rFonts w:ascii="Cambria" w:hAnsi="Cambria"/>
                <w:b/>
                <w:bCs/>
                <w:color w:val="FFFFFF" w:themeColor="background1"/>
                <w:sz w:val="20"/>
                <w:szCs w:val="20"/>
                <w:lang w:val="es-ES"/>
              </w:rPr>
            </w:pPr>
            <w:r w:rsidRPr="00636D7E">
              <w:rPr>
                <w:rFonts w:ascii="Cambria" w:hAnsi="Cambria"/>
                <w:b/>
                <w:bCs/>
                <w:color w:val="FFFFFF" w:themeColor="background1"/>
                <w:sz w:val="20"/>
                <w:szCs w:val="20"/>
                <w:lang w:val="es-ES"/>
              </w:rPr>
              <w:t xml:space="preserve">Observaciones adicionales </w:t>
            </w:r>
          </w:p>
          <w:p w14:paraId="7C109534" w14:textId="77777777" w:rsidR="003239B8" w:rsidRPr="00636D7E" w:rsidRDefault="003239B8" w:rsidP="00052911">
            <w:pPr>
              <w:ind w:left="-288"/>
              <w:jc w:val="center"/>
              <w:rPr>
                <w:rFonts w:ascii="Cambria" w:hAnsi="Cambria"/>
                <w:b/>
                <w:bCs/>
                <w:color w:val="FFFFFF" w:themeColor="background1"/>
                <w:sz w:val="20"/>
                <w:szCs w:val="20"/>
                <w:lang w:val="es-ES"/>
              </w:rPr>
            </w:pPr>
            <w:r w:rsidRPr="00636D7E">
              <w:rPr>
                <w:rFonts w:ascii="Cambria" w:hAnsi="Cambria"/>
                <w:b/>
                <w:bCs/>
                <w:color w:val="FFFFFF" w:themeColor="background1"/>
                <w:sz w:val="20"/>
                <w:szCs w:val="20"/>
                <w:lang w:val="es-ES"/>
              </w:rPr>
              <w:t>de la parte peticionaria:</w:t>
            </w:r>
          </w:p>
        </w:tc>
        <w:tc>
          <w:tcPr>
            <w:tcW w:w="5580" w:type="dxa"/>
            <w:vAlign w:val="center"/>
          </w:tcPr>
          <w:p w14:paraId="2338E700" w14:textId="77777777" w:rsidR="003239B8" w:rsidRPr="00636D7E" w:rsidRDefault="00CF4ED5" w:rsidP="00052911">
            <w:pPr>
              <w:jc w:val="both"/>
              <w:rPr>
                <w:rFonts w:ascii="Cambria" w:hAnsi="Cambria"/>
                <w:bCs/>
                <w:sz w:val="20"/>
                <w:szCs w:val="20"/>
                <w:lang w:val="es-ES"/>
              </w:rPr>
            </w:pPr>
            <w:r w:rsidRPr="00636D7E">
              <w:rPr>
                <w:rFonts w:ascii="Cambria" w:hAnsi="Cambria"/>
                <w:bCs/>
                <w:sz w:val="20"/>
                <w:szCs w:val="20"/>
                <w:lang w:val="es-ES"/>
              </w:rPr>
              <w:t>13</w:t>
            </w:r>
            <w:r w:rsidR="00D44EC3" w:rsidRPr="00636D7E">
              <w:rPr>
                <w:rFonts w:ascii="Cambria" w:hAnsi="Cambria"/>
                <w:bCs/>
                <w:sz w:val="20"/>
                <w:szCs w:val="20"/>
                <w:lang w:val="es-ES"/>
              </w:rPr>
              <w:t xml:space="preserve"> de enero de 2011</w:t>
            </w:r>
            <w:r w:rsidR="00CE0E9B" w:rsidRPr="00636D7E">
              <w:rPr>
                <w:rFonts w:ascii="Cambria" w:hAnsi="Cambria"/>
                <w:bCs/>
                <w:sz w:val="20"/>
                <w:szCs w:val="20"/>
                <w:lang w:val="es-ES"/>
              </w:rPr>
              <w:t>, 28 de septiembre de 2012</w:t>
            </w:r>
            <w:r w:rsidR="00E95692" w:rsidRPr="00636D7E">
              <w:rPr>
                <w:rFonts w:ascii="Cambria" w:hAnsi="Cambria"/>
                <w:bCs/>
                <w:sz w:val="20"/>
                <w:szCs w:val="20"/>
                <w:lang w:val="es-ES"/>
              </w:rPr>
              <w:t>, 27 de diciembre de 2012</w:t>
            </w:r>
            <w:r w:rsidR="00D33DE1" w:rsidRPr="00636D7E">
              <w:rPr>
                <w:rFonts w:ascii="Cambria" w:hAnsi="Cambria"/>
                <w:bCs/>
                <w:sz w:val="20"/>
                <w:szCs w:val="20"/>
                <w:lang w:val="es-ES"/>
              </w:rPr>
              <w:t>, 1 de noviembre de 2013</w:t>
            </w:r>
            <w:r w:rsidR="00052911" w:rsidRPr="00636D7E">
              <w:rPr>
                <w:rFonts w:ascii="Cambria" w:hAnsi="Cambria"/>
                <w:bCs/>
                <w:sz w:val="20"/>
                <w:szCs w:val="20"/>
                <w:lang w:val="es-ES"/>
              </w:rPr>
              <w:t xml:space="preserve"> y</w:t>
            </w:r>
            <w:r w:rsidR="00D33DE1" w:rsidRPr="00636D7E">
              <w:rPr>
                <w:rFonts w:ascii="Cambria" w:hAnsi="Cambria"/>
                <w:bCs/>
                <w:sz w:val="20"/>
                <w:szCs w:val="20"/>
                <w:lang w:val="es-ES"/>
              </w:rPr>
              <w:t xml:space="preserve"> </w:t>
            </w:r>
            <w:r w:rsidR="00F22A62" w:rsidRPr="00636D7E">
              <w:rPr>
                <w:rFonts w:ascii="Cambria" w:hAnsi="Cambria"/>
                <w:bCs/>
                <w:sz w:val="20"/>
                <w:szCs w:val="20"/>
                <w:lang w:val="es-ES"/>
              </w:rPr>
              <w:t>4 de marzo de 2014</w:t>
            </w:r>
          </w:p>
        </w:tc>
      </w:tr>
      <w:tr w:rsidR="003239B8" w:rsidRPr="00090FA9" w14:paraId="585DD167" w14:textId="77777777" w:rsidTr="00405678">
        <w:tc>
          <w:tcPr>
            <w:tcW w:w="3780" w:type="dxa"/>
            <w:tcBorders>
              <w:top w:val="single" w:sz="6" w:space="0" w:color="auto"/>
              <w:bottom w:val="single" w:sz="6" w:space="0" w:color="auto"/>
            </w:tcBorders>
            <w:shd w:val="clear" w:color="auto" w:fill="386294"/>
            <w:vAlign w:val="center"/>
          </w:tcPr>
          <w:p w14:paraId="570A6306" w14:textId="77777777" w:rsidR="003239B8" w:rsidRPr="00636D7E" w:rsidRDefault="003239B8" w:rsidP="00052911">
            <w:pPr>
              <w:jc w:val="center"/>
              <w:rPr>
                <w:rFonts w:ascii="Cambria" w:hAnsi="Cambria"/>
                <w:b/>
                <w:bCs/>
                <w:color w:val="FFFFFF" w:themeColor="background1"/>
                <w:sz w:val="20"/>
                <w:szCs w:val="20"/>
              </w:rPr>
            </w:pPr>
            <w:r w:rsidRPr="00636D7E">
              <w:rPr>
                <w:rFonts w:ascii="Cambria" w:hAnsi="Cambria"/>
                <w:b/>
                <w:bCs/>
                <w:color w:val="FFFFFF" w:themeColor="background1"/>
                <w:sz w:val="20"/>
                <w:szCs w:val="20"/>
              </w:rPr>
              <w:t>Observaciones adicionales del Estado:</w:t>
            </w:r>
          </w:p>
        </w:tc>
        <w:tc>
          <w:tcPr>
            <w:tcW w:w="5580" w:type="dxa"/>
            <w:vAlign w:val="center"/>
          </w:tcPr>
          <w:p w14:paraId="4485B42C" w14:textId="77777777" w:rsidR="003239B8" w:rsidRPr="00636D7E" w:rsidRDefault="004C6126" w:rsidP="00E95692">
            <w:pPr>
              <w:jc w:val="both"/>
              <w:rPr>
                <w:rFonts w:ascii="Cambria" w:hAnsi="Cambria"/>
                <w:bCs/>
                <w:sz w:val="20"/>
                <w:szCs w:val="20"/>
                <w:lang w:val="es-MX"/>
              </w:rPr>
            </w:pPr>
            <w:r w:rsidRPr="00636D7E">
              <w:rPr>
                <w:rFonts w:ascii="Cambria" w:hAnsi="Cambria"/>
                <w:bCs/>
                <w:sz w:val="20"/>
                <w:szCs w:val="20"/>
                <w:lang w:val="es-MX"/>
              </w:rPr>
              <w:t>12 de abril de 2011</w:t>
            </w:r>
            <w:r w:rsidR="00052911" w:rsidRPr="00636D7E">
              <w:rPr>
                <w:rFonts w:ascii="Cambria" w:hAnsi="Cambria"/>
                <w:bCs/>
                <w:sz w:val="20"/>
                <w:szCs w:val="20"/>
                <w:lang w:val="es-MX"/>
              </w:rPr>
              <w:t xml:space="preserve"> y</w:t>
            </w:r>
            <w:r w:rsidR="00DF5133" w:rsidRPr="00636D7E">
              <w:rPr>
                <w:rFonts w:ascii="Cambria" w:hAnsi="Cambria"/>
                <w:bCs/>
                <w:sz w:val="20"/>
                <w:szCs w:val="20"/>
                <w:lang w:val="es-MX"/>
              </w:rPr>
              <w:t xml:space="preserve"> 17 de enero de 2014</w:t>
            </w:r>
          </w:p>
        </w:tc>
      </w:tr>
    </w:tbl>
    <w:p w14:paraId="223738F5" w14:textId="77777777" w:rsidR="003239B8" w:rsidRPr="00636D7E" w:rsidRDefault="003239B8" w:rsidP="003239B8">
      <w:pPr>
        <w:spacing w:before="240" w:after="240"/>
        <w:ind w:firstLine="720"/>
        <w:jc w:val="both"/>
        <w:rPr>
          <w:rFonts w:asciiTheme="majorHAnsi" w:hAnsiTheme="majorHAnsi"/>
          <w:b/>
          <w:bCs/>
          <w:sz w:val="20"/>
          <w:szCs w:val="20"/>
          <w:lang w:val="es-ES"/>
        </w:rPr>
      </w:pPr>
      <w:r w:rsidRPr="00636D7E">
        <w:rPr>
          <w:rFonts w:asciiTheme="majorHAnsi" w:hAnsiTheme="majorHAnsi"/>
          <w:b/>
          <w:bCs/>
          <w:sz w:val="20"/>
          <w:szCs w:val="20"/>
          <w:lang w:val="es-ES"/>
        </w:rPr>
        <w:t xml:space="preserve">III. </w:t>
      </w:r>
      <w:r w:rsidRPr="00636D7E">
        <w:rPr>
          <w:rFonts w:asciiTheme="majorHAnsi" w:hAnsiTheme="majorHAnsi"/>
          <w:b/>
          <w:bCs/>
          <w:sz w:val="20"/>
          <w:szCs w:val="20"/>
          <w:lang w:val="es-ES"/>
        </w:rPr>
        <w:tab/>
        <w:t>COMPETENCIA</w:t>
      </w:r>
    </w:p>
    <w:tbl>
      <w:tblPr>
        <w:tblStyle w:val="TableGrid"/>
        <w:tblW w:w="9360" w:type="dxa"/>
        <w:tblInd w:w="-5" w:type="dxa"/>
        <w:tblBorders>
          <w:insideH w:val="single" w:sz="6" w:space="0" w:color="auto"/>
          <w:insideV w:val="single" w:sz="6" w:space="0" w:color="auto"/>
        </w:tblBorders>
        <w:tblLook w:val="04A0" w:firstRow="1" w:lastRow="0" w:firstColumn="1" w:lastColumn="0" w:noHBand="0" w:noVBand="1"/>
      </w:tblPr>
      <w:tblGrid>
        <w:gridCol w:w="3780"/>
        <w:gridCol w:w="5580"/>
      </w:tblGrid>
      <w:tr w:rsidR="003239B8" w:rsidRPr="00636D7E" w14:paraId="6AC62230" w14:textId="77777777" w:rsidTr="00405678">
        <w:trPr>
          <w:cantSplit/>
        </w:trPr>
        <w:tc>
          <w:tcPr>
            <w:tcW w:w="3780" w:type="dxa"/>
            <w:tcBorders>
              <w:top w:val="single" w:sz="4" w:space="0" w:color="auto"/>
              <w:bottom w:val="single" w:sz="6" w:space="0" w:color="auto"/>
            </w:tcBorders>
            <w:shd w:val="clear" w:color="auto" w:fill="386294"/>
            <w:vAlign w:val="center"/>
          </w:tcPr>
          <w:p w14:paraId="3B90CEFE" w14:textId="77777777" w:rsidR="003239B8" w:rsidRPr="00636D7E" w:rsidRDefault="003239B8" w:rsidP="00E95692">
            <w:pPr>
              <w:jc w:val="center"/>
              <w:rPr>
                <w:rFonts w:ascii="Cambria" w:hAnsi="Cambria"/>
                <w:b/>
                <w:bCs/>
                <w:i/>
                <w:color w:val="FFFFFF" w:themeColor="background1"/>
                <w:sz w:val="20"/>
                <w:szCs w:val="20"/>
              </w:rPr>
            </w:pPr>
            <w:r w:rsidRPr="00636D7E">
              <w:rPr>
                <w:rFonts w:ascii="Cambria" w:hAnsi="Cambria"/>
                <w:b/>
                <w:bCs/>
                <w:color w:val="FFFFFF" w:themeColor="background1"/>
                <w:sz w:val="20"/>
                <w:szCs w:val="20"/>
              </w:rPr>
              <w:t>Competencia</w:t>
            </w:r>
            <w:r w:rsidRPr="00636D7E">
              <w:rPr>
                <w:rFonts w:ascii="Cambria" w:hAnsi="Cambria"/>
                <w:b/>
                <w:bCs/>
                <w:i/>
                <w:color w:val="FFFFFF" w:themeColor="background1"/>
                <w:sz w:val="20"/>
                <w:szCs w:val="20"/>
              </w:rPr>
              <w:t xml:space="preserve"> Ratione personae:</w:t>
            </w:r>
          </w:p>
        </w:tc>
        <w:tc>
          <w:tcPr>
            <w:tcW w:w="5580" w:type="dxa"/>
            <w:vAlign w:val="center"/>
          </w:tcPr>
          <w:p w14:paraId="3D61C4C2" w14:textId="77777777" w:rsidR="003239B8" w:rsidRPr="00636D7E" w:rsidRDefault="00503B2A" w:rsidP="00E95692">
            <w:pPr>
              <w:rPr>
                <w:rFonts w:ascii="Cambria" w:hAnsi="Cambria"/>
                <w:bCs/>
                <w:sz w:val="20"/>
                <w:szCs w:val="20"/>
              </w:rPr>
            </w:pPr>
            <w:r w:rsidRPr="00636D7E">
              <w:rPr>
                <w:rFonts w:ascii="Cambria" w:hAnsi="Cambria"/>
                <w:bCs/>
                <w:sz w:val="20"/>
                <w:szCs w:val="20"/>
              </w:rPr>
              <w:t>Sí</w:t>
            </w:r>
          </w:p>
        </w:tc>
      </w:tr>
      <w:tr w:rsidR="003239B8" w:rsidRPr="00636D7E" w14:paraId="7684DA1E" w14:textId="77777777" w:rsidTr="00405678">
        <w:trPr>
          <w:cantSplit/>
        </w:trPr>
        <w:tc>
          <w:tcPr>
            <w:tcW w:w="3780" w:type="dxa"/>
            <w:tcBorders>
              <w:top w:val="single" w:sz="6" w:space="0" w:color="auto"/>
              <w:bottom w:val="single" w:sz="6" w:space="0" w:color="auto"/>
            </w:tcBorders>
            <w:shd w:val="clear" w:color="auto" w:fill="386294"/>
            <w:vAlign w:val="center"/>
          </w:tcPr>
          <w:p w14:paraId="4E1A71DD" w14:textId="77777777" w:rsidR="003239B8" w:rsidRPr="00636D7E" w:rsidRDefault="003239B8" w:rsidP="00E95692">
            <w:pPr>
              <w:jc w:val="center"/>
              <w:rPr>
                <w:rFonts w:ascii="Cambria" w:hAnsi="Cambria"/>
                <w:b/>
                <w:bCs/>
                <w:color w:val="FFFFFF" w:themeColor="background1"/>
                <w:sz w:val="20"/>
                <w:szCs w:val="20"/>
              </w:rPr>
            </w:pPr>
            <w:r w:rsidRPr="00636D7E">
              <w:rPr>
                <w:rFonts w:ascii="Cambria" w:hAnsi="Cambria"/>
                <w:b/>
                <w:bCs/>
                <w:color w:val="FFFFFF" w:themeColor="background1"/>
                <w:sz w:val="20"/>
                <w:szCs w:val="20"/>
              </w:rPr>
              <w:t>Competencia</w:t>
            </w:r>
            <w:r w:rsidRPr="00636D7E">
              <w:rPr>
                <w:rFonts w:ascii="Cambria" w:hAnsi="Cambria"/>
                <w:b/>
                <w:bCs/>
                <w:i/>
                <w:color w:val="FFFFFF" w:themeColor="background1"/>
                <w:sz w:val="20"/>
                <w:szCs w:val="20"/>
              </w:rPr>
              <w:t xml:space="preserve"> Ratione loci</w:t>
            </w:r>
            <w:r w:rsidRPr="00636D7E">
              <w:rPr>
                <w:rFonts w:ascii="Cambria" w:hAnsi="Cambria"/>
                <w:b/>
                <w:bCs/>
                <w:color w:val="FFFFFF" w:themeColor="background1"/>
                <w:sz w:val="20"/>
                <w:szCs w:val="20"/>
              </w:rPr>
              <w:t>:</w:t>
            </w:r>
          </w:p>
        </w:tc>
        <w:tc>
          <w:tcPr>
            <w:tcW w:w="5580" w:type="dxa"/>
            <w:vAlign w:val="center"/>
          </w:tcPr>
          <w:p w14:paraId="678F10D0" w14:textId="77777777" w:rsidR="003239B8" w:rsidRPr="00636D7E" w:rsidRDefault="00503B2A" w:rsidP="00E95692">
            <w:pPr>
              <w:rPr>
                <w:rFonts w:ascii="Cambria" w:hAnsi="Cambria"/>
                <w:bCs/>
                <w:sz w:val="20"/>
                <w:szCs w:val="20"/>
              </w:rPr>
            </w:pPr>
            <w:r w:rsidRPr="00636D7E">
              <w:rPr>
                <w:rFonts w:ascii="Cambria" w:hAnsi="Cambria"/>
                <w:bCs/>
                <w:sz w:val="20"/>
                <w:szCs w:val="20"/>
              </w:rPr>
              <w:t>Sí</w:t>
            </w:r>
          </w:p>
        </w:tc>
      </w:tr>
      <w:tr w:rsidR="003239B8" w:rsidRPr="00636D7E" w14:paraId="752D7B41" w14:textId="77777777" w:rsidTr="00405678">
        <w:trPr>
          <w:cantSplit/>
        </w:trPr>
        <w:tc>
          <w:tcPr>
            <w:tcW w:w="3780" w:type="dxa"/>
            <w:tcBorders>
              <w:top w:val="single" w:sz="6" w:space="0" w:color="auto"/>
              <w:bottom w:val="single" w:sz="6" w:space="0" w:color="auto"/>
            </w:tcBorders>
            <w:shd w:val="clear" w:color="auto" w:fill="386294"/>
            <w:vAlign w:val="center"/>
          </w:tcPr>
          <w:p w14:paraId="61B0B9F1" w14:textId="77777777" w:rsidR="003239B8" w:rsidRPr="00636D7E" w:rsidRDefault="003239B8" w:rsidP="00E95692">
            <w:pPr>
              <w:jc w:val="center"/>
              <w:rPr>
                <w:rFonts w:ascii="Cambria" w:hAnsi="Cambria"/>
                <w:b/>
                <w:bCs/>
                <w:color w:val="FFFFFF" w:themeColor="background1"/>
                <w:sz w:val="20"/>
                <w:szCs w:val="20"/>
              </w:rPr>
            </w:pPr>
            <w:r w:rsidRPr="00636D7E">
              <w:rPr>
                <w:rFonts w:ascii="Cambria" w:hAnsi="Cambria"/>
                <w:b/>
                <w:bCs/>
                <w:color w:val="FFFFFF" w:themeColor="background1"/>
                <w:sz w:val="20"/>
                <w:szCs w:val="20"/>
              </w:rPr>
              <w:t>Competencia</w:t>
            </w:r>
            <w:r w:rsidRPr="00636D7E">
              <w:rPr>
                <w:rFonts w:ascii="Cambria" w:hAnsi="Cambria"/>
                <w:b/>
                <w:bCs/>
                <w:i/>
                <w:color w:val="FFFFFF" w:themeColor="background1"/>
                <w:sz w:val="20"/>
                <w:szCs w:val="20"/>
              </w:rPr>
              <w:t xml:space="preserve"> Ratione temporis</w:t>
            </w:r>
            <w:r w:rsidRPr="00636D7E">
              <w:rPr>
                <w:rFonts w:ascii="Cambria" w:hAnsi="Cambria"/>
                <w:b/>
                <w:bCs/>
                <w:color w:val="FFFFFF" w:themeColor="background1"/>
                <w:sz w:val="20"/>
                <w:szCs w:val="20"/>
              </w:rPr>
              <w:t>:</w:t>
            </w:r>
          </w:p>
        </w:tc>
        <w:tc>
          <w:tcPr>
            <w:tcW w:w="5580" w:type="dxa"/>
            <w:vAlign w:val="center"/>
          </w:tcPr>
          <w:p w14:paraId="53DA34EE" w14:textId="77777777" w:rsidR="003239B8" w:rsidRPr="00636D7E" w:rsidRDefault="00503B2A" w:rsidP="00E95692">
            <w:pPr>
              <w:rPr>
                <w:rFonts w:asciiTheme="majorHAnsi" w:hAnsiTheme="majorHAnsi"/>
                <w:bCs/>
                <w:sz w:val="20"/>
                <w:szCs w:val="20"/>
              </w:rPr>
            </w:pPr>
            <w:r w:rsidRPr="00636D7E">
              <w:rPr>
                <w:rFonts w:asciiTheme="majorHAnsi" w:hAnsiTheme="majorHAnsi"/>
                <w:bCs/>
                <w:sz w:val="20"/>
                <w:szCs w:val="20"/>
              </w:rPr>
              <w:t>Sí</w:t>
            </w:r>
          </w:p>
        </w:tc>
      </w:tr>
      <w:tr w:rsidR="003239B8" w:rsidRPr="00090FA9" w14:paraId="6F719059" w14:textId="77777777" w:rsidTr="00405678">
        <w:trPr>
          <w:cantSplit/>
        </w:trPr>
        <w:tc>
          <w:tcPr>
            <w:tcW w:w="3780" w:type="dxa"/>
            <w:tcBorders>
              <w:top w:val="single" w:sz="6" w:space="0" w:color="auto"/>
              <w:bottom w:val="single" w:sz="6" w:space="0" w:color="auto"/>
            </w:tcBorders>
            <w:shd w:val="clear" w:color="auto" w:fill="386294"/>
            <w:vAlign w:val="center"/>
          </w:tcPr>
          <w:p w14:paraId="6CDE62EC" w14:textId="77777777" w:rsidR="003239B8" w:rsidRPr="00636D7E" w:rsidRDefault="003239B8" w:rsidP="00E95692">
            <w:pPr>
              <w:jc w:val="center"/>
              <w:rPr>
                <w:rFonts w:ascii="Cambria" w:hAnsi="Cambria"/>
                <w:b/>
                <w:bCs/>
                <w:color w:val="FFFFFF" w:themeColor="background1"/>
                <w:sz w:val="20"/>
                <w:szCs w:val="20"/>
              </w:rPr>
            </w:pPr>
            <w:r w:rsidRPr="00636D7E">
              <w:rPr>
                <w:rFonts w:ascii="Cambria" w:hAnsi="Cambria"/>
                <w:b/>
                <w:bCs/>
                <w:color w:val="FFFFFF" w:themeColor="background1"/>
                <w:sz w:val="20"/>
                <w:szCs w:val="20"/>
              </w:rPr>
              <w:lastRenderedPageBreak/>
              <w:t>Competencia</w:t>
            </w:r>
            <w:r w:rsidRPr="00636D7E">
              <w:rPr>
                <w:rFonts w:ascii="Cambria" w:hAnsi="Cambria"/>
                <w:b/>
                <w:bCs/>
                <w:i/>
                <w:color w:val="FFFFFF" w:themeColor="background1"/>
                <w:sz w:val="20"/>
                <w:szCs w:val="20"/>
              </w:rPr>
              <w:t xml:space="preserve"> Ratione materia</w:t>
            </w:r>
            <w:r w:rsidR="003E5AAE" w:rsidRPr="00636D7E">
              <w:rPr>
                <w:rFonts w:ascii="Cambria" w:hAnsi="Cambria"/>
                <w:b/>
                <w:bCs/>
                <w:i/>
                <w:color w:val="FFFFFF" w:themeColor="background1"/>
                <w:sz w:val="20"/>
                <w:szCs w:val="20"/>
              </w:rPr>
              <w:t>e</w:t>
            </w:r>
            <w:r w:rsidRPr="00636D7E">
              <w:rPr>
                <w:rFonts w:ascii="Cambria" w:hAnsi="Cambria"/>
                <w:b/>
                <w:bCs/>
                <w:color w:val="FFFFFF" w:themeColor="background1"/>
                <w:sz w:val="20"/>
                <w:szCs w:val="20"/>
              </w:rPr>
              <w:t>:</w:t>
            </w:r>
          </w:p>
        </w:tc>
        <w:tc>
          <w:tcPr>
            <w:tcW w:w="5580" w:type="dxa"/>
            <w:vAlign w:val="center"/>
          </w:tcPr>
          <w:p w14:paraId="2A85F0BF" w14:textId="1C26BE19" w:rsidR="006A1060" w:rsidRPr="00636D7E" w:rsidRDefault="00655DF4" w:rsidP="00483DFA">
            <w:pPr>
              <w:jc w:val="both"/>
              <w:rPr>
                <w:rFonts w:ascii="Cambria" w:hAnsi="Cambria"/>
                <w:bCs/>
                <w:sz w:val="20"/>
                <w:szCs w:val="20"/>
                <w:lang w:val="es-MX"/>
              </w:rPr>
            </w:pPr>
            <w:r w:rsidRPr="00636D7E">
              <w:rPr>
                <w:rFonts w:ascii="Cambria" w:hAnsi="Cambria"/>
                <w:bCs/>
                <w:sz w:val="20"/>
                <w:szCs w:val="20"/>
                <w:lang w:val="es-MX"/>
              </w:rPr>
              <w:t>Convención Americana (instrumento de ratificación depositado el 31 de julio de 1973)</w:t>
            </w:r>
            <w:r w:rsidR="00B34FC8" w:rsidRPr="00636D7E">
              <w:rPr>
                <w:rFonts w:ascii="Cambria" w:hAnsi="Cambria"/>
                <w:bCs/>
                <w:sz w:val="20"/>
                <w:szCs w:val="20"/>
                <w:lang w:val="es-MX"/>
              </w:rPr>
              <w:t xml:space="preserve">; </w:t>
            </w:r>
            <w:r w:rsidR="007051B9" w:rsidRPr="00636D7E">
              <w:rPr>
                <w:rFonts w:ascii="Cambria" w:hAnsi="Cambria"/>
                <w:bCs/>
                <w:sz w:val="20"/>
                <w:szCs w:val="20"/>
                <w:lang w:val="es-MX"/>
              </w:rPr>
              <w:t xml:space="preserve">Convención Interamericana sobre Desaparición Forzada de Personas (instrumento de ratificación depositado el 11 de febrero de 2004); </w:t>
            </w:r>
            <w:r w:rsidR="006A1060" w:rsidRPr="00636D7E">
              <w:rPr>
                <w:rFonts w:ascii="Cambria" w:hAnsi="Cambria"/>
                <w:bCs/>
                <w:sz w:val="20"/>
                <w:szCs w:val="20"/>
                <w:lang w:val="es-MX"/>
              </w:rPr>
              <w:t>Convención Interamericana para Prevenir y Sancionar la Tortura (instrumento de ratificación depositado el 19 de enero de 1999)</w:t>
            </w:r>
            <w:r w:rsidR="00B34FC8" w:rsidRPr="00636D7E">
              <w:rPr>
                <w:rFonts w:ascii="Cambria" w:hAnsi="Cambria"/>
                <w:bCs/>
                <w:sz w:val="20"/>
                <w:szCs w:val="20"/>
                <w:lang w:val="es-MX"/>
              </w:rPr>
              <w:t xml:space="preserve">; </w:t>
            </w:r>
            <w:r w:rsidR="006A1060" w:rsidRPr="00636D7E">
              <w:rPr>
                <w:rFonts w:ascii="Cambria" w:hAnsi="Cambria"/>
                <w:bCs/>
                <w:sz w:val="20"/>
                <w:szCs w:val="20"/>
                <w:lang w:val="es-MX"/>
              </w:rPr>
              <w:t>Convención Belém do Pará (instrumento de adhesión depositado el 15 de noviembre de 1996)</w:t>
            </w:r>
          </w:p>
        </w:tc>
      </w:tr>
    </w:tbl>
    <w:p w14:paraId="21AAC298" w14:textId="64626431" w:rsidR="003239B8" w:rsidRPr="00636D7E" w:rsidRDefault="003239B8" w:rsidP="002F0294">
      <w:pPr>
        <w:spacing w:before="240" w:after="240"/>
        <w:ind w:firstLine="720"/>
        <w:jc w:val="both"/>
        <w:rPr>
          <w:rFonts w:asciiTheme="majorHAnsi" w:hAnsiTheme="majorHAnsi"/>
          <w:sz w:val="20"/>
          <w:szCs w:val="20"/>
          <w:lang w:val="es-ES"/>
        </w:rPr>
      </w:pPr>
      <w:r w:rsidRPr="00636D7E">
        <w:rPr>
          <w:rFonts w:asciiTheme="majorHAnsi" w:hAnsiTheme="majorHAnsi"/>
          <w:b/>
          <w:bCs/>
          <w:sz w:val="20"/>
          <w:szCs w:val="20"/>
          <w:lang w:val="es-ES"/>
        </w:rPr>
        <w:t xml:space="preserve">IV. </w:t>
      </w:r>
      <w:r w:rsidRPr="00636D7E">
        <w:rPr>
          <w:rFonts w:asciiTheme="majorHAnsi" w:hAnsiTheme="majorHAnsi"/>
          <w:b/>
          <w:bCs/>
          <w:sz w:val="20"/>
          <w:szCs w:val="20"/>
          <w:lang w:val="es-ES"/>
        </w:rPr>
        <w:tab/>
      </w:r>
      <w:r w:rsidR="003E5AAE" w:rsidRPr="00636D7E">
        <w:rPr>
          <w:rFonts w:asciiTheme="majorHAnsi" w:hAnsiTheme="majorHAnsi"/>
          <w:b/>
          <w:bCs/>
          <w:sz w:val="20"/>
          <w:szCs w:val="20"/>
          <w:lang w:val="es-ES"/>
        </w:rPr>
        <w:t>DUPLICACIÓN</w:t>
      </w:r>
      <w:r w:rsidR="003E5AAE" w:rsidRPr="00636D7E">
        <w:rPr>
          <w:rFonts w:asciiTheme="majorHAnsi" w:hAnsiTheme="majorHAnsi"/>
          <w:b/>
          <w:bCs/>
          <w:color w:val="FFFFFF" w:themeColor="background1"/>
          <w:sz w:val="20"/>
          <w:szCs w:val="20"/>
          <w:lang w:val="es-ES"/>
        </w:rPr>
        <w:t xml:space="preserve"> </w:t>
      </w:r>
      <w:r w:rsidR="003E5AAE" w:rsidRPr="00636D7E">
        <w:rPr>
          <w:rFonts w:asciiTheme="majorHAnsi" w:hAnsiTheme="majorHAnsi"/>
          <w:b/>
          <w:bCs/>
          <w:sz w:val="20"/>
          <w:szCs w:val="20"/>
          <w:lang w:val="es-ES"/>
        </w:rPr>
        <w:t>DE PROCEDIMIENTOS Y COSA JUZGADA</w:t>
      </w:r>
      <w:r w:rsidR="003E5AAE" w:rsidRPr="00636D7E">
        <w:rPr>
          <w:rFonts w:asciiTheme="majorHAnsi" w:hAnsiTheme="majorHAnsi"/>
          <w:b/>
          <w:bCs/>
          <w:i/>
          <w:sz w:val="20"/>
          <w:szCs w:val="20"/>
          <w:lang w:val="es-ES"/>
        </w:rPr>
        <w:t xml:space="preserve"> </w:t>
      </w:r>
      <w:r w:rsidR="003E5AAE" w:rsidRPr="00636D7E">
        <w:rPr>
          <w:rFonts w:asciiTheme="majorHAnsi" w:hAnsiTheme="majorHAnsi"/>
          <w:b/>
          <w:bCs/>
          <w:sz w:val="20"/>
          <w:szCs w:val="20"/>
          <w:lang w:val="es-ES"/>
        </w:rPr>
        <w:t xml:space="preserve">INTERNACIONAL, </w:t>
      </w:r>
      <w:r w:rsidRPr="00636D7E">
        <w:rPr>
          <w:rFonts w:asciiTheme="majorHAnsi" w:hAnsiTheme="majorHAnsi"/>
          <w:b/>
          <w:bCs/>
          <w:sz w:val="20"/>
          <w:szCs w:val="20"/>
          <w:lang w:val="es-ES"/>
        </w:rPr>
        <w:t xml:space="preserve">ANÁLISIS DE CARACTERIZACIÓN, </w:t>
      </w:r>
      <w:r w:rsidRPr="00636D7E">
        <w:rPr>
          <w:rFonts w:asciiTheme="majorHAnsi" w:hAnsiTheme="majorHAnsi"/>
          <w:b/>
          <w:sz w:val="20"/>
          <w:szCs w:val="20"/>
          <w:lang w:val="es-ES"/>
        </w:rPr>
        <w:t>AGOTAMIENTO DE LOS RECURSOS INTERNOS Y PLAZO DE PRESENTACIÓN</w:t>
      </w:r>
    </w:p>
    <w:tbl>
      <w:tblPr>
        <w:tblStyle w:val="TableGrid"/>
        <w:tblpPr w:leftFromText="180" w:rightFromText="180" w:vertAnchor="text" w:tblpX="-10" w:tblpY="1"/>
        <w:tblOverlap w:val="never"/>
        <w:tblW w:w="9355" w:type="dxa"/>
        <w:tblBorders>
          <w:insideH w:val="single" w:sz="6" w:space="0" w:color="auto"/>
          <w:insideV w:val="single" w:sz="6" w:space="0" w:color="auto"/>
        </w:tblBorders>
        <w:tblLook w:val="04A0" w:firstRow="1" w:lastRow="0" w:firstColumn="1" w:lastColumn="0" w:noHBand="0" w:noVBand="1"/>
      </w:tblPr>
      <w:tblGrid>
        <w:gridCol w:w="3775"/>
        <w:gridCol w:w="5580"/>
      </w:tblGrid>
      <w:tr w:rsidR="002F0294" w:rsidRPr="00636D7E" w14:paraId="4F6E3232" w14:textId="77777777" w:rsidTr="00405678">
        <w:trPr>
          <w:cantSplit/>
        </w:trPr>
        <w:tc>
          <w:tcPr>
            <w:tcW w:w="3775" w:type="dxa"/>
            <w:tcBorders>
              <w:top w:val="single" w:sz="4" w:space="0" w:color="auto"/>
              <w:bottom w:val="single" w:sz="6" w:space="0" w:color="auto"/>
            </w:tcBorders>
            <w:shd w:val="clear" w:color="auto" w:fill="386294"/>
            <w:vAlign w:val="center"/>
          </w:tcPr>
          <w:p w14:paraId="20F6E9DD" w14:textId="77777777" w:rsidR="003E5AAE" w:rsidRPr="00636D7E" w:rsidRDefault="003E5AAE" w:rsidP="002F0294">
            <w:pPr>
              <w:jc w:val="center"/>
              <w:rPr>
                <w:rFonts w:ascii="Cambria" w:hAnsi="Cambria"/>
                <w:b/>
                <w:bCs/>
                <w:i/>
                <w:color w:val="FFFFFF" w:themeColor="background1"/>
                <w:sz w:val="20"/>
                <w:szCs w:val="20"/>
                <w:lang w:val="es-ES"/>
              </w:rPr>
            </w:pPr>
            <w:r w:rsidRPr="00636D7E">
              <w:rPr>
                <w:rFonts w:asciiTheme="majorHAnsi" w:hAnsiTheme="majorHAnsi"/>
                <w:b/>
                <w:bCs/>
                <w:color w:val="FFFFFF" w:themeColor="background1"/>
                <w:sz w:val="20"/>
                <w:szCs w:val="20"/>
                <w:lang w:val="es-ES"/>
              </w:rPr>
              <w:t>Duplicación de procedimientos y cosa juzgada</w:t>
            </w:r>
            <w:r w:rsidRPr="00636D7E">
              <w:rPr>
                <w:rFonts w:asciiTheme="majorHAnsi" w:hAnsiTheme="majorHAnsi"/>
                <w:b/>
                <w:bCs/>
                <w:i/>
                <w:color w:val="FFFFFF" w:themeColor="background1"/>
                <w:sz w:val="20"/>
                <w:szCs w:val="20"/>
                <w:lang w:val="es-ES"/>
              </w:rPr>
              <w:t xml:space="preserve"> </w:t>
            </w:r>
            <w:r w:rsidRPr="00636D7E">
              <w:rPr>
                <w:rFonts w:asciiTheme="majorHAnsi" w:hAnsiTheme="majorHAnsi"/>
                <w:b/>
                <w:bCs/>
                <w:color w:val="FFFFFF" w:themeColor="background1"/>
                <w:sz w:val="20"/>
                <w:szCs w:val="20"/>
                <w:lang w:val="es-ES"/>
              </w:rPr>
              <w:t>internacional:</w:t>
            </w:r>
          </w:p>
        </w:tc>
        <w:tc>
          <w:tcPr>
            <w:tcW w:w="5580" w:type="dxa"/>
            <w:vAlign w:val="center"/>
          </w:tcPr>
          <w:p w14:paraId="3B76963B" w14:textId="77777777" w:rsidR="003E5AAE" w:rsidRPr="00636D7E" w:rsidRDefault="003E5AAE" w:rsidP="002F0294">
            <w:pPr>
              <w:jc w:val="both"/>
              <w:rPr>
                <w:rFonts w:ascii="Cambria" w:hAnsi="Cambria"/>
                <w:bCs/>
                <w:sz w:val="20"/>
                <w:szCs w:val="20"/>
              </w:rPr>
            </w:pPr>
            <w:r w:rsidRPr="00636D7E">
              <w:rPr>
                <w:rFonts w:ascii="Cambria" w:hAnsi="Cambria"/>
                <w:bCs/>
                <w:sz w:val="20"/>
                <w:szCs w:val="20"/>
                <w:bdr w:val="none" w:sz="0" w:space="0" w:color="auto" w:frame="1"/>
                <w:lang w:val="es-ES"/>
              </w:rPr>
              <w:t>No</w:t>
            </w:r>
          </w:p>
        </w:tc>
      </w:tr>
      <w:tr w:rsidR="002F0294" w:rsidRPr="00090FA9" w14:paraId="37950FE0" w14:textId="77777777" w:rsidTr="00405678">
        <w:trPr>
          <w:cantSplit/>
        </w:trPr>
        <w:tc>
          <w:tcPr>
            <w:tcW w:w="3775" w:type="dxa"/>
            <w:tcBorders>
              <w:top w:val="single" w:sz="4" w:space="0" w:color="auto"/>
              <w:bottom w:val="single" w:sz="6" w:space="0" w:color="auto"/>
            </w:tcBorders>
            <w:shd w:val="clear" w:color="auto" w:fill="386294"/>
            <w:vAlign w:val="center"/>
          </w:tcPr>
          <w:p w14:paraId="51887D0F" w14:textId="77777777" w:rsidR="003E5AAE" w:rsidRPr="00636D7E" w:rsidRDefault="003E5AAE" w:rsidP="002F0294">
            <w:pPr>
              <w:jc w:val="center"/>
              <w:rPr>
                <w:rFonts w:ascii="Cambria" w:hAnsi="Cambria"/>
                <w:b/>
                <w:bCs/>
                <w:color w:val="FFFFFF" w:themeColor="background1"/>
                <w:sz w:val="20"/>
                <w:szCs w:val="20"/>
              </w:rPr>
            </w:pPr>
            <w:r w:rsidRPr="00636D7E">
              <w:rPr>
                <w:rFonts w:ascii="Cambria" w:hAnsi="Cambria"/>
                <w:b/>
                <w:bCs/>
                <w:color w:val="FFFFFF" w:themeColor="background1"/>
                <w:sz w:val="20"/>
                <w:szCs w:val="20"/>
              </w:rPr>
              <w:t>Derechos declarados admisibles:</w:t>
            </w:r>
          </w:p>
        </w:tc>
        <w:tc>
          <w:tcPr>
            <w:tcW w:w="5580" w:type="dxa"/>
            <w:vAlign w:val="center"/>
          </w:tcPr>
          <w:p w14:paraId="7C327A91" w14:textId="6A94A25A" w:rsidR="003E5AAE" w:rsidRPr="00636D7E" w:rsidRDefault="00AF568C" w:rsidP="007051B9">
            <w:pPr>
              <w:jc w:val="both"/>
              <w:rPr>
                <w:rFonts w:ascii="Cambria" w:hAnsi="Cambria"/>
                <w:bCs/>
                <w:sz w:val="20"/>
                <w:szCs w:val="20"/>
                <w:lang w:val="es-ES"/>
              </w:rPr>
            </w:pPr>
            <w:r w:rsidRPr="00636D7E">
              <w:rPr>
                <w:rFonts w:asciiTheme="majorHAnsi" w:hAnsiTheme="majorHAnsi"/>
                <w:sz w:val="20"/>
                <w:szCs w:val="20"/>
                <w:lang w:val="es-ES"/>
              </w:rPr>
              <w:t>A</w:t>
            </w:r>
            <w:r w:rsidRPr="00636D7E">
              <w:rPr>
                <w:rFonts w:asciiTheme="majorHAnsi" w:hAnsiTheme="majorHAnsi"/>
                <w:sz w:val="20"/>
                <w:szCs w:val="20"/>
                <w:lang w:val="es-AR"/>
              </w:rPr>
              <w:t>rtículos 3</w:t>
            </w:r>
            <w:r w:rsidR="00C84F61" w:rsidRPr="00636D7E">
              <w:rPr>
                <w:rFonts w:asciiTheme="majorHAnsi" w:hAnsiTheme="majorHAnsi"/>
                <w:sz w:val="20"/>
                <w:szCs w:val="20"/>
                <w:lang w:val="es-AR"/>
              </w:rPr>
              <w:t xml:space="preserve"> (reconocimiento de la personalidad jurídica)</w:t>
            </w:r>
            <w:r w:rsidRPr="00636D7E">
              <w:rPr>
                <w:rFonts w:asciiTheme="majorHAnsi" w:hAnsiTheme="majorHAnsi"/>
                <w:sz w:val="20"/>
                <w:szCs w:val="20"/>
                <w:lang w:val="es-AR"/>
              </w:rPr>
              <w:t>, 4</w:t>
            </w:r>
            <w:r w:rsidR="00C84F61" w:rsidRPr="00636D7E">
              <w:rPr>
                <w:rFonts w:asciiTheme="majorHAnsi" w:hAnsiTheme="majorHAnsi"/>
                <w:sz w:val="20"/>
                <w:szCs w:val="20"/>
                <w:lang w:val="es-AR"/>
              </w:rPr>
              <w:t xml:space="preserve"> (vida)</w:t>
            </w:r>
            <w:r w:rsidRPr="00636D7E">
              <w:rPr>
                <w:rFonts w:asciiTheme="majorHAnsi" w:hAnsiTheme="majorHAnsi"/>
                <w:sz w:val="20"/>
                <w:szCs w:val="20"/>
                <w:lang w:val="es-AR"/>
              </w:rPr>
              <w:t>, 5</w:t>
            </w:r>
            <w:r w:rsidR="00C84F61" w:rsidRPr="00636D7E">
              <w:rPr>
                <w:rFonts w:asciiTheme="majorHAnsi" w:hAnsiTheme="majorHAnsi"/>
                <w:sz w:val="20"/>
                <w:szCs w:val="20"/>
                <w:lang w:val="es-AR"/>
              </w:rPr>
              <w:t xml:space="preserve"> (integridad)</w:t>
            </w:r>
            <w:r w:rsidRPr="00636D7E">
              <w:rPr>
                <w:rFonts w:asciiTheme="majorHAnsi" w:hAnsiTheme="majorHAnsi"/>
                <w:sz w:val="20"/>
                <w:szCs w:val="20"/>
                <w:lang w:val="es-AR"/>
              </w:rPr>
              <w:t>, 7</w:t>
            </w:r>
            <w:r w:rsidR="00C84F61" w:rsidRPr="00636D7E">
              <w:rPr>
                <w:rFonts w:asciiTheme="majorHAnsi" w:hAnsiTheme="majorHAnsi"/>
                <w:sz w:val="20"/>
                <w:szCs w:val="20"/>
                <w:lang w:val="es-AR"/>
              </w:rPr>
              <w:t xml:space="preserve"> (libertad personal)</w:t>
            </w:r>
            <w:r w:rsidRPr="00636D7E">
              <w:rPr>
                <w:rFonts w:asciiTheme="majorHAnsi" w:hAnsiTheme="majorHAnsi"/>
                <w:sz w:val="20"/>
                <w:szCs w:val="20"/>
                <w:lang w:val="es-AR"/>
              </w:rPr>
              <w:t>, 8</w:t>
            </w:r>
            <w:r w:rsidR="00C84F61" w:rsidRPr="00636D7E">
              <w:rPr>
                <w:rFonts w:asciiTheme="majorHAnsi" w:hAnsiTheme="majorHAnsi"/>
                <w:sz w:val="20"/>
                <w:szCs w:val="20"/>
                <w:lang w:val="es-AR"/>
              </w:rPr>
              <w:t xml:space="preserve"> (garantías judiciales)</w:t>
            </w:r>
            <w:r w:rsidRPr="00636D7E">
              <w:rPr>
                <w:rFonts w:asciiTheme="majorHAnsi" w:hAnsiTheme="majorHAnsi"/>
                <w:sz w:val="20"/>
                <w:szCs w:val="20"/>
                <w:lang w:val="es-AR"/>
              </w:rPr>
              <w:t>, 11</w:t>
            </w:r>
            <w:r w:rsidR="00C84F61" w:rsidRPr="00636D7E">
              <w:rPr>
                <w:rFonts w:asciiTheme="majorHAnsi" w:hAnsiTheme="majorHAnsi"/>
                <w:sz w:val="20"/>
                <w:szCs w:val="20"/>
                <w:lang w:val="es-AR"/>
              </w:rPr>
              <w:t xml:space="preserve"> (protección de la honra y dignidad)</w:t>
            </w:r>
            <w:r w:rsidRPr="00636D7E">
              <w:rPr>
                <w:rFonts w:asciiTheme="majorHAnsi" w:hAnsiTheme="majorHAnsi"/>
                <w:sz w:val="20"/>
                <w:szCs w:val="20"/>
                <w:lang w:val="es-AR"/>
              </w:rPr>
              <w:t xml:space="preserve">, </w:t>
            </w:r>
            <w:r w:rsidR="00C84F61" w:rsidRPr="00636D7E">
              <w:rPr>
                <w:rFonts w:asciiTheme="majorHAnsi" w:hAnsiTheme="majorHAnsi"/>
                <w:sz w:val="20"/>
                <w:szCs w:val="20"/>
                <w:lang w:val="es-AR"/>
              </w:rPr>
              <w:t xml:space="preserve">17 (familia), 19 (derechos del niño), 22 (circulación y de residencia) y 25 (protección judicial) </w:t>
            </w:r>
            <w:r w:rsidRPr="00636D7E">
              <w:rPr>
                <w:rFonts w:asciiTheme="majorHAnsi" w:hAnsiTheme="majorHAnsi"/>
                <w:sz w:val="20"/>
                <w:szCs w:val="20"/>
                <w:lang w:val="es-AR"/>
              </w:rPr>
              <w:t>de la Convención en relación con el artículo 1.1</w:t>
            </w:r>
            <w:r w:rsidR="00C84F61" w:rsidRPr="00636D7E">
              <w:rPr>
                <w:rFonts w:asciiTheme="majorHAnsi" w:hAnsiTheme="majorHAnsi"/>
                <w:sz w:val="20"/>
                <w:szCs w:val="20"/>
                <w:lang w:val="es-AR"/>
              </w:rPr>
              <w:t xml:space="preserve"> (obligación de respetar los derechos); </w:t>
            </w:r>
            <w:r w:rsidRPr="00636D7E">
              <w:rPr>
                <w:rFonts w:asciiTheme="majorHAnsi" w:hAnsiTheme="majorHAnsi"/>
                <w:sz w:val="20"/>
                <w:szCs w:val="20"/>
                <w:lang w:val="es-AR"/>
              </w:rPr>
              <w:t xml:space="preserve">1, 6 y 8 de la </w:t>
            </w:r>
            <w:r w:rsidRPr="00636D7E">
              <w:rPr>
                <w:rFonts w:ascii="Cambria" w:hAnsi="Cambria"/>
                <w:bCs/>
                <w:sz w:val="20"/>
                <w:szCs w:val="20"/>
                <w:lang w:val="es-MX"/>
              </w:rPr>
              <w:t xml:space="preserve">Convención </w:t>
            </w:r>
            <w:r w:rsidR="00C84F61" w:rsidRPr="00636D7E">
              <w:rPr>
                <w:rFonts w:ascii="Cambria" w:hAnsi="Cambria"/>
                <w:bCs/>
                <w:sz w:val="20"/>
                <w:szCs w:val="20"/>
                <w:lang w:val="es-MX"/>
              </w:rPr>
              <w:t xml:space="preserve"> Interamericana para Prevenir y Sancionar la Tortura</w:t>
            </w:r>
            <w:r w:rsidRPr="00636D7E">
              <w:rPr>
                <w:rFonts w:asciiTheme="majorHAnsi" w:hAnsiTheme="majorHAnsi"/>
                <w:sz w:val="20"/>
                <w:szCs w:val="20"/>
                <w:lang w:val="es-AR"/>
              </w:rPr>
              <w:t xml:space="preserve">; </w:t>
            </w:r>
            <w:r w:rsidR="007051B9" w:rsidRPr="00636D7E">
              <w:rPr>
                <w:rFonts w:asciiTheme="majorHAnsi" w:hAnsiTheme="majorHAnsi"/>
                <w:sz w:val="20"/>
                <w:szCs w:val="20"/>
                <w:lang w:val="es-AR"/>
              </w:rPr>
              <w:t xml:space="preserve">I de la Convención Interamericana sobre Desaparición Forzada de Personas; </w:t>
            </w:r>
            <w:r w:rsidRPr="00636D7E">
              <w:rPr>
                <w:rFonts w:asciiTheme="majorHAnsi" w:hAnsiTheme="majorHAnsi"/>
                <w:sz w:val="20"/>
                <w:szCs w:val="20"/>
                <w:lang w:val="es-AR"/>
              </w:rPr>
              <w:t>y 7 de la Convención Belém do Pará</w:t>
            </w:r>
          </w:p>
        </w:tc>
      </w:tr>
      <w:tr w:rsidR="002F0294" w:rsidRPr="00090FA9" w14:paraId="79CC3625" w14:textId="77777777" w:rsidTr="00405678">
        <w:trPr>
          <w:cantSplit/>
        </w:trPr>
        <w:tc>
          <w:tcPr>
            <w:tcW w:w="3775" w:type="dxa"/>
            <w:tcBorders>
              <w:top w:val="single" w:sz="6" w:space="0" w:color="auto"/>
              <w:bottom w:val="single" w:sz="6" w:space="0" w:color="auto"/>
            </w:tcBorders>
            <w:shd w:val="clear" w:color="auto" w:fill="386294"/>
            <w:vAlign w:val="center"/>
          </w:tcPr>
          <w:p w14:paraId="6C8EE04F" w14:textId="77777777" w:rsidR="003E5AAE" w:rsidRPr="00636D7E" w:rsidRDefault="003E5AAE" w:rsidP="002F0294">
            <w:pPr>
              <w:jc w:val="center"/>
              <w:rPr>
                <w:rFonts w:ascii="Cambria" w:hAnsi="Cambria"/>
                <w:b/>
                <w:bCs/>
                <w:color w:val="FFFFFF" w:themeColor="background1"/>
                <w:sz w:val="20"/>
                <w:szCs w:val="20"/>
                <w:lang w:val="es-ES"/>
              </w:rPr>
            </w:pPr>
            <w:r w:rsidRPr="00636D7E">
              <w:rPr>
                <w:rFonts w:ascii="Cambria" w:hAnsi="Cambria"/>
                <w:b/>
                <w:bCs/>
                <w:color w:val="FFFFFF" w:themeColor="background1"/>
                <w:sz w:val="20"/>
                <w:szCs w:val="20"/>
                <w:lang w:val="es-ES"/>
              </w:rPr>
              <w:t>Agotamiento de recursos internos</w:t>
            </w:r>
            <w:r w:rsidR="00D4160B" w:rsidRPr="00636D7E">
              <w:rPr>
                <w:rFonts w:ascii="Cambria" w:hAnsi="Cambria"/>
                <w:b/>
                <w:bCs/>
                <w:color w:val="FFFFFF" w:themeColor="background1"/>
                <w:sz w:val="20"/>
                <w:szCs w:val="20"/>
                <w:lang w:val="es-ES"/>
              </w:rPr>
              <w:t xml:space="preserve"> o procedencia de una excepción</w:t>
            </w:r>
            <w:r w:rsidRPr="00636D7E">
              <w:rPr>
                <w:rFonts w:ascii="Cambria" w:hAnsi="Cambria"/>
                <w:b/>
                <w:bCs/>
                <w:color w:val="FFFFFF" w:themeColor="background1"/>
                <w:sz w:val="20"/>
                <w:szCs w:val="20"/>
                <w:lang w:val="es-ES"/>
              </w:rPr>
              <w:t>:</w:t>
            </w:r>
          </w:p>
        </w:tc>
        <w:tc>
          <w:tcPr>
            <w:tcW w:w="5580" w:type="dxa"/>
            <w:vAlign w:val="center"/>
          </w:tcPr>
          <w:p w14:paraId="40403208" w14:textId="77777777" w:rsidR="003E5AAE" w:rsidRPr="00636D7E" w:rsidRDefault="003D7501" w:rsidP="002F0294">
            <w:pPr>
              <w:rPr>
                <w:rFonts w:ascii="Cambria" w:hAnsi="Cambria"/>
                <w:bCs/>
                <w:sz w:val="20"/>
                <w:szCs w:val="20"/>
                <w:lang w:val="es-MX"/>
              </w:rPr>
            </w:pPr>
            <w:r w:rsidRPr="00636D7E">
              <w:rPr>
                <w:rFonts w:ascii="Cambria" w:hAnsi="Cambria"/>
                <w:bCs/>
                <w:sz w:val="20"/>
                <w:szCs w:val="20"/>
                <w:lang w:val="es-MX"/>
              </w:rPr>
              <w:t>Sí, aplica excepción artículo 46.2.c de la CADH</w:t>
            </w:r>
          </w:p>
        </w:tc>
      </w:tr>
      <w:tr w:rsidR="002F0294" w:rsidRPr="00090FA9" w14:paraId="3AFFC373" w14:textId="77777777" w:rsidTr="00405678">
        <w:trPr>
          <w:cantSplit/>
        </w:trPr>
        <w:tc>
          <w:tcPr>
            <w:tcW w:w="3775" w:type="dxa"/>
            <w:tcBorders>
              <w:top w:val="single" w:sz="6" w:space="0" w:color="auto"/>
              <w:bottom w:val="single" w:sz="6" w:space="0" w:color="auto"/>
            </w:tcBorders>
            <w:shd w:val="clear" w:color="auto" w:fill="386294"/>
            <w:vAlign w:val="center"/>
          </w:tcPr>
          <w:p w14:paraId="2A461018" w14:textId="77777777" w:rsidR="003E5AAE" w:rsidRPr="00636D7E" w:rsidRDefault="003E5AAE" w:rsidP="002F0294">
            <w:pPr>
              <w:jc w:val="center"/>
              <w:rPr>
                <w:rFonts w:ascii="Cambria" w:hAnsi="Cambria"/>
                <w:b/>
                <w:bCs/>
                <w:color w:val="FFFFFF" w:themeColor="background1"/>
                <w:sz w:val="20"/>
                <w:szCs w:val="20"/>
              </w:rPr>
            </w:pPr>
            <w:r w:rsidRPr="00636D7E">
              <w:rPr>
                <w:rFonts w:ascii="Cambria" w:hAnsi="Cambria"/>
                <w:b/>
                <w:bCs/>
                <w:color w:val="FFFFFF" w:themeColor="background1"/>
                <w:sz w:val="20"/>
                <w:szCs w:val="20"/>
              </w:rPr>
              <w:t>Presentación dentro de plazo:</w:t>
            </w:r>
          </w:p>
        </w:tc>
        <w:tc>
          <w:tcPr>
            <w:tcW w:w="5580" w:type="dxa"/>
            <w:vAlign w:val="center"/>
          </w:tcPr>
          <w:p w14:paraId="5CE43CDD" w14:textId="2F23798A" w:rsidR="003E5AAE" w:rsidRPr="00636D7E" w:rsidRDefault="005378BA" w:rsidP="002F0294">
            <w:pPr>
              <w:rPr>
                <w:bCs/>
                <w:sz w:val="20"/>
                <w:szCs w:val="20"/>
                <w:lang w:val="es-MX"/>
              </w:rPr>
            </w:pPr>
            <w:r w:rsidRPr="00636D7E">
              <w:rPr>
                <w:rFonts w:ascii="Cambria" w:hAnsi="Cambria"/>
                <w:bCs/>
                <w:sz w:val="20"/>
                <w:szCs w:val="20"/>
                <w:lang w:val="es-MX"/>
              </w:rPr>
              <w:t>Sí</w:t>
            </w:r>
            <w:r w:rsidR="00FE53DB" w:rsidRPr="00636D7E">
              <w:rPr>
                <w:rFonts w:ascii="Cambria" w:hAnsi="Cambria"/>
                <w:bCs/>
                <w:sz w:val="20"/>
                <w:szCs w:val="20"/>
                <w:lang w:val="es-MX"/>
              </w:rPr>
              <w:t xml:space="preserve">, </w:t>
            </w:r>
            <w:r w:rsidR="008F3C9F" w:rsidRPr="00636D7E">
              <w:rPr>
                <w:rFonts w:ascii="Cambria" w:hAnsi="Cambria"/>
                <w:bCs/>
                <w:sz w:val="20"/>
                <w:szCs w:val="20"/>
                <w:lang w:val="es-MX"/>
              </w:rPr>
              <w:t>en los términos de la sección VI</w:t>
            </w:r>
          </w:p>
        </w:tc>
      </w:tr>
    </w:tbl>
    <w:p w14:paraId="00F9F277" w14:textId="7F2AB562" w:rsidR="003239B8" w:rsidRPr="00636D7E" w:rsidRDefault="00745E83" w:rsidP="002F0294">
      <w:pPr>
        <w:ind w:left="720"/>
        <w:jc w:val="both"/>
        <w:rPr>
          <w:rFonts w:asciiTheme="majorHAnsi" w:hAnsiTheme="majorHAnsi"/>
          <w:b/>
          <w:sz w:val="20"/>
          <w:szCs w:val="20"/>
          <w:lang w:val="es-UY"/>
        </w:rPr>
      </w:pPr>
      <w:r w:rsidRPr="00636D7E">
        <w:rPr>
          <w:rFonts w:asciiTheme="majorHAnsi" w:hAnsiTheme="majorHAnsi"/>
          <w:b/>
          <w:sz w:val="20"/>
          <w:szCs w:val="20"/>
          <w:lang w:val="es-UY"/>
        </w:rPr>
        <w:br w:type="textWrapping" w:clear="all"/>
      </w:r>
      <w:r w:rsidR="003239B8" w:rsidRPr="00636D7E">
        <w:rPr>
          <w:rFonts w:asciiTheme="majorHAnsi" w:hAnsiTheme="majorHAnsi"/>
          <w:b/>
          <w:sz w:val="20"/>
          <w:szCs w:val="20"/>
          <w:lang w:val="es-UY"/>
        </w:rPr>
        <w:t xml:space="preserve">V. </w:t>
      </w:r>
      <w:r w:rsidR="003239B8" w:rsidRPr="00636D7E">
        <w:rPr>
          <w:rFonts w:asciiTheme="majorHAnsi" w:hAnsiTheme="majorHAnsi"/>
          <w:b/>
          <w:sz w:val="20"/>
          <w:szCs w:val="20"/>
          <w:lang w:val="es-UY"/>
        </w:rPr>
        <w:tab/>
        <w:t xml:space="preserve">HECHOS ALEGADOS </w:t>
      </w:r>
    </w:p>
    <w:p w14:paraId="247D74B4" w14:textId="77777777" w:rsidR="0021689B" w:rsidRPr="00636D7E" w:rsidRDefault="0021689B" w:rsidP="002F0294">
      <w:pPr>
        <w:ind w:left="720"/>
        <w:jc w:val="both"/>
        <w:rPr>
          <w:rFonts w:asciiTheme="majorHAnsi" w:hAnsiTheme="majorHAnsi"/>
          <w:b/>
          <w:sz w:val="20"/>
          <w:szCs w:val="20"/>
          <w:lang w:val="es-UY"/>
        </w:rPr>
      </w:pPr>
    </w:p>
    <w:p w14:paraId="3718E97A" w14:textId="11E22B96" w:rsidR="00FB7B5F" w:rsidRPr="00636D7E" w:rsidRDefault="00FB7B5F" w:rsidP="003949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636D7E">
        <w:rPr>
          <w:rFonts w:ascii="Cambria" w:hAnsi="Cambria"/>
          <w:sz w:val="20"/>
          <w:szCs w:val="20"/>
          <w:lang w:val="es-MX"/>
        </w:rPr>
        <w:t>La presente petición se refiere</w:t>
      </w:r>
      <w:r w:rsidR="006977D6" w:rsidRPr="00636D7E">
        <w:rPr>
          <w:rFonts w:ascii="Cambria" w:hAnsi="Cambria"/>
          <w:sz w:val="20"/>
          <w:szCs w:val="20"/>
          <w:lang w:val="es-MX"/>
        </w:rPr>
        <w:t>, entre otros,</w:t>
      </w:r>
      <w:r w:rsidRPr="00636D7E">
        <w:rPr>
          <w:rFonts w:ascii="Cambria" w:hAnsi="Cambria"/>
          <w:sz w:val="20"/>
          <w:szCs w:val="20"/>
          <w:lang w:val="es-MX"/>
        </w:rPr>
        <w:t xml:space="preserve"> a la alegada </w:t>
      </w:r>
      <w:r w:rsidRPr="00636D7E">
        <w:rPr>
          <w:rFonts w:asciiTheme="majorHAnsi" w:hAnsiTheme="majorHAnsi"/>
          <w:sz w:val="20"/>
          <w:szCs w:val="20"/>
          <w:lang w:val="es-AR"/>
        </w:rPr>
        <w:t>desaparición y posterior ejecución de Rosalía Benavides Franco y Juan Guillermo Gutiérrez Sánchez, de 15 años de edad, así como la alegada privación ilegal de la libertad, tortura y violencia sexual contra seis mujeres</w:t>
      </w:r>
      <w:r w:rsidR="006977D6" w:rsidRPr="00636D7E">
        <w:rPr>
          <w:rFonts w:asciiTheme="majorHAnsi" w:hAnsiTheme="majorHAnsi"/>
          <w:sz w:val="20"/>
          <w:szCs w:val="20"/>
          <w:lang w:val="es-AR"/>
        </w:rPr>
        <w:t xml:space="preserve">, cometidas por </w:t>
      </w:r>
      <w:r w:rsidRPr="00636D7E">
        <w:rPr>
          <w:rFonts w:asciiTheme="majorHAnsi" w:hAnsiTheme="majorHAnsi"/>
          <w:sz w:val="20"/>
          <w:szCs w:val="20"/>
          <w:lang w:val="es-AR"/>
        </w:rPr>
        <w:t xml:space="preserve"> </w:t>
      </w:r>
      <w:r w:rsidR="006977D6" w:rsidRPr="00636D7E">
        <w:rPr>
          <w:rFonts w:ascii="Cambria" w:hAnsi="Cambria"/>
          <w:sz w:val="20"/>
          <w:szCs w:val="20"/>
          <w:lang w:val="es-MX"/>
        </w:rPr>
        <w:t xml:space="preserve">integrantes de las Autodefensas Unidas de Colombia (AUC), liderados por un Sargento Segundo del Ejército Nacional, en </w:t>
      </w:r>
      <w:r w:rsidR="00AE4F5E" w:rsidRPr="00636D7E">
        <w:rPr>
          <w:rFonts w:ascii="Cambria" w:hAnsi="Cambria"/>
          <w:sz w:val="20"/>
          <w:szCs w:val="20"/>
          <w:lang w:val="es-MX"/>
        </w:rPr>
        <w:t xml:space="preserve">el Departamento de </w:t>
      </w:r>
      <w:r w:rsidR="006977D6" w:rsidRPr="00636D7E">
        <w:rPr>
          <w:rFonts w:ascii="Cambria" w:hAnsi="Cambria"/>
          <w:sz w:val="20"/>
          <w:szCs w:val="20"/>
          <w:lang w:val="es-MX"/>
        </w:rPr>
        <w:t>Putumayo.</w:t>
      </w:r>
    </w:p>
    <w:p w14:paraId="0FD770FC" w14:textId="2E717D0B" w:rsidR="00041AA2" w:rsidRPr="00636D7E" w:rsidRDefault="000514D1" w:rsidP="003949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636D7E">
        <w:rPr>
          <w:rFonts w:ascii="Cambria" w:hAnsi="Cambria"/>
          <w:sz w:val="20"/>
          <w:szCs w:val="20"/>
          <w:lang w:val="es-MX"/>
        </w:rPr>
        <w:t xml:space="preserve">Los peticionarios señalan que </w:t>
      </w:r>
      <w:r w:rsidR="00DF64C1" w:rsidRPr="00636D7E">
        <w:rPr>
          <w:rFonts w:ascii="Cambria" w:hAnsi="Cambria"/>
          <w:sz w:val="20"/>
          <w:szCs w:val="20"/>
          <w:lang w:val="es-MX"/>
        </w:rPr>
        <w:t xml:space="preserve">aproximadamente a las 6:00 horas </w:t>
      </w:r>
      <w:r w:rsidR="005B5004" w:rsidRPr="00636D7E">
        <w:rPr>
          <w:rFonts w:ascii="Cambria" w:hAnsi="Cambria"/>
          <w:sz w:val="20"/>
          <w:szCs w:val="20"/>
          <w:lang w:val="es-MX"/>
        </w:rPr>
        <w:t xml:space="preserve">del 25 de octubre de 2004 </w:t>
      </w:r>
      <w:r w:rsidR="00DF64C1" w:rsidRPr="00636D7E">
        <w:rPr>
          <w:rFonts w:ascii="Cambria" w:hAnsi="Cambria"/>
          <w:sz w:val="20"/>
          <w:szCs w:val="20"/>
          <w:lang w:val="es-MX"/>
        </w:rPr>
        <w:t xml:space="preserve">llegaron a la Inspección Arizona del </w:t>
      </w:r>
      <w:r w:rsidR="005B5004" w:rsidRPr="00636D7E">
        <w:rPr>
          <w:rFonts w:ascii="Cambria" w:hAnsi="Cambria"/>
          <w:sz w:val="20"/>
          <w:szCs w:val="20"/>
          <w:lang w:val="es-MX"/>
        </w:rPr>
        <w:t>municipio de Puerto Caicedo, Putumayo,</w:t>
      </w:r>
      <w:r w:rsidR="00DF64C1" w:rsidRPr="00636D7E">
        <w:rPr>
          <w:rFonts w:ascii="Cambria" w:hAnsi="Cambria"/>
          <w:sz w:val="20"/>
          <w:szCs w:val="20"/>
          <w:lang w:val="es-MX"/>
        </w:rPr>
        <w:t xml:space="preserve"> dos camionetas con integrantes de las </w:t>
      </w:r>
      <w:r w:rsidR="001C28D7" w:rsidRPr="00636D7E">
        <w:rPr>
          <w:rFonts w:ascii="Cambria" w:hAnsi="Cambria"/>
          <w:sz w:val="20"/>
          <w:szCs w:val="20"/>
          <w:lang w:val="es-MX"/>
        </w:rPr>
        <w:t>AUC</w:t>
      </w:r>
      <w:r w:rsidR="00DF64C1" w:rsidRPr="00636D7E">
        <w:rPr>
          <w:rFonts w:ascii="Cambria" w:hAnsi="Cambria"/>
          <w:sz w:val="20"/>
          <w:szCs w:val="20"/>
          <w:lang w:val="es-MX"/>
        </w:rPr>
        <w:t xml:space="preserve">, liderados por </w:t>
      </w:r>
      <w:r w:rsidR="00394957" w:rsidRPr="00636D7E">
        <w:rPr>
          <w:rFonts w:ascii="Cambria" w:hAnsi="Cambria"/>
          <w:sz w:val="20"/>
          <w:szCs w:val="20"/>
          <w:lang w:val="es-MX"/>
        </w:rPr>
        <w:t xml:space="preserve">un </w:t>
      </w:r>
      <w:r w:rsidR="00DF64C1" w:rsidRPr="00636D7E">
        <w:rPr>
          <w:rFonts w:ascii="Cambria" w:hAnsi="Cambria"/>
          <w:sz w:val="20"/>
          <w:szCs w:val="20"/>
          <w:lang w:val="es-MX"/>
        </w:rPr>
        <w:t xml:space="preserve">Sargento Segundo del Ejército Nacional, </w:t>
      </w:r>
      <w:r w:rsidR="001C28D7" w:rsidRPr="00636D7E">
        <w:rPr>
          <w:rFonts w:ascii="Cambria" w:hAnsi="Cambria"/>
          <w:sz w:val="20"/>
          <w:szCs w:val="20"/>
          <w:lang w:val="es-MX"/>
        </w:rPr>
        <w:t xml:space="preserve">quienes reunieron a los pobladores </w:t>
      </w:r>
      <w:r w:rsidR="00394957" w:rsidRPr="00636D7E">
        <w:rPr>
          <w:rFonts w:ascii="Cambria" w:hAnsi="Cambria"/>
          <w:sz w:val="20"/>
          <w:szCs w:val="20"/>
          <w:lang w:val="es-MX"/>
        </w:rPr>
        <w:t xml:space="preserve">de la </w:t>
      </w:r>
      <w:r w:rsidR="001C28D7" w:rsidRPr="00636D7E">
        <w:rPr>
          <w:rFonts w:ascii="Cambria" w:hAnsi="Cambria"/>
          <w:sz w:val="20"/>
          <w:szCs w:val="20"/>
          <w:lang w:val="es-MX"/>
        </w:rPr>
        <w:t xml:space="preserve">comunidad para informarles que el </w:t>
      </w:r>
      <w:r w:rsidR="00EC5DF9" w:rsidRPr="00636D7E">
        <w:rPr>
          <w:rFonts w:ascii="Cambria" w:hAnsi="Cambria"/>
          <w:sz w:val="20"/>
          <w:szCs w:val="20"/>
          <w:lang w:val="es-MX"/>
        </w:rPr>
        <w:t>E</w:t>
      </w:r>
      <w:r w:rsidR="001C28D7" w:rsidRPr="00636D7E">
        <w:rPr>
          <w:rFonts w:ascii="Cambria" w:hAnsi="Cambria"/>
          <w:sz w:val="20"/>
          <w:szCs w:val="20"/>
          <w:lang w:val="es-MX"/>
        </w:rPr>
        <w:t xml:space="preserve">jército trabajaba con las AUC y que si alguien los denunciaba los matarían. </w:t>
      </w:r>
      <w:r w:rsidR="00F54CA2" w:rsidRPr="00636D7E">
        <w:rPr>
          <w:rFonts w:ascii="Cambria" w:hAnsi="Cambria"/>
          <w:sz w:val="20"/>
          <w:szCs w:val="20"/>
          <w:lang w:val="es-MX"/>
        </w:rPr>
        <w:t>Alegan que luego</w:t>
      </w:r>
      <w:r w:rsidR="001C28D7" w:rsidRPr="00636D7E">
        <w:rPr>
          <w:rFonts w:ascii="Cambria" w:hAnsi="Cambria"/>
          <w:sz w:val="20"/>
          <w:szCs w:val="20"/>
          <w:lang w:val="es-MX"/>
        </w:rPr>
        <w:t xml:space="preserve"> se dirigieron a un hotel de</w:t>
      </w:r>
      <w:r w:rsidR="00394957" w:rsidRPr="00636D7E">
        <w:rPr>
          <w:rFonts w:ascii="Cambria" w:hAnsi="Cambria"/>
          <w:sz w:val="20"/>
          <w:szCs w:val="20"/>
          <w:lang w:val="es-MX"/>
        </w:rPr>
        <w:t>l</w:t>
      </w:r>
      <w:r w:rsidR="001C28D7" w:rsidRPr="00636D7E">
        <w:rPr>
          <w:rFonts w:ascii="Cambria" w:hAnsi="Cambria"/>
          <w:sz w:val="20"/>
          <w:szCs w:val="20"/>
          <w:lang w:val="es-MX"/>
        </w:rPr>
        <w:t xml:space="preserve"> sector y detuvieron a las señoras </w:t>
      </w:r>
      <w:r w:rsidR="00822B96" w:rsidRPr="00636D7E">
        <w:rPr>
          <w:rFonts w:ascii="Cambria" w:hAnsi="Cambria"/>
          <w:sz w:val="20"/>
          <w:szCs w:val="20"/>
          <w:lang w:val="es-MX"/>
        </w:rPr>
        <w:t>Rosalía</w:t>
      </w:r>
      <w:r w:rsidR="001C28D7" w:rsidRPr="00636D7E">
        <w:rPr>
          <w:rFonts w:ascii="Cambria" w:hAnsi="Cambria"/>
          <w:sz w:val="20"/>
          <w:szCs w:val="20"/>
          <w:lang w:val="es-MX"/>
        </w:rPr>
        <w:t xml:space="preserve"> Benavides Franco, quien se encontraba con su hijo Luis Estiven Ortiz Benavi</w:t>
      </w:r>
      <w:r w:rsidR="004617B6" w:rsidRPr="00636D7E">
        <w:rPr>
          <w:rFonts w:ascii="Cambria" w:hAnsi="Cambria"/>
          <w:sz w:val="20"/>
          <w:szCs w:val="20"/>
          <w:lang w:val="es-MX"/>
        </w:rPr>
        <w:t>d</w:t>
      </w:r>
      <w:r w:rsidR="001C28D7" w:rsidRPr="00636D7E">
        <w:rPr>
          <w:rFonts w:ascii="Cambria" w:hAnsi="Cambria"/>
          <w:sz w:val="20"/>
          <w:szCs w:val="20"/>
          <w:lang w:val="es-MX"/>
        </w:rPr>
        <w:t>es de dos años de edad, y Gloria Nancy Sánchez</w:t>
      </w:r>
      <w:r w:rsidR="00437FE1" w:rsidRPr="00636D7E">
        <w:rPr>
          <w:rFonts w:ascii="Cambria" w:hAnsi="Cambria"/>
          <w:sz w:val="20"/>
          <w:szCs w:val="20"/>
          <w:lang w:val="es-MX"/>
        </w:rPr>
        <w:t xml:space="preserve"> </w:t>
      </w:r>
      <w:r w:rsidR="00437FE1" w:rsidRPr="00636D7E">
        <w:rPr>
          <w:rFonts w:ascii="Cambria" w:hAnsi="Cambria"/>
          <w:sz w:val="20"/>
          <w:szCs w:val="20"/>
          <w:lang w:val="es-ES"/>
        </w:rPr>
        <w:t>Zuluaga</w:t>
      </w:r>
      <w:r w:rsidR="00206F10" w:rsidRPr="00636D7E">
        <w:rPr>
          <w:rFonts w:ascii="Cambria" w:hAnsi="Cambria"/>
          <w:sz w:val="20"/>
          <w:szCs w:val="20"/>
          <w:lang w:val="es-MX"/>
        </w:rPr>
        <w:t xml:space="preserve">. Indican que detuvieron </w:t>
      </w:r>
      <w:r w:rsidR="00E968A7" w:rsidRPr="00636D7E">
        <w:rPr>
          <w:rFonts w:ascii="Cambria" w:hAnsi="Cambria"/>
          <w:sz w:val="20"/>
          <w:szCs w:val="20"/>
          <w:lang w:val="es-MX"/>
        </w:rPr>
        <w:t xml:space="preserve">también </w:t>
      </w:r>
      <w:r w:rsidR="001C28D7" w:rsidRPr="00636D7E">
        <w:rPr>
          <w:rFonts w:ascii="Cambria" w:hAnsi="Cambria"/>
          <w:sz w:val="20"/>
          <w:szCs w:val="20"/>
          <w:lang w:val="es-MX"/>
        </w:rPr>
        <w:t xml:space="preserve">a Juan Guillermo Gutiérrez Sánchez, </w:t>
      </w:r>
      <w:r w:rsidR="00E968A7" w:rsidRPr="00636D7E">
        <w:rPr>
          <w:rFonts w:ascii="Cambria" w:hAnsi="Cambria"/>
          <w:sz w:val="20"/>
          <w:szCs w:val="20"/>
          <w:lang w:val="es-MX"/>
        </w:rPr>
        <w:t xml:space="preserve">de 15 años de edad, </w:t>
      </w:r>
      <w:r w:rsidR="001C28D7" w:rsidRPr="00636D7E">
        <w:rPr>
          <w:rFonts w:ascii="Cambria" w:hAnsi="Cambria"/>
          <w:sz w:val="20"/>
          <w:szCs w:val="20"/>
          <w:lang w:val="es-MX"/>
        </w:rPr>
        <w:t xml:space="preserve">quien se encontraba durmiendo en la casa de una señora de la comunidad. </w:t>
      </w:r>
      <w:r w:rsidR="004617B6" w:rsidRPr="00636D7E">
        <w:rPr>
          <w:rFonts w:ascii="Cambria" w:hAnsi="Cambria"/>
          <w:sz w:val="20"/>
          <w:szCs w:val="20"/>
          <w:lang w:val="es-MX"/>
        </w:rPr>
        <w:t xml:space="preserve">Señalan </w:t>
      </w:r>
      <w:r w:rsidR="000A6607" w:rsidRPr="00636D7E">
        <w:rPr>
          <w:rFonts w:ascii="Cambria" w:hAnsi="Cambria"/>
          <w:sz w:val="20"/>
          <w:szCs w:val="20"/>
          <w:lang w:val="es-MX"/>
        </w:rPr>
        <w:t xml:space="preserve">que </w:t>
      </w:r>
      <w:r w:rsidR="00F54CA2" w:rsidRPr="00636D7E">
        <w:rPr>
          <w:rFonts w:ascii="Cambria" w:hAnsi="Cambria"/>
          <w:sz w:val="20"/>
          <w:szCs w:val="20"/>
          <w:lang w:val="es-MX"/>
        </w:rPr>
        <w:t>los subieron</w:t>
      </w:r>
      <w:r w:rsidR="001C28D7" w:rsidRPr="00636D7E">
        <w:rPr>
          <w:rFonts w:ascii="Cambria" w:hAnsi="Cambria"/>
          <w:sz w:val="20"/>
          <w:szCs w:val="20"/>
          <w:lang w:val="es-MX"/>
        </w:rPr>
        <w:t xml:space="preserve"> a </w:t>
      </w:r>
      <w:r w:rsidR="004617B6" w:rsidRPr="00636D7E">
        <w:rPr>
          <w:rFonts w:ascii="Cambria" w:hAnsi="Cambria"/>
          <w:sz w:val="20"/>
          <w:szCs w:val="20"/>
          <w:lang w:val="es-MX"/>
        </w:rPr>
        <w:t xml:space="preserve">un vehículo </w:t>
      </w:r>
      <w:r w:rsidR="001C28D7" w:rsidRPr="00636D7E">
        <w:rPr>
          <w:rFonts w:ascii="Cambria" w:hAnsi="Cambria"/>
          <w:sz w:val="20"/>
          <w:szCs w:val="20"/>
          <w:lang w:val="es-MX"/>
        </w:rPr>
        <w:t xml:space="preserve">y posteriormente </w:t>
      </w:r>
      <w:r w:rsidR="00206F10" w:rsidRPr="00636D7E">
        <w:rPr>
          <w:rFonts w:ascii="Cambria" w:hAnsi="Cambria"/>
          <w:sz w:val="20"/>
          <w:szCs w:val="20"/>
          <w:lang w:val="es-MX"/>
        </w:rPr>
        <w:t>el adolescente Gutiérrez Sánchez</w:t>
      </w:r>
      <w:r w:rsidR="00206F10" w:rsidRPr="00636D7E" w:rsidDel="00206F10">
        <w:rPr>
          <w:rFonts w:ascii="Cambria" w:hAnsi="Cambria"/>
          <w:sz w:val="20"/>
          <w:szCs w:val="20"/>
          <w:lang w:val="es-MX"/>
        </w:rPr>
        <w:t xml:space="preserve"> </w:t>
      </w:r>
      <w:r w:rsidR="001C28D7" w:rsidRPr="00636D7E">
        <w:rPr>
          <w:rFonts w:ascii="Cambria" w:hAnsi="Cambria"/>
          <w:sz w:val="20"/>
          <w:szCs w:val="20"/>
          <w:lang w:val="es-MX"/>
        </w:rPr>
        <w:t xml:space="preserve">y </w:t>
      </w:r>
      <w:r w:rsidR="00206F10" w:rsidRPr="00636D7E">
        <w:rPr>
          <w:rFonts w:ascii="Cambria" w:hAnsi="Cambria"/>
          <w:sz w:val="20"/>
          <w:szCs w:val="20"/>
          <w:lang w:val="es-MX"/>
        </w:rPr>
        <w:t xml:space="preserve">la señora Benavides Franco </w:t>
      </w:r>
      <w:r w:rsidR="001C28D7" w:rsidRPr="00636D7E">
        <w:rPr>
          <w:rFonts w:ascii="Cambria" w:hAnsi="Cambria"/>
          <w:sz w:val="20"/>
          <w:szCs w:val="20"/>
          <w:lang w:val="es-MX"/>
        </w:rPr>
        <w:t>fueron bajados y ase</w:t>
      </w:r>
      <w:r w:rsidR="004617B6" w:rsidRPr="00636D7E">
        <w:rPr>
          <w:rFonts w:ascii="Cambria" w:hAnsi="Cambria"/>
          <w:sz w:val="20"/>
          <w:szCs w:val="20"/>
          <w:lang w:val="es-MX"/>
        </w:rPr>
        <w:t>sinados por el Sargento Segundo</w:t>
      </w:r>
      <w:r w:rsidR="001C28D7" w:rsidRPr="00636D7E">
        <w:rPr>
          <w:rFonts w:ascii="Cambria" w:hAnsi="Cambria"/>
          <w:sz w:val="20"/>
          <w:szCs w:val="20"/>
          <w:lang w:val="es-MX"/>
        </w:rPr>
        <w:t xml:space="preserve"> en compañía de paramili</w:t>
      </w:r>
      <w:r w:rsidR="004617B6" w:rsidRPr="00636D7E">
        <w:rPr>
          <w:rFonts w:ascii="Cambria" w:hAnsi="Cambria"/>
          <w:sz w:val="20"/>
          <w:szCs w:val="20"/>
          <w:lang w:val="es-MX"/>
        </w:rPr>
        <w:t>tares y de un grupo de soldados</w:t>
      </w:r>
      <w:r w:rsidR="00206F10" w:rsidRPr="00636D7E">
        <w:rPr>
          <w:rFonts w:ascii="Cambria" w:hAnsi="Cambria"/>
          <w:sz w:val="20"/>
          <w:szCs w:val="20"/>
          <w:lang w:val="es-MX"/>
        </w:rPr>
        <w:t>. Señalan que el niño</w:t>
      </w:r>
      <w:r w:rsidR="001C28D7" w:rsidRPr="00636D7E">
        <w:rPr>
          <w:rFonts w:ascii="Cambria" w:hAnsi="Cambria"/>
          <w:sz w:val="20"/>
          <w:szCs w:val="20"/>
          <w:lang w:val="es-MX"/>
        </w:rPr>
        <w:t xml:space="preserve"> </w:t>
      </w:r>
      <w:r w:rsidR="004C6126" w:rsidRPr="00636D7E">
        <w:rPr>
          <w:rFonts w:ascii="Cambria" w:hAnsi="Cambria"/>
          <w:sz w:val="20"/>
          <w:szCs w:val="20"/>
          <w:lang w:val="es-MX"/>
        </w:rPr>
        <w:t xml:space="preserve">Luis Estiven </w:t>
      </w:r>
      <w:r w:rsidR="00041AA2" w:rsidRPr="00636D7E">
        <w:rPr>
          <w:rFonts w:ascii="Cambria" w:hAnsi="Cambria"/>
          <w:sz w:val="20"/>
          <w:szCs w:val="20"/>
          <w:lang w:val="es-MX"/>
        </w:rPr>
        <w:t xml:space="preserve">fue entregado por los militares a </w:t>
      </w:r>
      <w:r w:rsidR="000A6607" w:rsidRPr="00636D7E">
        <w:rPr>
          <w:rFonts w:ascii="Cambria" w:hAnsi="Cambria"/>
          <w:sz w:val="20"/>
          <w:szCs w:val="20"/>
          <w:lang w:val="es-MX"/>
        </w:rPr>
        <w:t xml:space="preserve">la señora </w:t>
      </w:r>
      <w:r w:rsidR="00206F10" w:rsidRPr="00636D7E">
        <w:rPr>
          <w:rFonts w:ascii="Cambria" w:hAnsi="Cambria"/>
          <w:sz w:val="20"/>
          <w:szCs w:val="20"/>
          <w:lang w:val="es-MX"/>
        </w:rPr>
        <w:t>Sánchez</w:t>
      </w:r>
      <w:r w:rsidR="00437FE1" w:rsidRPr="00636D7E">
        <w:rPr>
          <w:rFonts w:ascii="Cambria" w:hAnsi="Cambria"/>
          <w:sz w:val="20"/>
          <w:szCs w:val="20"/>
          <w:lang w:val="es-MX"/>
        </w:rPr>
        <w:t xml:space="preserve"> </w:t>
      </w:r>
      <w:r w:rsidR="00437FE1" w:rsidRPr="00636D7E">
        <w:rPr>
          <w:rFonts w:ascii="Cambria" w:hAnsi="Cambria"/>
          <w:sz w:val="20"/>
          <w:szCs w:val="20"/>
          <w:lang w:val="es-ES"/>
        </w:rPr>
        <w:t>Zuluaga</w:t>
      </w:r>
      <w:r w:rsidR="000A6607" w:rsidRPr="00636D7E">
        <w:rPr>
          <w:rFonts w:ascii="Cambria" w:hAnsi="Cambria"/>
          <w:sz w:val="20"/>
          <w:szCs w:val="20"/>
          <w:lang w:val="es-MX"/>
        </w:rPr>
        <w:t xml:space="preserve"> quien</w:t>
      </w:r>
      <w:r w:rsidR="00F54CA2" w:rsidRPr="00636D7E">
        <w:rPr>
          <w:rFonts w:ascii="Cambria" w:hAnsi="Cambria"/>
          <w:sz w:val="20"/>
          <w:szCs w:val="20"/>
          <w:lang w:val="es-MX"/>
        </w:rPr>
        <w:t>, tras ser</w:t>
      </w:r>
      <w:r w:rsidR="00F93418" w:rsidRPr="00636D7E">
        <w:rPr>
          <w:rFonts w:ascii="Cambria" w:hAnsi="Cambria"/>
          <w:sz w:val="20"/>
          <w:szCs w:val="20"/>
          <w:lang w:val="es-MX"/>
        </w:rPr>
        <w:t xml:space="preserve"> liberada</w:t>
      </w:r>
      <w:r w:rsidR="00F54CA2" w:rsidRPr="00636D7E">
        <w:rPr>
          <w:rFonts w:ascii="Cambria" w:hAnsi="Cambria"/>
          <w:sz w:val="20"/>
          <w:szCs w:val="20"/>
          <w:lang w:val="es-MX"/>
        </w:rPr>
        <w:t xml:space="preserve"> luego de estar secuestrada durante tres días,</w:t>
      </w:r>
      <w:r w:rsidR="000A6607" w:rsidRPr="00636D7E">
        <w:rPr>
          <w:rFonts w:ascii="Cambria" w:hAnsi="Cambria"/>
          <w:sz w:val="20"/>
          <w:szCs w:val="20"/>
          <w:lang w:val="es-MX"/>
        </w:rPr>
        <w:t xml:space="preserve"> </w:t>
      </w:r>
      <w:r w:rsidR="00041AA2" w:rsidRPr="00636D7E">
        <w:rPr>
          <w:rFonts w:ascii="Cambria" w:hAnsi="Cambria"/>
          <w:sz w:val="20"/>
          <w:szCs w:val="20"/>
          <w:lang w:val="es-MX"/>
        </w:rPr>
        <w:t xml:space="preserve">lo </w:t>
      </w:r>
      <w:r w:rsidR="004617B6" w:rsidRPr="00636D7E">
        <w:rPr>
          <w:rFonts w:ascii="Cambria" w:hAnsi="Cambria"/>
          <w:sz w:val="20"/>
          <w:szCs w:val="20"/>
          <w:lang w:val="es-MX"/>
        </w:rPr>
        <w:t xml:space="preserve">entregó a </w:t>
      </w:r>
      <w:r w:rsidR="00041AA2" w:rsidRPr="00636D7E">
        <w:rPr>
          <w:rFonts w:ascii="Cambria" w:hAnsi="Cambria"/>
          <w:sz w:val="20"/>
          <w:szCs w:val="20"/>
          <w:lang w:val="es-MX"/>
        </w:rPr>
        <w:t>sus familiares.</w:t>
      </w:r>
      <w:r w:rsidR="00206F10" w:rsidRPr="00636D7E">
        <w:rPr>
          <w:rFonts w:ascii="Cambria" w:hAnsi="Cambria"/>
          <w:sz w:val="20"/>
          <w:szCs w:val="20"/>
          <w:lang w:val="es-MX"/>
        </w:rPr>
        <w:t xml:space="preserve"> </w:t>
      </w:r>
      <w:r w:rsidR="00474794" w:rsidRPr="00636D7E">
        <w:rPr>
          <w:rFonts w:ascii="Cambria" w:hAnsi="Cambria"/>
          <w:sz w:val="20"/>
          <w:szCs w:val="20"/>
          <w:lang w:val="es-MX"/>
        </w:rPr>
        <w:t>Al respecto, alegan que la “retenci</w:t>
      </w:r>
      <w:r w:rsidR="00474794" w:rsidRPr="00636D7E">
        <w:rPr>
          <w:rFonts w:ascii="Cambria" w:hAnsi="Cambria"/>
          <w:sz w:val="20"/>
          <w:szCs w:val="20"/>
          <w:lang w:val="es-ES"/>
        </w:rPr>
        <w:t>ón ilegal” del niño “para luego pretender entregarlo a personas diferentes a sus familiares” configura una violación al artículo 17 de la Convención.</w:t>
      </w:r>
    </w:p>
    <w:p w14:paraId="57163E66" w14:textId="4D41C138" w:rsidR="00A11E44" w:rsidRPr="00636D7E" w:rsidRDefault="000A6607" w:rsidP="00041A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636D7E">
        <w:rPr>
          <w:rFonts w:ascii="Cambria" w:hAnsi="Cambria"/>
          <w:sz w:val="20"/>
          <w:szCs w:val="20"/>
          <w:lang w:val="es-MX"/>
        </w:rPr>
        <w:t xml:space="preserve">Manifiestan </w:t>
      </w:r>
      <w:r w:rsidR="004C6126" w:rsidRPr="00636D7E">
        <w:rPr>
          <w:rFonts w:ascii="Cambria" w:hAnsi="Cambria"/>
          <w:sz w:val="20"/>
          <w:szCs w:val="20"/>
          <w:lang w:val="es-MX"/>
        </w:rPr>
        <w:t>que e</w:t>
      </w:r>
      <w:r w:rsidR="00041AA2" w:rsidRPr="00636D7E">
        <w:rPr>
          <w:rFonts w:ascii="Cambria" w:hAnsi="Cambria"/>
          <w:sz w:val="20"/>
          <w:szCs w:val="20"/>
          <w:lang w:val="es-MX"/>
        </w:rPr>
        <w:t xml:space="preserve">l Sargento Segundo ordenó a uno de sus acompañantes </w:t>
      </w:r>
      <w:r w:rsidR="00206F10" w:rsidRPr="00636D7E">
        <w:rPr>
          <w:rFonts w:ascii="Cambria" w:hAnsi="Cambria"/>
          <w:sz w:val="20"/>
          <w:szCs w:val="20"/>
          <w:lang w:val="es-MX"/>
        </w:rPr>
        <w:t>lanzar los cuerpos</w:t>
      </w:r>
      <w:r w:rsidR="00041AA2" w:rsidRPr="00636D7E">
        <w:rPr>
          <w:rFonts w:ascii="Cambria" w:hAnsi="Cambria"/>
          <w:sz w:val="20"/>
          <w:szCs w:val="20"/>
          <w:lang w:val="es-MX"/>
        </w:rPr>
        <w:t xml:space="preserve"> a un aljibe y cubrirlos con varios objetos</w:t>
      </w:r>
      <w:r w:rsidR="00206F10" w:rsidRPr="00636D7E">
        <w:rPr>
          <w:rFonts w:ascii="Cambria" w:hAnsi="Cambria"/>
          <w:sz w:val="20"/>
          <w:szCs w:val="20"/>
          <w:lang w:val="es-MX"/>
        </w:rPr>
        <w:t xml:space="preserve"> para ocultarlos</w:t>
      </w:r>
      <w:r w:rsidR="00041AA2" w:rsidRPr="00636D7E">
        <w:rPr>
          <w:rFonts w:ascii="Cambria" w:hAnsi="Cambria"/>
          <w:sz w:val="20"/>
          <w:szCs w:val="20"/>
          <w:lang w:val="es-MX"/>
        </w:rPr>
        <w:t xml:space="preserve">, lo que hizo en compañía de otros paramilitares. </w:t>
      </w:r>
      <w:r w:rsidR="00206F10" w:rsidRPr="00636D7E">
        <w:rPr>
          <w:rFonts w:ascii="Cambria" w:hAnsi="Cambria"/>
          <w:sz w:val="20"/>
          <w:szCs w:val="20"/>
          <w:lang w:val="es-MX"/>
        </w:rPr>
        <w:t>Indican que e</w:t>
      </w:r>
      <w:r w:rsidR="007928A8" w:rsidRPr="00636D7E">
        <w:rPr>
          <w:rFonts w:ascii="Cambria" w:hAnsi="Cambria"/>
          <w:sz w:val="20"/>
          <w:szCs w:val="20"/>
          <w:lang w:val="es-MX"/>
        </w:rPr>
        <w:t xml:space="preserve">l cuerpo de </w:t>
      </w:r>
      <w:r w:rsidR="00206F10" w:rsidRPr="00636D7E">
        <w:rPr>
          <w:rFonts w:ascii="Cambria" w:hAnsi="Cambria"/>
          <w:sz w:val="20"/>
          <w:szCs w:val="20"/>
          <w:lang w:val="es-MX"/>
        </w:rPr>
        <w:t xml:space="preserve">la señora Benavides Franco </w:t>
      </w:r>
      <w:r w:rsidR="005B5004" w:rsidRPr="00636D7E">
        <w:rPr>
          <w:rFonts w:ascii="Cambria" w:hAnsi="Cambria"/>
          <w:sz w:val="20"/>
          <w:szCs w:val="20"/>
          <w:lang w:val="es-MX"/>
        </w:rPr>
        <w:t xml:space="preserve">fue </w:t>
      </w:r>
      <w:r w:rsidR="000514D1" w:rsidRPr="00636D7E">
        <w:rPr>
          <w:rFonts w:ascii="Cambria" w:hAnsi="Cambria"/>
          <w:sz w:val="20"/>
          <w:szCs w:val="20"/>
          <w:lang w:val="es-MX"/>
        </w:rPr>
        <w:t>e</w:t>
      </w:r>
      <w:r w:rsidR="007928A8" w:rsidRPr="00636D7E">
        <w:rPr>
          <w:rFonts w:ascii="Cambria" w:hAnsi="Cambria"/>
          <w:sz w:val="20"/>
          <w:szCs w:val="20"/>
          <w:lang w:val="es-MX"/>
        </w:rPr>
        <w:t>ncontrado</w:t>
      </w:r>
      <w:r w:rsidR="000514D1" w:rsidRPr="00636D7E">
        <w:rPr>
          <w:rFonts w:ascii="Cambria" w:hAnsi="Cambria"/>
          <w:sz w:val="20"/>
          <w:szCs w:val="20"/>
          <w:lang w:val="es-MX"/>
        </w:rPr>
        <w:t xml:space="preserve"> </w:t>
      </w:r>
      <w:r w:rsidR="00F13DF4" w:rsidRPr="00636D7E">
        <w:rPr>
          <w:rFonts w:ascii="Cambria" w:hAnsi="Cambria"/>
          <w:sz w:val="20"/>
          <w:szCs w:val="20"/>
          <w:lang w:val="es-MX"/>
        </w:rPr>
        <w:t>al día siguiente</w:t>
      </w:r>
      <w:r w:rsidR="000514D1" w:rsidRPr="00636D7E">
        <w:rPr>
          <w:rFonts w:ascii="Cambria" w:hAnsi="Cambria"/>
          <w:sz w:val="20"/>
          <w:szCs w:val="20"/>
          <w:lang w:val="es-MX"/>
        </w:rPr>
        <w:t xml:space="preserve"> con señales de tortura</w:t>
      </w:r>
      <w:r w:rsidR="00041AA2" w:rsidRPr="00636D7E">
        <w:rPr>
          <w:rFonts w:ascii="Cambria" w:hAnsi="Cambria"/>
          <w:sz w:val="20"/>
          <w:szCs w:val="20"/>
          <w:lang w:val="es-MX"/>
        </w:rPr>
        <w:t xml:space="preserve">, </w:t>
      </w:r>
      <w:r w:rsidR="00206F10" w:rsidRPr="00636D7E">
        <w:rPr>
          <w:rFonts w:ascii="Cambria" w:hAnsi="Cambria"/>
          <w:sz w:val="20"/>
          <w:szCs w:val="20"/>
          <w:lang w:val="es-MX"/>
        </w:rPr>
        <w:lastRenderedPageBreak/>
        <w:t>pero</w:t>
      </w:r>
      <w:r w:rsidR="00041AA2" w:rsidRPr="00636D7E">
        <w:rPr>
          <w:rFonts w:ascii="Cambria" w:hAnsi="Cambria"/>
          <w:sz w:val="20"/>
          <w:szCs w:val="20"/>
          <w:lang w:val="es-MX"/>
        </w:rPr>
        <w:t xml:space="preserve"> su levantamiento y </w:t>
      </w:r>
      <w:r w:rsidR="00EC5DF9" w:rsidRPr="00636D7E">
        <w:rPr>
          <w:rFonts w:ascii="Cambria" w:hAnsi="Cambria"/>
          <w:sz w:val="20"/>
          <w:szCs w:val="20"/>
          <w:lang w:val="es-MX"/>
        </w:rPr>
        <w:t>recuperación</w:t>
      </w:r>
      <w:r w:rsidR="00041AA2" w:rsidRPr="00636D7E">
        <w:rPr>
          <w:rFonts w:ascii="Cambria" w:hAnsi="Cambria"/>
          <w:sz w:val="20"/>
          <w:szCs w:val="20"/>
          <w:lang w:val="es-MX"/>
        </w:rPr>
        <w:t xml:space="preserve"> se realizó el 28 de octubre de 2004, pues el Sargento Segundo no permitía que nadie se acercara.</w:t>
      </w:r>
      <w:r w:rsidR="005B5004" w:rsidRPr="00636D7E">
        <w:rPr>
          <w:rFonts w:ascii="Cambria" w:hAnsi="Cambria"/>
          <w:sz w:val="20"/>
          <w:szCs w:val="20"/>
          <w:lang w:val="es-MX"/>
        </w:rPr>
        <w:t xml:space="preserve"> </w:t>
      </w:r>
      <w:r w:rsidR="00C71F04" w:rsidRPr="00636D7E">
        <w:rPr>
          <w:rFonts w:ascii="Cambria" w:hAnsi="Cambria"/>
          <w:sz w:val="20"/>
          <w:szCs w:val="20"/>
          <w:lang w:val="es-MX"/>
        </w:rPr>
        <w:t xml:space="preserve">Agregan que existen indicios de que habría sido víctima de violación sexual. </w:t>
      </w:r>
      <w:r w:rsidR="00206F10" w:rsidRPr="00636D7E">
        <w:rPr>
          <w:rFonts w:ascii="Cambria" w:hAnsi="Cambria"/>
          <w:sz w:val="20"/>
          <w:szCs w:val="20"/>
          <w:lang w:val="es-MX"/>
        </w:rPr>
        <w:t>Señalan que e</w:t>
      </w:r>
      <w:r w:rsidR="007928A8" w:rsidRPr="00636D7E">
        <w:rPr>
          <w:rFonts w:ascii="Cambria" w:hAnsi="Cambria"/>
          <w:sz w:val="20"/>
          <w:szCs w:val="20"/>
          <w:lang w:val="es-MX"/>
        </w:rPr>
        <w:t>l cuerpo de</w:t>
      </w:r>
      <w:r w:rsidR="00206F10" w:rsidRPr="00636D7E">
        <w:rPr>
          <w:rFonts w:ascii="Cambria" w:hAnsi="Cambria"/>
          <w:sz w:val="20"/>
          <w:szCs w:val="20"/>
          <w:lang w:val="es-MX"/>
        </w:rPr>
        <w:t>l adolescente Gutiérrez Sánchez</w:t>
      </w:r>
      <w:r w:rsidR="007928A8" w:rsidRPr="00636D7E">
        <w:rPr>
          <w:rFonts w:ascii="Cambria" w:hAnsi="Cambria"/>
          <w:sz w:val="20"/>
          <w:szCs w:val="20"/>
          <w:lang w:val="es-MX"/>
        </w:rPr>
        <w:t xml:space="preserve"> fue encontrado </w:t>
      </w:r>
      <w:r w:rsidR="00F93418" w:rsidRPr="00636D7E">
        <w:rPr>
          <w:rFonts w:ascii="Cambria" w:hAnsi="Cambria"/>
          <w:sz w:val="20"/>
          <w:szCs w:val="20"/>
          <w:lang w:val="es-MX"/>
        </w:rPr>
        <w:t xml:space="preserve">por miembros de la Junta de Acción Comunal de la Vereda Arizona, con la participación de un Subteniente del Ejército Nacional </w:t>
      </w:r>
      <w:r w:rsidR="00041AA2" w:rsidRPr="00636D7E">
        <w:rPr>
          <w:rFonts w:ascii="Cambria" w:hAnsi="Cambria"/>
          <w:sz w:val="20"/>
          <w:szCs w:val="20"/>
          <w:lang w:val="es-MX"/>
        </w:rPr>
        <w:t xml:space="preserve">el 10 </w:t>
      </w:r>
      <w:r w:rsidR="00A27403" w:rsidRPr="00636D7E">
        <w:rPr>
          <w:rFonts w:ascii="Cambria" w:hAnsi="Cambria"/>
          <w:sz w:val="20"/>
          <w:szCs w:val="20"/>
          <w:lang w:val="es-MX"/>
        </w:rPr>
        <w:t>de noviembre de 2004</w:t>
      </w:r>
      <w:r w:rsidR="00F93418" w:rsidRPr="00636D7E">
        <w:rPr>
          <w:rFonts w:ascii="Cambria" w:hAnsi="Cambria"/>
          <w:sz w:val="20"/>
          <w:szCs w:val="20"/>
          <w:lang w:val="es-MX"/>
        </w:rPr>
        <w:t>,</w:t>
      </w:r>
      <w:r w:rsidR="007928A8" w:rsidRPr="00636D7E">
        <w:rPr>
          <w:rFonts w:ascii="Cambria" w:hAnsi="Cambria"/>
          <w:sz w:val="20"/>
          <w:szCs w:val="20"/>
          <w:lang w:val="es-MX"/>
        </w:rPr>
        <w:t xml:space="preserve"> con señales de haber sido torturado</w:t>
      </w:r>
      <w:r w:rsidR="00041AA2" w:rsidRPr="00636D7E">
        <w:rPr>
          <w:rFonts w:ascii="Cambria" w:hAnsi="Cambria"/>
          <w:sz w:val="20"/>
          <w:szCs w:val="20"/>
          <w:lang w:val="es-MX"/>
        </w:rPr>
        <w:t xml:space="preserve">. </w:t>
      </w:r>
    </w:p>
    <w:p w14:paraId="0B64C602" w14:textId="4E7F5285" w:rsidR="00926140" w:rsidRPr="00636D7E" w:rsidRDefault="00041AA2" w:rsidP="0085189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6D7E">
        <w:rPr>
          <w:rFonts w:ascii="Cambria" w:hAnsi="Cambria"/>
          <w:sz w:val="20"/>
          <w:szCs w:val="20"/>
          <w:lang w:val="es-MX"/>
        </w:rPr>
        <w:t xml:space="preserve">Sostienen </w:t>
      </w:r>
      <w:r w:rsidR="00F54CA2" w:rsidRPr="00636D7E">
        <w:rPr>
          <w:rFonts w:ascii="Cambria" w:hAnsi="Cambria"/>
          <w:sz w:val="20"/>
          <w:szCs w:val="20"/>
          <w:lang w:val="es-MX"/>
        </w:rPr>
        <w:t>que,</w:t>
      </w:r>
      <w:r w:rsidRPr="00636D7E">
        <w:rPr>
          <w:rFonts w:ascii="Cambria" w:hAnsi="Cambria"/>
          <w:sz w:val="20"/>
          <w:szCs w:val="20"/>
          <w:lang w:val="es-MX"/>
        </w:rPr>
        <w:t xml:space="preserve"> durante el desarrollo de los mismos hechos, </w:t>
      </w:r>
      <w:r w:rsidR="00F93418" w:rsidRPr="00636D7E">
        <w:rPr>
          <w:rFonts w:ascii="Cambria" w:hAnsi="Cambria"/>
          <w:sz w:val="20"/>
          <w:szCs w:val="20"/>
          <w:lang w:val="es-MX"/>
        </w:rPr>
        <w:t xml:space="preserve">entre el 25 y 28 de octubre </w:t>
      </w:r>
      <w:r w:rsidRPr="00636D7E">
        <w:rPr>
          <w:rFonts w:ascii="Cambria" w:hAnsi="Cambria"/>
          <w:sz w:val="20"/>
          <w:szCs w:val="20"/>
          <w:lang w:val="es-MX"/>
        </w:rPr>
        <w:t xml:space="preserve">de 2004 fueron </w:t>
      </w:r>
      <w:r w:rsidR="000A2433" w:rsidRPr="00636D7E">
        <w:rPr>
          <w:rFonts w:ascii="Cambria" w:hAnsi="Cambria"/>
          <w:sz w:val="20"/>
          <w:szCs w:val="20"/>
          <w:lang w:val="es-MX"/>
        </w:rPr>
        <w:t>secuestradas, torturadas</w:t>
      </w:r>
      <w:r w:rsidRPr="00636D7E">
        <w:rPr>
          <w:rFonts w:ascii="Cambria" w:hAnsi="Cambria"/>
          <w:sz w:val="20"/>
          <w:szCs w:val="20"/>
          <w:lang w:val="es-MX"/>
        </w:rPr>
        <w:t xml:space="preserve"> y abusadas sexualmente </w:t>
      </w:r>
      <w:r w:rsidR="00042D20" w:rsidRPr="00636D7E">
        <w:rPr>
          <w:rFonts w:ascii="Cambria" w:hAnsi="Cambria"/>
          <w:sz w:val="20"/>
          <w:szCs w:val="20"/>
          <w:lang w:val="es-MX"/>
        </w:rPr>
        <w:t xml:space="preserve">por los mismos victimarios, durante </w:t>
      </w:r>
      <w:r w:rsidRPr="00636D7E">
        <w:rPr>
          <w:rFonts w:ascii="Cambria" w:hAnsi="Cambria"/>
          <w:sz w:val="20"/>
          <w:szCs w:val="20"/>
          <w:lang w:val="es-MX"/>
        </w:rPr>
        <w:t>varios días</w:t>
      </w:r>
      <w:r w:rsidR="00042D20" w:rsidRPr="00636D7E">
        <w:rPr>
          <w:rFonts w:ascii="Cambria" w:hAnsi="Cambria"/>
          <w:sz w:val="20"/>
          <w:szCs w:val="20"/>
          <w:lang w:val="es-MX"/>
        </w:rPr>
        <w:t>,</w:t>
      </w:r>
      <w:r w:rsidRPr="00636D7E">
        <w:rPr>
          <w:rFonts w:ascii="Cambria" w:hAnsi="Cambria"/>
          <w:sz w:val="20"/>
          <w:szCs w:val="20"/>
          <w:lang w:val="es-MX"/>
        </w:rPr>
        <w:t xml:space="preserve"> </w:t>
      </w:r>
      <w:r w:rsidR="00F93418" w:rsidRPr="00636D7E">
        <w:rPr>
          <w:rFonts w:ascii="Cambria" w:hAnsi="Cambria"/>
          <w:sz w:val="20"/>
          <w:szCs w:val="20"/>
          <w:lang w:val="es-MX"/>
        </w:rPr>
        <w:t>l</w:t>
      </w:r>
      <w:r w:rsidRPr="00636D7E">
        <w:rPr>
          <w:rFonts w:ascii="Cambria" w:hAnsi="Cambria"/>
          <w:sz w:val="20"/>
          <w:szCs w:val="20"/>
          <w:lang w:val="es-MX"/>
        </w:rPr>
        <w:t>as señoras Luceny Guali Guzmán, Florecide Cortés Cruz, Nubia Esther González</w:t>
      </w:r>
      <w:r w:rsidR="004A188E" w:rsidRPr="00636D7E">
        <w:rPr>
          <w:rFonts w:ascii="Cambria" w:hAnsi="Cambria"/>
          <w:sz w:val="20"/>
          <w:szCs w:val="20"/>
          <w:lang w:val="es-MX"/>
        </w:rPr>
        <w:t>,</w:t>
      </w:r>
      <w:r w:rsidRPr="00636D7E">
        <w:rPr>
          <w:rFonts w:ascii="Cambria" w:hAnsi="Cambria"/>
          <w:sz w:val="20"/>
          <w:szCs w:val="20"/>
          <w:lang w:val="es-MX"/>
        </w:rPr>
        <w:t xml:space="preserve"> Elvira Gonzále</w:t>
      </w:r>
      <w:r w:rsidR="00247D0C" w:rsidRPr="00636D7E">
        <w:rPr>
          <w:rFonts w:ascii="Cambria" w:hAnsi="Cambria"/>
          <w:sz w:val="20"/>
          <w:szCs w:val="20"/>
          <w:lang w:val="es-MX"/>
        </w:rPr>
        <w:t>z</w:t>
      </w:r>
      <w:r w:rsidR="00F93418" w:rsidRPr="00636D7E">
        <w:rPr>
          <w:rFonts w:ascii="Cambria" w:hAnsi="Cambria"/>
          <w:sz w:val="20"/>
          <w:szCs w:val="20"/>
          <w:lang w:val="es-MX"/>
        </w:rPr>
        <w:t xml:space="preserve">, </w:t>
      </w:r>
      <w:r w:rsidR="004A188E" w:rsidRPr="00636D7E">
        <w:rPr>
          <w:rFonts w:ascii="Cambria" w:hAnsi="Cambria"/>
          <w:sz w:val="20"/>
          <w:szCs w:val="20"/>
          <w:lang w:val="es-MX"/>
        </w:rPr>
        <w:t xml:space="preserve">y una señora de nombre Adela, </w:t>
      </w:r>
      <w:r w:rsidR="00F93418" w:rsidRPr="00636D7E">
        <w:rPr>
          <w:rFonts w:ascii="Cambria" w:hAnsi="Cambria"/>
          <w:sz w:val="20"/>
          <w:szCs w:val="20"/>
          <w:lang w:val="es-MX"/>
        </w:rPr>
        <w:t xml:space="preserve">además de la señora </w:t>
      </w:r>
      <w:r w:rsidR="005478A9" w:rsidRPr="00636D7E">
        <w:rPr>
          <w:rFonts w:ascii="Cambria" w:hAnsi="Cambria"/>
          <w:sz w:val="20"/>
          <w:szCs w:val="20"/>
          <w:lang w:val="es-MX"/>
        </w:rPr>
        <w:t>Sánchez</w:t>
      </w:r>
      <w:r w:rsidR="00437FE1" w:rsidRPr="00636D7E">
        <w:rPr>
          <w:rFonts w:ascii="Cambria" w:hAnsi="Cambria"/>
          <w:sz w:val="20"/>
          <w:szCs w:val="20"/>
          <w:lang w:val="es-MX"/>
        </w:rPr>
        <w:t xml:space="preserve"> </w:t>
      </w:r>
      <w:r w:rsidR="00437FE1" w:rsidRPr="00636D7E">
        <w:rPr>
          <w:rFonts w:ascii="Cambria" w:hAnsi="Cambria"/>
          <w:sz w:val="20"/>
          <w:szCs w:val="20"/>
          <w:lang w:val="es-ES"/>
        </w:rPr>
        <w:t>Zuluaga</w:t>
      </w:r>
      <w:r w:rsidR="005478A9" w:rsidRPr="00636D7E">
        <w:rPr>
          <w:rFonts w:ascii="Cambria" w:hAnsi="Cambria"/>
          <w:sz w:val="20"/>
          <w:szCs w:val="20"/>
          <w:lang w:val="es-MX"/>
        </w:rPr>
        <w:t>. Indican que</w:t>
      </w:r>
      <w:r w:rsidR="000A2433" w:rsidRPr="00636D7E">
        <w:rPr>
          <w:rFonts w:ascii="Cambria" w:hAnsi="Cambria"/>
          <w:sz w:val="20"/>
          <w:szCs w:val="20"/>
          <w:lang w:val="es-MX"/>
        </w:rPr>
        <w:t xml:space="preserve"> posteriormente </w:t>
      </w:r>
      <w:r w:rsidR="00554F4A" w:rsidRPr="00636D7E">
        <w:rPr>
          <w:rFonts w:ascii="Cambria" w:hAnsi="Cambria"/>
          <w:sz w:val="20"/>
          <w:szCs w:val="20"/>
          <w:lang w:val="es-MX"/>
        </w:rPr>
        <w:t xml:space="preserve">fueron entregadas </w:t>
      </w:r>
      <w:r w:rsidR="000A2433" w:rsidRPr="00636D7E">
        <w:rPr>
          <w:rFonts w:ascii="Cambria" w:hAnsi="Cambria"/>
          <w:sz w:val="20"/>
          <w:szCs w:val="20"/>
          <w:lang w:val="es-MX"/>
        </w:rPr>
        <w:t xml:space="preserve">por los militares </w:t>
      </w:r>
      <w:r w:rsidR="00554F4A" w:rsidRPr="00636D7E">
        <w:rPr>
          <w:rFonts w:ascii="Cambria" w:hAnsi="Cambria"/>
          <w:sz w:val="20"/>
          <w:szCs w:val="20"/>
          <w:lang w:val="es-MX"/>
        </w:rPr>
        <w:t>a la Junta de Acción Comunal, obligándolas a firmar un acta de buen trato.</w:t>
      </w:r>
      <w:r w:rsidR="0085189F" w:rsidRPr="00636D7E">
        <w:rPr>
          <w:rFonts w:ascii="Cambria" w:hAnsi="Cambria"/>
          <w:sz w:val="20"/>
          <w:szCs w:val="20"/>
          <w:lang w:val="es-MX"/>
        </w:rPr>
        <w:t xml:space="preserve"> </w:t>
      </w:r>
      <w:r w:rsidR="0085189F" w:rsidRPr="00636D7E">
        <w:rPr>
          <w:rFonts w:ascii="Cambria" w:hAnsi="Cambria"/>
          <w:sz w:val="20"/>
          <w:szCs w:val="20"/>
          <w:lang w:val="es-ES"/>
        </w:rPr>
        <w:t>Por último, de acuerdo a la información proporcionada por los peticionarios, algunos familiares de las presuntas víctimas debieron desplazarse a raíz de amenazas sufridas derivadas de los hechos alegados.</w:t>
      </w:r>
      <w:r w:rsidR="00474794" w:rsidRPr="00636D7E">
        <w:rPr>
          <w:rFonts w:ascii="Cambria" w:hAnsi="Cambria"/>
          <w:sz w:val="20"/>
          <w:szCs w:val="20"/>
          <w:lang w:val="es-ES"/>
        </w:rPr>
        <w:t xml:space="preserve"> Manifiestan asimismo que los familiares</w:t>
      </w:r>
      <w:r w:rsidR="008511B2" w:rsidRPr="00636D7E">
        <w:rPr>
          <w:rFonts w:ascii="Cambria" w:hAnsi="Cambria"/>
          <w:sz w:val="20"/>
          <w:szCs w:val="20"/>
          <w:lang w:val="es-ES"/>
        </w:rPr>
        <w:t xml:space="preserve"> sintieron temor de emprender la búsqueda de las presuntas víctimas. Al respecto, indican que la madre de Juan Guillermo Gutiérrez se abstuvo de continuar la búsqueda de su hijo por temor</w:t>
      </w:r>
      <w:r w:rsidR="003835C7" w:rsidRPr="00636D7E">
        <w:rPr>
          <w:rFonts w:ascii="Cambria" w:hAnsi="Cambria"/>
          <w:sz w:val="20"/>
          <w:szCs w:val="20"/>
          <w:lang w:val="es-ES"/>
        </w:rPr>
        <w:t xml:space="preserve"> y que personas uniformadas profirieron amenazas a los familiares para que no denunciaran los hechos.</w:t>
      </w:r>
      <w:r w:rsidR="008511B2" w:rsidRPr="00636D7E">
        <w:rPr>
          <w:rFonts w:ascii="Cambria" w:hAnsi="Cambria"/>
          <w:sz w:val="20"/>
          <w:szCs w:val="20"/>
          <w:lang w:val="es-ES"/>
        </w:rPr>
        <w:t xml:space="preserve"> </w:t>
      </w:r>
    </w:p>
    <w:p w14:paraId="340CE895" w14:textId="2A144DA6" w:rsidR="000B2B9F" w:rsidRPr="00636D7E" w:rsidRDefault="000B2B9F" w:rsidP="000B2B9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ES"/>
        </w:rPr>
      </w:pPr>
      <w:r w:rsidRPr="00636D7E">
        <w:rPr>
          <w:rFonts w:ascii="Cambria" w:hAnsi="Cambria"/>
          <w:i/>
          <w:sz w:val="20"/>
          <w:szCs w:val="20"/>
          <w:lang w:val="es-ES"/>
        </w:rPr>
        <w:t xml:space="preserve">Proceso penal </w:t>
      </w:r>
    </w:p>
    <w:p w14:paraId="6E437C42" w14:textId="3320CDB4" w:rsidR="002B608E" w:rsidRPr="00636D7E" w:rsidRDefault="000B2B9F" w:rsidP="000B2B9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6D7E">
        <w:rPr>
          <w:rFonts w:ascii="Cambria" w:hAnsi="Cambria"/>
          <w:sz w:val="20"/>
          <w:szCs w:val="20"/>
          <w:lang w:val="es-ES"/>
        </w:rPr>
        <w:t xml:space="preserve">De </w:t>
      </w:r>
      <w:r w:rsidR="00DE5A81" w:rsidRPr="00636D7E">
        <w:rPr>
          <w:rFonts w:ascii="Cambria" w:hAnsi="Cambria"/>
          <w:sz w:val="20"/>
          <w:szCs w:val="20"/>
          <w:lang w:val="es-ES"/>
        </w:rPr>
        <w:t xml:space="preserve">acuerdo a la documentación aportada por </w:t>
      </w:r>
      <w:r w:rsidR="005D4FBA" w:rsidRPr="00636D7E">
        <w:rPr>
          <w:rFonts w:ascii="Cambria" w:hAnsi="Cambria"/>
          <w:sz w:val="20"/>
          <w:szCs w:val="20"/>
          <w:lang w:val="es-ES"/>
        </w:rPr>
        <w:t>los peticionarios</w:t>
      </w:r>
      <w:r w:rsidR="00DE5A81" w:rsidRPr="00636D7E">
        <w:rPr>
          <w:rFonts w:ascii="Cambria" w:hAnsi="Cambria"/>
          <w:sz w:val="20"/>
          <w:szCs w:val="20"/>
          <w:lang w:val="es-ES"/>
        </w:rPr>
        <w:t xml:space="preserve">, </w:t>
      </w:r>
      <w:r w:rsidRPr="00636D7E">
        <w:rPr>
          <w:rFonts w:ascii="Cambria" w:hAnsi="Cambria"/>
          <w:sz w:val="20"/>
          <w:szCs w:val="20"/>
          <w:lang w:val="es-ES"/>
        </w:rPr>
        <w:t xml:space="preserve">un miembro del </w:t>
      </w:r>
      <w:r w:rsidR="00EC5DF9" w:rsidRPr="00636D7E">
        <w:rPr>
          <w:rFonts w:ascii="Cambria" w:hAnsi="Cambria"/>
          <w:sz w:val="20"/>
          <w:szCs w:val="20"/>
          <w:lang w:val="es-ES"/>
        </w:rPr>
        <w:t>E</w:t>
      </w:r>
      <w:r w:rsidRPr="00636D7E">
        <w:rPr>
          <w:rFonts w:ascii="Cambria" w:hAnsi="Cambria"/>
          <w:sz w:val="20"/>
          <w:szCs w:val="20"/>
          <w:lang w:val="es-ES"/>
        </w:rPr>
        <w:t>jército denunció ante el Juzgado 58° de Instrucción Penal Militar hechos sucedidos en octubre de 2004 que involucraban la participación del entonces S</w:t>
      </w:r>
      <w:r w:rsidR="005D4FBA" w:rsidRPr="00636D7E">
        <w:rPr>
          <w:rFonts w:ascii="Cambria" w:hAnsi="Cambria"/>
          <w:sz w:val="20"/>
          <w:szCs w:val="20"/>
          <w:lang w:val="es-ES"/>
        </w:rPr>
        <w:t xml:space="preserve">argento Segundo, entre ellos, el homicidio </w:t>
      </w:r>
      <w:r w:rsidR="00683570" w:rsidRPr="00636D7E">
        <w:rPr>
          <w:rFonts w:ascii="Cambria" w:hAnsi="Cambria"/>
          <w:sz w:val="20"/>
          <w:szCs w:val="20"/>
          <w:lang w:val="es-MX"/>
        </w:rPr>
        <w:t xml:space="preserve">del adolescente Gutiérrez Sánchez </w:t>
      </w:r>
      <w:r w:rsidRPr="00636D7E">
        <w:rPr>
          <w:rFonts w:ascii="Cambria" w:hAnsi="Cambria"/>
          <w:sz w:val="20"/>
          <w:szCs w:val="20"/>
          <w:lang w:val="es-ES"/>
        </w:rPr>
        <w:t xml:space="preserve">y </w:t>
      </w:r>
      <w:r w:rsidR="00683570" w:rsidRPr="00636D7E">
        <w:rPr>
          <w:rFonts w:ascii="Cambria" w:hAnsi="Cambria"/>
          <w:sz w:val="20"/>
          <w:szCs w:val="20"/>
          <w:lang w:val="es-ES"/>
        </w:rPr>
        <w:t>de la señora</w:t>
      </w:r>
      <w:r w:rsidRPr="00636D7E">
        <w:rPr>
          <w:rFonts w:ascii="Cambria" w:hAnsi="Cambria"/>
          <w:sz w:val="20"/>
          <w:szCs w:val="20"/>
          <w:lang w:val="es-ES"/>
        </w:rPr>
        <w:t xml:space="preserve"> Benavides</w:t>
      </w:r>
      <w:r w:rsidR="00683570" w:rsidRPr="00636D7E">
        <w:rPr>
          <w:rFonts w:ascii="Cambria" w:hAnsi="Cambria"/>
          <w:sz w:val="20"/>
          <w:szCs w:val="20"/>
          <w:lang w:val="es-ES"/>
        </w:rPr>
        <w:t xml:space="preserve"> Franco</w:t>
      </w:r>
      <w:r w:rsidRPr="00636D7E">
        <w:rPr>
          <w:rFonts w:ascii="Cambria" w:hAnsi="Cambria"/>
          <w:sz w:val="20"/>
          <w:szCs w:val="20"/>
          <w:lang w:val="es-ES"/>
        </w:rPr>
        <w:t xml:space="preserve">, </w:t>
      </w:r>
      <w:r w:rsidR="005D4FBA" w:rsidRPr="00636D7E">
        <w:rPr>
          <w:rFonts w:ascii="Cambria" w:hAnsi="Cambria"/>
          <w:sz w:val="20"/>
          <w:szCs w:val="20"/>
          <w:lang w:val="es-ES"/>
        </w:rPr>
        <w:t xml:space="preserve">y </w:t>
      </w:r>
      <w:r w:rsidRPr="00636D7E">
        <w:rPr>
          <w:rFonts w:ascii="Cambria" w:hAnsi="Cambria"/>
          <w:sz w:val="20"/>
          <w:szCs w:val="20"/>
          <w:lang w:val="es-ES"/>
        </w:rPr>
        <w:t>“[l]a ilegal privación de la libertad durante varios días de Nubia y Elvira González (…) y su conducción a</w:t>
      </w:r>
      <w:r w:rsidR="00683570" w:rsidRPr="00636D7E">
        <w:rPr>
          <w:rFonts w:ascii="Cambria" w:hAnsi="Cambria"/>
          <w:sz w:val="20"/>
          <w:szCs w:val="20"/>
          <w:lang w:val="es-ES"/>
        </w:rPr>
        <w:t xml:space="preserve"> </w:t>
      </w:r>
      <w:r w:rsidRPr="00636D7E">
        <w:rPr>
          <w:rFonts w:ascii="Cambria" w:hAnsi="Cambria"/>
          <w:sz w:val="20"/>
          <w:szCs w:val="20"/>
          <w:lang w:val="es-ES"/>
        </w:rPr>
        <w:t>la Base Militar de Mansoyá, donde fueron liberadas”.</w:t>
      </w:r>
      <w:r w:rsidR="00DE5A81" w:rsidRPr="00636D7E">
        <w:rPr>
          <w:rFonts w:ascii="Cambria" w:hAnsi="Cambria"/>
          <w:sz w:val="20"/>
          <w:szCs w:val="20"/>
          <w:lang w:val="es-ES"/>
        </w:rPr>
        <w:t xml:space="preserve"> </w:t>
      </w:r>
      <w:r w:rsidRPr="00636D7E">
        <w:rPr>
          <w:rFonts w:ascii="Cambria" w:hAnsi="Cambria"/>
          <w:sz w:val="20"/>
          <w:szCs w:val="20"/>
          <w:lang w:val="es-ES"/>
        </w:rPr>
        <w:t xml:space="preserve">El Juzgado 58° inició la investigación penal el 23 de noviembre de 2004 y el 28 de noviembre de 2004 ordenó la detención preventiva del Sargento Segundo por los delitos de concierto para delinquir, abuso de autoridad, homicidio agravado, acceso carnal con incapaz de resistir y detención arbitraria. El 10 de diciembre de 2004 el Juzgado 58° remitió el proceso por competencia a la Fiscalía Especializada de Puerto Asís. El 7 de marzo de 2005 la señora María Doris Sánchez Murcia, madre del adolescente </w:t>
      </w:r>
      <w:r w:rsidR="00683570" w:rsidRPr="00636D7E">
        <w:rPr>
          <w:rFonts w:ascii="Cambria" w:hAnsi="Cambria"/>
          <w:sz w:val="20"/>
          <w:szCs w:val="20"/>
          <w:lang w:val="es-MX"/>
        </w:rPr>
        <w:t>Gutiérrez Sánchez</w:t>
      </w:r>
      <w:r w:rsidRPr="00636D7E">
        <w:rPr>
          <w:rFonts w:ascii="Cambria" w:hAnsi="Cambria"/>
          <w:sz w:val="20"/>
          <w:szCs w:val="20"/>
          <w:lang w:val="es-ES"/>
        </w:rPr>
        <w:t>, denunció su muerte ante la Fiscalía Seccional 44 de l</w:t>
      </w:r>
      <w:r w:rsidR="002B608E" w:rsidRPr="00636D7E">
        <w:rPr>
          <w:rFonts w:ascii="Cambria" w:hAnsi="Cambria"/>
          <w:sz w:val="20"/>
          <w:szCs w:val="20"/>
          <w:lang w:val="es-ES"/>
        </w:rPr>
        <w:t>a Unidad Seccional de Fiscalías</w:t>
      </w:r>
      <w:r w:rsidR="00683570" w:rsidRPr="00636D7E">
        <w:rPr>
          <w:rFonts w:ascii="Cambria" w:hAnsi="Cambria"/>
          <w:sz w:val="20"/>
          <w:szCs w:val="20"/>
          <w:lang w:val="es-ES"/>
        </w:rPr>
        <w:t>, la cual</w:t>
      </w:r>
      <w:r w:rsidR="002B608E" w:rsidRPr="00636D7E">
        <w:rPr>
          <w:rFonts w:ascii="Cambria" w:hAnsi="Cambria"/>
          <w:sz w:val="20"/>
          <w:szCs w:val="20"/>
          <w:lang w:val="es-ES"/>
        </w:rPr>
        <w:t xml:space="preserve"> </w:t>
      </w:r>
      <w:r w:rsidRPr="00636D7E">
        <w:rPr>
          <w:rFonts w:ascii="Cambria" w:hAnsi="Cambria"/>
          <w:sz w:val="20"/>
          <w:szCs w:val="20"/>
          <w:lang w:val="es-ES"/>
        </w:rPr>
        <w:t xml:space="preserve">el 10 de agosto de 2005 solicitó se tramitase en el mismo </w:t>
      </w:r>
      <w:r w:rsidR="002B608E" w:rsidRPr="00636D7E">
        <w:rPr>
          <w:rFonts w:ascii="Cambria" w:hAnsi="Cambria"/>
          <w:sz w:val="20"/>
          <w:szCs w:val="20"/>
          <w:lang w:val="es-ES"/>
        </w:rPr>
        <w:t>proceso ante el Juzgado 58°</w:t>
      </w:r>
      <w:r w:rsidRPr="00636D7E">
        <w:rPr>
          <w:rFonts w:ascii="Cambria" w:hAnsi="Cambria"/>
          <w:sz w:val="20"/>
          <w:szCs w:val="20"/>
          <w:lang w:val="es-ES"/>
        </w:rPr>
        <w:t xml:space="preserve">. </w:t>
      </w:r>
    </w:p>
    <w:p w14:paraId="2E02F1E7" w14:textId="77777777" w:rsidR="000B2B9F" w:rsidRPr="00636D7E" w:rsidRDefault="00A440A2" w:rsidP="002B60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6D7E">
        <w:rPr>
          <w:rFonts w:ascii="Cambria" w:hAnsi="Cambria"/>
          <w:sz w:val="20"/>
          <w:szCs w:val="20"/>
          <w:lang w:val="es-ES"/>
        </w:rPr>
        <w:t>Según</w:t>
      </w:r>
      <w:r w:rsidR="00BA772A" w:rsidRPr="00636D7E">
        <w:rPr>
          <w:rFonts w:ascii="Cambria" w:hAnsi="Cambria"/>
          <w:sz w:val="20"/>
          <w:szCs w:val="20"/>
          <w:lang w:val="es-ES"/>
        </w:rPr>
        <w:t xml:space="preserve"> la información proporcionada, e</w:t>
      </w:r>
      <w:r w:rsidR="000B2B9F" w:rsidRPr="00636D7E">
        <w:rPr>
          <w:rFonts w:ascii="Cambria" w:hAnsi="Cambria"/>
          <w:sz w:val="20"/>
          <w:szCs w:val="20"/>
          <w:lang w:val="es-ES"/>
        </w:rPr>
        <w:t xml:space="preserve">l </w:t>
      </w:r>
      <w:r w:rsidR="00683570" w:rsidRPr="00636D7E">
        <w:rPr>
          <w:rFonts w:ascii="Cambria" w:hAnsi="Cambria"/>
          <w:sz w:val="20"/>
          <w:szCs w:val="20"/>
          <w:lang w:val="es-ES"/>
        </w:rPr>
        <w:t xml:space="preserve">29 de junio de 2005 </w:t>
      </w:r>
      <w:r w:rsidR="000B2B9F" w:rsidRPr="00636D7E">
        <w:rPr>
          <w:rFonts w:ascii="Cambria" w:hAnsi="Cambria"/>
          <w:sz w:val="20"/>
          <w:szCs w:val="20"/>
          <w:lang w:val="es-ES"/>
        </w:rPr>
        <w:t>la Fiscalía Delegada ante el Juzgado Penal del Circuito Especializado acusó al Sargento Segundo como autor del concurso de los delitos de concierto para delinquir agravado, homicidio agravado y detención arbitraria, y declaró la preclusión de la instrucción por los delitos de acto sexual con persona puesta en incapacidad de resistir al no haberse demostrado en la sumaria, y respecto del delito de abuso de autoridad, por corresponder el de detención arbitraria.</w:t>
      </w:r>
    </w:p>
    <w:p w14:paraId="4207038F" w14:textId="496474D7" w:rsidR="000B2B9F" w:rsidRPr="00636D7E" w:rsidRDefault="00480498" w:rsidP="00BA77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1F497D" w:themeColor="text2"/>
          <w:sz w:val="20"/>
          <w:szCs w:val="20"/>
          <w:lang w:val="es-ES"/>
        </w:rPr>
      </w:pPr>
      <w:r w:rsidRPr="00636D7E">
        <w:rPr>
          <w:rFonts w:ascii="Cambria" w:hAnsi="Cambria"/>
          <w:sz w:val="20"/>
          <w:szCs w:val="20"/>
          <w:lang w:val="es-ES"/>
        </w:rPr>
        <w:t>De acuerdo a</w:t>
      </w:r>
      <w:r w:rsidR="00BA772A" w:rsidRPr="00636D7E">
        <w:rPr>
          <w:rFonts w:ascii="Cambria" w:hAnsi="Cambria"/>
          <w:sz w:val="20"/>
          <w:szCs w:val="20"/>
          <w:lang w:val="es-ES"/>
        </w:rPr>
        <w:t xml:space="preserve"> la documentación</w:t>
      </w:r>
      <w:r w:rsidR="005B747D" w:rsidRPr="00636D7E">
        <w:rPr>
          <w:rFonts w:ascii="Cambria" w:hAnsi="Cambria"/>
          <w:sz w:val="20"/>
          <w:szCs w:val="20"/>
          <w:lang w:val="es-ES"/>
        </w:rPr>
        <w:t xml:space="preserve"> </w:t>
      </w:r>
      <w:r w:rsidR="00042D20" w:rsidRPr="00636D7E">
        <w:rPr>
          <w:rFonts w:ascii="Cambria" w:hAnsi="Cambria"/>
          <w:sz w:val="20"/>
          <w:szCs w:val="20"/>
          <w:lang w:val="es-ES"/>
        </w:rPr>
        <w:t>recibida</w:t>
      </w:r>
      <w:r w:rsidR="00BA772A" w:rsidRPr="00636D7E">
        <w:rPr>
          <w:rFonts w:ascii="Cambria" w:hAnsi="Cambria"/>
          <w:sz w:val="20"/>
          <w:szCs w:val="20"/>
          <w:lang w:val="es-ES"/>
        </w:rPr>
        <w:t>, e</w:t>
      </w:r>
      <w:r w:rsidR="000B2B9F" w:rsidRPr="00636D7E">
        <w:rPr>
          <w:rFonts w:ascii="Cambria" w:hAnsi="Cambria"/>
          <w:sz w:val="20"/>
          <w:szCs w:val="20"/>
          <w:lang w:val="es-ES"/>
        </w:rPr>
        <w:t xml:space="preserve">l 6 de marzo de 2007 el Juzgado Penal del Circuito Especializado condenó al Sargento Segundo </w:t>
      </w:r>
      <w:r w:rsidR="00E23137" w:rsidRPr="00636D7E">
        <w:rPr>
          <w:rFonts w:ascii="Cambria" w:hAnsi="Cambria"/>
          <w:sz w:val="20"/>
          <w:szCs w:val="20"/>
          <w:lang w:val="es-ES"/>
        </w:rPr>
        <w:t xml:space="preserve">Juan Pablo Sierra Daza </w:t>
      </w:r>
      <w:r w:rsidR="00BA772A" w:rsidRPr="00636D7E">
        <w:rPr>
          <w:rFonts w:ascii="Cambria" w:hAnsi="Cambria"/>
          <w:sz w:val="20"/>
          <w:szCs w:val="20"/>
          <w:lang w:val="es-ES"/>
        </w:rPr>
        <w:t>por</w:t>
      </w:r>
      <w:r w:rsidR="000B2B9F" w:rsidRPr="00636D7E">
        <w:rPr>
          <w:rFonts w:ascii="Cambria" w:hAnsi="Cambria"/>
          <w:sz w:val="20"/>
          <w:szCs w:val="20"/>
          <w:lang w:val="es-ES"/>
        </w:rPr>
        <w:t xml:space="preserve"> los delitos de homicidio simple en perjuicio </w:t>
      </w:r>
      <w:r w:rsidR="00BA772A" w:rsidRPr="00636D7E">
        <w:rPr>
          <w:rFonts w:ascii="Cambria" w:hAnsi="Cambria"/>
          <w:sz w:val="20"/>
          <w:szCs w:val="20"/>
          <w:lang w:val="es-ES"/>
        </w:rPr>
        <w:t xml:space="preserve">del adolescente </w:t>
      </w:r>
      <w:r w:rsidR="00BA772A" w:rsidRPr="00636D7E">
        <w:rPr>
          <w:rFonts w:ascii="Cambria" w:hAnsi="Cambria"/>
          <w:sz w:val="20"/>
          <w:szCs w:val="20"/>
          <w:lang w:val="es-MX"/>
        </w:rPr>
        <w:t>Gutiérrez Sánchez</w:t>
      </w:r>
      <w:r w:rsidR="000B2B9F" w:rsidRPr="00636D7E">
        <w:rPr>
          <w:rFonts w:ascii="Cambria" w:hAnsi="Cambria"/>
          <w:sz w:val="20"/>
          <w:szCs w:val="20"/>
          <w:lang w:val="es-ES"/>
        </w:rPr>
        <w:t xml:space="preserve"> y </w:t>
      </w:r>
      <w:r w:rsidR="00BA772A" w:rsidRPr="00636D7E">
        <w:rPr>
          <w:rFonts w:ascii="Cambria" w:hAnsi="Cambria"/>
          <w:sz w:val="20"/>
          <w:szCs w:val="20"/>
          <w:lang w:val="es-ES"/>
        </w:rPr>
        <w:t xml:space="preserve">de la señora </w:t>
      </w:r>
      <w:r w:rsidR="000B2B9F" w:rsidRPr="00636D7E">
        <w:rPr>
          <w:rFonts w:ascii="Cambria" w:hAnsi="Cambria"/>
          <w:sz w:val="20"/>
          <w:szCs w:val="20"/>
          <w:lang w:val="es-ES"/>
        </w:rPr>
        <w:t>Benav</w:t>
      </w:r>
      <w:r w:rsidR="002B608E" w:rsidRPr="00636D7E">
        <w:rPr>
          <w:rFonts w:ascii="Cambria" w:hAnsi="Cambria"/>
          <w:sz w:val="20"/>
          <w:szCs w:val="20"/>
          <w:lang w:val="es-ES"/>
        </w:rPr>
        <w:t>i</w:t>
      </w:r>
      <w:r w:rsidR="000B2B9F" w:rsidRPr="00636D7E">
        <w:rPr>
          <w:rFonts w:ascii="Cambria" w:hAnsi="Cambria"/>
          <w:sz w:val="20"/>
          <w:szCs w:val="20"/>
          <w:lang w:val="es-ES"/>
        </w:rPr>
        <w:t>des</w:t>
      </w:r>
      <w:r w:rsidR="00BA772A" w:rsidRPr="00636D7E">
        <w:rPr>
          <w:rFonts w:ascii="Cambria" w:hAnsi="Cambria"/>
          <w:sz w:val="20"/>
          <w:szCs w:val="20"/>
          <w:lang w:val="es-ES"/>
        </w:rPr>
        <w:t xml:space="preserve"> Franco</w:t>
      </w:r>
      <w:r w:rsidR="000B2B9F" w:rsidRPr="00636D7E">
        <w:rPr>
          <w:rFonts w:ascii="Cambria" w:hAnsi="Cambria"/>
          <w:sz w:val="20"/>
          <w:szCs w:val="20"/>
          <w:lang w:val="es-ES"/>
        </w:rPr>
        <w:t xml:space="preserve">, </w:t>
      </w:r>
      <w:r w:rsidR="00252B88" w:rsidRPr="00636D7E">
        <w:rPr>
          <w:rFonts w:ascii="Cambria" w:hAnsi="Cambria"/>
          <w:sz w:val="20"/>
          <w:szCs w:val="20"/>
          <w:lang w:val="es-ES"/>
        </w:rPr>
        <w:t xml:space="preserve">y </w:t>
      </w:r>
      <w:r w:rsidR="000B2B9F" w:rsidRPr="00636D7E">
        <w:rPr>
          <w:rFonts w:ascii="Cambria" w:hAnsi="Cambria"/>
          <w:sz w:val="20"/>
          <w:szCs w:val="20"/>
          <w:lang w:val="es-ES"/>
        </w:rPr>
        <w:t xml:space="preserve">concierto para delinquir y detención arbitraria en perjuicio de </w:t>
      </w:r>
      <w:r w:rsidR="00236187" w:rsidRPr="00636D7E">
        <w:rPr>
          <w:rFonts w:ascii="Cambria" w:hAnsi="Cambria"/>
          <w:sz w:val="20"/>
          <w:szCs w:val="20"/>
          <w:lang w:val="es-ES"/>
        </w:rPr>
        <w:t xml:space="preserve">las señoras </w:t>
      </w:r>
      <w:r w:rsidR="000B2B9F" w:rsidRPr="00636D7E">
        <w:rPr>
          <w:rFonts w:ascii="Cambria" w:hAnsi="Cambria"/>
          <w:sz w:val="20"/>
          <w:szCs w:val="20"/>
          <w:lang w:val="es-ES"/>
        </w:rPr>
        <w:t xml:space="preserve">Nubia y Elvia González, a la pena de </w:t>
      </w:r>
      <w:r w:rsidR="00243970" w:rsidRPr="00636D7E">
        <w:rPr>
          <w:rFonts w:ascii="Cambria" w:hAnsi="Cambria"/>
          <w:sz w:val="20"/>
          <w:szCs w:val="20"/>
          <w:lang w:val="es-ES"/>
        </w:rPr>
        <w:t xml:space="preserve">23 años y 3 </w:t>
      </w:r>
      <w:r w:rsidR="000B2B9F" w:rsidRPr="00636D7E">
        <w:rPr>
          <w:rFonts w:ascii="Cambria" w:hAnsi="Cambria"/>
          <w:sz w:val="20"/>
          <w:szCs w:val="20"/>
          <w:lang w:val="es-ES"/>
        </w:rPr>
        <w:t xml:space="preserve">meses de prisión, multa de 2000 salarios mínimos legales mensuales, inhabilidad para el ejercicio de derechos y funciones públicas por el mismo lapso de la principal, y al pago de 50 </w:t>
      </w:r>
      <w:r w:rsidR="00252B88" w:rsidRPr="00636D7E">
        <w:rPr>
          <w:rFonts w:ascii="Cambria" w:hAnsi="Cambria"/>
          <w:sz w:val="20"/>
          <w:szCs w:val="20"/>
          <w:lang w:val="es-ES"/>
        </w:rPr>
        <w:t xml:space="preserve">salarios mínimos legales vigentes </w:t>
      </w:r>
      <w:r w:rsidR="000B2B9F" w:rsidRPr="00636D7E">
        <w:rPr>
          <w:rFonts w:ascii="Cambria" w:hAnsi="Cambria"/>
          <w:sz w:val="20"/>
          <w:szCs w:val="20"/>
          <w:lang w:val="es-ES"/>
        </w:rPr>
        <w:t xml:space="preserve">a favor de </w:t>
      </w:r>
      <w:r w:rsidR="00236187" w:rsidRPr="00636D7E">
        <w:rPr>
          <w:rFonts w:ascii="Cambria" w:hAnsi="Cambria"/>
          <w:sz w:val="20"/>
          <w:szCs w:val="20"/>
          <w:lang w:val="es-ES"/>
        </w:rPr>
        <w:t xml:space="preserve">las señoras </w:t>
      </w:r>
      <w:r w:rsidR="000B2B9F" w:rsidRPr="00636D7E">
        <w:rPr>
          <w:rFonts w:ascii="Cambria" w:hAnsi="Cambria"/>
          <w:sz w:val="20"/>
          <w:szCs w:val="20"/>
          <w:lang w:val="es-ES"/>
        </w:rPr>
        <w:t xml:space="preserve">Nubia y Elvia González, y 250 a favor de los familiares </w:t>
      </w:r>
      <w:r w:rsidR="00236187" w:rsidRPr="00636D7E">
        <w:rPr>
          <w:rFonts w:ascii="Cambria" w:hAnsi="Cambria"/>
          <w:sz w:val="20"/>
          <w:szCs w:val="20"/>
          <w:lang w:val="es-ES"/>
        </w:rPr>
        <w:t xml:space="preserve">del adolescente </w:t>
      </w:r>
      <w:r w:rsidR="00236187" w:rsidRPr="00636D7E">
        <w:rPr>
          <w:rFonts w:ascii="Cambria" w:hAnsi="Cambria"/>
          <w:sz w:val="20"/>
          <w:szCs w:val="20"/>
          <w:lang w:val="es-MX"/>
        </w:rPr>
        <w:t>Gutiérrez Sánchez</w:t>
      </w:r>
      <w:r w:rsidR="00236187" w:rsidRPr="00636D7E">
        <w:rPr>
          <w:rFonts w:ascii="Cambria" w:hAnsi="Cambria"/>
          <w:sz w:val="20"/>
          <w:szCs w:val="20"/>
          <w:lang w:val="es-ES"/>
        </w:rPr>
        <w:t xml:space="preserve"> y de la señora Benavides Franco</w:t>
      </w:r>
      <w:r w:rsidR="000B2B9F" w:rsidRPr="00636D7E">
        <w:rPr>
          <w:rFonts w:ascii="Cambria" w:hAnsi="Cambria"/>
          <w:sz w:val="20"/>
          <w:szCs w:val="20"/>
          <w:lang w:val="es-ES"/>
        </w:rPr>
        <w:t xml:space="preserve">. El condenado apeló y la Sala de Decisión del Tribunal Superior del Distrito Judicial de Pasto confirmó la sentencia el 21 de noviembre de 2007. </w:t>
      </w:r>
      <w:r w:rsidR="00236187" w:rsidRPr="00636D7E">
        <w:rPr>
          <w:rFonts w:ascii="Cambria" w:hAnsi="Cambria"/>
          <w:sz w:val="20"/>
          <w:szCs w:val="20"/>
          <w:lang w:val="es-ES"/>
        </w:rPr>
        <w:t xml:space="preserve"> </w:t>
      </w:r>
    </w:p>
    <w:p w14:paraId="6F58060B" w14:textId="39EA60F5" w:rsidR="0009628C" w:rsidRPr="00636D7E" w:rsidRDefault="0009628C" w:rsidP="00BA77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1F497D" w:themeColor="text2"/>
          <w:sz w:val="20"/>
          <w:szCs w:val="20"/>
          <w:lang w:val="es-ES"/>
        </w:rPr>
      </w:pPr>
      <w:r w:rsidRPr="00636D7E">
        <w:rPr>
          <w:rFonts w:ascii="Cambria" w:hAnsi="Cambria"/>
          <w:sz w:val="20"/>
          <w:szCs w:val="20"/>
          <w:lang w:val="es-ES"/>
        </w:rPr>
        <w:t xml:space="preserve">Alegan los peticionarios que las pruebas recaudadas en dicho proceso penal indican con exactitud que el Sargento Segundo actuó en conjunto con cuatro paramilitares identificados parcialmente en el proceso, a pesar de lo cual nunca fueron vinculados al mismo. Señalan además que no se estableció la responsabilidad individual de todos los efectivos militares tanto superiores como inferiores jerárquicos del Sargento Segundo en tanto que participaron en las detenciones arbitrarias. </w:t>
      </w:r>
    </w:p>
    <w:p w14:paraId="6B28E025" w14:textId="2C4FFA09" w:rsidR="000B2B9F" w:rsidRPr="00636D7E" w:rsidRDefault="00EB21E3" w:rsidP="001213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6D7E">
        <w:rPr>
          <w:rFonts w:ascii="Cambria" w:hAnsi="Cambria"/>
          <w:sz w:val="20"/>
          <w:szCs w:val="20"/>
          <w:lang w:val="es-ES"/>
        </w:rPr>
        <w:lastRenderedPageBreak/>
        <w:t>Los peticionarios señalan que el 3 de septiembre de 2010 presentaron un derecho de petición ante</w:t>
      </w:r>
      <w:r w:rsidR="009F68DA" w:rsidRPr="00636D7E">
        <w:rPr>
          <w:rFonts w:ascii="Cambria" w:hAnsi="Cambria"/>
          <w:sz w:val="20"/>
          <w:szCs w:val="20"/>
          <w:lang w:val="es-ES"/>
        </w:rPr>
        <w:t xml:space="preserve"> el</w:t>
      </w:r>
      <w:r w:rsidRPr="00636D7E">
        <w:rPr>
          <w:rFonts w:ascii="Cambria" w:hAnsi="Cambria"/>
          <w:sz w:val="20"/>
          <w:szCs w:val="20"/>
          <w:lang w:val="es-ES"/>
        </w:rPr>
        <w:t xml:space="preserve"> Fiscal General de la Nación </w:t>
      </w:r>
      <w:r w:rsidR="00EB3516" w:rsidRPr="00636D7E">
        <w:rPr>
          <w:rFonts w:ascii="Cambria" w:hAnsi="Cambria"/>
          <w:sz w:val="20"/>
          <w:szCs w:val="20"/>
          <w:lang w:val="es-ES"/>
        </w:rPr>
        <w:t xml:space="preserve">solicitando </w:t>
      </w:r>
      <w:r w:rsidR="00305A12" w:rsidRPr="00636D7E">
        <w:rPr>
          <w:rFonts w:ascii="Cambria" w:hAnsi="Cambria"/>
          <w:sz w:val="20"/>
          <w:szCs w:val="20"/>
          <w:lang w:val="es-ES"/>
        </w:rPr>
        <w:t>“adelantara la investigación de las otras violaciones a los derechos humanos y sus responsables”</w:t>
      </w:r>
      <w:r w:rsidRPr="00636D7E">
        <w:rPr>
          <w:rFonts w:ascii="Cambria" w:hAnsi="Cambria"/>
          <w:sz w:val="20"/>
          <w:szCs w:val="20"/>
          <w:lang w:val="es-ES"/>
        </w:rPr>
        <w:t>. El 27 de octubre de 2010 la Fiscalía Segunda Especia</w:t>
      </w:r>
      <w:r w:rsidR="0082057D" w:rsidRPr="00636D7E">
        <w:rPr>
          <w:rFonts w:ascii="Cambria" w:hAnsi="Cambria"/>
          <w:sz w:val="20"/>
          <w:szCs w:val="20"/>
          <w:lang w:val="es-ES"/>
        </w:rPr>
        <w:t>lizada de Puerto Asís, Putumayo</w:t>
      </w:r>
      <w:r w:rsidR="00A60211" w:rsidRPr="00636D7E">
        <w:rPr>
          <w:rFonts w:ascii="Cambria" w:hAnsi="Cambria"/>
          <w:sz w:val="20"/>
          <w:szCs w:val="20"/>
          <w:lang w:val="es-ES"/>
        </w:rPr>
        <w:t>,</w:t>
      </w:r>
      <w:r w:rsidRPr="00636D7E">
        <w:rPr>
          <w:rFonts w:ascii="Cambria" w:hAnsi="Cambria"/>
          <w:sz w:val="20"/>
          <w:szCs w:val="20"/>
          <w:lang w:val="es-ES"/>
        </w:rPr>
        <w:t xml:space="preserve"> informó que inició </w:t>
      </w:r>
      <w:r w:rsidR="00F54CA2" w:rsidRPr="00636D7E">
        <w:rPr>
          <w:rFonts w:ascii="Cambria" w:hAnsi="Cambria"/>
          <w:sz w:val="20"/>
          <w:szCs w:val="20"/>
          <w:lang w:val="es-ES"/>
        </w:rPr>
        <w:t>un</w:t>
      </w:r>
      <w:r w:rsidR="006F3A34" w:rsidRPr="00636D7E">
        <w:rPr>
          <w:rFonts w:ascii="Cambria" w:hAnsi="Cambria"/>
          <w:sz w:val="20"/>
          <w:szCs w:val="20"/>
          <w:lang w:val="es-ES"/>
        </w:rPr>
        <w:t xml:space="preserve">a </w:t>
      </w:r>
      <w:r w:rsidR="00A60211" w:rsidRPr="00636D7E">
        <w:rPr>
          <w:rFonts w:ascii="Cambria" w:hAnsi="Cambria"/>
          <w:sz w:val="20"/>
          <w:szCs w:val="20"/>
          <w:lang w:val="es-ES"/>
        </w:rPr>
        <w:t>investigación</w:t>
      </w:r>
      <w:r w:rsidR="0082057D" w:rsidRPr="00636D7E">
        <w:rPr>
          <w:rFonts w:ascii="Cambria" w:hAnsi="Cambria"/>
          <w:sz w:val="20"/>
          <w:szCs w:val="20"/>
          <w:lang w:val="es-ES"/>
        </w:rPr>
        <w:t xml:space="preserve"> </w:t>
      </w:r>
      <w:r w:rsidR="006F3A34" w:rsidRPr="00636D7E">
        <w:rPr>
          <w:rFonts w:ascii="Cambria" w:hAnsi="Cambria"/>
          <w:sz w:val="20"/>
          <w:szCs w:val="20"/>
          <w:lang w:val="es-ES"/>
        </w:rPr>
        <w:t>(radicado 8711) “por los hechos cometidos por el Sargento Segundo”</w:t>
      </w:r>
      <w:r w:rsidRPr="00636D7E">
        <w:rPr>
          <w:rFonts w:ascii="Cambria" w:hAnsi="Cambria"/>
          <w:sz w:val="20"/>
          <w:szCs w:val="20"/>
          <w:lang w:val="es-ES"/>
        </w:rPr>
        <w:t>.</w:t>
      </w:r>
      <w:r w:rsidR="0082057D" w:rsidRPr="00636D7E">
        <w:rPr>
          <w:rFonts w:ascii="Cambria" w:hAnsi="Cambria"/>
          <w:sz w:val="20"/>
          <w:szCs w:val="20"/>
          <w:lang w:val="es-ES"/>
        </w:rPr>
        <w:t xml:space="preserve"> </w:t>
      </w:r>
      <w:r w:rsidR="00135E24" w:rsidRPr="00636D7E">
        <w:rPr>
          <w:rFonts w:ascii="Cambria" w:hAnsi="Cambria"/>
          <w:sz w:val="20"/>
          <w:szCs w:val="20"/>
          <w:lang w:val="es-ES"/>
        </w:rPr>
        <w:t xml:space="preserve">Adicionalmente, señalan que </w:t>
      </w:r>
      <w:r w:rsidR="00E55DD4" w:rsidRPr="00636D7E">
        <w:rPr>
          <w:rFonts w:ascii="Cambria" w:hAnsi="Cambria"/>
          <w:sz w:val="20"/>
          <w:szCs w:val="20"/>
          <w:lang w:val="es-ES"/>
        </w:rPr>
        <w:t>la señora</w:t>
      </w:r>
      <w:r w:rsidR="00135E24" w:rsidRPr="00636D7E">
        <w:rPr>
          <w:rFonts w:ascii="Cambria" w:hAnsi="Cambria"/>
          <w:sz w:val="20"/>
          <w:szCs w:val="20"/>
          <w:lang w:val="es-ES"/>
        </w:rPr>
        <w:t xml:space="preserve"> Sánchez Zuluaga </w:t>
      </w:r>
      <w:r w:rsidR="00E55DD4" w:rsidRPr="00636D7E">
        <w:rPr>
          <w:rFonts w:ascii="Cambria" w:hAnsi="Cambria"/>
          <w:sz w:val="20"/>
          <w:szCs w:val="20"/>
          <w:lang w:val="es-ES"/>
        </w:rPr>
        <w:t xml:space="preserve">presentó una denuncia por </w:t>
      </w:r>
      <w:r w:rsidR="00135E24" w:rsidRPr="00636D7E">
        <w:rPr>
          <w:rFonts w:ascii="Cambria" w:hAnsi="Cambria"/>
          <w:sz w:val="20"/>
          <w:szCs w:val="20"/>
          <w:lang w:val="es-ES"/>
        </w:rPr>
        <w:t>violencia sexual, tortura y secuestro ante la jurisdicción de justicia y paz el 13 de febrero de 2012, en la cual señaló que no había denunciado previamente por temor, y que no regresaría a Putumayo.</w:t>
      </w:r>
    </w:p>
    <w:p w14:paraId="1A2BC92E" w14:textId="21A25C0D" w:rsidR="00EB21E3" w:rsidRPr="00636D7E" w:rsidRDefault="00EB21E3" w:rsidP="00EB21E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ES"/>
        </w:rPr>
      </w:pPr>
      <w:r w:rsidRPr="00636D7E">
        <w:rPr>
          <w:rFonts w:ascii="Cambria" w:hAnsi="Cambria"/>
          <w:i/>
          <w:sz w:val="20"/>
          <w:szCs w:val="20"/>
          <w:lang w:val="es-ES"/>
        </w:rPr>
        <w:t xml:space="preserve">Proceso </w:t>
      </w:r>
      <w:r w:rsidR="008870B5" w:rsidRPr="00636D7E">
        <w:rPr>
          <w:rFonts w:ascii="Cambria" w:hAnsi="Cambria"/>
          <w:i/>
          <w:sz w:val="20"/>
          <w:szCs w:val="20"/>
          <w:lang w:val="es-ES"/>
        </w:rPr>
        <w:t>disciplinario</w:t>
      </w:r>
    </w:p>
    <w:p w14:paraId="1CD1A62E" w14:textId="0E7093AB" w:rsidR="00EB21E3" w:rsidRPr="00636D7E" w:rsidRDefault="00EB21E3" w:rsidP="00EB21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6D7E">
        <w:rPr>
          <w:rFonts w:ascii="Cambria" w:hAnsi="Cambria"/>
          <w:sz w:val="20"/>
          <w:szCs w:val="20"/>
          <w:lang w:val="es-ES"/>
        </w:rPr>
        <w:t xml:space="preserve">Los peticionarios alegan que el 8 de febrero de 2005 la Procuraduría Delegada Disciplinaria para la Defensa de los Derechos Humanos inició </w:t>
      </w:r>
      <w:r w:rsidR="00447914" w:rsidRPr="00636D7E">
        <w:rPr>
          <w:rFonts w:ascii="Cambria" w:hAnsi="Cambria"/>
          <w:sz w:val="20"/>
          <w:szCs w:val="20"/>
          <w:lang w:val="es-ES"/>
        </w:rPr>
        <w:t xml:space="preserve">una </w:t>
      </w:r>
      <w:r w:rsidRPr="00636D7E">
        <w:rPr>
          <w:rFonts w:ascii="Cambria" w:hAnsi="Cambria"/>
          <w:sz w:val="20"/>
          <w:szCs w:val="20"/>
          <w:lang w:val="es-ES"/>
        </w:rPr>
        <w:t>indagación preliminar</w:t>
      </w:r>
      <w:r w:rsidR="00447914" w:rsidRPr="00636D7E">
        <w:rPr>
          <w:rFonts w:ascii="Cambria" w:hAnsi="Cambria"/>
          <w:sz w:val="20"/>
          <w:szCs w:val="20"/>
          <w:lang w:val="es-ES"/>
        </w:rPr>
        <w:t xml:space="preserve"> </w:t>
      </w:r>
      <w:r w:rsidRPr="00636D7E">
        <w:rPr>
          <w:rFonts w:ascii="Cambria" w:hAnsi="Cambria"/>
          <w:sz w:val="20"/>
          <w:szCs w:val="20"/>
          <w:lang w:val="es-ES"/>
        </w:rPr>
        <w:t xml:space="preserve">y el 20 de agosto de 2010 </w:t>
      </w:r>
      <w:r w:rsidR="005B747D" w:rsidRPr="00636D7E">
        <w:rPr>
          <w:rFonts w:ascii="Cambria" w:hAnsi="Cambria"/>
          <w:sz w:val="20"/>
          <w:szCs w:val="20"/>
          <w:lang w:val="es-ES"/>
        </w:rPr>
        <w:t>sancionó</w:t>
      </w:r>
      <w:r w:rsidRPr="00636D7E">
        <w:rPr>
          <w:rFonts w:ascii="Cambria" w:hAnsi="Cambria"/>
          <w:sz w:val="20"/>
          <w:szCs w:val="20"/>
          <w:lang w:val="es-ES"/>
        </w:rPr>
        <w:t xml:space="preserve"> al Sargento Segundo, destituyéndolo de su cargo e inhabilitándolo para ejercer funciones públicas por 20 años, “por incurrir en grave violación al derecho internacional humanitario, por la retención y posterior homicidio de [Rosal</w:t>
      </w:r>
      <w:r w:rsidR="00AB7492" w:rsidRPr="00636D7E">
        <w:rPr>
          <w:rFonts w:ascii="Cambria" w:hAnsi="Cambria"/>
          <w:sz w:val="20"/>
          <w:szCs w:val="20"/>
          <w:lang w:val="es-ES"/>
        </w:rPr>
        <w:t xml:space="preserve">ía Benavides Franco </w:t>
      </w:r>
      <w:r w:rsidRPr="00636D7E">
        <w:rPr>
          <w:rFonts w:ascii="Cambria" w:hAnsi="Cambria"/>
          <w:sz w:val="20"/>
          <w:szCs w:val="20"/>
          <w:lang w:val="es-ES"/>
        </w:rPr>
        <w:t>y Juan Guillermo</w:t>
      </w:r>
      <w:r w:rsidR="00AB7492" w:rsidRPr="00636D7E">
        <w:rPr>
          <w:rFonts w:ascii="Cambria" w:hAnsi="Cambria"/>
          <w:sz w:val="20"/>
          <w:szCs w:val="20"/>
          <w:lang w:val="es-ES"/>
        </w:rPr>
        <w:t xml:space="preserve"> Gutiérrez Sánchez</w:t>
      </w:r>
      <w:r w:rsidRPr="00636D7E">
        <w:rPr>
          <w:rFonts w:ascii="Cambria" w:hAnsi="Cambria"/>
          <w:sz w:val="20"/>
          <w:szCs w:val="20"/>
          <w:lang w:val="es-ES"/>
        </w:rPr>
        <w:t xml:space="preserve">]”. Señalan </w:t>
      </w:r>
      <w:r w:rsidR="009D4F6F" w:rsidRPr="00636D7E">
        <w:rPr>
          <w:rFonts w:ascii="Cambria" w:hAnsi="Cambria"/>
          <w:sz w:val="20"/>
          <w:szCs w:val="20"/>
          <w:lang w:val="es-ES"/>
        </w:rPr>
        <w:t>que,</w:t>
      </w:r>
      <w:r w:rsidRPr="00636D7E">
        <w:rPr>
          <w:rFonts w:ascii="Cambria" w:hAnsi="Cambria"/>
          <w:sz w:val="20"/>
          <w:szCs w:val="20"/>
          <w:lang w:val="es-ES"/>
        </w:rPr>
        <w:t xml:space="preserve"> en dicho fallo, ejecutoriado el 24 de febrero de 20</w:t>
      </w:r>
      <w:r w:rsidR="00CA5EEF" w:rsidRPr="00636D7E">
        <w:rPr>
          <w:rFonts w:ascii="Cambria" w:hAnsi="Cambria"/>
          <w:sz w:val="20"/>
          <w:szCs w:val="20"/>
          <w:lang w:val="es-ES"/>
        </w:rPr>
        <w:t>1</w:t>
      </w:r>
      <w:r w:rsidRPr="00636D7E">
        <w:rPr>
          <w:rFonts w:ascii="Cambria" w:hAnsi="Cambria"/>
          <w:sz w:val="20"/>
          <w:szCs w:val="20"/>
          <w:lang w:val="es-ES"/>
        </w:rPr>
        <w:t xml:space="preserve">1, se declaró la prescripción de la conducta </w:t>
      </w:r>
      <w:r w:rsidR="0082057D" w:rsidRPr="00636D7E">
        <w:rPr>
          <w:rFonts w:ascii="Cambria" w:hAnsi="Cambria"/>
          <w:sz w:val="20"/>
          <w:szCs w:val="20"/>
          <w:lang w:val="es-ES"/>
        </w:rPr>
        <w:t xml:space="preserve">relacionada con la presunción de haber </w:t>
      </w:r>
      <w:r w:rsidRPr="00636D7E">
        <w:rPr>
          <w:rFonts w:ascii="Cambria" w:hAnsi="Cambria"/>
          <w:sz w:val="20"/>
          <w:szCs w:val="20"/>
          <w:lang w:val="es-ES"/>
        </w:rPr>
        <w:t xml:space="preserve">colaborado con un grupo que operaba al margen de la ley por haber transcurrido más de 5 años desde la fecha de la ocurrencia de la misma. </w:t>
      </w:r>
    </w:p>
    <w:p w14:paraId="31E0FC97" w14:textId="5F4CB24B" w:rsidR="00EB21E3" w:rsidRPr="00636D7E" w:rsidRDefault="00EB21E3" w:rsidP="00EB21E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ES"/>
        </w:rPr>
      </w:pPr>
      <w:r w:rsidRPr="00636D7E">
        <w:rPr>
          <w:rFonts w:ascii="Cambria" w:hAnsi="Cambria"/>
          <w:i/>
          <w:sz w:val="20"/>
          <w:szCs w:val="20"/>
          <w:lang w:val="es-ES"/>
        </w:rPr>
        <w:t xml:space="preserve">Proceso </w:t>
      </w:r>
      <w:r w:rsidR="008870B5" w:rsidRPr="00636D7E">
        <w:rPr>
          <w:rFonts w:ascii="Cambria" w:hAnsi="Cambria"/>
          <w:i/>
          <w:sz w:val="20"/>
          <w:szCs w:val="20"/>
          <w:lang w:val="es-ES"/>
        </w:rPr>
        <w:t>contencioso administrativo</w:t>
      </w:r>
    </w:p>
    <w:p w14:paraId="1F470A71" w14:textId="78DC5C9A" w:rsidR="00EB21E3" w:rsidRPr="00636D7E" w:rsidRDefault="00EB21E3" w:rsidP="00EB21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6D7E">
        <w:rPr>
          <w:rFonts w:ascii="Cambria" w:hAnsi="Cambria"/>
          <w:sz w:val="20"/>
          <w:szCs w:val="20"/>
          <w:lang w:val="es-ES"/>
        </w:rPr>
        <w:t xml:space="preserve">Los peticionarios sostienen que el 1 de marzo de 2010 radicaron </w:t>
      </w:r>
      <w:r w:rsidR="00F93F5F" w:rsidRPr="00636D7E">
        <w:rPr>
          <w:rFonts w:ascii="Cambria" w:hAnsi="Cambria"/>
          <w:sz w:val="20"/>
          <w:szCs w:val="20"/>
          <w:lang w:val="es-ES"/>
        </w:rPr>
        <w:t xml:space="preserve">una </w:t>
      </w:r>
      <w:r w:rsidRPr="00636D7E">
        <w:rPr>
          <w:rFonts w:ascii="Cambria" w:hAnsi="Cambria"/>
          <w:sz w:val="20"/>
          <w:szCs w:val="20"/>
          <w:lang w:val="es-ES"/>
        </w:rPr>
        <w:t>solicitud de conciliación prejudicial ante la Procuraduría 18 Judicial II Delegada ante el Tribunal Contencioso Administrativo del Valle del Cauca, y el 27 de mayo de 2010 se celebró una audiencia de conciliación extrajudicial ante la Procuraduría 35 Judicial II Administrativa de Pasto</w:t>
      </w:r>
      <w:r w:rsidR="00CC4B07" w:rsidRPr="00636D7E">
        <w:rPr>
          <w:rFonts w:ascii="Cambria" w:hAnsi="Cambria"/>
          <w:sz w:val="20"/>
          <w:szCs w:val="20"/>
          <w:lang w:val="es-ES"/>
        </w:rPr>
        <w:t>, en la cual</w:t>
      </w:r>
      <w:r w:rsidRPr="00636D7E">
        <w:rPr>
          <w:rFonts w:ascii="Cambria" w:hAnsi="Cambria"/>
          <w:sz w:val="20"/>
          <w:szCs w:val="20"/>
          <w:lang w:val="es-ES"/>
        </w:rPr>
        <w:t xml:space="preserve"> los familiares de </w:t>
      </w:r>
      <w:r w:rsidR="00CC4B07" w:rsidRPr="00636D7E">
        <w:rPr>
          <w:rFonts w:ascii="Cambria" w:hAnsi="Cambria"/>
          <w:sz w:val="20"/>
          <w:szCs w:val="20"/>
          <w:lang w:val="es-ES"/>
        </w:rPr>
        <w:t xml:space="preserve">la señora </w:t>
      </w:r>
      <w:r w:rsidRPr="00636D7E">
        <w:rPr>
          <w:rFonts w:ascii="Cambria" w:hAnsi="Cambria"/>
          <w:sz w:val="20"/>
          <w:szCs w:val="20"/>
          <w:lang w:val="es-ES"/>
        </w:rPr>
        <w:t>Benavide</w:t>
      </w:r>
      <w:r w:rsidR="00CC4B07" w:rsidRPr="00636D7E">
        <w:rPr>
          <w:rFonts w:ascii="Cambria" w:hAnsi="Cambria"/>
          <w:sz w:val="20"/>
          <w:szCs w:val="20"/>
          <w:lang w:val="es-ES"/>
        </w:rPr>
        <w:t>s Flores y del adolescente Gutiérrez Sánchez</w:t>
      </w:r>
      <w:r w:rsidRPr="00636D7E">
        <w:rPr>
          <w:rFonts w:ascii="Cambria" w:hAnsi="Cambria"/>
          <w:sz w:val="20"/>
          <w:szCs w:val="20"/>
          <w:lang w:val="es-ES"/>
        </w:rPr>
        <w:t xml:space="preserve"> </w:t>
      </w:r>
      <w:r w:rsidR="00CC4B07" w:rsidRPr="00636D7E">
        <w:rPr>
          <w:rFonts w:ascii="Cambria" w:hAnsi="Cambria"/>
          <w:sz w:val="20"/>
          <w:szCs w:val="20"/>
          <w:lang w:val="es-ES"/>
        </w:rPr>
        <w:t xml:space="preserve">demandaron al Ministerio de Defensa-Ejército Nacional una reparación integral </w:t>
      </w:r>
      <w:r w:rsidRPr="00636D7E">
        <w:rPr>
          <w:rFonts w:ascii="Cambria" w:hAnsi="Cambria"/>
          <w:sz w:val="20"/>
          <w:szCs w:val="20"/>
          <w:lang w:val="es-ES"/>
        </w:rPr>
        <w:t>por los daños ocasionados por la ejecución de los mismos.</w:t>
      </w:r>
      <w:r w:rsidR="00F93F5F" w:rsidRPr="00636D7E">
        <w:rPr>
          <w:rFonts w:ascii="Cambria" w:hAnsi="Cambria"/>
          <w:sz w:val="20"/>
          <w:szCs w:val="20"/>
          <w:lang w:val="es-ES"/>
        </w:rPr>
        <w:t xml:space="preserve"> Indican que e</w:t>
      </w:r>
      <w:r w:rsidRPr="00636D7E">
        <w:rPr>
          <w:rFonts w:ascii="Cambria" w:hAnsi="Cambria"/>
          <w:sz w:val="20"/>
          <w:szCs w:val="20"/>
          <w:lang w:val="es-ES"/>
        </w:rPr>
        <w:t xml:space="preserve">l 25 de mayo de 2012 el Tribunal Administrativo de Nariño aprobó una conciliación realizada por las partes </w:t>
      </w:r>
      <w:r w:rsidR="00F93F5F" w:rsidRPr="00636D7E">
        <w:rPr>
          <w:rFonts w:ascii="Cambria" w:hAnsi="Cambria"/>
          <w:sz w:val="20"/>
          <w:szCs w:val="20"/>
          <w:lang w:val="es-ES"/>
        </w:rPr>
        <w:t>según</w:t>
      </w:r>
      <w:r w:rsidR="00CC4B07" w:rsidRPr="00636D7E">
        <w:rPr>
          <w:rFonts w:ascii="Cambria" w:hAnsi="Cambria"/>
          <w:sz w:val="20"/>
          <w:szCs w:val="20"/>
          <w:lang w:val="es-ES"/>
        </w:rPr>
        <w:t xml:space="preserve"> la cual </w:t>
      </w:r>
      <w:r w:rsidRPr="00636D7E">
        <w:rPr>
          <w:rFonts w:ascii="Cambria" w:hAnsi="Cambria"/>
          <w:sz w:val="20"/>
          <w:szCs w:val="20"/>
          <w:lang w:val="es-ES"/>
        </w:rPr>
        <w:t>el Estado reconoció la indemnización por los perjuicios morales ocasionados.</w:t>
      </w:r>
      <w:r w:rsidR="00135E24" w:rsidRPr="00636D7E">
        <w:rPr>
          <w:rFonts w:ascii="Cambria" w:hAnsi="Cambria"/>
          <w:sz w:val="20"/>
          <w:szCs w:val="20"/>
          <w:lang w:val="es-ES"/>
        </w:rPr>
        <w:t xml:space="preserve"> </w:t>
      </w:r>
    </w:p>
    <w:p w14:paraId="135C876B" w14:textId="462E7D66" w:rsidR="001811A7" w:rsidRPr="00636D7E" w:rsidRDefault="001811A7" w:rsidP="001811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6D7E">
        <w:rPr>
          <w:rFonts w:ascii="Cambria" w:hAnsi="Cambria"/>
          <w:sz w:val="20"/>
          <w:szCs w:val="20"/>
          <w:lang w:val="es-ES"/>
        </w:rPr>
        <w:t xml:space="preserve">Al respecto, indican que el Estado reconoció la indemnización por los perjuicios morales ocasionados a los grupos familiares de Benavides Franco y Gutiérrez Sánchez. Señalan que, de acuerdo al acta de conciliación, los demandantes manifestaron que aceptaban la oferta del Estado en razón de su deplorable situación socioeconómica y familiar, reservándose el derecho a que el resto de </w:t>
      </w:r>
      <w:r w:rsidR="000927CB" w:rsidRPr="00636D7E">
        <w:rPr>
          <w:rFonts w:ascii="Cambria" w:hAnsi="Cambria"/>
          <w:sz w:val="20"/>
          <w:szCs w:val="20"/>
          <w:lang w:val="es-ES"/>
        </w:rPr>
        <w:t xml:space="preserve">los </w:t>
      </w:r>
      <w:r w:rsidRPr="00636D7E">
        <w:rPr>
          <w:rFonts w:ascii="Cambria" w:hAnsi="Cambria"/>
          <w:sz w:val="20"/>
          <w:szCs w:val="20"/>
          <w:lang w:val="es-ES"/>
        </w:rPr>
        <w:t>derechos no reconocidos en esa instancia administrativa se ordene su reparación integral por parte de la CIDH a través de la presente petición. De acuerdo a los peticionarios</w:t>
      </w:r>
      <w:r w:rsidR="000927CB" w:rsidRPr="00636D7E">
        <w:rPr>
          <w:rFonts w:ascii="Cambria" w:hAnsi="Cambria"/>
          <w:sz w:val="20"/>
          <w:szCs w:val="20"/>
          <w:lang w:val="es-ES"/>
        </w:rPr>
        <w:t>,</w:t>
      </w:r>
      <w:r w:rsidRPr="00636D7E">
        <w:rPr>
          <w:rFonts w:ascii="Cambria" w:hAnsi="Cambria"/>
          <w:sz w:val="20"/>
          <w:szCs w:val="20"/>
          <w:lang w:val="es-ES"/>
        </w:rPr>
        <w:t xml:space="preserve"> por lo tanto, lo acordado en conciliación sale del litigio internacional ante el Sistema Interamericano, pero el resto de la reclamación sigue en dicho sistema.  </w:t>
      </w:r>
    </w:p>
    <w:p w14:paraId="036865E0" w14:textId="77777777" w:rsidR="00EB21E3" w:rsidRPr="00636D7E" w:rsidRDefault="00EB21E3" w:rsidP="00EB21E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ES"/>
        </w:rPr>
      </w:pPr>
      <w:r w:rsidRPr="00636D7E">
        <w:rPr>
          <w:rFonts w:ascii="Cambria" w:hAnsi="Cambria"/>
          <w:i/>
          <w:sz w:val="20"/>
          <w:szCs w:val="20"/>
          <w:lang w:val="es-ES"/>
        </w:rPr>
        <w:t>Otras gestiones</w:t>
      </w:r>
    </w:p>
    <w:p w14:paraId="2CCDBB90" w14:textId="38D97057" w:rsidR="00E94371" w:rsidRPr="00636D7E" w:rsidRDefault="00135E24" w:rsidP="00E943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6D7E">
        <w:rPr>
          <w:rFonts w:ascii="Cambria" w:hAnsi="Cambria"/>
          <w:sz w:val="20"/>
          <w:szCs w:val="20"/>
          <w:lang w:val="es-ES"/>
        </w:rPr>
        <w:t xml:space="preserve">Los peticionarios alegan que </w:t>
      </w:r>
      <w:r w:rsidR="00EB21E3" w:rsidRPr="00636D7E">
        <w:rPr>
          <w:rFonts w:ascii="Cambria" w:hAnsi="Cambria"/>
          <w:sz w:val="20"/>
          <w:szCs w:val="20"/>
          <w:lang w:val="es-ES"/>
        </w:rPr>
        <w:t>el 13 de septiembre de 2010 solicitaron al Director del Instituto Nacional Penitenciario (INPEC) información sobre todos los lugares y fechas de reclusión del Sargento Segundo</w:t>
      </w:r>
      <w:r w:rsidR="008D6A1B" w:rsidRPr="00636D7E">
        <w:rPr>
          <w:rFonts w:ascii="Cambria" w:hAnsi="Cambria"/>
          <w:sz w:val="20"/>
          <w:szCs w:val="20"/>
          <w:lang w:val="es-ES"/>
        </w:rPr>
        <w:t>. Señalan que</w:t>
      </w:r>
      <w:r w:rsidR="00EB21E3" w:rsidRPr="00636D7E">
        <w:rPr>
          <w:rFonts w:ascii="Cambria" w:hAnsi="Cambria"/>
          <w:sz w:val="20"/>
          <w:szCs w:val="20"/>
          <w:lang w:val="es-ES"/>
        </w:rPr>
        <w:t xml:space="preserve"> el 24 de septiembre de 2010 el INPEC respondió que por motivos de seguridad y reserva no e</w:t>
      </w:r>
      <w:r w:rsidR="00B475E4" w:rsidRPr="00636D7E">
        <w:rPr>
          <w:rFonts w:ascii="Cambria" w:hAnsi="Cambria"/>
          <w:sz w:val="20"/>
          <w:szCs w:val="20"/>
          <w:lang w:val="es-ES"/>
        </w:rPr>
        <w:t>ra</w:t>
      </w:r>
      <w:r w:rsidR="00EB21E3" w:rsidRPr="00636D7E">
        <w:rPr>
          <w:rFonts w:ascii="Cambria" w:hAnsi="Cambria"/>
          <w:sz w:val="20"/>
          <w:szCs w:val="20"/>
          <w:lang w:val="es-ES"/>
        </w:rPr>
        <w:t xml:space="preserve"> posible suministrar la información, por lo que mediante fallo de acción de tutela de 26 de octubre de 2010 el Juzgado 20 Penal del Circuito de Cali ordenó al INPEC dar respuesta a </w:t>
      </w:r>
      <w:r w:rsidR="00B475E4" w:rsidRPr="00636D7E">
        <w:rPr>
          <w:rFonts w:ascii="Cambria" w:hAnsi="Cambria"/>
          <w:sz w:val="20"/>
          <w:szCs w:val="20"/>
          <w:lang w:val="es-ES"/>
        </w:rPr>
        <w:t>la solicitud. Señalan que</w:t>
      </w:r>
      <w:r w:rsidR="00EB21E3" w:rsidRPr="00636D7E">
        <w:rPr>
          <w:rFonts w:ascii="Cambria" w:hAnsi="Cambria"/>
          <w:sz w:val="20"/>
          <w:szCs w:val="20"/>
          <w:lang w:val="es-ES"/>
        </w:rPr>
        <w:t>, sin embargo</w:t>
      </w:r>
      <w:r w:rsidR="00B475E4" w:rsidRPr="00636D7E">
        <w:rPr>
          <w:rFonts w:ascii="Cambria" w:hAnsi="Cambria"/>
          <w:sz w:val="20"/>
          <w:szCs w:val="20"/>
          <w:lang w:val="es-ES"/>
        </w:rPr>
        <w:t>,</w:t>
      </w:r>
      <w:r w:rsidR="00EB21E3" w:rsidRPr="00636D7E">
        <w:rPr>
          <w:rFonts w:ascii="Cambria" w:hAnsi="Cambria"/>
          <w:sz w:val="20"/>
          <w:szCs w:val="20"/>
          <w:lang w:val="es-ES"/>
        </w:rPr>
        <w:t xml:space="preserve"> el 4 de noviembre de 2010</w:t>
      </w:r>
      <w:r w:rsidR="00B475E4" w:rsidRPr="00636D7E">
        <w:rPr>
          <w:rFonts w:ascii="Cambria" w:hAnsi="Cambria"/>
          <w:sz w:val="20"/>
          <w:szCs w:val="20"/>
          <w:lang w:val="es-ES"/>
        </w:rPr>
        <w:t xml:space="preserve"> el INPEC</w:t>
      </w:r>
      <w:r w:rsidR="00EB21E3" w:rsidRPr="00636D7E">
        <w:rPr>
          <w:rFonts w:ascii="Cambria" w:hAnsi="Cambria"/>
          <w:sz w:val="20"/>
          <w:szCs w:val="20"/>
          <w:lang w:val="es-ES"/>
        </w:rPr>
        <w:t xml:space="preserve"> reiteró su negativa. El 15 de diciembre de 2010 instauraron incidente de desacato contra el Director del INPEC sin que a la fecha </w:t>
      </w:r>
      <w:r w:rsidR="008D6A1B" w:rsidRPr="00636D7E">
        <w:rPr>
          <w:rFonts w:ascii="Cambria" w:hAnsi="Cambria"/>
          <w:sz w:val="20"/>
          <w:szCs w:val="20"/>
          <w:lang w:val="es-ES"/>
        </w:rPr>
        <w:t xml:space="preserve">haya tenido una </w:t>
      </w:r>
      <w:r w:rsidR="00EB21E3" w:rsidRPr="00636D7E">
        <w:rPr>
          <w:rFonts w:ascii="Cambria" w:hAnsi="Cambria"/>
          <w:sz w:val="20"/>
          <w:szCs w:val="20"/>
          <w:lang w:val="es-ES"/>
        </w:rPr>
        <w:t>respuesta al respecto.</w:t>
      </w:r>
      <w:r w:rsidR="0001112E" w:rsidRPr="00636D7E">
        <w:rPr>
          <w:rFonts w:ascii="Cambria" w:hAnsi="Cambria"/>
          <w:sz w:val="20"/>
          <w:szCs w:val="20"/>
          <w:lang w:val="es-ES"/>
        </w:rPr>
        <w:t xml:space="preserve"> </w:t>
      </w:r>
    </w:p>
    <w:p w14:paraId="26E61B9D" w14:textId="008D7DF6" w:rsidR="0085189F" w:rsidRPr="00636D7E" w:rsidRDefault="0085189F" w:rsidP="00E943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6D7E">
        <w:rPr>
          <w:rFonts w:ascii="Cambria" w:hAnsi="Cambria"/>
          <w:sz w:val="20"/>
          <w:szCs w:val="20"/>
          <w:lang w:val="es-ES"/>
        </w:rPr>
        <w:t>Los peticionarios concluyen que</w:t>
      </w:r>
      <w:r w:rsidR="000927CB" w:rsidRPr="00636D7E">
        <w:rPr>
          <w:rFonts w:ascii="Cambria" w:hAnsi="Cambria"/>
          <w:sz w:val="20"/>
          <w:szCs w:val="20"/>
          <w:lang w:val="es-ES"/>
        </w:rPr>
        <w:t>, en cuanto a los requerimientos de agotamiento de los recursos internos,</w:t>
      </w:r>
      <w:r w:rsidRPr="00636D7E">
        <w:rPr>
          <w:rFonts w:ascii="Cambria" w:hAnsi="Cambria"/>
          <w:sz w:val="20"/>
          <w:szCs w:val="20"/>
          <w:lang w:val="es-ES"/>
        </w:rPr>
        <w:t xml:space="preserve"> es aplicable la excepción consagrada en el artículo 46.2.b de la Convención ya que las presuntas víctimas y sus familiares han invocado y ejercido los recursos internos, pero no los han agotado en su totalidad debido a las condiciones de violencia generalizadas de las cuales fueron víctimas. Indican que esto no ha permitido el acceso efectivo a los recursos de la jurisdicción interna. Alegan que aplica asimismo la excepción prevista en el artículo 46.2.c de la Convención dado que</w:t>
      </w:r>
      <w:r w:rsidR="000F18A5" w:rsidRPr="00636D7E">
        <w:rPr>
          <w:rFonts w:ascii="Cambria" w:hAnsi="Cambria"/>
          <w:sz w:val="20"/>
          <w:szCs w:val="20"/>
          <w:lang w:val="es-ES"/>
        </w:rPr>
        <w:t xml:space="preserve">, si bien las autoridades investigativas </w:t>
      </w:r>
      <w:r w:rsidR="000F18A5" w:rsidRPr="00636D7E">
        <w:rPr>
          <w:rFonts w:ascii="Cambria" w:hAnsi="Cambria"/>
          <w:sz w:val="20"/>
          <w:szCs w:val="20"/>
          <w:lang w:val="es-ES"/>
        </w:rPr>
        <w:lastRenderedPageBreak/>
        <w:t>identificaron e individualizaron a los paramilitares y a algunos militares que habrían participado de los hechos, nunca adelantaron una investigación contra ellos.</w:t>
      </w:r>
    </w:p>
    <w:p w14:paraId="2633616B" w14:textId="08B77EC5" w:rsidR="006E32E8" w:rsidRPr="00636D7E" w:rsidRDefault="00CD408E" w:rsidP="00644C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6D7E">
        <w:rPr>
          <w:rFonts w:ascii="Cambria" w:hAnsi="Cambria"/>
          <w:sz w:val="20"/>
          <w:szCs w:val="20"/>
          <w:lang w:val="es-ES"/>
        </w:rPr>
        <w:t>Por su parte</w:t>
      </w:r>
      <w:r w:rsidR="00A56AEB" w:rsidRPr="00636D7E">
        <w:rPr>
          <w:rFonts w:ascii="Cambria" w:hAnsi="Cambria"/>
          <w:sz w:val="20"/>
          <w:szCs w:val="20"/>
          <w:lang w:val="es-ES"/>
        </w:rPr>
        <w:t>,</w:t>
      </w:r>
      <w:r w:rsidRPr="00636D7E">
        <w:rPr>
          <w:rFonts w:ascii="Cambria" w:hAnsi="Cambria"/>
          <w:sz w:val="20"/>
          <w:szCs w:val="20"/>
          <w:lang w:val="es-ES"/>
        </w:rPr>
        <w:t xml:space="preserve"> e</w:t>
      </w:r>
      <w:r w:rsidR="00582435" w:rsidRPr="00636D7E">
        <w:rPr>
          <w:rFonts w:ascii="Cambria" w:hAnsi="Cambria"/>
          <w:sz w:val="20"/>
          <w:szCs w:val="20"/>
          <w:lang w:val="es-ES"/>
        </w:rPr>
        <w:t xml:space="preserve">l Estado </w:t>
      </w:r>
      <w:r w:rsidR="006E32E8" w:rsidRPr="00636D7E">
        <w:rPr>
          <w:rFonts w:ascii="Cambria" w:hAnsi="Cambria"/>
          <w:sz w:val="20"/>
          <w:szCs w:val="20"/>
          <w:lang w:val="es-ES"/>
        </w:rPr>
        <w:t xml:space="preserve">señala que los hechos denunciados han dado origen a dos procesos penales en la justicia penal ordinaria, de los cuales uno culminó con condena a un agente estatal y el segundo se encuentra en etapa de investigación. </w:t>
      </w:r>
    </w:p>
    <w:p w14:paraId="3911D004" w14:textId="4EA46119" w:rsidR="00644CB5" w:rsidRPr="00636D7E" w:rsidRDefault="006E32E8" w:rsidP="00644C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6D7E">
        <w:rPr>
          <w:rFonts w:ascii="Cambria" w:hAnsi="Cambria"/>
          <w:sz w:val="20"/>
          <w:szCs w:val="20"/>
          <w:lang w:val="es-ES"/>
        </w:rPr>
        <w:t xml:space="preserve">El Estado </w:t>
      </w:r>
      <w:r w:rsidR="00582435" w:rsidRPr="00636D7E">
        <w:rPr>
          <w:rFonts w:ascii="Cambria" w:hAnsi="Cambria"/>
          <w:sz w:val="20"/>
          <w:szCs w:val="20"/>
          <w:lang w:val="es-ES"/>
        </w:rPr>
        <w:t xml:space="preserve">reitera la información proporcionada por los peticionarios respecto del proceso penal iniciado contra el </w:t>
      </w:r>
      <w:r w:rsidR="00644CB5" w:rsidRPr="00636D7E">
        <w:rPr>
          <w:rFonts w:ascii="Cambria" w:hAnsi="Cambria"/>
          <w:sz w:val="20"/>
          <w:szCs w:val="20"/>
          <w:lang w:val="es-ES"/>
        </w:rPr>
        <w:t>entonces Sargento Segundo Juan Pablo Sierra Daza</w:t>
      </w:r>
      <w:r w:rsidR="00D77C2C" w:rsidRPr="00636D7E">
        <w:rPr>
          <w:rFonts w:ascii="Cambria" w:hAnsi="Cambria"/>
          <w:sz w:val="20"/>
          <w:szCs w:val="20"/>
          <w:lang w:val="es-ES"/>
        </w:rPr>
        <w:t xml:space="preserve">, </w:t>
      </w:r>
      <w:r w:rsidR="00582435" w:rsidRPr="00636D7E">
        <w:rPr>
          <w:rFonts w:ascii="Cambria" w:hAnsi="Cambria"/>
          <w:sz w:val="20"/>
          <w:szCs w:val="20"/>
          <w:lang w:val="es-ES"/>
        </w:rPr>
        <w:t xml:space="preserve">quien fue condenado el 6 de marzo de 2007 a 280 meses de prisión por los delitos de concierto para delinquir, homicidio simple y detención arbitraria de Juan Guillermo Gutiérrez y Rosalía Benavides Franco, </w:t>
      </w:r>
      <w:r w:rsidR="00BC72E4" w:rsidRPr="00636D7E">
        <w:rPr>
          <w:rFonts w:ascii="Cambria" w:hAnsi="Cambria"/>
          <w:sz w:val="20"/>
          <w:szCs w:val="20"/>
          <w:lang w:val="es-ES"/>
        </w:rPr>
        <w:t>Elvira González, Nubia González y Florecide Cortés</w:t>
      </w:r>
      <w:r w:rsidR="00582435" w:rsidRPr="00636D7E">
        <w:rPr>
          <w:rFonts w:ascii="Cambria" w:hAnsi="Cambria"/>
          <w:sz w:val="20"/>
          <w:szCs w:val="20"/>
          <w:lang w:val="es-ES"/>
        </w:rPr>
        <w:t>. Dicha sentencia fue confirmada el 21 de noviembre de 2007 por la Sala Penal del Tribunal Superior del Distrito Judicial de Pasto.</w:t>
      </w:r>
      <w:r w:rsidR="00A5354A" w:rsidRPr="00636D7E">
        <w:rPr>
          <w:rFonts w:ascii="Cambria" w:hAnsi="Cambria"/>
          <w:sz w:val="20"/>
          <w:szCs w:val="20"/>
          <w:lang w:val="es-ES"/>
        </w:rPr>
        <w:t xml:space="preserve"> El Estado manifiesta que, por lo tanto, producto de los hechos denunciados se realizó un proceso penal que fue adelantado ante la justicia penal ordinaria y que arrojó resultados concretos. Señala al respecto que los peticionarios pretende</w:t>
      </w:r>
      <w:r w:rsidR="00784D88" w:rsidRPr="00636D7E">
        <w:rPr>
          <w:rFonts w:ascii="Cambria" w:hAnsi="Cambria"/>
          <w:sz w:val="20"/>
          <w:szCs w:val="20"/>
          <w:lang w:val="es-ES"/>
        </w:rPr>
        <w:t>n</w:t>
      </w:r>
      <w:r w:rsidR="00A5354A" w:rsidRPr="00636D7E">
        <w:rPr>
          <w:rFonts w:ascii="Cambria" w:hAnsi="Cambria"/>
          <w:sz w:val="20"/>
          <w:szCs w:val="20"/>
          <w:lang w:val="es-ES"/>
        </w:rPr>
        <w:t xml:space="preserve"> utilizar el Sistema Interamericano como una cuarta instancia para cuestionar los fallos penales internos que no fueron cuestionados por los </w:t>
      </w:r>
      <w:r w:rsidR="00784D88" w:rsidRPr="00636D7E">
        <w:rPr>
          <w:rFonts w:ascii="Cambria" w:hAnsi="Cambria"/>
          <w:sz w:val="20"/>
          <w:szCs w:val="20"/>
          <w:lang w:val="es-ES"/>
        </w:rPr>
        <w:t>mismos</w:t>
      </w:r>
      <w:r w:rsidR="00A5354A" w:rsidRPr="00636D7E">
        <w:rPr>
          <w:rFonts w:ascii="Cambria" w:hAnsi="Cambria"/>
          <w:sz w:val="20"/>
          <w:szCs w:val="20"/>
          <w:lang w:val="es-ES"/>
        </w:rPr>
        <w:t xml:space="preserve"> en el fuero interno.</w:t>
      </w:r>
    </w:p>
    <w:p w14:paraId="280B66EC" w14:textId="2189CF33" w:rsidR="00F20953" w:rsidRPr="00636D7E" w:rsidRDefault="00F20953" w:rsidP="00CF02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6D7E">
        <w:rPr>
          <w:rFonts w:ascii="Cambria" w:hAnsi="Cambria"/>
          <w:sz w:val="20"/>
          <w:szCs w:val="20"/>
          <w:lang w:val="es-ES"/>
        </w:rPr>
        <w:t xml:space="preserve">Por otra parte, el Estado manifiesta que </w:t>
      </w:r>
      <w:r w:rsidR="00147AD1" w:rsidRPr="00636D7E">
        <w:rPr>
          <w:rFonts w:ascii="Cambria" w:hAnsi="Cambria"/>
          <w:sz w:val="20"/>
          <w:szCs w:val="20"/>
          <w:lang w:val="es-ES"/>
        </w:rPr>
        <w:t>el 3 de agosto de 2010 se recibió denuncia del peticionario Alexander Montaña Narváez en virtud de la cual se inició una investigación previa el 27 de octubre de 2010 por parte de la Fiscalía Segunda Especializada de Puerto Asís Putumayo, por los delitos de acto sexual y acceso carnal abusivo cometidos presuntamente por agentes del Estado, en concurso con tortura y secuestro. El 4 de diciembre de 2012 la investigación fue reasignada a la Fiscalía 70 Especializada de la Unidad de Derechos Humanos y Derecho Internacional Humanitario. Indica el Estado que en la resolución mediante la cual se reasigna la investigación se dejó constancia expresa que no se investiga el homicidio de Benavidez y Gutiérrez Sánchez pues estos ya habían sido juzgados. Agrega que el 5 de marzo de 2013 se ordenó la apertura de instrucción en contra de Sierra Daza y que la policía judicial se encontraba adelantando las investigaciones para identificar a los paramilitares que se encontraban en la zona así como el personal militar de la compañía “Austria 2” para estudiar su posible vinculación.</w:t>
      </w:r>
      <w:r w:rsidR="00CF0277" w:rsidRPr="00636D7E">
        <w:rPr>
          <w:rFonts w:ascii="Cambria" w:hAnsi="Cambria"/>
          <w:sz w:val="20"/>
          <w:szCs w:val="20"/>
          <w:lang w:val="es-ES"/>
        </w:rPr>
        <w:t xml:space="preserve"> </w:t>
      </w:r>
      <w:r w:rsidR="00A56AEB" w:rsidRPr="00636D7E">
        <w:rPr>
          <w:rFonts w:ascii="Cambria" w:hAnsi="Cambria"/>
          <w:sz w:val="20"/>
          <w:szCs w:val="20"/>
          <w:lang w:val="es-ES"/>
        </w:rPr>
        <w:t>Según la información presentada, dicho proceso está pendiente de resolución.</w:t>
      </w:r>
      <w:r w:rsidR="00844244" w:rsidRPr="00636D7E">
        <w:rPr>
          <w:rFonts w:ascii="Cambria" w:hAnsi="Cambria"/>
          <w:sz w:val="20"/>
          <w:szCs w:val="20"/>
          <w:lang w:val="es-ES"/>
        </w:rPr>
        <w:t xml:space="preserve"> El Estado concluye que, respecto de los presuntos hechos de tortura, secuestro y acceso carnal abusivo en contra de Gloria Nancy Sánchez Zuluaga, Nubia Esther González Sánchez, Florecide Cortés, Elvira Marroquín y la señora Adela, no se han agotado los recursos internos.</w:t>
      </w:r>
    </w:p>
    <w:p w14:paraId="729586E9" w14:textId="2E1876AC" w:rsidR="00730437" w:rsidRPr="00636D7E" w:rsidRDefault="00730437" w:rsidP="00644C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6D7E">
        <w:rPr>
          <w:rFonts w:ascii="Cambria" w:hAnsi="Cambria"/>
          <w:sz w:val="20"/>
          <w:szCs w:val="20"/>
          <w:lang w:val="es-ES"/>
        </w:rPr>
        <w:t xml:space="preserve">Con relación a la </w:t>
      </w:r>
      <w:r w:rsidR="001077BD" w:rsidRPr="00636D7E">
        <w:rPr>
          <w:rFonts w:ascii="Cambria" w:hAnsi="Cambria"/>
          <w:sz w:val="20"/>
          <w:szCs w:val="20"/>
          <w:lang w:val="es-ES"/>
        </w:rPr>
        <w:t>alegada participación</w:t>
      </w:r>
      <w:r w:rsidRPr="00636D7E">
        <w:rPr>
          <w:rFonts w:ascii="Cambria" w:hAnsi="Cambria"/>
          <w:sz w:val="20"/>
          <w:szCs w:val="20"/>
          <w:lang w:val="es-ES"/>
        </w:rPr>
        <w:t xml:space="preserve"> de otros militares</w:t>
      </w:r>
      <w:r w:rsidR="001077BD" w:rsidRPr="00636D7E">
        <w:rPr>
          <w:rFonts w:ascii="Cambria" w:hAnsi="Cambria"/>
          <w:sz w:val="20"/>
          <w:szCs w:val="20"/>
          <w:lang w:val="es-ES"/>
        </w:rPr>
        <w:t xml:space="preserve"> jerárquicamente superiores o inferiores</w:t>
      </w:r>
      <w:r w:rsidRPr="00636D7E">
        <w:rPr>
          <w:rFonts w:ascii="Cambria" w:hAnsi="Cambria"/>
          <w:sz w:val="20"/>
          <w:szCs w:val="20"/>
          <w:lang w:val="es-ES"/>
        </w:rPr>
        <w:t>, el Estado afirma que, a pesar de la ardua labor investigativa y judicial desempeñada, la Fiscalía y los jueces no encontraron pruebas suficientes que dieran mérito para judicializar</w:t>
      </w:r>
      <w:r w:rsidR="000174C9" w:rsidRPr="00636D7E">
        <w:rPr>
          <w:rFonts w:ascii="Cambria" w:hAnsi="Cambria"/>
          <w:sz w:val="20"/>
          <w:szCs w:val="20"/>
          <w:lang w:val="es-ES"/>
        </w:rPr>
        <w:t>los</w:t>
      </w:r>
      <w:r w:rsidRPr="00636D7E">
        <w:rPr>
          <w:rFonts w:ascii="Cambria" w:hAnsi="Cambria"/>
          <w:sz w:val="20"/>
          <w:szCs w:val="20"/>
          <w:lang w:val="es-ES"/>
        </w:rPr>
        <w:t xml:space="preserve">. </w:t>
      </w:r>
      <w:r w:rsidR="001077BD" w:rsidRPr="00636D7E">
        <w:rPr>
          <w:rFonts w:ascii="Cambria" w:hAnsi="Cambria"/>
          <w:sz w:val="20"/>
          <w:szCs w:val="20"/>
          <w:lang w:val="es-ES"/>
        </w:rPr>
        <w:t>Asimismo, indica que ni los familiares ni sus representantes interpusieron recurso alguno en contra de las resoluciones de la Fiscalía en las cuales se resolvía la situación jurídica de Sierra Daza ni contra el fallo de primera instancia, siendo que dichos recursos hubieran sido los mecanismos idóneos para cuestionar y solicitar la vinculación a la investigación y al proceso penal de otros militares que hubieren podido ser responsables.</w:t>
      </w:r>
      <w:r w:rsidRPr="00636D7E">
        <w:rPr>
          <w:rFonts w:ascii="Cambria" w:hAnsi="Cambria"/>
          <w:sz w:val="20"/>
          <w:szCs w:val="20"/>
          <w:lang w:val="es-ES"/>
        </w:rPr>
        <w:t xml:space="preserve">  </w:t>
      </w:r>
    </w:p>
    <w:p w14:paraId="4AC3D57B" w14:textId="21D0F641" w:rsidR="00644CB5" w:rsidRPr="00636D7E" w:rsidRDefault="00A56AEB" w:rsidP="00FB45A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6D7E">
        <w:rPr>
          <w:rFonts w:ascii="Cambria" w:hAnsi="Cambria"/>
          <w:sz w:val="20"/>
          <w:szCs w:val="20"/>
          <w:lang w:val="es-ES"/>
        </w:rPr>
        <w:t>Por otra parte,</w:t>
      </w:r>
      <w:r w:rsidR="00D37AE0" w:rsidRPr="00636D7E">
        <w:rPr>
          <w:rFonts w:ascii="Cambria" w:hAnsi="Cambria"/>
          <w:sz w:val="20"/>
          <w:szCs w:val="20"/>
          <w:lang w:val="es-ES"/>
        </w:rPr>
        <w:t xml:space="preserve"> </w:t>
      </w:r>
      <w:r w:rsidRPr="00636D7E">
        <w:rPr>
          <w:rFonts w:ascii="Cambria" w:hAnsi="Cambria"/>
          <w:sz w:val="20"/>
          <w:szCs w:val="20"/>
          <w:lang w:val="es-ES"/>
        </w:rPr>
        <w:t>e</w:t>
      </w:r>
      <w:r w:rsidR="00A5354A" w:rsidRPr="00636D7E">
        <w:rPr>
          <w:rFonts w:ascii="Cambria" w:hAnsi="Cambria"/>
          <w:sz w:val="20"/>
          <w:szCs w:val="20"/>
          <w:lang w:val="es-ES"/>
        </w:rPr>
        <w:t>l Estado indic</w:t>
      </w:r>
      <w:r w:rsidR="00A75E85" w:rsidRPr="00636D7E">
        <w:rPr>
          <w:rFonts w:ascii="Cambria" w:hAnsi="Cambria"/>
          <w:sz w:val="20"/>
          <w:szCs w:val="20"/>
          <w:lang w:val="es-ES"/>
        </w:rPr>
        <w:t>a</w:t>
      </w:r>
      <w:r w:rsidR="00A5354A" w:rsidRPr="00636D7E">
        <w:rPr>
          <w:rFonts w:ascii="Cambria" w:hAnsi="Cambria"/>
          <w:sz w:val="20"/>
          <w:szCs w:val="20"/>
          <w:lang w:val="es-ES"/>
        </w:rPr>
        <w:t xml:space="preserve"> que ni los familiares de </w:t>
      </w:r>
      <w:r w:rsidR="00A75E85" w:rsidRPr="00636D7E">
        <w:rPr>
          <w:rFonts w:ascii="Cambria" w:hAnsi="Cambria"/>
          <w:sz w:val="20"/>
          <w:szCs w:val="20"/>
          <w:lang w:val="es-ES"/>
        </w:rPr>
        <w:t>Juan Guillermo Gutiérrez Sánchez y Rosalía Benavides Franco</w:t>
      </w:r>
      <w:r w:rsidR="00A5354A" w:rsidRPr="00636D7E">
        <w:rPr>
          <w:rFonts w:ascii="Cambria" w:hAnsi="Cambria"/>
          <w:sz w:val="20"/>
          <w:szCs w:val="20"/>
          <w:lang w:val="es-ES"/>
        </w:rPr>
        <w:t xml:space="preserve"> ni los peticionarios </w:t>
      </w:r>
      <w:r w:rsidR="00A75E85" w:rsidRPr="00636D7E">
        <w:rPr>
          <w:rFonts w:ascii="Cambria" w:hAnsi="Cambria"/>
          <w:sz w:val="20"/>
          <w:szCs w:val="20"/>
          <w:lang w:val="es-ES"/>
        </w:rPr>
        <w:t>interpusieron</w:t>
      </w:r>
      <w:r w:rsidR="00A5354A" w:rsidRPr="00636D7E">
        <w:rPr>
          <w:rFonts w:ascii="Cambria" w:hAnsi="Cambria"/>
          <w:sz w:val="20"/>
          <w:szCs w:val="20"/>
          <w:lang w:val="es-ES"/>
        </w:rPr>
        <w:t xml:space="preserve"> acción de reparación directa</w:t>
      </w:r>
      <w:r w:rsidR="00A75E85" w:rsidRPr="00636D7E">
        <w:rPr>
          <w:rFonts w:ascii="Cambria" w:hAnsi="Cambria"/>
          <w:sz w:val="20"/>
          <w:szCs w:val="20"/>
          <w:lang w:val="es-ES"/>
        </w:rPr>
        <w:t xml:space="preserve"> dentro del término de dos años fijados por la ley</w:t>
      </w:r>
      <w:r w:rsidR="00A5354A" w:rsidRPr="00636D7E">
        <w:rPr>
          <w:rFonts w:ascii="Cambria" w:hAnsi="Cambria"/>
          <w:sz w:val="20"/>
          <w:szCs w:val="20"/>
          <w:lang w:val="es-ES"/>
        </w:rPr>
        <w:t>.</w:t>
      </w:r>
      <w:r w:rsidR="000C647F" w:rsidRPr="00636D7E">
        <w:rPr>
          <w:rFonts w:ascii="Cambria" w:hAnsi="Cambria"/>
          <w:sz w:val="20"/>
          <w:szCs w:val="20"/>
          <w:lang w:val="es-ES"/>
        </w:rPr>
        <w:t xml:space="preserve"> </w:t>
      </w:r>
      <w:r w:rsidR="00A75E85" w:rsidRPr="00636D7E">
        <w:rPr>
          <w:rFonts w:ascii="Cambria" w:hAnsi="Cambria"/>
          <w:sz w:val="20"/>
          <w:szCs w:val="20"/>
          <w:lang w:val="es-ES"/>
        </w:rPr>
        <w:t>Dado que, de acuerdo al Estado, la acción de reparación directa es el recurso idóneo para obtener una reparación integral de carácter pecuniario y no pecuniario, sirviendo de complemento a la reparación que otorga la acción penal y civil, debe exigirse el agotamiento de la acción de reparación directa para los efectos relacionados con la obtención de una reparación integral de carácter institucional.</w:t>
      </w:r>
      <w:r w:rsidR="008F6B0C" w:rsidRPr="00636D7E">
        <w:rPr>
          <w:rFonts w:ascii="Cambria" w:hAnsi="Cambria"/>
          <w:sz w:val="20"/>
          <w:szCs w:val="20"/>
          <w:lang w:val="es-ES"/>
        </w:rPr>
        <w:t xml:space="preserve"> Manifiesta al respecto que el hecho de no agotar la acción de reparación directa trae como consecuencia la declaratoria de inadmisibilidad de la petición e implica la renuncia tácita al derecho de reclamar una reparación económica de carácter institucional ante el Sistema Interamericano.</w:t>
      </w:r>
      <w:r w:rsidR="00D12E67" w:rsidRPr="00636D7E">
        <w:rPr>
          <w:rFonts w:ascii="Cambria" w:hAnsi="Cambria"/>
          <w:sz w:val="20"/>
          <w:szCs w:val="20"/>
          <w:lang w:val="es-ES"/>
        </w:rPr>
        <w:t xml:space="preserve"> Respecto al proceso ante la jurisdicción disciplinaria, el Estado confirma la información brindada por los peticionarios</w:t>
      </w:r>
      <w:r w:rsidR="00B73503" w:rsidRPr="00636D7E">
        <w:rPr>
          <w:rFonts w:ascii="Cambria" w:hAnsi="Cambria"/>
          <w:sz w:val="20"/>
          <w:szCs w:val="20"/>
          <w:lang w:val="es-ES"/>
        </w:rPr>
        <w:t xml:space="preserve"> y solicita a la CIDH que desestime las pretensiones de los peticionarios que buscan cuestionar decisiones judiciales internas tomadas legítimamente</w:t>
      </w:r>
      <w:r w:rsidR="00D12E67" w:rsidRPr="00636D7E">
        <w:rPr>
          <w:rFonts w:ascii="Cambria" w:hAnsi="Cambria"/>
          <w:sz w:val="20"/>
          <w:szCs w:val="20"/>
          <w:lang w:val="es-ES"/>
        </w:rPr>
        <w:t>.</w:t>
      </w:r>
    </w:p>
    <w:p w14:paraId="1D1879F2" w14:textId="4E5C0EC3" w:rsidR="00FB45AF" w:rsidRPr="00636D7E" w:rsidRDefault="00FB45AF" w:rsidP="00FB45A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6D7E">
        <w:rPr>
          <w:rFonts w:ascii="Cambria" w:hAnsi="Cambria"/>
          <w:sz w:val="20"/>
          <w:szCs w:val="20"/>
          <w:lang w:val="es-ES"/>
        </w:rPr>
        <w:lastRenderedPageBreak/>
        <w:t>El Estado manifiesta que no aplica la excepción de falta al agotamiento de los recursos internos prevista en el artículo 46.2.b de la Convención y que el peticionario solicita su aplicación recurriendo a un discurso generalizado, sin entrar a demostrar de manera concreta y objetiva la existencia de los elementos que configuran la eventual aplicación de dicha excepción. Señala asimismo que no aplica la excepción prevista en el artículo 46.2.c de la Convención, entre otros, dado que se trata de un asunto complejo por la pluralidad de tipos penales y de individuos que habrían participado y que ha existido una intensa actividad investigativa y judicial.</w:t>
      </w:r>
    </w:p>
    <w:p w14:paraId="55E1A9E5" w14:textId="271CD058" w:rsidR="00644CB5" w:rsidRPr="00636D7E" w:rsidRDefault="00FB45AF" w:rsidP="00D12E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6D7E">
        <w:rPr>
          <w:rFonts w:ascii="Cambria" w:hAnsi="Cambria"/>
          <w:sz w:val="20"/>
          <w:szCs w:val="20"/>
          <w:lang w:val="es-ES"/>
        </w:rPr>
        <w:t>Por último, e</w:t>
      </w:r>
      <w:r w:rsidR="00A5354A" w:rsidRPr="00636D7E">
        <w:rPr>
          <w:rFonts w:ascii="Cambria" w:hAnsi="Cambria"/>
          <w:sz w:val="20"/>
          <w:szCs w:val="20"/>
          <w:lang w:val="es-ES"/>
        </w:rPr>
        <w:t xml:space="preserve">l Estado solicita a la CIDH que limite el ejercicio de su competencia para conocer de eventuales violaciones a la Convención Americana, descartando de plano cualquier pronunciamiento sobre eventuales violaciones a cualquier otra norma de derecho interno citadas por los peticionarios, por carecer de competencia para ello. </w:t>
      </w:r>
      <w:r w:rsidR="00A24C81" w:rsidRPr="00636D7E">
        <w:rPr>
          <w:rFonts w:ascii="Cambria" w:hAnsi="Cambria"/>
          <w:sz w:val="20"/>
          <w:szCs w:val="20"/>
          <w:lang w:val="es-ES"/>
        </w:rPr>
        <w:t>Asimismo, alega que la Comisión carece de competencia para conocer de eventuales violaciones de los artículos 3, 4, 5 y 6 de la Convención Belém do Pará con base en el artículo 12 de dicha Convención.</w:t>
      </w:r>
    </w:p>
    <w:p w14:paraId="71691736" w14:textId="77777777" w:rsidR="00D83183" w:rsidRPr="00636D7E" w:rsidRDefault="003239B8" w:rsidP="000B2B9F">
      <w:pPr>
        <w:spacing w:before="240" w:after="240"/>
        <w:ind w:firstLine="720"/>
        <w:jc w:val="both"/>
        <w:rPr>
          <w:rFonts w:ascii="Cambria" w:hAnsi="Cambria"/>
          <w:sz w:val="20"/>
          <w:szCs w:val="20"/>
          <w:lang w:val="es-UY"/>
        </w:rPr>
      </w:pPr>
      <w:r w:rsidRPr="00636D7E">
        <w:rPr>
          <w:rFonts w:asciiTheme="majorHAnsi" w:eastAsia="Cambria" w:hAnsiTheme="majorHAnsi" w:cs="Cambria"/>
          <w:b/>
          <w:bCs/>
          <w:color w:val="000000"/>
          <w:sz w:val="20"/>
          <w:szCs w:val="20"/>
          <w:u w:color="000000"/>
          <w:lang w:val="es-ES" w:eastAsia="es-ES"/>
        </w:rPr>
        <w:t>VI.</w:t>
      </w:r>
      <w:r w:rsidRPr="00636D7E">
        <w:rPr>
          <w:rFonts w:asciiTheme="majorHAnsi" w:eastAsia="Cambria" w:hAnsiTheme="majorHAnsi" w:cs="Cambria"/>
          <w:b/>
          <w:bCs/>
          <w:color w:val="000000"/>
          <w:sz w:val="20"/>
          <w:szCs w:val="20"/>
          <w:u w:color="000000"/>
          <w:lang w:val="es-ES" w:eastAsia="es-ES"/>
        </w:rPr>
        <w:tab/>
      </w:r>
      <w:r w:rsidR="00C21FEF" w:rsidRPr="00636D7E">
        <w:rPr>
          <w:rFonts w:asciiTheme="majorHAnsi" w:hAnsiTheme="majorHAnsi"/>
          <w:b/>
          <w:sz w:val="20"/>
          <w:szCs w:val="20"/>
          <w:lang w:val="es-ES"/>
        </w:rPr>
        <w:t>AGOTAMIENTO DE LOS RECURSOS INTERNOS Y PLAZO DE PRESENTACIÓN</w:t>
      </w:r>
      <w:r w:rsidR="00C21FEF" w:rsidRPr="00636D7E">
        <w:rPr>
          <w:rFonts w:asciiTheme="majorHAnsi" w:eastAsia="Cambria" w:hAnsiTheme="majorHAnsi" w:cs="Cambria"/>
          <w:b/>
          <w:bCs/>
          <w:color w:val="000000"/>
          <w:sz w:val="20"/>
          <w:szCs w:val="20"/>
          <w:u w:color="000000"/>
          <w:lang w:val="es-ES" w:eastAsia="es-ES"/>
        </w:rPr>
        <w:t xml:space="preserve"> </w:t>
      </w:r>
    </w:p>
    <w:p w14:paraId="4BBDB739" w14:textId="22EE566A" w:rsidR="00D25D2E" w:rsidRPr="00636D7E" w:rsidRDefault="0082057D" w:rsidP="002F029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6D7E">
        <w:rPr>
          <w:rFonts w:ascii="Cambria" w:hAnsi="Cambria"/>
          <w:sz w:val="20"/>
          <w:szCs w:val="20"/>
          <w:lang w:val="es-ES"/>
        </w:rPr>
        <w:t xml:space="preserve">Los peticionarios alegan que han transcurrido </w:t>
      </w:r>
      <w:r w:rsidR="00135E24" w:rsidRPr="00636D7E">
        <w:rPr>
          <w:rFonts w:ascii="Cambria" w:hAnsi="Cambria"/>
          <w:sz w:val="20"/>
          <w:szCs w:val="20"/>
          <w:lang w:val="es-ES"/>
        </w:rPr>
        <w:t xml:space="preserve">más de doce </w:t>
      </w:r>
      <w:r w:rsidRPr="00636D7E">
        <w:rPr>
          <w:rFonts w:ascii="Cambria" w:hAnsi="Cambria"/>
          <w:sz w:val="20"/>
          <w:szCs w:val="20"/>
          <w:lang w:val="es-ES"/>
        </w:rPr>
        <w:t xml:space="preserve">años sin que </w:t>
      </w:r>
      <w:r w:rsidR="008D58B4" w:rsidRPr="00636D7E">
        <w:rPr>
          <w:rFonts w:ascii="Cambria" w:hAnsi="Cambria"/>
          <w:sz w:val="20"/>
          <w:szCs w:val="20"/>
          <w:lang w:val="es-ES"/>
        </w:rPr>
        <w:t>se</w:t>
      </w:r>
      <w:r w:rsidR="00135E24" w:rsidRPr="00636D7E">
        <w:rPr>
          <w:rFonts w:ascii="Cambria" w:hAnsi="Cambria"/>
          <w:sz w:val="20"/>
          <w:szCs w:val="20"/>
          <w:lang w:val="es-ES"/>
        </w:rPr>
        <w:t xml:space="preserve"> </w:t>
      </w:r>
      <w:r w:rsidR="005306AD" w:rsidRPr="00636D7E">
        <w:rPr>
          <w:rFonts w:ascii="Cambria" w:hAnsi="Cambria"/>
          <w:sz w:val="20"/>
          <w:szCs w:val="20"/>
          <w:lang w:val="es-ES"/>
        </w:rPr>
        <w:t>hayan identificado, individualizado, investigado y sancionado</w:t>
      </w:r>
      <w:r w:rsidR="00135E24" w:rsidRPr="00636D7E">
        <w:rPr>
          <w:rFonts w:ascii="Cambria" w:hAnsi="Cambria"/>
          <w:sz w:val="20"/>
          <w:szCs w:val="20"/>
          <w:lang w:val="es-ES"/>
        </w:rPr>
        <w:t xml:space="preserve"> a todos los partícipes de las vio</w:t>
      </w:r>
      <w:r w:rsidR="00D25D2E" w:rsidRPr="00636D7E">
        <w:rPr>
          <w:rFonts w:ascii="Cambria" w:hAnsi="Cambria"/>
          <w:sz w:val="20"/>
          <w:szCs w:val="20"/>
          <w:lang w:val="es-ES"/>
        </w:rPr>
        <w:t>laciones a los derechos humanos</w:t>
      </w:r>
      <w:r w:rsidR="005306AD" w:rsidRPr="00636D7E">
        <w:rPr>
          <w:rFonts w:ascii="Cambria" w:hAnsi="Cambria"/>
          <w:sz w:val="20"/>
          <w:szCs w:val="20"/>
          <w:lang w:val="es-ES"/>
        </w:rPr>
        <w:t xml:space="preserve"> de las presuntas víctimas</w:t>
      </w:r>
      <w:r w:rsidR="009F406F" w:rsidRPr="00636D7E">
        <w:rPr>
          <w:rFonts w:ascii="Cambria" w:hAnsi="Cambria"/>
          <w:sz w:val="20"/>
          <w:szCs w:val="20"/>
          <w:lang w:val="es-ES"/>
        </w:rPr>
        <w:t xml:space="preserve"> ni reparado </w:t>
      </w:r>
      <w:r w:rsidR="0001112E" w:rsidRPr="00636D7E">
        <w:rPr>
          <w:rFonts w:ascii="Cambria" w:hAnsi="Cambria"/>
          <w:sz w:val="20"/>
          <w:szCs w:val="20"/>
          <w:lang w:val="es-ES"/>
        </w:rPr>
        <w:t>integralmente</w:t>
      </w:r>
      <w:r w:rsidR="009F406F" w:rsidRPr="00636D7E">
        <w:rPr>
          <w:rFonts w:ascii="Cambria" w:hAnsi="Cambria"/>
          <w:sz w:val="20"/>
          <w:szCs w:val="20"/>
          <w:lang w:val="es-ES"/>
        </w:rPr>
        <w:t xml:space="preserve"> a éstas</w:t>
      </w:r>
      <w:r w:rsidR="001117D6" w:rsidRPr="00636D7E">
        <w:rPr>
          <w:rFonts w:ascii="Cambria" w:hAnsi="Cambria"/>
          <w:sz w:val="20"/>
          <w:szCs w:val="20"/>
          <w:lang w:val="es-ES"/>
        </w:rPr>
        <w:t>.</w:t>
      </w:r>
      <w:r w:rsidR="00135E24" w:rsidRPr="00636D7E">
        <w:rPr>
          <w:rFonts w:ascii="Cambria" w:hAnsi="Cambria"/>
          <w:sz w:val="20"/>
          <w:szCs w:val="20"/>
          <w:lang w:val="es-ES"/>
        </w:rPr>
        <w:t xml:space="preserve"> </w:t>
      </w:r>
      <w:r w:rsidR="002B608E" w:rsidRPr="00636D7E">
        <w:rPr>
          <w:rFonts w:ascii="Cambria" w:hAnsi="Cambria"/>
          <w:sz w:val="20"/>
          <w:szCs w:val="20"/>
          <w:lang w:val="es-ES"/>
        </w:rPr>
        <w:t>El Estado sostiene que</w:t>
      </w:r>
      <w:r w:rsidR="00A34F63" w:rsidRPr="00636D7E">
        <w:rPr>
          <w:rFonts w:ascii="Cambria" w:hAnsi="Cambria"/>
          <w:sz w:val="20"/>
          <w:szCs w:val="20"/>
          <w:lang w:val="es-ES"/>
        </w:rPr>
        <w:t>,</w:t>
      </w:r>
      <w:r w:rsidR="002B608E" w:rsidRPr="00636D7E">
        <w:rPr>
          <w:rFonts w:ascii="Cambria" w:hAnsi="Cambria"/>
          <w:sz w:val="20"/>
          <w:szCs w:val="20"/>
          <w:lang w:val="es-ES"/>
        </w:rPr>
        <w:t xml:space="preserve"> ni las presuntas víctimas ni sus representantes</w:t>
      </w:r>
      <w:r w:rsidR="00A34F63" w:rsidRPr="00636D7E">
        <w:rPr>
          <w:rFonts w:ascii="Cambria" w:hAnsi="Cambria"/>
          <w:sz w:val="20"/>
          <w:szCs w:val="20"/>
          <w:lang w:val="es-ES"/>
        </w:rPr>
        <w:t>,</w:t>
      </w:r>
      <w:r w:rsidR="002B608E" w:rsidRPr="00636D7E">
        <w:rPr>
          <w:rFonts w:ascii="Cambria" w:hAnsi="Cambria"/>
          <w:sz w:val="20"/>
          <w:szCs w:val="20"/>
          <w:lang w:val="es-ES"/>
        </w:rPr>
        <w:t xml:space="preserve"> recurrieron las resoluciones de fechas 28 de noviembre de 2004 y 29 de junio de 2005, ni la sentencia condenatoria de 6 de marzo de 2007, mediante lo cual hubieran podido cuestionar y solicitar la vinculación a la investigación y al proceso penal de otros militares presuntamente </w:t>
      </w:r>
      <w:r w:rsidR="009F406F" w:rsidRPr="00636D7E">
        <w:rPr>
          <w:rFonts w:ascii="Cambria" w:hAnsi="Cambria"/>
          <w:sz w:val="20"/>
          <w:szCs w:val="20"/>
          <w:lang w:val="es-ES"/>
        </w:rPr>
        <w:t>responsables</w:t>
      </w:r>
      <w:r w:rsidR="00A34F63" w:rsidRPr="00636D7E">
        <w:rPr>
          <w:rFonts w:ascii="Cambria" w:hAnsi="Cambria"/>
          <w:sz w:val="20"/>
          <w:szCs w:val="20"/>
          <w:lang w:val="es-ES"/>
        </w:rPr>
        <w:t>. Señala además</w:t>
      </w:r>
      <w:r w:rsidRPr="00636D7E">
        <w:rPr>
          <w:rFonts w:ascii="Cambria" w:hAnsi="Cambria"/>
          <w:sz w:val="20"/>
          <w:szCs w:val="20"/>
          <w:lang w:val="es-ES"/>
        </w:rPr>
        <w:t xml:space="preserve"> que no han agotado los recursos internos respecto a los presuntos hechos de tortura, secuestro, y acceso carnal abusivo</w:t>
      </w:r>
      <w:r w:rsidR="0098798B" w:rsidRPr="00636D7E">
        <w:rPr>
          <w:rFonts w:ascii="Cambria" w:hAnsi="Cambria"/>
          <w:sz w:val="20"/>
          <w:szCs w:val="20"/>
          <w:lang w:val="es-ES"/>
        </w:rPr>
        <w:t>, pues la investigación penal continúa su curso</w:t>
      </w:r>
      <w:r w:rsidR="00A34F63" w:rsidRPr="00636D7E">
        <w:rPr>
          <w:rFonts w:ascii="Cambria" w:hAnsi="Cambria"/>
          <w:sz w:val="20"/>
          <w:szCs w:val="20"/>
          <w:lang w:val="es-ES"/>
        </w:rPr>
        <w:t>. Respecto al</w:t>
      </w:r>
      <w:r w:rsidRPr="00636D7E">
        <w:rPr>
          <w:rFonts w:ascii="Cambria" w:hAnsi="Cambria"/>
          <w:sz w:val="20"/>
          <w:szCs w:val="20"/>
          <w:lang w:val="es-ES"/>
        </w:rPr>
        <w:t xml:space="preserve"> resto de las conductas dentro del proceso disciplinario</w:t>
      </w:r>
      <w:r w:rsidR="00A34F63" w:rsidRPr="00636D7E">
        <w:rPr>
          <w:rFonts w:ascii="Cambria" w:hAnsi="Cambria"/>
          <w:sz w:val="20"/>
          <w:szCs w:val="20"/>
          <w:lang w:val="es-ES"/>
        </w:rPr>
        <w:t>, indica que</w:t>
      </w:r>
      <w:r w:rsidRPr="00636D7E">
        <w:rPr>
          <w:rFonts w:ascii="Cambria" w:hAnsi="Cambria"/>
          <w:sz w:val="20"/>
          <w:szCs w:val="20"/>
          <w:lang w:val="es-ES"/>
        </w:rPr>
        <w:t xml:space="preserve"> operó </w:t>
      </w:r>
      <w:r w:rsidR="00A34F63" w:rsidRPr="00636D7E">
        <w:rPr>
          <w:rFonts w:ascii="Cambria" w:hAnsi="Cambria"/>
          <w:sz w:val="20"/>
          <w:szCs w:val="20"/>
          <w:lang w:val="es-ES"/>
        </w:rPr>
        <w:t xml:space="preserve">la prescripción </w:t>
      </w:r>
      <w:r w:rsidRPr="00636D7E">
        <w:rPr>
          <w:rFonts w:ascii="Cambria" w:hAnsi="Cambria"/>
          <w:sz w:val="20"/>
          <w:szCs w:val="20"/>
          <w:lang w:val="es-ES"/>
        </w:rPr>
        <w:t>a consecuencia de la aplicación de la normativa interna</w:t>
      </w:r>
      <w:r w:rsidR="00A34F63" w:rsidRPr="00636D7E">
        <w:rPr>
          <w:rFonts w:ascii="Cambria" w:hAnsi="Cambria"/>
          <w:sz w:val="20"/>
          <w:szCs w:val="20"/>
          <w:lang w:val="es-ES"/>
        </w:rPr>
        <w:t>.</w:t>
      </w:r>
      <w:r w:rsidR="00CE46D5" w:rsidRPr="00636D7E">
        <w:rPr>
          <w:rFonts w:ascii="Cambria" w:hAnsi="Cambria"/>
          <w:sz w:val="20"/>
          <w:szCs w:val="20"/>
          <w:lang w:val="es-ES"/>
        </w:rPr>
        <w:t xml:space="preserve"> Finalmente, sostiene que los familiares de las presuntas víctimas no interpusieron en tiempo la acción de reparación directa ante el contencioso administrativo.</w:t>
      </w:r>
      <w:r w:rsidR="00A34F63" w:rsidRPr="00636D7E">
        <w:rPr>
          <w:rFonts w:ascii="Cambria" w:hAnsi="Cambria"/>
          <w:sz w:val="20"/>
          <w:szCs w:val="20"/>
          <w:lang w:val="es-ES"/>
        </w:rPr>
        <w:t xml:space="preserve"> Concluye el Estado que</w:t>
      </w:r>
      <w:r w:rsidR="009F406F" w:rsidRPr="00636D7E">
        <w:rPr>
          <w:rFonts w:ascii="Cambria" w:hAnsi="Cambria"/>
          <w:sz w:val="20"/>
          <w:szCs w:val="20"/>
          <w:lang w:val="es-ES"/>
        </w:rPr>
        <w:t xml:space="preserve">, </w:t>
      </w:r>
      <w:r w:rsidR="00D25D2E" w:rsidRPr="00636D7E">
        <w:rPr>
          <w:rFonts w:ascii="Cambria" w:hAnsi="Cambria"/>
          <w:sz w:val="20"/>
          <w:szCs w:val="20"/>
          <w:lang w:val="es-ES"/>
        </w:rPr>
        <w:t>al solicitar la aplicación de la excepción prevista en el artículo 46.2.b de la Convención</w:t>
      </w:r>
      <w:r w:rsidR="00A34F63" w:rsidRPr="00636D7E">
        <w:rPr>
          <w:rFonts w:ascii="Cambria" w:hAnsi="Cambria"/>
          <w:sz w:val="20"/>
          <w:szCs w:val="20"/>
          <w:lang w:val="es-ES"/>
        </w:rPr>
        <w:t>, los peticionarios</w:t>
      </w:r>
      <w:r w:rsidR="00D25D2E" w:rsidRPr="00636D7E">
        <w:rPr>
          <w:rFonts w:ascii="Cambria" w:hAnsi="Cambria"/>
          <w:sz w:val="20"/>
          <w:szCs w:val="20"/>
          <w:lang w:val="es-ES"/>
        </w:rPr>
        <w:t xml:space="preserve"> recurren a un discurso generalizado sin entrar a demostrar de manera concreta y objetiva la existencia de los elementos que </w:t>
      </w:r>
      <w:r w:rsidR="0098798B" w:rsidRPr="00636D7E">
        <w:rPr>
          <w:rFonts w:ascii="Cambria" w:hAnsi="Cambria"/>
          <w:sz w:val="20"/>
          <w:szCs w:val="20"/>
          <w:lang w:val="es-ES"/>
        </w:rPr>
        <w:t xml:space="preserve">la </w:t>
      </w:r>
      <w:r w:rsidR="00D25D2E" w:rsidRPr="00636D7E">
        <w:rPr>
          <w:rFonts w:ascii="Cambria" w:hAnsi="Cambria"/>
          <w:sz w:val="20"/>
          <w:szCs w:val="20"/>
          <w:lang w:val="es-ES"/>
        </w:rPr>
        <w:t xml:space="preserve">configuran. </w:t>
      </w:r>
      <w:r w:rsidR="00C17BFF" w:rsidRPr="00636D7E">
        <w:rPr>
          <w:rFonts w:ascii="Cambria" w:hAnsi="Cambria"/>
          <w:sz w:val="20"/>
          <w:szCs w:val="20"/>
          <w:lang w:val="es-ES"/>
        </w:rPr>
        <w:t>Alega además que no opera la excepción prevista en el artículo 46.2.c debido a la complejidad de la causa y a la intensa actividad investigativa y judicial.</w:t>
      </w:r>
    </w:p>
    <w:p w14:paraId="482AD80E" w14:textId="2C75DF39" w:rsidR="00655DF4" w:rsidRPr="00636D7E" w:rsidRDefault="00BB1B0B" w:rsidP="00655D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636D7E">
        <w:rPr>
          <w:rFonts w:ascii="Cambria" w:hAnsi="Cambria"/>
          <w:sz w:val="20"/>
          <w:szCs w:val="20"/>
          <w:lang w:val="es-ES"/>
        </w:rPr>
        <w:t>E</w:t>
      </w:r>
      <w:r w:rsidR="00655DF4" w:rsidRPr="00636D7E">
        <w:rPr>
          <w:rFonts w:asciiTheme="majorHAnsi" w:hAnsiTheme="majorHAnsi"/>
          <w:sz w:val="20"/>
          <w:szCs w:val="20"/>
          <w:lang w:val="es-MX"/>
        </w:rPr>
        <w:t>n situaciones como la planteada, que incluyen denuncias de desaparición forzada</w:t>
      </w:r>
      <w:r w:rsidR="00F51B54" w:rsidRPr="00636D7E">
        <w:rPr>
          <w:rFonts w:asciiTheme="majorHAnsi" w:hAnsiTheme="majorHAnsi"/>
          <w:sz w:val="20"/>
          <w:szCs w:val="20"/>
          <w:lang w:val="es-MX"/>
        </w:rPr>
        <w:t>,</w:t>
      </w:r>
      <w:r w:rsidR="00837F6D" w:rsidRPr="00636D7E">
        <w:rPr>
          <w:rFonts w:asciiTheme="majorHAnsi" w:hAnsiTheme="majorHAnsi"/>
          <w:sz w:val="20"/>
          <w:szCs w:val="20"/>
          <w:lang w:val="es-MX"/>
        </w:rPr>
        <w:t xml:space="preserve"> seguida de ejecución, tortura y violencia</w:t>
      </w:r>
      <w:r w:rsidR="00F51B54" w:rsidRPr="00636D7E">
        <w:rPr>
          <w:rFonts w:asciiTheme="majorHAnsi" w:hAnsiTheme="majorHAnsi"/>
          <w:sz w:val="20"/>
          <w:szCs w:val="20"/>
          <w:lang w:val="es-MX"/>
        </w:rPr>
        <w:t xml:space="preserve"> sexual</w:t>
      </w:r>
      <w:r w:rsidR="00655DF4" w:rsidRPr="00636D7E">
        <w:rPr>
          <w:rFonts w:asciiTheme="majorHAnsi" w:hAnsiTheme="majorHAnsi"/>
          <w:sz w:val="20"/>
          <w:szCs w:val="20"/>
          <w:lang w:val="es-MX"/>
        </w:rPr>
        <w:t>, los recursos internos que deben tomarse en cuenta a los efectos de la admisibilidad de la petición son los relacionados con la investigación y sanción</w:t>
      </w:r>
      <w:r w:rsidRPr="00636D7E">
        <w:rPr>
          <w:rFonts w:asciiTheme="majorHAnsi" w:hAnsiTheme="majorHAnsi"/>
          <w:sz w:val="20"/>
          <w:szCs w:val="20"/>
          <w:lang w:val="es-MX"/>
        </w:rPr>
        <w:t xml:space="preserve"> penal</w:t>
      </w:r>
      <w:r w:rsidR="00655DF4" w:rsidRPr="00636D7E">
        <w:rPr>
          <w:rFonts w:asciiTheme="majorHAnsi" w:hAnsiTheme="majorHAnsi"/>
          <w:sz w:val="20"/>
          <w:szCs w:val="20"/>
          <w:lang w:val="es-MX"/>
        </w:rPr>
        <w:t xml:space="preserve"> a los responsables por dichos hechos, que se traducen en la legislación interna en delitos perseguibles de oficio. Al respecto, la</w:t>
      </w:r>
      <w:r w:rsidRPr="00636D7E">
        <w:rPr>
          <w:rFonts w:asciiTheme="majorHAnsi" w:hAnsiTheme="majorHAnsi"/>
          <w:sz w:val="20"/>
          <w:szCs w:val="20"/>
          <w:lang w:val="es-MX"/>
        </w:rPr>
        <w:t xml:space="preserve"> Comisión nota que uno de los responsables de los hechos alegados fue condenado penalmente. Sin embargo, la</w:t>
      </w:r>
      <w:r w:rsidR="00655DF4" w:rsidRPr="00636D7E">
        <w:rPr>
          <w:rFonts w:asciiTheme="majorHAnsi" w:hAnsiTheme="majorHAnsi"/>
          <w:sz w:val="20"/>
          <w:szCs w:val="20"/>
          <w:lang w:val="es-MX"/>
        </w:rPr>
        <w:t xml:space="preserve"> Comisión observa que</w:t>
      </w:r>
      <w:r w:rsidRPr="00636D7E">
        <w:rPr>
          <w:rFonts w:asciiTheme="majorHAnsi" w:hAnsiTheme="majorHAnsi"/>
          <w:sz w:val="20"/>
          <w:szCs w:val="20"/>
          <w:lang w:val="es-MX"/>
        </w:rPr>
        <w:t>,</w:t>
      </w:r>
      <w:r w:rsidR="00655DF4" w:rsidRPr="00636D7E">
        <w:rPr>
          <w:rFonts w:asciiTheme="majorHAnsi" w:hAnsiTheme="majorHAnsi"/>
          <w:sz w:val="20"/>
          <w:szCs w:val="20"/>
          <w:lang w:val="es-MX"/>
        </w:rPr>
        <w:t xml:space="preserve"> </w:t>
      </w:r>
      <w:r w:rsidRPr="00636D7E">
        <w:rPr>
          <w:rFonts w:asciiTheme="majorHAnsi" w:hAnsiTheme="majorHAnsi"/>
          <w:sz w:val="20"/>
          <w:szCs w:val="20"/>
          <w:lang w:val="es-MX"/>
        </w:rPr>
        <w:t>a más de 12 años de iniciadas las investigaciones penales</w:t>
      </w:r>
      <w:r w:rsidR="00F51B54" w:rsidRPr="00636D7E">
        <w:rPr>
          <w:rFonts w:ascii="Cambria" w:hAnsi="Cambria"/>
          <w:sz w:val="20"/>
          <w:szCs w:val="20"/>
          <w:lang w:val="es-MX"/>
        </w:rPr>
        <w:t xml:space="preserve">, </w:t>
      </w:r>
      <w:r w:rsidRPr="00636D7E">
        <w:rPr>
          <w:rFonts w:asciiTheme="majorHAnsi" w:hAnsiTheme="majorHAnsi"/>
          <w:sz w:val="20"/>
          <w:szCs w:val="20"/>
          <w:lang w:val="es-MX"/>
        </w:rPr>
        <w:t xml:space="preserve">no </w:t>
      </w:r>
      <w:r w:rsidR="00837F6D" w:rsidRPr="00636D7E">
        <w:rPr>
          <w:rFonts w:asciiTheme="majorHAnsi" w:hAnsiTheme="majorHAnsi"/>
          <w:sz w:val="20"/>
          <w:szCs w:val="20"/>
          <w:lang w:val="es-MX"/>
        </w:rPr>
        <w:t>cuenta con información que indique que el Estado habría completado una investigación respecto de</w:t>
      </w:r>
      <w:r w:rsidR="00655DF4" w:rsidRPr="00636D7E">
        <w:rPr>
          <w:rFonts w:asciiTheme="majorHAnsi" w:hAnsiTheme="majorHAnsi"/>
          <w:sz w:val="20"/>
          <w:szCs w:val="20"/>
          <w:lang w:val="es-MX"/>
        </w:rPr>
        <w:t xml:space="preserve"> </w:t>
      </w:r>
      <w:r w:rsidR="00F51B54" w:rsidRPr="00636D7E">
        <w:rPr>
          <w:rFonts w:asciiTheme="majorHAnsi" w:hAnsiTheme="majorHAnsi"/>
          <w:sz w:val="20"/>
          <w:szCs w:val="20"/>
          <w:lang w:val="es-MX"/>
        </w:rPr>
        <w:t xml:space="preserve">todos </w:t>
      </w:r>
      <w:r w:rsidR="00655DF4" w:rsidRPr="00636D7E">
        <w:rPr>
          <w:rFonts w:asciiTheme="majorHAnsi" w:hAnsiTheme="majorHAnsi"/>
          <w:sz w:val="20"/>
          <w:szCs w:val="20"/>
          <w:lang w:val="es-MX"/>
        </w:rPr>
        <w:t>los presuntos responsables</w:t>
      </w:r>
      <w:r w:rsidR="00E8722F" w:rsidRPr="00636D7E">
        <w:rPr>
          <w:rFonts w:asciiTheme="majorHAnsi" w:hAnsiTheme="majorHAnsi"/>
          <w:sz w:val="20"/>
          <w:szCs w:val="20"/>
          <w:lang w:val="es-MX"/>
        </w:rPr>
        <w:t xml:space="preserve"> y una investigación penal sigue pendiente en la etapa de investigación</w:t>
      </w:r>
      <w:r w:rsidR="00655DF4" w:rsidRPr="00636D7E">
        <w:rPr>
          <w:rFonts w:asciiTheme="majorHAnsi" w:hAnsiTheme="majorHAnsi"/>
          <w:sz w:val="20"/>
          <w:szCs w:val="20"/>
          <w:lang w:val="es-MX"/>
        </w:rPr>
        <w:t xml:space="preserve">. </w:t>
      </w:r>
      <w:r w:rsidR="00655DF4" w:rsidRPr="00636D7E">
        <w:rPr>
          <w:rFonts w:asciiTheme="majorHAnsi" w:hAnsiTheme="majorHAnsi"/>
          <w:sz w:val="20"/>
          <w:szCs w:val="20"/>
          <w:lang w:val="es-ES"/>
        </w:rPr>
        <w:t>Por lo tanto, la Comisión concluye que en el presente caso aplica la excepción al agotamiento de los recursos internos prevista en el artículo 46.2.c d</w:t>
      </w:r>
      <w:r w:rsidR="00655DF4" w:rsidRPr="00636D7E">
        <w:rPr>
          <w:rFonts w:asciiTheme="majorHAnsi" w:hAnsiTheme="majorHAnsi" w:cs="Arial"/>
          <w:sz w:val="20"/>
          <w:szCs w:val="20"/>
          <w:lang w:val="es-ES"/>
        </w:rPr>
        <w:t xml:space="preserve">e la </w:t>
      </w:r>
      <w:r w:rsidR="00655DF4" w:rsidRPr="00636D7E">
        <w:rPr>
          <w:rFonts w:asciiTheme="majorHAnsi" w:hAnsiTheme="majorHAnsi" w:cs="Arial"/>
          <w:color w:val="000000" w:themeColor="text1"/>
          <w:sz w:val="20"/>
          <w:szCs w:val="20"/>
          <w:lang w:val="es-ES"/>
        </w:rPr>
        <w:t>Convención</w:t>
      </w:r>
      <w:r w:rsidR="00655DF4" w:rsidRPr="00636D7E">
        <w:rPr>
          <w:rFonts w:asciiTheme="majorHAnsi" w:hAnsiTheme="majorHAnsi"/>
          <w:sz w:val="20"/>
          <w:szCs w:val="20"/>
          <w:lang w:val="es-ES"/>
        </w:rPr>
        <w:t>, bajo la salvedad que</w:t>
      </w:r>
      <w:r w:rsidR="00655DF4" w:rsidRPr="00636D7E">
        <w:rPr>
          <w:rFonts w:ascii="Cambria" w:hAnsi="Cambria"/>
          <w:sz w:val="20"/>
          <w:szCs w:val="20"/>
          <w:lang w:val="es-MX"/>
        </w:rPr>
        <w:t xml:space="preserve"> las causas y los efectos que han impedido el agotamiento de los recursos internos en el presente caso serán analizados, en lo pertinente, en el informe que adopte la Comisión sobre el fondo de la controversia, a fin de constatar si efectivamente configuran violaciones a la Convención.</w:t>
      </w:r>
    </w:p>
    <w:p w14:paraId="2EAF5C77" w14:textId="79758832" w:rsidR="00BD13E4" w:rsidRPr="00636D7E" w:rsidRDefault="00BB1B0B" w:rsidP="00BD13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636D7E">
        <w:rPr>
          <w:rFonts w:ascii="Cambria" w:hAnsi="Cambria"/>
          <w:sz w:val="20"/>
          <w:szCs w:val="20"/>
          <w:lang w:val="es-ES"/>
        </w:rPr>
        <w:t xml:space="preserve">Por otra parte, la Comisión recuerda que la jurisdicción disciplinaria no constituye una vía </w:t>
      </w:r>
      <w:r w:rsidR="00E125CA" w:rsidRPr="00636D7E">
        <w:rPr>
          <w:rFonts w:ascii="Cambria" w:hAnsi="Cambria"/>
          <w:sz w:val="20"/>
          <w:szCs w:val="20"/>
          <w:lang w:val="es-ES"/>
        </w:rPr>
        <w:t>idónea</w:t>
      </w:r>
      <w:r w:rsidRPr="00636D7E">
        <w:rPr>
          <w:rFonts w:ascii="Cambria" w:hAnsi="Cambria"/>
          <w:sz w:val="20"/>
          <w:szCs w:val="20"/>
          <w:lang w:val="es-ES"/>
        </w:rPr>
        <w:t xml:space="preserve"> para juzgar, sancionar y reparar las consecuencias de violaciones a los derechos humanos. </w:t>
      </w:r>
      <w:r w:rsidR="00BD13E4" w:rsidRPr="00636D7E">
        <w:rPr>
          <w:rFonts w:ascii="Cambria" w:hAnsi="Cambria"/>
          <w:sz w:val="20"/>
          <w:szCs w:val="20"/>
          <w:lang w:val="es-ES"/>
        </w:rPr>
        <w:t>En relación con l</w:t>
      </w:r>
      <w:r w:rsidR="00917258" w:rsidRPr="00636D7E">
        <w:rPr>
          <w:rFonts w:ascii="Cambria" w:hAnsi="Cambria"/>
          <w:sz w:val="20"/>
          <w:szCs w:val="20"/>
          <w:lang w:val="es-ES"/>
        </w:rPr>
        <w:t>a jurisdicción contenciosa</w:t>
      </w:r>
      <w:r w:rsidRPr="00636D7E">
        <w:rPr>
          <w:rFonts w:ascii="Cambria" w:hAnsi="Cambria"/>
          <w:sz w:val="20"/>
          <w:szCs w:val="20"/>
          <w:lang w:val="es-ES"/>
        </w:rPr>
        <w:t xml:space="preserve"> administrativa, </w:t>
      </w:r>
      <w:r w:rsidR="00BD13E4" w:rsidRPr="00636D7E">
        <w:rPr>
          <w:rFonts w:asciiTheme="majorHAnsi" w:hAnsiTheme="majorHAnsi"/>
          <w:sz w:val="20"/>
          <w:szCs w:val="20"/>
          <w:lang w:val="es-MX"/>
        </w:rPr>
        <w:t xml:space="preserve">la Comisión reitera que, para los efectos de determinar la </w:t>
      </w:r>
      <w:r w:rsidR="00BD13E4" w:rsidRPr="00636D7E">
        <w:rPr>
          <w:rFonts w:asciiTheme="majorHAnsi" w:hAnsiTheme="majorHAnsi"/>
          <w:sz w:val="20"/>
          <w:szCs w:val="20"/>
          <w:lang w:val="es-MX"/>
        </w:rPr>
        <w:lastRenderedPageBreak/>
        <w:t>admisibilidad de un reclamo de la naturaleza del presente, no constituye la vía idónea ni resulta necesario su agotamiento, dado que no es adecuada para proporcionar una reparación integral y justicia a los familiares</w:t>
      </w:r>
      <w:r w:rsidR="00BD13E4" w:rsidRPr="00636D7E">
        <w:rPr>
          <w:rStyle w:val="FootnoteReference"/>
          <w:rFonts w:asciiTheme="majorHAnsi" w:hAnsiTheme="majorHAnsi"/>
          <w:sz w:val="20"/>
          <w:szCs w:val="20"/>
          <w:lang w:val="es-MX"/>
        </w:rPr>
        <w:footnoteReference w:id="8"/>
      </w:r>
      <w:r w:rsidR="00BD13E4" w:rsidRPr="00636D7E">
        <w:rPr>
          <w:rFonts w:asciiTheme="majorHAnsi" w:hAnsiTheme="majorHAnsi"/>
          <w:sz w:val="20"/>
          <w:szCs w:val="20"/>
          <w:lang w:val="es-MX"/>
        </w:rPr>
        <w:t xml:space="preserve">.  </w:t>
      </w:r>
    </w:p>
    <w:p w14:paraId="187B10BB" w14:textId="73F8807F" w:rsidR="00655DF4" w:rsidRPr="00636D7E" w:rsidRDefault="00655DF4" w:rsidP="00655D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6D7E">
        <w:rPr>
          <w:rFonts w:asciiTheme="majorHAnsi" w:hAnsiTheme="majorHAnsi"/>
          <w:sz w:val="20"/>
          <w:szCs w:val="20"/>
          <w:lang w:val="es-MX"/>
        </w:rPr>
        <w:t xml:space="preserve">En cuanto al plazo de presentación, toda vez que se ha establecido la aplicación de la excepción al agotamiento de los recursos internos </w:t>
      </w:r>
      <w:r w:rsidR="00F51B54" w:rsidRPr="00636D7E">
        <w:rPr>
          <w:rFonts w:asciiTheme="majorHAnsi" w:hAnsiTheme="majorHAnsi"/>
          <w:sz w:val="20"/>
          <w:szCs w:val="20"/>
          <w:lang w:val="es-MX"/>
        </w:rPr>
        <w:t xml:space="preserve">antes mencionada, y </w:t>
      </w:r>
      <w:r w:rsidRPr="00636D7E">
        <w:rPr>
          <w:rFonts w:asciiTheme="majorHAnsi" w:hAnsiTheme="majorHAnsi"/>
          <w:sz w:val="20"/>
          <w:szCs w:val="20"/>
          <w:lang w:val="es-MX"/>
        </w:rPr>
        <w:t xml:space="preserve">que la petición ante la CIDH fue recibida el </w:t>
      </w:r>
      <w:r w:rsidR="00F51B54" w:rsidRPr="00636D7E">
        <w:rPr>
          <w:rFonts w:asciiTheme="majorHAnsi" w:hAnsiTheme="majorHAnsi"/>
          <w:sz w:val="20"/>
          <w:szCs w:val="20"/>
          <w:lang w:val="es-MX"/>
        </w:rPr>
        <w:t xml:space="preserve">1 de julio de 2008 </w:t>
      </w:r>
      <w:r w:rsidRPr="00636D7E">
        <w:rPr>
          <w:rFonts w:asciiTheme="majorHAnsi" w:hAnsiTheme="majorHAnsi"/>
          <w:sz w:val="20"/>
          <w:szCs w:val="20"/>
          <w:lang w:val="es-MX"/>
        </w:rPr>
        <w:t xml:space="preserve">y los </w:t>
      </w:r>
      <w:r w:rsidR="00837F6D" w:rsidRPr="00636D7E">
        <w:rPr>
          <w:rFonts w:asciiTheme="majorHAnsi" w:hAnsiTheme="majorHAnsi"/>
          <w:sz w:val="20"/>
          <w:szCs w:val="20"/>
          <w:lang w:val="es-MX"/>
        </w:rPr>
        <w:t xml:space="preserve">presuntos </w:t>
      </w:r>
      <w:r w:rsidR="00BD13E4" w:rsidRPr="00636D7E">
        <w:rPr>
          <w:rFonts w:asciiTheme="majorHAnsi" w:hAnsiTheme="majorHAnsi"/>
          <w:sz w:val="20"/>
          <w:szCs w:val="20"/>
          <w:lang w:val="es-MX"/>
        </w:rPr>
        <w:t>hechos materia del reclamo iniciaron el</w:t>
      </w:r>
      <w:r w:rsidR="00BD13E4" w:rsidRPr="00636D7E">
        <w:rPr>
          <w:rFonts w:ascii="Cambria" w:hAnsi="Cambria"/>
          <w:sz w:val="20"/>
          <w:szCs w:val="20"/>
          <w:lang w:val="es-MX"/>
        </w:rPr>
        <w:t xml:space="preserve"> 25 de octubre de 2004 y sus </w:t>
      </w:r>
      <w:r w:rsidRPr="00636D7E">
        <w:rPr>
          <w:rFonts w:asciiTheme="majorHAnsi" w:hAnsiTheme="majorHAnsi"/>
          <w:sz w:val="20"/>
          <w:szCs w:val="20"/>
          <w:lang w:val="es-MX"/>
        </w:rPr>
        <w:t>efectos se extenderían hasta el presente, en vista del contexto y las características del presente caso, la Comisión considera que la petición fue presentada dentro de un plazo razonable</w:t>
      </w:r>
      <w:r w:rsidRPr="00636D7E">
        <w:rPr>
          <w:rFonts w:asciiTheme="majorHAnsi" w:hAnsiTheme="majorHAnsi"/>
          <w:bCs/>
          <w:sz w:val="20"/>
          <w:szCs w:val="20"/>
          <w:lang w:val="es-MX"/>
        </w:rPr>
        <w:t xml:space="preserve">. </w:t>
      </w:r>
    </w:p>
    <w:p w14:paraId="443DA50F" w14:textId="77777777" w:rsidR="003239B8" w:rsidRPr="00636D7E" w:rsidRDefault="003239B8" w:rsidP="003239B8">
      <w:pPr>
        <w:pStyle w:val="ListParagraph"/>
        <w:spacing w:before="240" w:after="240"/>
        <w:jc w:val="both"/>
        <w:rPr>
          <w:rFonts w:asciiTheme="majorHAnsi" w:hAnsiTheme="majorHAnsi"/>
          <w:b/>
          <w:sz w:val="20"/>
          <w:szCs w:val="20"/>
          <w:lang w:val="es-ES"/>
        </w:rPr>
      </w:pPr>
      <w:r w:rsidRPr="00636D7E">
        <w:rPr>
          <w:rFonts w:asciiTheme="majorHAnsi" w:hAnsiTheme="majorHAnsi"/>
          <w:b/>
          <w:bCs/>
          <w:sz w:val="20"/>
          <w:szCs w:val="20"/>
          <w:lang w:val="es-ES"/>
        </w:rPr>
        <w:t>VII.</w:t>
      </w:r>
      <w:r w:rsidRPr="00636D7E">
        <w:rPr>
          <w:rFonts w:asciiTheme="majorHAnsi" w:hAnsiTheme="majorHAnsi"/>
          <w:b/>
          <w:bCs/>
          <w:sz w:val="20"/>
          <w:szCs w:val="20"/>
          <w:lang w:val="es-ES"/>
        </w:rPr>
        <w:tab/>
      </w:r>
      <w:r w:rsidR="00C21FEF" w:rsidRPr="00636D7E">
        <w:rPr>
          <w:rFonts w:asciiTheme="majorHAnsi" w:hAnsiTheme="majorHAnsi"/>
          <w:b/>
          <w:bCs/>
          <w:sz w:val="20"/>
          <w:szCs w:val="20"/>
          <w:lang w:val="es-ES"/>
        </w:rPr>
        <w:t xml:space="preserve">CARACTERIZACIÓN </w:t>
      </w:r>
      <w:r w:rsidR="00C21FEF" w:rsidRPr="00636D7E">
        <w:rPr>
          <w:rFonts w:asciiTheme="majorHAnsi" w:hAnsiTheme="majorHAnsi"/>
          <w:b/>
          <w:bCs/>
          <w:sz w:val="20"/>
          <w:szCs w:val="20"/>
          <w:lang w:val="es-UY"/>
        </w:rPr>
        <w:t>DE LOS HECHOS ALEGADOS</w:t>
      </w:r>
    </w:p>
    <w:p w14:paraId="0ABCEA81" w14:textId="4DC8FB32" w:rsidR="00265746" w:rsidRPr="00636D7E" w:rsidRDefault="001E2760" w:rsidP="00C948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6D7E">
        <w:rPr>
          <w:rFonts w:asciiTheme="majorHAnsi" w:hAnsiTheme="majorHAnsi"/>
          <w:sz w:val="20"/>
          <w:szCs w:val="20"/>
          <w:lang w:val="es-AR"/>
        </w:rPr>
        <w:t xml:space="preserve">En vista de los elementos de hecho y de derecho expuestos por las partes y la naturaleza del asunto puesto bajo su conocimiento, la Comisión considera que, de </w:t>
      </w:r>
      <w:r w:rsidR="00265746" w:rsidRPr="00636D7E">
        <w:rPr>
          <w:rFonts w:asciiTheme="majorHAnsi" w:hAnsiTheme="majorHAnsi"/>
          <w:sz w:val="20"/>
          <w:szCs w:val="20"/>
          <w:lang w:val="es-AR"/>
        </w:rPr>
        <w:t>probarse</w:t>
      </w:r>
      <w:r w:rsidRPr="00636D7E">
        <w:rPr>
          <w:rFonts w:asciiTheme="majorHAnsi" w:hAnsiTheme="majorHAnsi"/>
          <w:sz w:val="20"/>
          <w:szCs w:val="20"/>
          <w:lang w:val="es-AR"/>
        </w:rPr>
        <w:t xml:space="preserve"> la </w:t>
      </w:r>
      <w:r w:rsidR="00430675" w:rsidRPr="00636D7E">
        <w:rPr>
          <w:rFonts w:asciiTheme="majorHAnsi" w:hAnsiTheme="majorHAnsi"/>
          <w:sz w:val="20"/>
          <w:szCs w:val="20"/>
          <w:lang w:val="es-AR"/>
        </w:rPr>
        <w:t xml:space="preserve">alegada desaparición y posterior ejecución de </w:t>
      </w:r>
      <w:r w:rsidR="005B592B" w:rsidRPr="00636D7E">
        <w:rPr>
          <w:rFonts w:asciiTheme="majorHAnsi" w:hAnsiTheme="majorHAnsi"/>
          <w:sz w:val="20"/>
          <w:szCs w:val="20"/>
          <w:lang w:val="es-AR"/>
        </w:rPr>
        <w:t>Rosalía</w:t>
      </w:r>
      <w:r w:rsidR="00430675" w:rsidRPr="00636D7E">
        <w:rPr>
          <w:rFonts w:asciiTheme="majorHAnsi" w:hAnsiTheme="majorHAnsi"/>
          <w:sz w:val="20"/>
          <w:szCs w:val="20"/>
          <w:lang w:val="es-AR"/>
        </w:rPr>
        <w:t xml:space="preserve"> Benavides Franco y Juan Guillermo Gutiérrez Sánchez</w:t>
      </w:r>
      <w:r w:rsidR="00265746" w:rsidRPr="00636D7E">
        <w:rPr>
          <w:rFonts w:asciiTheme="majorHAnsi" w:hAnsiTheme="majorHAnsi"/>
          <w:sz w:val="20"/>
          <w:szCs w:val="20"/>
          <w:lang w:val="es-AR"/>
        </w:rPr>
        <w:t xml:space="preserve"> así como la </w:t>
      </w:r>
      <w:r w:rsidR="0025571D" w:rsidRPr="00636D7E">
        <w:rPr>
          <w:rFonts w:asciiTheme="majorHAnsi" w:hAnsiTheme="majorHAnsi"/>
          <w:sz w:val="20"/>
          <w:szCs w:val="20"/>
          <w:lang w:val="es-AR"/>
        </w:rPr>
        <w:t xml:space="preserve">alegada </w:t>
      </w:r>
      <w:r w:rsidR="005615F7" w:rsidRPr="00636D7E">
        <w:rPr>
          <w:rFonts w:asciiTheme="majorHAnsi" w:hAnsiTheme="majorHAnsi"/>
          <w:sz w:val="20"/>
          <w:szCs w:val="20"/>
          <w:lang w:val="es-AR"/>
        </w:rPr>
        <w:t>falta de sanción de todos los responsables</w:t>
      </w:r>
      <w:r w:rsidR="00430675" w:rsidRPr="00636D7E">
        <w:rPr>
          <w:rFonts w:asciiTheme="majorHAnsi" w:hAnsiTheme="majorHAnsi"/>
          <w:sz w:val="20"/>
          <w:szCs w:val="20"/>
          <w:lang w:val="es-AR"/>
        </w:rPr>
        <w:t xml:space="preserve">, </w:t>
      </w:r>
      <w:r w:rsidR="005615F7" w:rsidRPr="00636D7E">
        <w:rPr>
          <w:rFonts w:asciiTheme="majorHAnsi" w:hAnsiTheme="majorHAnsi"/>
          <w:sz w:val="20"/>
          <w:szCs w:val="20"/>
          <w:lang w:val="es-AR"/>
        </w:rPr>
        <w:t>estos hechos</w:t>
      </w:r>
      <w:r w:rsidR="00265746" w:rsidRPr="00636D7E">
        <w:rPr>
          <w:rFonts w:asciiTheme="majorHAnsi" w:hAnsiTheme="majorHAnsi"/>
          <w:sz w:val="20"/>
          <w:szCs w:val="20"/>
          <w:lang w:val="es-AR"/>
        </w:rPr>
        <w:t xml:space="preserve"> podrían caracterizar violaciones a los derechos reconocidos en los artículos 3 (reconocimiento de la personalidad jurídica), 4 (vida), 5 (integridad personal), 7 (libertad personal), 8 (garantías judiciales) y 25 (protección judicial) de la Convención en relación con las obligaciones contenidas en el artículo 1.1 (obligación de respetar los derechos)</w:t>
      </w:r>
      <w:r w:rsidR="00787EE4" w:rsidRPr="00636D7E">
        <w:rPr>
          <w:rFonts w:asciiTheme="majorHAnsi" w:hAnsiTheme="majorHAnsi"/>
          <w:sz w:val="20"/>
          <w:szCs w:val="20"/>
          <w:lang w:val="es-AR"/>
        </w:rPr>
        <w:t>,</w:t>
      </w:r>
      <w:r w:rsidR="00265746" w:rsidRPr="00636D7E">
        <w:rPr>
          <w:rFonts w:asciiTheme="majorHAnsi" w:hAnsiTheme="majorHAnsi"/>
          <w:sz w:val="20"/>
          <w:szCs w:val="20"/>
          <w:lang w:val="es-AR"/>
        </w:rPr>
        <w:t xml:space="preserve"> </w:t>
      </w:r>
      <w:r w:rsidR="005615F7" w:rsidRPr="00636D7E">
        <w:rPr>
          <w:rFonts w:asciiTheme="majorHAnsi" w:hAnsiTheme="majorHAnsi"/>
          <w:sz w:val="20"/>
          <w:szCs w:val="20"/>
          <w:lang w:val="es-AR"/>
        </w:rPr>
        <w:t>artículo I de la Convención Interamericana sobre Desaparición Forzada de Personas</w:t>
      </w:r>
      <w:r w:rsidR="003A39A8" w:rsidRPr="00636D7E">
        <w:rPr>
          <w:rFonts w:asciiTheme="majorHAnsi" w:hAnsiTheme="majorHAnsi"/>
          <w:sz w:val="20"/>
          <w:szCs w:val="20"/>
          <w:lang w:val="es-AR"/>
        </w:rPr>
        <w:t xml:space="preserve"> en </w:t>
      </w:r>
      <w:r w:rsidR="009F0AA5" w:rsidRPr="00636D7E">
        <w:rPr>
          <w:rFonts w:asciiTheme="majorHAnsi" w:hAnsiTheme="majorHAnsi"/>
          <w:sz w:val="20"/>
          <w:szCs w:val="20"/>
          <w:lang w:val="es-AR"/>
        </w:rPr>
        <w:t>relación</w:t>
      </w:r>
      <w:r w:rsidR="003A39A8" w:rsidRPr="00636D7E">
        <w:rPr>
          <w:rFonts w:asciiTheme="majorHAnsi" w:hAnsiTheme="majorHAnsi"/>
          <w:sz w:val="20"/>
          <w:szCs w:val="20"/>
          <w:lang w:val="es-ES"/>
        </w:rPr>
        <w:t xml:space="preserve"> con las presuntas víctimas</w:t>
      </w:r>
      <w:r w:rsidR="005615F7" w:rsidRPr="00636D7E">
        <w:rPr>
          <w:rFonts w:asciiTheme="majorHAnsi" w:hAnsiTheme="majorHAnsi"/>
          <w:sz w:val="20"/>
          <w:szCs w:val="20"/>
          <w:lang w:val="es-AR"/>
        </w:rPr>
        <w:t xml:space="preserve">, </w:t>
      </w:r>
      <w:r w:rsidR="00787EE4" w:rsidRPr="00636D7E">
        <w:rPr>
          <w:rFonts w:asciiTheme="majorHAnsi" w:hAnsiTheme="majorHAnsi"/>
          <w:sz w:val="20"/>
          <w:szCs w:val="20"/>
          <w:lang w:val="es-AR"/>
        </w:rPr>
        <w:t>y</w:t>
      </w:r>
      <w:r w:rsidR="00265746" w:rsidRPr="00636D7E">
        <w:rPr>
          <w:rFonts w:asciiTheme="majorHAnsi" w:hAnsiTheme="majorHAnsi"/>
          <w:sz w:val="20"/>
          <w:szCs w:val="20"/>
          <w:lang w:val="es-AR"/>
        </w:rPr>
        <w:t xml:space="preserve"> artículos 5, 8 y 25 de la Convención</w:t>
      </w:r>
      <w:r w:rsidR="00787EE4" w:rsidRPr="00636D7E">
        <w:rPr>
          <w:rFonts w:asciiTheme="majorHAnsi" w:hAnsiTheme="majorHAnsi"/>
          <w:sz w:val="20"/>
          <w:szCs w:val="20"/>
          <w:lang w:val="es-AR"/>
        </w:rPr>
        <w:t xml:space="preserve"> Americana</w:t>
      </w:r>
      <w:r w:rsidR="00265746" w:rsidRPr="00636D7E">
        <w:rPr>
          <w:rFonts w:asciiTheme="majorHAnsi" w:hAnsiTheme="majorHAnsi"/>
          <w:sz w:val="20"/>
          <w:szCs w:val="20"/>
          <w:lang w:val="es-AR"/>
        </w:rPr>
        <w:t xml:space="preserve">, a la luz </w:t>
      </w:r>
      <w:r w:rsidR="00787EE4" w:rsidRPr="00636D7E">
        <w:rPr>
          <w:rFonts w:asciiTheme="majorHAnsi" w:hAnsiTheme="majorHAnsi"/>
          <w:sz w:val="20"/>
          <w:szCs w:val="20"/>
          <w:lang w:val="es-AR"/>
        </w:rPr>
        <w:t>del</w:t>
      </w:r>
      <w:r w:rsidR="00265746" w:rsidRPr="00636D7E">
        <w:rPr>
          <w:rFonts w:asciiTheme="majorHAnsi" w:hAnsiTheme="majorHAnsi"/>
          <w:sz w:val="20"/>
          <w:szCs w:val="20"/>
          <w:lang w:val="es-AR"/>
        </w:rPr>
        <w:t xml:space="preserve"> artículo 1.1, en relación con sus familiares.</w:t>
      </w:r>
      <w:r w:rsidR="00C948B3" w:rsidRPr="00636D7E">
        <w:rPr>
          <w:rFonts w:asciiTheme="majorHAnsi" w:hAnsiTheme="majorHAnsi"/>
          <w:sz w:val="20"/>
          <w:szCs w:val="20"/>
          <w:lang w:val="es-AR"/>
        </w:rPr>
        <w:t xml:space="preserve"> Asimismo, dado que Juan Guillermo Gut</w:t>
      </w:r>
      <w:r w:rsidR="00C948B3" w:rsidRPr="00636D7E">
        <w:rPr>
          <w:rFonts w:asciiTheme="majorHAnsi" w:hAnsiTheme="majorHAnsi"/>
          <w:sz w:val="20"/>
          <w:szCs w:val="20"/>
          <w:lang w:val="es-ES"/>
        </w:rPr>
        <w:t>iérrez Sánchez tenía</w:t>
      </w:r>
      <w:r w:rsidR="00817BBC" w:rsidRPr="00636D7E">
        <w:rPr>
          <w:rFonts w:asciiTheme="majorHAnsi" w:hAnsiTheme="majorHAnsi"/>
          <w:sz w:val="20"/>
          <w:szCs w:val="20"/>
          <w:lang w:val="es-ES"/>
        </w:rPr>
        <w:t xml:space="preserve"> alegadamente</w:t>
      </w:r>
      <w:r w:rsidR="00C948B3" w:rsidRPr="00636D7E">
        <w:rPr>
          <w:rFonts w:asciiTheme="majorHAnsi" w:hAnsiTheme="majorHAnsi"/>
          <w:sz w:val="20"/>
          <w:szCs w:val="20"/>
          <w:lang w:val="es-ES"/>
        </w:rPr>
        <w:t xml:space="preserve"> 15 años al momento de su muerte, los hechos alegados podrían caracterizar además una violación del artículo </w:t>
      </w:r>
      <w:r w:rsidR="00C948B3" w:rsidRPr="00636D7E">
        <w:rPr>
          <w:rFonts w:asciiTheme="majorHAnsi" w:hAnsiTheme="majorHAnsi"/>
          <w:sz w:val="20"/>
          <w:szCs w:val="20"/>
          <w:lang w:val="es-AR"/>
        </w:rPr>
        <w:t>19 (derechos del niño) de la Convención en relación con las obligaciones contenidas en su artículo 1.1, en su perjuicio.</w:t>
      </w:r>
    </w:p>
    <w:p w14:paraId="2E1676D2" w14:textId="65A14C53" w:rsidR="00A539AC" w:rsidRPr="00636D7E" w:rsidRDefault="00265746" w:rsidP="002F029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6D7E">
        <w:rPr>
          <w:rFonts w:asciiTheme="majorHAnsi" w:hAnsiTheme="majorHAnsi"/>
          <w:sz w:val="20"/>
          <w:szCs w:val="20"/>
          <w:lang w:val="es-ES"/>
        </w:rPr>
        <w:t>Por otra parte, de probarse la alegada</w:t>
      </w:r>
      <w:r w:rsidR="00430675" w:rsidRPr="00636D7E">
        <w:rPr>
          <w:rFonts w:asciiTheme="majorHAnsi" w:hAnsiTheme="majorHAnsi"/>
          <w:sz w:val="20"/>
          <w:szCs w:val="20"/>
          <w:lang w:val="es-AR"/>
        </w:rPr>
        <w:t xml:space="preserve"> </w:t>
      </w:r>
      <w:r w:rsidR="00A539AC" w:rsidRPr="00636D7E">
        <w:rPr>
          <w:rFonts w:asciiTheme="majorHAnsi" w:hAnsiTheme="majorHAnsi"/>
          <w:sz w:val="20"/>
          <w:szCs w:val="20"/>
          <w:lang w:val="es-AR"/>
        </w:rPr>
        <w:t>privación de libertad y</w:t>
      </w:r>
      <w:r w:rsidR="00430675" w:rsidRPr="00636D7E">
        <w:rPr>
          <w:rFonts w:asciiTheme="majorHAnsi" w:hAnsiTheme="majorHAnsi"/>
          <w:sz w:val="20"/>
          <w:szCs w:val="20"/>
          <w:lang w:val="es-AR"/>
        </w:rPr>
        <w:t xml:space="preserve"> tortura cometidas en contra de </w:t>
      </w:r>
      <w:r w:rsidR="0082693C" w:rsidRPr="00636D7E">
        <w:rPr>
          <w:rFonts w:asciiTheme="majorHAnsi" w:hAnsiTheme="majorHAnsi"/>
          <w:sz w:val="20"/>
          <w:szCs w:val="20"/>
          <w:lang w:val="es-AR"/>
        </w:rPr>
        <w:t xml:space="preserve">Rosalía Benavides Franco, </w:t>
      </w:r>
      <w:r w:rsidR="00430675" w:rsidRPr="00636D7E">
        <w:rPr>
          <w:rFonts w:asciiTheme="majorHAnsi" w:hAnsiTheme="majorHAnsi"/>
          <w:sz w:val="20"/>
          <w:szCs w:val="20"/>
          <w:lang w:val="es-AR"/>
        </w:rPr>
        <w:t>Gloria Nancy Sánchez Zuluaga, Luceny Guali Guzmán, Florecide Cortés Cruz, Nubia Esther González, Elvira González, y la señora Adela</w:t>
      </w:r>
      <w:r w:rsidR="001E2760" w:rsidRPr="00636D7E">
        <w:rPr>
          <w:rFonts w:asciiTheme="majorHAnsi" w:hAnsiTheme="majorHAnsi"/>
          <w:sz w:val="20"/>
          <w:szCs w:val="20"/>
          <w:lang w:val="es-AR"/>
        </w:rPr>
        <w:t>, podrían caracterizar</w:t>
      </w:r>
      <w:r w:rsidR="006D76D3" w:rsidRPr="00636D7E">
        <w:rPr>
          <w:rFonts w:asciiTheme="majorHAnsi" w:hAnsiTheme="majorHAnsi"/>
          <w:sz w:val="20"/>
          <w:szCs w:val="20"/>
          <w:lang w:val="es-AR"/>
        </w:rPr>
        <w:t>se</w:t>
      </w:r>
      <w:r w:rsidR="001E2760" w:rsidRPr="00636D7E">
        <w:rPr>
          <w:rFonts w:asciiTheme="majorHAnsi" w:hAnsiTheme="majorHAnsi"/>
          <w:sz w:val="20"/>
          <w:szCs w:val="20"/>
          <w:lang w:val="es-AR"/>
        </w:rPr>
        <w:t xml:space="preserve"> posibles violaciones a los derechos reconocidos en los artículos </w:t>
      </w:r>
      <w:r w:rsidR="00430675" w:rsidRPr="00636D7E">
        <w:rPr>
          <w:rFonts w:asciiTheme="majorHAnsi" w:hAnsiTheme="majorHAnsi"/>
          <w:sz w:val="20"/>
          <w:szCs w:val="20"/>
          <w:lang w:val="es-AR"/>
        </w:rPr>
        <w:t>5</w:t>
      </w:r>
      <w:r w:rsidR="0098798B" w:rsidRPr="00636D7E">
        <w:rPr>
          <w:rFonts w:asciiTheme="majorHAnsi" w:hAnsiTheme="majorHAnsi"/>
          <w:sz w:val="20"/>
          <w:szCs w:val="20"/>
          <w:lang w:val="es-AR"/>
        </w:rPr>
        <w:t xml:space="preserve"> </w:t>
      </w:r>
      <w:r w:rsidR="009602FD" w:rsidRPr="00636D7E">
        <w:rPr>
          <w:rFonts w:asciiTheme="majorHAnsi" w:hAnsiTheme="majorHAnsi"/>
          <w:sz w:val="20"/>
          <w:szCs w:val="20"/>
          <w:lang w:val="es-AR"/>
        </w:rPr>
        <w:t>y</w:t>
      </w:r>
      <w:r w:rsidR="00430675" w:rsidRPr="00636D7E">
        <w:rPr>
          <w:rFonts w:asciiTheme="majorHAnsi" w:hAnsiTheme="majorHAnsi"/>
          <w:sz w:val="20"/>
          <w:szCs w:val="20"/>
          <w:lang w:val="es-AR"/>
        </w:rPr>
        <w:t xml:space="preserve"> 7</w:t>
      </w:r>
      <w:r w:rsidR="0098798B" w:rsidRPr="00636D7E">
        <w:rPr>
          <w:rFonts w:asciiTheme="majorHAnsi" w:hAnsiTheme="majorHAnsi"/>
          <w:sz w:val="20"/>
          <w:szCs w:val="20"/>
          <w:lang w:val="es-AR"/>
        </w:rPr>
        <w:t xml:space="preserve"> </w:t>
      </w:r>
      <w:r w:rsidR="00430675" w:rsidRPr="00636D7E">
        <w:rPr>
          <w:rFonts w:asciiTheme="majorHAnsi" w:hAnsiTheme="majorHAnsi"/>
          <w:sz w:val="20"/>
          <w:szCs w:val="20"/>
          <w:lang w:val="es-AR"/>
        </w:rPr>
        <w:t>de la Convención</w:t>
      </w:r>
      <w:r w:rsidR="00FF51C9" w:rsidRPr="00636D7E">
        <w:rPr>
          <w:rFonts w:asciiTheme="majorHAnsi" w:hAnsiTheme="majorHAnsi"/>
          <w:sz w:val="20"/>
          <w:szCs w:val="20"/>
          <w:lang w:val="es-AR"/>
        </w:rPr>
        <w:t xml:space="preserve"> </w:t>
      </w:r>
      <w:r w:rsidR="00C17BFF" w:rsidRPr="00636D7E">
        <w:rPr>
          <w:rFonts w:asciiTheme="majorHAnsi" w:hAnsiTheme="majorHAnsi"/>
          <w:sz w:val="20"/>
          <w:szCs w:val="20"/>
          <w:lang w:val="es-AR"/>
        </w:rPr>
        <w:t xml:space="preserve">Americana </w:t>
      </w:r>
      <w:r w:rsidR="00FF51C9" w:rsidRPr="00636D7E">
        <w:rPr>
          <w:rFonts w:asciiTheme="majorHAnsi" w:hAnsiTheme="majorHAnsi"/>
          <w:sz w:val="20"/>
          <w:szCs w:val="20"/>
          <w:lang w:val="es-AR"/>
        </w:rPr>
        <w:t xml:space="preserve">en relación </w:t>
      </w:r>
      <w:r w:rsidR="00766465" w:rsidRPr="00636D7E">
        <w:rPr>
          <w:rFonts w:asciiTheme="majorHAnsi" w:hAnsiTheme="majorHAnsi"/>
          <w:sz w:val="20"/>
          <w:szCs w:val="20"/>
          <w:lang w:val="es-AR"/>
        </w:rPr>
        <w:t xml:space="preserve">con </w:t>
      </w:r>
      <w:r w:rsidR="00FF51C9" w:rsidRPr="00636D7E">
        <w:rPr>
          <w:rFonts w:asciiTheme="majorHAnsi" w:hAnsiTheme="majorHAnsi"/>
          <w:sz w:val="20"/>
          <w:szCs w:val="20"/>
          <w:lang w:val="es-AR"/>
        </w:rPr>
        <w:t>las obligaciones contenidas en el artículo 1.1</w:t>
      </w:r>
      <w:r w:rsidR="00430675" w:rsidRPr="00636D7E">
        <w:rPr>
          <w:rFonts w:asciiTheme="majorHAnsi" w:hAnsiTheme="majorHAnsi"/>
          <w:sz w:val="20"/>
          <w:szCs w:val="20"/>
          <w:lang w:val="es-AR"/>
        </w:rPr>
        <w:t xml:space="preserve">, </w:t>
      </w:r>
      <w:r w:rsidR="009D4F6F" w:rsidRPr="00636D7E">
        <w:rPr>
          <w:rFonts w:asciiTheme="majorHAnsi" w:hAnsiTheme="majorHAnsi"/>
          <w:sz w:val="20"/>
          <w:szCs w:val="20"/>
          <w:lang w:val="es-AR"/>
        </w:rPr>
        <w:t xml:space="preserve">así como los artículos </w:t>
      </w:r>
      <w:r w:rsidR="00430675" w:rsidRPr="00636D7E">
        <w:rPr>
          <w:rFonts w:asciiTheme="majorHAnsi" w:hAnsiTheme="majorHAnsi"/>
          <w:sz w:val="20"/>
          <w:szCs w:val="20"/>
          <w:lang w:val="es-AR"/>
        </w:rPr>
        <w:t xml:space="preserve">1, 6 y 8 de la </w:t>
      </w:r>
      <w:r w:rsidR="00AF06A7" w:rsidRPr="00636D7E">
        <w:rPr>
          <w:rFonts w:ascii="Cambria" w:hAnsi="Cambria"/>
          <w:bCs/>
          <w:sz w:val="20"/>
          <w:szCs w:val="20"/>
          <w:lang w:val="es-MX"/>
        </w:rPr>
        <w:t>Convención Interamericana para Prevenir y Sancionar la Tortura</w:t>
      </w:r>
      <w:r w:rsidR="009602FD" w:rsidRPr="00636D7E">
        <w:rPr>
          <w:rFonts w:ascii="Cambria" w:hAnsi="Cambria"/>
          <w:bCs/>
          <w:sz w:val="20"/>
          <w:szCs w:val="20"/>
          <w:lang w:val="es-MX"/>
        </w:rPr>
        <w:t xml:space="preserve">, y </w:t>
      </w:r>
      <w:r w:rsidR="006D76D3" w:rsidRPr="00636D7E">
        <w:rPr>
          <w:rFonts w:asciiTheme="majorHAnsi" w:hAnsiTheme="majorHAnsi"/>
          <w:sz w:val="20"/>
          <w:szCs w:val="20"/>
          <w:lang w:val="es-AR"/>
        </w:rPr>
        <w:t>la alegada</w:t>
      </w:r>
      <w:r w:rsidR="00733EB2" w:rsidRPr="00636D7E">
        <w:rPr>
          <w:rFonts w:asciiTheme="majorHAnsi" w:hAnsiTheme="majorHAnsi"/>
          <w:sz w:val="20"/>
          <w:szCs w:val="20"/>
          <w:lang w:val="es-AR"/>
        </w:rPr>
        <w:t xml:space="preserve"> </w:t>
      </w:r>
      <w:r w:rsidR="006D76D3" w:rsidRPr="00636D7E">
        <w:rPr>
          <w:rFonts w:asciiTheme="majorHAnsi" w:hAnsiTheme="majorHAnsi"/>
          <w:sz w:val="20"/>
          <w:szCs w:val="20"/>
          <w:lang w:val="es-AR"/>
        </w:rPr>
        <w:t>detención de Luis Estiven Ortiz Benavides</w:t>
      </w:r>
      <w:r w:rsidR="00BA7073" w:rsidRPr="00636D7E">
        <w:rPr>
          <w:rFonts w:asciiTheme="majorHAnsi" w:hAnsiTheme="majorHAnsi"/>
          <w:sz w:val="20"/>
          <w:szCs w:val="20"/>
          <w:lang w:val="es-AR"/>
        </w:rPr>
        <w:t xml:space="preserve"> </w:t>
      </w:r>
      <w:r w:rsidR="006D76D3" w:rsidRPr="00636D7E">
        <w:rPr>
          <w:rFonts w:asciiTheme="majorHAnsi" w:hAnsiTheme="majorHAnsi"/>
          <w:sz w:val="20"/>
          <w:szCs w:val="20"/>
          <w:lang w:val="es-AR"/>
        </w:rPr>
        <w:t>podría caracterizar una violación de los artículos 7 y 19 de la Convención en relación con las obligaciones contenidas en su</w:t>
      </w:r>
      <w:r w:rsidR="00BA7073" w:rsidRPr="00636D7E">
        <w:rPr>
          <w:rFonts w:asciiTheme="majorHAnsi" w:hAnsiTheme="majorHAnsi"/>
          <w:sz w:val="20"/>
          <w:szCs w:val="20"/>
          <w:lang w:val="es-AR"/>
        </w:rPr>
        <w:t xml:space="preserve"> </w:t>
      </w:r>
      <w:r w:rsidR="006D76D3" w:rsidRPr="00636D7E">
        <w:rPr>
          <w:rFonts w:asciiTheme="majorHAnsi" w:hAnsiTheme="majorHAnsi"/>
          <w:sz w:val="20"/>
          <w:szCs w:val="20"/>
          <w:lang w:val="es-AR"/>
        </w:rPr>
        <w:t>artículo 1.1.</w:t>
      </w:r>
      <w:r w:rsidR="009602FD" w:rsidRPr="00636D7E">
        <w:rPr>
          <w:rFonts w:asciiTheme="majorHAnsi" w:hAnsiTheme="majorHAnsi"/>
          <w:sz w:val="20"/>
          <w:szCs w:val="20"/>
          <w:lang w:val="es-AR"/>
        </w:rPr>
        <w:t xml:space="preserve"> Asimismo, la alegada impunidad de estos hechos podr</w:t>
      </w:r>
      <w:r w:rsidR="009602FD" w:rsidRPr="00636D7E">
        <w:rPr>
          <w:rFonts w:asciiTheme="majorHAnsi" w:hAnsiTheme="majorHAnsi"/>
          <w:sz w:val="20"/>
          <w:szCs w:val="20"/>
          <w:lang w:val="es-ES"/>
        </w:rPr>
        <w:t>ía caracterizar una violación de los artículos 8 y 25 de la Convención, en relación con su artículo 1.1.</w:t>
      </w:r>
    </w:p>
    <w:p w14:paraId="5FBB61DF" w14:textId="0FD694F0" w:rsidR="0025571D" w:rsidRPr="00636D7E" w:rsidRDefault="0025571D" w:rsidP="00FA4A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6D7E">
        <w:rPr>
          <w:rFonts w:asciiTheme="majorHAnsi" w:hAnsiTheme="majorHAnsi"/>
          <w:sz w:val="20"/>
          <w:szCs w:val="20"/>
          <w:lang w:val="es-AR"/>
        </w:rPr>
        <w:t xml:space="preserve">Asimismo, la alegada </w:t>
      </w:r>
      <w:r w:rsidR="00A539AC" w:rsidRPr="00636D7E">
        <w:rPr>
          <w:rFonts w:asciiTheme="majorHAnsi" w:hAnsiTheme="majorHAnsi"/>
          <w:sz w:val="20"/>
          <w:szCs w:val="20"/>
          <w:lang w:val="es-AR"/>
        </w:rPr>
        <w:t xml:space="preserve">violencia sexual cometida en contra de Gloria Nancy Sánchez Zuluaga, Luceny Guali Guzmán, Florecide Cortés Cruz, Nubia Esther González, Elvira González, y la señora Adela, </w:t>
      </w:r>
      <w:r w:rsidRPr="00636D7E">
        <w:rPr>
          <w:rFonts w:asciiTheme="majorHAnsi" w:hAnsiTheme="majorHAnsi"/>
          <w:sz w:val="20"/>
          <w:szCs w:val="20"/>
          <w:lang w:val="es-AR"/>
        </w:rPr>
        <w:t xml:space="preserve">de probarse, </w:t>
      </w:r>
      <w:r w:rsidR="00A539AC" w:rsidRPr="00636D7E">
        <w:rPr>
          <w:rFonts w:asciiTheme="majorHAnsi" w:hAnsiTheme="majorHAnsi"/>
          <w:sz w:val="20"/>
          <w:szCs w:val="20"/>
          <w:lang w:val="es-AR"/>
        </w:rPr>
        <w:t xml:space="preserve">podría caracterizar una violación </w:t>
      </w:r>
      <w:r w:rsidRPr="00636D7E">
        <w:rPr>
          <w:rFonts w:asciiTheme="majorHAnsi" w:hAnsiTheme="majorHAnsi"/>
          <w:sz w:val="20"/>
          <w:szCs w:val="20"/>
          <w:lang w:val="es-AR"/>
        </w:rPr>
        <w:t>a</w:t>
      </w:r>
      <w:r w:rsidR="005615F7" w:rsidRPr="00636D7E">
        <w:rPr>
          <w:rFonts w:asciiTheme="majorHAnsi" w:hAnsiTheme="majorHAnsi"/>
          <w:sz w:val="20"/>
          <w:szCs w:val="20"/>
          <w:lang w:val="es-AR"/>
        </w:rPr>
        <w:t xml:space="preserve"> </w:t>
      </w:r>
      <w:r w:rsidRPr="00636D7E">
        <w:rPr>
          <w:rFonts w:asciiTheme="majorHAnsi" w:hAnsiTheme="majorHAnsi"/>
          <w:sz w:val="20"/>
          <w:szCs w:val="20"/>
          <w:lang w:val="es-AR"/>
        </w:rPr>
        <w:t>l</w:t>
      </w:r>
      <w:r w:rsidR="005615F7" w:rsidRPr="00636D7E">
        <w:rPr>
          <w:rFonts w:asciiTheme="majorHAnsi" w:hAnsiTheme="majorHAnsi"/>
          <w:sz w:val="20"/>
          <w:szCs w:val="20"/>
          <w:lang w:val="es-AR"/>
        </w:rPr>
        <w:t>os</w:t>
      </w:r>
      <w:r w:rsidRPr="00636D7E">
        <w:rPr>
          <w:rFonts w:asciiTheme="majorHAnsi" w:hAnsiTheme="majorHAnsi"/>
          <w:sz w:val="20"/>
          <w:szCs w:val="20"/>
          <w:lang w:val="es-AR"/>
        </w:rPr>
        <w:t xml:space="preserve"> artículo</w:t>
      </w:r>
      <w:r w:rsidR="005615F7" w:rsidRPr="00636D7E">
        <w:rPr>
          <w:rFonts w:asciiTheme="majorHAnsi" w:hAnsiTheme="majorHAnsi"/>
          <w:sz w:val="20"/>
          <w:szCs w:val="20"/>
          <w:lang w:val="es-AR"/>
        </w:rPr>
        <w:t>s</w:t>
      </w:r>
      <w:r w:rsidRPr="00636D7E">
        <w:rPr>
          <w:rFonts w:asciiTheme="majorHAnsi" w:hAnsiTheme="majorHAnsi"/>
          <w:sz w:val="20"/>
          <w:szCs w:val="20"/>
          <w:lang w:val="es-AR"/>
        </w:rPr>
        <w:t xml:space="preserve"> </w:t>
      </w:r>
      <w:r w:rsidR="005615F7" w:rsidRPr="00636D7E">
        <w:rPr>
          <w:rFonts w:asciiTheme="majorHAnsi" w:hAnsiTheme="majorHAnsi"/>
          <w:sz w:val="20"/>
          <w:szCs w:val="20"/>
          <w:lang w:val="es-AR"/>
        </w:rPr>
        <w:t>5</w:t>
      </w:r>
      <w:r w:rsidR="00937D63" w:rsidRPr="00636D7E">
        <w:rPr>
          <w:rFonts w:asciiTheme="majorHAnsi" w:hAnsiTheme="majorHAnsi"/>
          <w:sz w:val="20"/>
          <w:szCs w:val="20"/>
          <w:lang w:val="es-AR"/>
        </w:rPr>
        <w:t>,</w:t>
      </w:r>
      <w:r w:rsidR="005615F7" w:rsidRPr="00636D7E">
        <w:rPr>
          <w:rFonts w:asciiTheme="majorHAnsi" w:hAnsiTheme="majorHAnsi"/>
          <w:sz w:val="20"/>
          <w:szCs w:val="20"/>
          <w:lang w:val="es-AR"/>
        </w:rPr>
        <w:t xml:space="preserve"> </w:t>
      </w:r>
      <w:r w:rsidR="00265746" w:rsidRPr="00636D7E">
        <w:rPr>
          <w:rFonts w:asciiTheme="majorHAnsi" w:hAnsiTheme="majorHAnsi"/>
          <w:sz w:val="20"/>
          <w:szCs w:val="20"/>
          <w:lang w:val="es-AR"/>
        </w:rPr>
        <w:t>11 (protección de la honra y dignidad)</w:t>
      </w:r>
      <w:r w:rsidR="00937D63" w:rsidRPr="00636D7E">
        <w:rPr>
          <w:rFonts w:asciiTheme="majorHAnsi" w:hAnsiTheme="majorHAnsi"/>
          <w:sz w:val="20"/>
          <w:szCs w:val="20"/>
          <w:lang w:val="es-AR"/>
        </w:rPr>
        <w:t>, 8 y 25</w:t>
      </w:r>
      <w:r w:rsidRPr="00636D7E">
        <w:rPr>
          <w:rFonts w:asciiTheme="majorHAnsi" w:hAnsiTheme="majorHAnsi"/>
          <w:sz w:val="20"/>
          <w:szCs w:val="20"/>
          <w:lang w:val="es-AR"/>
        </w:rPr>
        <w:t xml:space="preserve"> de la Convención en relación con su artículo 1.1</w:t>
      </w:r>
      <w:r w:rsidR="00265746" w:rsidRPr="00636D7E">
        <w:rPr>
          <w:rFonts w:asciiTheme="majorHAnsi" w:hAnsiTheme="majorHAnsi"/>
          <w:sz w:val="20"/>
          <w:szCs w:val="20"/>
          <w:lang w:val="es-AR"/>
        </w:rPr>
        <w:t xml:space="preserve">, </w:t>
      </w:r>
      <w:r w:rsidRPr="00636D7E">
        <w:rPr>
          <w:rFonts w:asciiTheme="majorHAnsi" w:hAnsiTheme="majorHAnsi"/>
          <w:sz w:val="20"/>
          <w:szCs w:val="20"/>
          <w:lang w:val="es-AR"/>
        </w:rPr>
        <w:t xml:space="preserve">así como </w:t>
      </w:r>
      <w:r w:rsidR="00A539AC" w:rsidRPr="00636D7E">
        <w:rPr>
          <w:rFonts w:asciiTheme="majorHAnsi" w:hAnsiTheme="majorHAnsi"/>
          <w:sz w:val="20"/>
          <w:szCs w:val="20"/>
          <w:lang w:val="es-AR"/>
        </w:rPr>
        <w:t>del artículo 7 de la Convención Belém do Pará</w:t>
      </w:r>
      <w:r w:rsidRPr="00636D7E">
        <w:rPr>
          <w:rFonts w:asciiTheme="majorHAnsi" w:hAnsiTheme="majorHAnsi"/>
          <w:sz w:val="20"/>
          <w:szCs w:val="20"/>
          <w:lang w:val="es-AR"/>
        </w:rPr>
        <w:t>.</w:t>
      </w:r>
      <w:r w:rsidR="00FA4AD2" w:rsidRPr="00636D7E">
        <w:rPr>
          <w:rFonts w:ascii="Cambria" w:hAnsi="Cambria"/>
          <w:sz w:val="20"/>
          <w:szCs w:val="20"/>
          <w:lang w:val="es-ES"/>
        </w:rPr>
        <w:t xml:space="preserve"> </w:t>
      </w:r>
      <w:r w:rsidR="00FA4AD2" w:rsidRPr="00636D7E">
        <w:rPr>
          <w:rFonts w:asciiTheme="majorHAnsi" w:hAnsiTheme="majorHAnsi"/>
          <w:sz w:val="20"/>
          <w:szCs w:val="20"/>
          <w:lang w:val="es-AR"/>
        </w:rPr>
        <w:t xml:space="preserve">Por último, de probarse </w:t>
      </w:r>
      <w:r w:rsidR="002979F5" w:rsidRPr="00636D7E">
        <w:rPr>
          <w:rFonts w:asciiTheme="majorHAnsi" w:hAnsiTheme="majorHAnsi"/>
          <w:sz w:val="20"/>
          <w:szCs w:val="20"/>
          <w:lang w:val="es-AR"/>
        </w:rPr>
        <w:t xml:space="preserve">las alegadas amenazas contra los familiares de las presuntas víctimas para que no denunciaran los hechos alegados así como </w:t>
      </w:r>
      <w:r w:rsidR="00FA4AD2" w:rsidRPr="00636D7E">
        <w:rPr>
          <w:rFonts w:asciiTheme="majorHAnsi" w:hAnsiTheme="majorHAnsi"/>
          <w:sz w:val="20"/>
          <w:szCs w:val="20"/>
          <w:lang w:val="es-AR"/>
        </w:rPr>
        <w:t xml:space="preserve">el desplazamiento de familiares a raíz de </w:t>
      </w:r>
      <w:r w:rsidR="002979F5" w:rsidRPr="00636D7E">
        <w:rPr>
          <w:rFonts w:asciiTheme="majorHAnsi" w:hAnsiTheme="majorHAnsi"/>
          <w:sz w:val="20"/>
          <w:szCs w:val="20"/>
          <w:lang w:val="es-AR"/>
        </w:rPr>
        <w:t xml:space="preserve">dichas </w:t>
      </w:r>
      <w:r w:rsidR="00FA4AD2" w:rsidRPr="00636D7E">
        <w:rPr>
          <w:rFonts w:asciiTheme="majorHAnsi" w:hAnsiTheme="majorHAnsi"/>
          <w:sz w:val="20"/>
          <w:szCs w:val="20"/>
          <w:lang w:val="es-AR"/>
        </w:rPr>
        <w:t xml:space="preserve">amenazas, podría caracterizarse una violación del artículo </w:t>
      </w:r>
      <w:r w:rsidR="002979F5" w:rsidRPr="00636D7E">
        <w:rPr>
          <w:rFonts w:asciiTheme="majorHAnsi" w:hAnsiTheme="majorHAnsi"/>
          <w:sz w:val="20"/>
          <w:szCs w:val="20"/>
          <w:lang w:val="es-AR"/>
        </w:rPr>
        <w:t xml:space="preserve">17 (familia) y </w:t>
      </w:r>
      <w:r w:rsidRPr="00636D7E">
        <w:rPr>
          <w:rFonts w:asciiTheme="majorHAnsi" w:hAnsiTheme="majorHAnsi"/>
          <w:sz w:val="20"/>
          <w:szCs w:val="20"/>
          <w:lang w:val="es-AR"/>
        </w:rPr>
        <w:t>22 (circulación y de residencia)</w:t>
      </w:r>
      <w:r w:rsidR="00FA4AD2" w:rsidRPr="00636D7E">
        <w:rPr>
          <w:rFonts w:asciiTheme="majorHAnsi" w:hAnsiTheme="majorHAnsi"/>
          <w:sz w:val="20"/>
          <w:szCs w:val="20"/>
          <w:lang w:val="es-AR"/>
        </w:rPr>
        <w:t xml:space="preserve"> de la Convención Americana, en relación con su artículo 1.1.</w:t>
      </w:r>
    </w:p>
    <w:p w14:paraId="2D458D79" w14:textId="02A8E8F9" w:rsidR="004205D9" w:rsidRPr="00636D7E" w:rsidRDefault="002B5C75"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6D7E">
        <w:rPr>
          <w:rFonts w:ascii="Cambria" w:hAnsi="Cambria"/>
          <w:sz w:val="20"/>
          <w:szCs w:val="20"/>
          <w:lang w:val="es-ES_tradnl"/>
        </w:rPr>
        <w:t>En relación con las demás disposiciones contenidas en la Convención Belém do Pará y</w:t>
      </w:r>
      <w:r w:rsidR="00713DB0" w:rsidRPr="00636D7E">
        <w:rPr>
          <w:rFonts w:ascii="Cambria" w:hAnsi="Cambria"/>
          <w:sz w:val="20"/>
          <w:szCs w:val="20"/>
          <w:lang w:val="es-ES_tradnl"/>
        </w:rPr>
        <w:t xml:space="preserve"> respecto a</w:t>
      </w:r>
      <w:r w:rsidRPr="00636D7E">
        <w:rPr>
          <w:rFonts w:ascii="Cambria" w:hAnsi="Cambria"/>
          <w:sz w:val="20"/>
          <w:szCs w:val="20"/>
          <w:lang w:val="es-ES_tradnl"/>
        </w:rPr>
        <w:t xml:space="preserve"> la Convención de los Derechos del Niño, la CIDH observa que, si bien no tiene competencia para declarar una eventual violación de las mismas, sí</w:t>
      </w:r>
      <w:r w:rsidR="004205D9" w:rsidRPr="00636D7E">
        <w:rPr>
          <w:rFonts w:ascii="Cambria" w:hAnsi="Cambria"/>
          <w:sz w:val="20"/>
          <w:szCs w:val="20"/>
          <w:lang w:val="es-ES_tradnl"/>
        </w:rPr>
        <w:t xml:space="preserve"> se encuentra facultada para recurrir a los estándares establecidos en </w:t>
      </w:r>
      <w:r w:rsidRPr="00636D7E">
        <w:rPr>
          <w:rFonts w:ascii="Cambria" w:hAnsi="Cambria"/>
          <w:sz w:val="20"/>
          <w:szCs w:val="20"/>
          <w:lang w:val="es-ES_tradnl"/>
        </w:rPr>
        <w:t>dichas disposiciones</w:t>
      </w:r>
      <w:r w:rsidR="004205D9" w:rsidRPr="00636D7E">
        <w:rPr>
          <w:rFonts w:ascii="Cambria" w:hAnsi="Cambria"/>
          <w:sz w:val="20"/>
          <w:szCs w:val="20"/>
          <w:lang w:val="es-ES_tradnl"/>
        </w:rPr>
        <w:t xml:space="preserve"> a fin de interpretar las normas de la Convención</w:t>
      </w:r>
      <w:r w:rsidRPr="00636D7E">
        <w:rPr>
          <w:rFonts w:ascii="Cambria" w:hAnsi="Cambria"/>
          <w:sz w:val="20"/>
          <w:szCs w:val="20"/>
          <w:lang w:val="es-ES_tradnl"/>
        </w:rPr>
        <w:t xml:space="preserve"> Americana</w:t>
      </w:r>
      <w:r w:rsidR="004205D9" w:rsidRPr="00636D7E">
        <w:rPr>
          <w:rFonts w:ascii="Cambria" w:hAnsi="Cambria"/>
          <w:sz w:val="20"/>
          <w:szCs w:val="20"/>
          <w:lang w:val="es-ES_tradnl"/>
        </w:rPr>
        <w:t>.</w:t>
      </w:r>
    </w:p>
    <w:p w14:paraId="361C7FBF" w14:textId="77777777" w:rsidR="002979F5" w:rsidRPr="00636D7E" w:rsidRDefault="002979F5" w:rsidP="003239B8">
      <w:pPr>
        <w:pStyle w:val="ListParagraph"/>
        <w:spacing w:before="240" w:after="240"/>
        <w:jc w:val="both"/>
        <w:rPr>
          <w:rFonts w:asciiTheme="majorHAnsi" w:hAnsiTheme="majorHAnsi"/>
          <w:b/>
          <w:bCs/>
          <w:sz w:val="20"/>
          <w:szCs w:val="20"/>
          <w:lang w:val="es-ES"/>
        </w:rPr>
      </w:pPr>
    </w:p>
    <w:p w14:paraId="7E5DA3F1" w14:textId="77777777" w:rsidR="002979F5" w:rsidRPr="00636D7E" w:rsidRDefault="002979F5" w:rsidP="003239B8">
      <w:pPr>
        <w:pStyle w:val="ListParagraph"/>
        <w:spacing w:before="240" w:after="240"/>
        <w:jc w:val="both"/>
        <w:rPr>
          <w:rFonts w:asciiTheme="majorHAnsi" w:hAnsiTheme="majorHAnsi"/>
          <w:b/>
          <w:bCs/>
          <w:sz w:val="20"/>
          <w:szCs w:val="20"/>
          <w:lang w:val="es-ES"/>
        </w:rPr>
      </w:pPr>
    </w:p>
    <w:p w14:paraId="60512B94" w14:textId="77777777" w:rsidR="003239B8" w:rsidRPr="00636D7E" w:rsidRDefault="003239B8" w:rsidP="003239B8">
      <w:pPr>
        <w:pStyle w:val="ListParagraph"/>
        <w:spacing w:before="240" w:after="240"/>
        <w:jc w:val="both"/>
        <w:rPr>
          <w:rFonts w:asciiTheme="majorHAnsi" w:hAnsiTheme="majorHAnsi"/>
          <w:b/>
          <w:bCs/>
          <w:sz w:val="20"/>
          <w:szCs w:val="20"/>
          <w:lang w:val="es-ES"/>
        </w:rPr>
      </w:pPr>
      <w:r w:rsidRPr="00636D7E">
        <w:rPr>
          <w:rFonts w:asciiTheme="majorHAnsi" w:hAnsiTheme="majorHAnsi"/>
          <w:b/>
          <w:bCs/>
          <w:sz w:val="20"/>
          <w:szCs w:val="20"/>
          <w:lang w:val="es-ES"/>
        </w:rPr>
        <w:lastRenderedPageBreak/>
        <w:t xml:space="preserve">VIII. </w:t>
      </w:r>
      <w:r w:rsidRPr="00636D7E">
        <w:rPr>
          <w:rFonts w:asciiTheme="majorHAnsi" w:hAnsiTheme="majorHAnsi"/>
          <w:b/>
          <w:bCs/>
          <w:sz w:val="20"/>
          <w:szCs w:val="20"/>
          <w:lang w:val="es-ES"/>
        </w:rPr>
        <w:tab/>
        <w:t>DECISIÓN</w:t>
      </w:r>
    </w:p>
    <w:p w14:paraId="06645ABE" w14:textId="178E5D97" w:rsidR="00E40506" w:rsidRPr="00636D7E" w:rsidRDefault="003239B8" w:rsidP="002979F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6D7E">
        <w:rPr>
          <w:rFonts w:asciiTheme="majorHAnsi" w:hAnsiTheme="majorHAnsi"/>
          <w:sz w:val="20"/>
          <w:szCs w:val="20"/>
          <w:lang w:val="es-ES"/>
        </w:rPr>
        <w:t xml:space="preserve">Declarar admisible la presente petición en relación con </w:t>
      </w:r>
      <w:r w:rsidR="00713DB0" w:rsidRPr="00636D7E">
        <w:rPr>
          <w:rFonts w:asciiTheme="majorHAnsi" w:hAnsiTheme="majorHAnsi"/>
          <w:sz w:val="20"/>
          <w:szCs w:val="20"/>
          <w:lang w:val="es-ES"/>
        </w:rPr>
        <w:t xml:space="preserve">los </w:t>
      </w:r>
      <w:r w:rsidR="00FF51C9" w:rsidRPr="00636D7E">
        <w:rPr>
          <w:rFonts w:asciiTheme="majorHAnsi" w:hAnsiTheme="majorHAnsi"/>
          <w:sz w:val="20"/>
          <w:szCs w:val="20"/>
          <w:lang w:val="es-ES"/>
        </w:rPr>
        <w:t xml:space="preserve">artículos 3, 4, 5, 7, </w:t>
      </w:r>
      <w:r w:rsidR="00713DB0" w:rsidRPr="00636D7E">
        <w:rPr>
          <w:rFonts w:asciiTheme="majorHAnsi" w:hAnsiTheme="majorHAnsi"/>
          <w:sz w:val="20"/>
          <w:szCs w:val="20"/>
          <w:lang w:val="es-ES"/>
        </w:rPr>
        <w:t>8,</w:t>
      </w:r>
      <w:r w:rsidR="00FF51C9" w:rsidRPr="00636D7E">
        <w:rPr>
          <w:rFonts w:asciiTheme="majorHAnsi" w:hAnsiTheme="majorHAnsi"/>
          <w:sz w:val="20"/>
          <w:szCs w:val="20"/>
          <w:lang w:val="es-ES"/>
        </w:rPr>
        <w:t xml:space="preserve"> 11</w:t>
      </w:r>
      <w:r w:rsidR="00713DB0" w:rsidRPr="00636D7E">
        <w:rPr>
          <w:rFonts w:asciiTheme="majorHAnsi" w:hAnsiTheme="majorHAnsi"/>
          <w:sz w:val="20"/>
          <w:szCs w:val="20"/>
          <w:lang w:val="es-ES"/>
        </w:rPr>
        <w:t xml:space="preserve">, </w:t>
      </w:r>
      <w:r w:rsidR="002979F5" w:rsidRPr="00636D7E">
        <w:rPr>
          <w:rFonts w:asciiTheme="majorHAnsi" w:hAnsiTheme="majorHAnsi"/>
          <w:sz w:val="20"/>
          <w:szCs w:val="20"/>
          <w:lang w:val="es-ES"/>
        </w:rPr>
        <w:t xml:space="preserve">17, </w:t>
      </w:r>
      <w:r w:rsidR="00713DB0" w:rsidRPr="00636D7E">
        <w:rPr>
          <w:rFonts w:asciiTheme="majorHAnsi" w:hAnsiTheme="majorHAnsi"/>
          <w:sz w:val="20"/>
          <w:szCs w:val="20"/>
          <w:lang w:val="es-ES"/>
        </w:rPr>
        <w:t>19, 22 y 25</w:t>
      </w:r>
      <w:r w:rsidR="00FF51C9" w:rsidRPr="00636D7E">
        <w:rPr>
          <w:rFonts w:asciiTheme="majorHAnsi" w:hAnsiTheme="majorHAnsi"/>
          <w:sz w:val="20"/>
          <w:szCs w:val="20"/>
          <w:lang w:val="es-ES"/>
        </w:rPr>
        <w:t xml:space="preserve"> de la Convención</w:t>
      </w:r>
      <w:r w:rsidR="00713DB0" w:rsidRPr="00636D7E">
        <w:rPr>
          <w:rFonts w:asciiTheme="majorHAnsi" w:hAnsiTheme="majorHAnsi"/>
          <w:sz w:val="20"/>
          <w:szCs w:val="20"/>
          <w:lang w:val="es-ES"/>
        </w:rPr>
        <w:t xml:space="preserve"> Americana</w:t>
      </w:r>
      <w:r w:rsidR="00FF51C9" w:rsidRPr="00636D7E">
        <w:rPr>
          <w:rFonts w:asciiTheme="majorHAnsi" w:hAnsiTheme="majorHAnsi"/>
          <w:sz w:val="20"/>
          <w:szCs w:val="20"/>
          <w:lang w:val="es-ES"/>
        </w:rPr>
        <w:t xml:space="preserve"> en relación </w:t>
      </w:r>
      <w:r w:rsidR="00713DB0" w:rsidRPr="00636D7E">
        <w:rPr>
          <w:rFonts w:asciiTheme="majorHAnsi" w:hAnsiTheme="majorHAnsi"/>
          <w:sz w:val="20"/>
          <w:szCs w:val="20"/>
          <w:lang w:val="es-ES"/>
        </w:rPr>
        <w:t xml:space="preserve">con </w:t>
      </w:r>
      <w:r w:rsidR="00FF51C9" w:rsidRPr="00636D7E">
        <w:rPr>
          <w:rFonts w:asciiTheme="majorHAnsi" w:hAnsiTheme="majorHAnsi"/>
          <w:sz w:val="20"/>
          <w:szCs w:val="20"/>
          <w:lang w:val="es-ES"/>
        </w:rPr>
        <w:t>las obligaciones contenidas en el artículo 1.1 de dicho instrumento</w:t>
      </w:r>
      <w:r w:rsidR="00713DB0" w:rsidRPr="00636D7E">
        <w:rPr>
          <w:rFonts w:asciiTheme="majorHAnsi" w:hAnsiTheme="majorHAnsi"/>
          <w:sz w:val="20"/>
          <w:szCs w:val="20"/>
          <w:lang w:val="es-ES"/>
        </w:rPr>
        <w:t>;</w:t>
      </w:r>
      <w:r w:rsidR="00FF51C9" w:rsidRPr="00636D7E">
        <w:rPr>
          <w:rFonts w:asciiTheme="majorHAnsi" w:hAnsiTheme="majorHAnsi"/>
          <w:sz w:val="20"/>
          <w:szCs w:val="20"/>
          <w:lang w:val="es-ES"/>
        </w:rPr>
        <w:t xml:space="preserve"> </w:t>
      </w:r>
      <w:r w:rsidR="003A39A8" w:rsidRPr="00636D7E">
        <w:rPr>
          <w:rFonts w:asciiTheme="majorHAnsi" w:hAnsiTheme="majorHAnsi"/>
          <w:sz w:val="20"/>
          <w:szCs w:val="20"/>
          <w:lang w:val="es-ES"/>
        </w:rPr>
        <w:t xml:space="preserve">artículo </w:t>
      </w:r>
      <w:r w:rsidR="004A1CD7" w:rsidRPr="00636D7E">
        <w:rPr>
          <w:rFonts w:asciiTheme="majorHAnsi" w:hAnsiTheme="majorHAnsi"/>
          <w:sz w:val="20"/>
          <w:szCs w:val="20"/>
          <w:lang w:val="es-AR"/>
        </w:rPr>
        <w:t>I de la Convención Interamericana sobre Desaparición Forzada de Personas;</w:t>
      </w:r>
      <w:r w:rsidR="004A1CD7" w:rsidRPr="00636D7E">
        <w:rPr>
          <w:rFonts w:asciiTheme="majorHAnsi" w:hAnsiTheme="majorHAnsi"/>
          <w:sz w:val="20"/>
          <w:szCs w:val="20"/>
          <w:lang w:val="es-ES"/>
        </w:rPr>
        <w:t xml:space="preserve"> </w:t>
      </w:r>
      <w:r w:rsidR="003A39A8" w:rsidRPr="00636D7E">
        <w:rPr>
          <w:rFonts w:asciiTheme="majorHAnsi" w:hAnsiTheme="majorHAnsi"/>
          <w:sz w:val="20"/>
          <w:szCs w:val="20"/>
          <w:lang w:val="es-ES"/>
        </w:rPr>
        <w:t xml:space="preserve">artículos </w:t>
      </w:r>
      <w:r w:rsidR="00636D7E">
        <w:rPr>
          <w:rFonts w:asciiTheme="majorHAnsi" w:hAnsiTheme="majorHAnsi"/>
          <w:sz w:val="20"/>
          <w:szCs w:val="20"/>
          <w:lang w:val="es-ES"/>
        </w:rPr>
        <w:t>1,</w:t>
      </w:r>
      <w:r w:rsidR="00FF51C9" w:rsidRPr="00636D7E">
        <w:rPr>
          <w:rFonts w:asciiTheme="majorHAnsi" w:hAnsiTheme="majorHAnsi"/>
          <w:sz w:val="20"/>
          <w:szCs w:val="20"/>
          <w:lang w:val="es-ES"/>
        </w:rPr>
        <w:t xml:space="preserve"> 6</w:t>
      </w:r>
      <w:r w:rsidR="00636D7E">
        <w:rPr>
          <w:rFonts w:asciiTheme="majorHAnsi" w:hAnsiTheme="majorHAnsi"/>
          <w:sz w:val="20"/>
          <w:szCs w:val="20"/>
          <w:lang w:val="es-ES"/>
        </w:rPr>
        <w:t xml:space="preserve"> y 8</w:t>
      </w:r>
      <w:r w:rsidR="00FF51C9" w:rsidRPr="00636D7E">
        <w:rPr>
          <w:rFonts w:asciiTheme="majorHAnsi" w:hAnsiTheme="majorHAnsi"/>
          <w:sz w:val="20"/>
          <w:szCs w:val="20"/>
          <w:lang w:val="es-ES"/>
        </w:rPr>
        <w:t xml:space="preserve"> de la </w:t>
      </w:r>
      <w:r w:rsidR="00AF06A7" w:rsidRPr="00636D7E">
        <w:rPr>
          <w:rFonts w:ascii="Cambria" w:hAnsi="Cambria"/>
          <w:bCs/>
          <w:sz w:val="20"/>
          <w:szCs w:val="20"/>
          <w:lang w:val="es-MX"/>
        </w:rPr>
        <w:t>Convención Interamericana para Prevenir y Sancionar la Tortura</w:t>
      </w:r>
      <w:r w:rsidR="004A1CD7" w:rsidRPr="00636D7E">
        <w:rPr>
          <w:rFonts w:ascii="Cambria" w:hAnsi="Cambria"/>
          <w:bCs/>
          <w:sz w:val="20"/>
          <w:szCs w:val="20"/>
          <w:lang w:val="es-MX"/>
        </w:rPr>
        <w:t xml:space="preserve">; </w:t>
      </w:r>
      <w:r w:rsidR="00FF51C9" w:rsidRPr="00636D7E">
        <w:rPr>
          <w:rFonts w:asciiTheme="majorHAnsi" w:hAnsiTheme="majorHAnsi"/>
          <w:sz w:val="20"/>
          <w:szCs w:val="20"/>
          <w:lang w:val="es-ES"/>
        </w:rPr>
        <w:t xml:space="preserve">y </w:t>
      </w:r>
      <w:r w:rsidR="003A39A8" w:rsidRPr="00636D7E">
        <w:rPr>
          <w:rFonts w:asciiTheme="majorHAnsi" w:hAnsiTheme="majorHAnsi"/>
          <w:sz w:val="20"/>
          <w:szCs w:val="20"/>
          <w:lang w:val="es-ES"/>
        </w:rPr>
        <w:t xml:space="preserve">artículo </w:t>
      </w:r>
      <w:r w:rsidR="00FF51C9" w:rsidRPr="00636D7E">
        <w:rPr>
          <w:rFonts w:asciiTheme="majorHAnsi" w:hAnsiTheme="majorHAnsi"/>
          <w:sz w:val="20"/>
          <w:szCs w:val="20"/>
          <w:lang w:val="es-ES"/>
        </w:rPr>
        <w:t>7 de la Convención Belém do Pará</w:t>
      </w:r>
      <w:r w:rsidR="00A758AA" w:rsidRPr="00636D7E">
        <w:rPr>
          <w:rFonts w:asciiTheme="majorHAnsi" w:hAnsiTheme="majorHAnsi"/>
          <w:sz w:val="20"/>
          <w:szCs w:val="20"/>
          <w:lang w:val="es-ES"/>
        </w:rPr>
        <w:t>;</w:t>
      </w:r>
    </w:p>
    <w:p w14:paraId="515C6099" w14:textId="77777777" w:rsidR="003239B8" w:rsidRPr="00636D7E" w:rsidRDefault="003239B8" w:rsidP="007051B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6D7E">
        <w:rPr>
          <w:rFonts w:asciiTheme="majorHAnsi" w:hAnsiTheme="majorHAnsi"/>
          <w:sz w:val="20"/>
          <w:szCs w:val="20"/>
          <w:lang w:val="es-ES"/>
        </w:rPr>
        <w:t>Notificar a las partes la presente decisión;</w:t>
      </w:r>
    </w:p>
    <w:p w14:paraId="5FF2AF96" w14:textId="77777777" w:rsidR="003239B8" w:rsidRPr="00636D7E" w:rsidRDefault="003239B8" w:rsidP="007051B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6D7E">
        <w:rPr>
          <w:rFonts w:asciiTheme="majorHAnsi" w:hAnsiTheme="majorHAnsi"/>
          <w:sz w:val="20"/>
          <w:szCs w:val="20"/>
          <w:lang w:val="es-ES"/>
        </w:rPr>
        <w:t>Continuar con el análisis del fondo de la cuestión; y</w:t>
      </w:r>
    </w:p>
    <w:p w14:paraId="7C46FDCE" w14:textId="77777777" w:rsidR="00722C9F" w:rsidRPr="00D71109" w:rsidRDefault="003239B8"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6D7E">
        <w:rPr>
          <w:rFonts w:asciiTheme="majorHAnsi" w:hAnsiTheme="majorHAnsi"/>
          <w:sz w:val="20"/>
          <w:szCs w:val="20"/>
          <w:lang w:val="es-ES"/>
        </w:rPr>
        <w:t>Publicar esta decisión e incluirla en su Informe Anual a la Asamblea General de la Organización de los Estados Americanos.</w:t>
      </w:r>
    </w:p>
    <w:p w14:paraId="7B7FE995" w14:textId="141622F2" w:rsidR="00D71109" w:rsidRPr="00A37B82" w:rsidRDefault="00D71109" w:rsidP="00D71109">
      <w:pPr>
        <w:ind w:firstLine="720"/>
        <w:jc w:val="both"/>
        <w:rPr>
          <w:rFonts w:asciiTheme="majorHAnsi" w:hAnsiTheme="majorHAnsi" w:cs="Arial"/>
          <w:noProof/>
          <w:spacing w:val="-2"/>
          <w:sz w:val="20"/>
          <w:szCs w:val="20"/>
          <w:lang w:val="es-CL"/>
        </w:rPr>
      </w:pPr>
      <w:r w:rsidRPr="007643D8">
        <w:rPr>
          <w:rFonts w:asciiTheme="majorHAnsi" w:hAnsiTheme="majorHAnsi" w:cs="Arial"/>
          <w:noProof/>
          <w:spacing w:val="-2"/>
          <w:sz w:val="20"/>
          <w:szCs w:val="20"/>
          <w:lang w:val="es-CL"/>
        </w:rPr>
        <w:t>Aprobado por la Comisión Interameri</w:t>
      </w:r>
      <w:r>
        <w:rPr>
          <w:rFonts w:asciiTheme="majorHAnsi" w:hAnsiTheme="majorHAnsi" w:cs="Arial"/>
          <w:noProof/>
          <w:spacing w:val="-2"/>
          <w:sz w:val="20"/>
          <w:szCs w:val="20"/>
          <w:lang w:val="es-CL"/>
        </w:rPr>
        <w:t>cana de Derechos Humanos en la c</w:t>
      </w:r>
      <w:r w:rsidRPr="007643D8">
        <w:rPr>
          <w:rFonts w:asciiTheme="majorHAnsi" w:hAnsiTheme="majorHAnsi" w:cs="Arial"/>
          <w:noProof/>
          <w:spacing w:val="-2"/>
          <w:sz w:val="20"/>
          <w:szCs w:val="20"/>
          <w:lang w:val="es-CL"/>
        </w:rPr>
        <w:t>iudad de México, a los 7 días del mes de septiembre de 2017.  (Firmado): Francisco José Eguiguren, Presidente; Margarette May Macaulay, Primera Vicepresidenta; Esmeralda E. Arosemena Bernal de Troitiño, Segunda Vicepresidenta; José de Jesús Orozco Henríquez, Paul</w:t>
      </w:r>
      <w:r>
        <w:rPr>
          <w:rFonts w:asciiTheme="majorHAnsi" w:hAnsiTheme="majorHAnsi" w:cs="Arial"/>
          <w:noProof/>
          <w:spacing w:val="-2"/>
          <w:sz w:val="20"/>
          <w:szCs w:val="20"/>
          <w:lang w:val="es-CL"/>
        </w:rPr>
        <w:t>o Vannuchi, y James L. Cavallaro</w:t>
      </w:r>
      <w:r w:rsidRPr="007643D8">
        <w:rPr>
          <w:rFonts w:asciiTheme="majorHAnsi" w:hAnsiTheme="majorHAnsi" w:cs="Arial"/>
          <w:noProof/>
          <w:spacing w:val="-2"/>
          <w:sz w:val="20"/>
          <w:szCs w:val="20"/>
          <w:lang w:val="es-CL"/>
        </w:rPr>
        <w:t>, Miembros de la Comisión.</w:t>
      </w:r>
    </w:p>
    <w:p w14:paraId="75310551" w14:textId="77777777" w:rsidR="00D71109" w:rsidRPr="00A37B82" w:rsidRDefault="00D71109" w:rsidP="00D71109">
      <w:pPr>
        <w:tabs>
          <w:tab w:val="left" w:pos="2340"/>
        </w:tabs>
        <w:suppressAutoHyphens/>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b/>
      </w:r>
    </w:p>
    <w:p w14:paraId="59BDB47B" w14:textId="77777777" w:rsidR="00D71109" w:rsidRPr="00636D7E" w:rsidRDefault="00D71109" w:rsidP="00D7110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p>
    <w:sectPr w:rsidR="00D71109" w:rsidRPr="00636D7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28755" w14:textId="77777777" w:rsidR="00A926C6" w:rsidRDefault="00A926C6">
      <w:r>
        <w:separator/>
      </w:r>
    </w:p>
  </w:endnote>
  <w:endnote w:type="continuationSeparator" w:id="0">
    <w:p w14:paraId="193A5CC0" w14:textId="77777777" w:rsidR="00A926C6" w:rsidRDefault="00A9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5FEAD" w14:textId="77777777" w:rsidR="00090FA9" w:rsidRDefault="00090F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74FE0093" w14:textId="417660B0" w:rsidR="00E95692" w:rsidRPr="00934A2C" w:rsidRDefault="00E9569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90FA9">
          <w:rPr>
            <w:noProof/>
            <w:sz w:val="16"/>
            <w:szCs w:val="22"/>
          </w:rPr>
          <w:t>1</w:t>
        </w:r>
        <w:r w:rsidRPr="00934A2C">
          <w:rPr>
            <w:noProof/>
            <w:sz w:val="16"/>
            <w:szCs w:val="22"/>
          </w:rPr>
          <w:fldChar w:fldCharType="end"/>
        </w:r>
      </w:p>
    </w:sdtContent>
  </w:sdt>
  <w:p w14:paraId="4F68F70B" w14:textId="77777777" w:rsidR="00E95692" w:rsidRDefault="00E956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A4A7A" w14:textId="77777777" w:rsidR="00E95692" w:rsidRPr="00934A2C" w:rsidRDefault="00E95692">
    <w:pPr>
      <w:pStyle w:val="Footer"/>
      <w:jc w:val="center"/>
      <w:rPr>
        <w:sz w:val="16"/>
        <w:szCs w:val="22"/>
      </w:rPr>
    </w:pPr>
  </w:p>
  <w:p w14:paraId="7D981098" w14:textId="77777777" w:rsidR="00E95692" w:rsidRDefault="00E95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01881" w14:textId="77777777" w:rsidR="00A926C6" w:rsidRPr="000F35ED" w:rsidRDefault="00A926C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8F9402C" w14:textId="77777777" w:rsidR="00A926C6" w:rsidRPr="000F35ED" w:rsidRDefault="00A926C6" w:rsidP="000F35ED">
      <w:pPr>
        <w:rPr>
          <w:rFonts w:asciiTheme="majorHAnsi" w:hAnsiTheme="majorHAnsi"/>
          <w:sz w:val="16"/>
          <w:szCs w:val="16"/>
        </w:rPr>
      </w:pPr>
      <w:r w:rsidRPr="000F35ED">
        <w:rPr>
          <w:rFonts w:asciiTheme="majorHAnsi" w:hAnsiTheme="majorHAnsi"/>
          <w:sz w:val="16"/>
          <w:szCs w:val="16"/>
        </w:rPr>
        <w:separator/>
      </w:r>
    </w:p>
    <w:p w14:paraId="3D1FD437" w14:textId="77777777" w:rsidR="00A926C6" w:rsidRPr="000F35ED" w:rsidRDefault="00A926C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DACCE5B" w14:textId="77777777" w:rsidR="00A926C6" w:rsidRPr="000F35ED" w:rsidRDefault="00A926C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7CE59E4" w14:textId="7AB4CE5B" w:rsidR="00822B96" w:rsidRPr="007051B9" w:rsidRDefault="00822B96" w:rsidP="002F0294">
      <w:pPr>
        <w:pStyle w:val="FootnoteText"/>
        <w:spacing w:before="120"/>
        <w:ind w:firstLine="720"/>
        <w:jc w:val="both"/>
        <w:rPr>
          <w:rFonts w:asciiTheme="majorHAnsi" w:hAnsiTheme="majorHAnsi"/>
          <w:color w:val="0070C0"/>
          <w:sz w:val="16"/>
          <w:szCs w:val="16"/>
          <w:lang w:val="es-MX"/>
        </w:rPr>
      </w:pPr>
      <w:r w:rsidRPr="007051B9">
        <w:rPr>
          <w:rStyle w:val="FootnoteReference"/>
          <w:rFonts w:asciiTheme="majorHAnsi" w:hAnsiTheme="majorHAnsi"/>
          <w:color w:val="auto"/>
          <w:sz w:val="16"/>
          <w:szCs w:val="16"/>
        </w:rPr>
        <w:footnoteRef/>
      </w:r>
      <w:r w:rsidRPr="007051B9">
        <w:rPr>
          <w:rFonts w:asciiTheme="majorHAnsi" w:hAnsiTheme="majorHAnsi"/>
          <w:color w:val="auto"/>
          <w:sz w:val="16"/>
          <w:szCs w:val="16"/>
          <w:lang w:val="es-MX"/>
        </w:rPr>
        <w:t xml:space="preserve"> Conforme </w:t>
      </w:r>
      <w:r w:rsidRPr="007051B9">
        <w:rPr>
          <w:rFonts w:asciiTheme="majorHAnsi" w:hAnsiTheme="majorHAnsi" w:cs="Arial"/>
          <w:color w:val="auto"/>
          <w:sz w:val="16"/>
          <w:szCs w:val="16"/>
          <w:lang w:val="es-ES"/>
        </w:rPr>
        <w:t xml:space="preserve">a lo dispuesto en el artículo 17.2.a del Reglamento de la Comisión, el Comisionado </w:t>
      </w:r>
      <w:r w:rsidR="00D542BF" w:rsidRPr="007051B9">
        <w:rPr>
          <w:rFonts w:asciiTheme="majorHAnsi" w:hAnsiTheme="majorHAnsi"/>
          <w:sz w:val="16"/>
          <w:szCs w:val="16"/>
          <w:lang w:val="es-BO"/>
        </w:rPr>
        <w:t>Luis Ernesto Vargas Silva</w:t>
      </w:r>
      <w:r w:rsidRPr="007051B9">
        <w:rPr>
          <w:rFonts w:asciiTheme="majorHAnsi" w:hAnsiTheme="majorHAnsi" w:cs="Arial"/>
          <w:color w:val="auto"/>
          <w:sz w:val="16"/>
          <w:szCs w:val="16"/>
          <w:lang w:val="es-ES"/>
        </w:rPr>
        <w:t xml:space="preserve">, de nacionalidad colombiana, no participó en el debate ni en la decisión del presente asunto. </w:t>
      </w:r>
    </w:p>
  </w:footnote>
  <w:footnote w:id="3">
    <w:p w14:paraId="20B6831F" w14:textId="4AD86981" w:rsidR="00E95692" w:rsidRPr="007051B9" w:rsidRDefault="00E95692" w:rsidP="002F0294">
      <w:pPr>
        <w:pStyle w:val="FootnoteText"/>
        <w:spacing w:before="120"/>
        <w:ind w:firstLine="720"/>
        <w:jc w:val="both"/>
        <w:rPr>
          <w:rFonts w:asciiTheme="majorHAnsi" w:hAnsiTheme="majorHAnsi"/>
          <w:b/>
          <w:sz w:val="16"/>
          <w:szCs w:val="16"/>
          <w:lang w:val="es-MX"/>
        </w:rPr>
      </w:pPr>
      <w:r w:rsidRPr="007051B9">
        <w:rPr>
          <w:rStyle w:val="FootnoteReference"/>
          <w:rFonts w:asciiTheme="majorHAnsi" w:hAnsiTheme="majorHAnsi"/>
          <w:sz w:val="16"/>
          <w:szCs w:val="16"/>
        </w:rPr>
        <w:footnoteRef/>
      </w:r>
      <w:r w:rsidRPr="007051B9">
        <w:rPr>
          <w:rFonts w:asciiTheme="majorHAnsi" w:hAnsiTheme="majorHAnsi"/>
          <w:sz w:val="16"/>
          <w:szCs w:val="16"/>
          <w:lang w:val="es-MX"/>
        </w:rPr>
        <w:t xml:space="preserve"> </w:t>
      </w:r>
      <w:r w:rsidR="000A6607" w:rsidRPr="007051B9">
        <w:rPr>
          <w:rFonts w:asciiTheme="majorHAnsi" w:hAnsiTheme="majorHAnsi"/>
          <w:sz w:val="16"/>
          <w:szCs w:val="16"/>
          <w:lang w:val="es-MX"/>
        </w:rPr>
        <w:t xml:space="preserve">La petición fue presentada en representación de </w:t>
      </w:r>
      <w:r w:rsidR="00822B96" w:rsidRPr="007051B9">
        <w:rPr>
          <w:rFonts w:asciiTheme="majorHAnsi" w:hAnsiTheme="majorHAnsi"/>
          <w:sz w:val="16"/>
          <w:szCs w:val="16"/>
          <w:lang w:val="es-MX"/>
        </w:rPr>
        <w:t>Rosalía</w:t>
      </w:r>
      <w:r w:rsidRPr="007051B9">
        <w:rPr>
          <w:rFonts w:asciiTheme="majorHAnsi" w:hAnsiTheme="majorHAnsi"/>
          <w:sz w:val="16"/>
          <w:szCs w:val="16"/>
          <w:lang w:val="es-MX"/>
        </w:rPr>
        <w:t xml:space="preserve"> Benavides Franco</w:t>
      </w:r>
      <w:r w:rsidR="000A6607" w:rsidRPr="007051B9">
        <w:rPr>
          <w:rFonts w:asciiTheme="majorHAnsi" w:hAnsiTheme="majorHAnsi"/>
          <w:sz w:val="16"/>
          <w:szCs w:val="16"/>
          <w:lang w:val="es-MX"/>
        </w:rPr>
        <w:t>, su hijo Luis Estiven Ortiz Benavi</w:t>
      </w:r>
      <w:r w:rsidR="004617B6" w:rsidRPr="007051B9">
        <w:rPr>
          <w:rFonts w:asciiTheme="majorHAnsi" w:hAnsiTheme="majorHAnsi"/>
          <w:sz w:val="16"/>
          <w:szCs w:val="16"/>
          <w:lang w:val="es-MX"/>
        </w:rPr>
        <w:t>d</w:t>
      </w:r>
      <w:r w:rsidR="000A6607" w:rsidRPr="007051B9">
        <w:rPr>
          <w:rFonts w:asciiTheme="majorHAnsi" w:hAnsiTheme="majorHAnsi"/>
          <w:sz w:val="16"/>
          <w:szCs w:val="16"/>
          <w:lang w:val="es-MX"/>
        </w:rPr>
        <w:t xml:space="preserve">es, </w:t>
      </w:r>
      <w:r w:rsidRPr="007051B9">
        <w:rPr>
          <w:rFonts w:asciiTheme="majorHAnsi" w:hAnsiTheme="majorHAnsi"/>
          <w:sz w:val="16"/>
          <w:szCs w:val="16"/>
          <w:lang w:val="es-MX"/>
        </w:rPr>
        <w:t>Juan Guillermo Gutiérrez Sánchez</w:t>
      </w:r>
      <w:r w:rsidR="000A6607" w:rsidRPr="007051B9">
        <w:rPr>
          <w:rFonts w:asciiTheme="majorHAnsi" w:hAnsiTheme="majorHAnsi"/>
          <w:sz w:val="16"/>
          <w:szCs w:val="16"/>
          <w:lang w:val="es-MX"/>
        </w:rPr>
        <w:t xml:space="preserve">, y los grupos familiares de ambos, así como de Gloria Nancy Sánchez Zuluaga, Luceny Guali Guzmán, Florecide Cortés Cruz, Nubia Esther González, Elvira González, y </w:t>
      </w:r>
      <w:r w:rsidR="00C71F04" w:rsidRPr="007051B9">
        <w:rPr>
          <w:rFonts w:asciiTheme="majorHAnsi" w:hAnsiTheme="majorHAnsi"/>
          <w:sz w:val="16"/>
          <w:szCs w:val="16"/>
          <w:lang w:val="es-MX"/>
        </w:rPr>
        <w:t>una</w:t>
      </w:r>
      <w:r w:rsidR="000A6607" w:rsidRPr="007051B9">
        <w:rPr>
          <w:rFonts w:asciiTheme="majorHAnsi" w:hAnsiTheme="majorHAnsi"/>
          <w:sz w:val="16"/>
          <w:szCs w:val="16"/>
          <w:lang w:val="es-MX"/>
        </w:rPr>
        <w:t xml:space="preserve"> señora </w:t>
      </w:r>
      <w:r w:rsidR="00C71F04" w:rsidRPr="007051B9">
        <w:rPr>
          <w:rFonts w:asciiTheme="majorHAnsi" w:hAnsiTheme="majorHAnsi"/>
          <w:sz w:val="16"/>
          <w:szCs w:val="16"/>
          <w:lang w:val="es-MX"/>
        </w:rPr>
        <w:t xml:space="preserve">de nombre </w:t>
      </w:r>
      <w:r w:rsidR="000A6607" w:rsidRPr="007051B9">
        <w:rPr>
          <w:rFonts w:asciiTheme="majorHAnsi" w:hAnsiTheme="majorHAnsi"/>
          <w:sz w:val="16"/>
          <w:szCs w:val="16"/>
          <w:lang w:val="es-MX"/>
        </w:rPr>
        <w:t>Adela</w:t>
      </w:r>
      <w:r w:rsidR="00C71F04" w:rsidRPr="007051B9">
        <w:rPr>
          <w:rFonts w:asciiTheme="majorHAnsi" w:hAnsiTheme="majorHAnsi"/>
          <w:sz w:val="16"/>
          <w:szCs w:val="16"/>
          <w:lang w:val="es-MX"/>
        </w:rPr>
        <w:t xml:space="preserve"> (no se indica el apellido)</w:t>
      </w:r>
      <w:r w:rsidR="000A6607" w:rsidRPr="007051B9">
        <w:rPr>
          <w:rFonts w:asciiTheme="majorHAnsi" w:hAnsiTheme="majorHAnsi"/>
          <w:sz w:val="16"/>
          <w:szCs w:val="16"/>
          <w:lang w:val="es-MX"/>
        </w:rPr>
        <w:t>.</w:t>
      </w:r>
    </w:p>
  </w:footnote>
  <w:footnote w:id="4">
    <w:p w14:paraId="14D0FB6E" w14:textId="18E4F53E" w:rsidR="00241FCA" w:rsidRPr="007051B9" w:rsidRDefault="00241FCA" w:rsidP="00D542BF">
      <w:pPr>
        <w:pStyle w:val="FootnoteText"/>
        <w:spacing w:before="120"/>
        <w:ind w:firstLine="720"/>
        <w:jc w:val="both"/>
        <w:rPr>
          <w:rFonts w:asciiTheme="majorHAnsi" w:hAnsiTheme="majorHAnsi"/>
          <w:sz w:val="16"/>
          <w:szCs w:val="16"/>
          <w:lang w:val="es-MX"/>
        </w:rPr>
      </w:pPr>
      <w:r w:rsidRPr="007051B9">
        <w:rPr>
          <w:rStyle w:val="FootnoteReference"/>
          <w:rFonts w:asciiTheme="majorHAnsi" w:hAnsiTheme="majorHAnsi"/>
          <w:sz w:val="16"/>
          <w:szCs w:val="16"/>
        </w:rPr>
        <w:footnoteRef/>
      </w:r>
      <w:r w:rsidRPr="007051B9">
        <w:rPr>
          <w:rFonts w:asciiTheme="majorHAnsi" w:hAnsiTheme="majorHAnsi"/>
          <w:sz w:val="16"/>
          <w:szCs w:val="16"/>
          <w:lang w:val="es-ES"/>
        </w:rPr>
        <w:t xml:space="preserve"> </w:t>
      </w:r>
      <w:r w:rsidR="000731B5" w:rsidRPr="007051B9">
        <w:rPr>
          <w:rFonts w:asciiTheme="majorHAnsi" w:hAnsiTheme="majorHAnsi"/>
          <w:sz w:val="16"/>
          <w:szCs w:val="16"/>
          <w:lang w:val="es-MX"/>
        </w:rPr>
        <w:t>En adelante “Convención” o “</w:t>
      </w:r>
      <w:r w:rsidRPr="007051B9">
        <w:rPr>
          <w:rFonts w:asciiTheme="majorHAnsi" w:hAnsiTheme="majorHAnsi"/>
          <w:sz w:val="16"/>
          <w:szCs w:val="16"/>
          <w:lang w:val="es-MX"/>
        </w:rPr>
        <w:t>Convención Americana”.</w:t>
      </w:r>
    </w:p>
  </w:footnote>
  <w:footnote w:id="5">
    <w:p w14:paraId="304A6329" w14:textId="16CFAA6F" w:rsidR="00241FCA" w:rsidRPr="007051B9" w:rsidRDefault="00241FCA" w:rsidP="00D542BF">
      <w:pPr>
        <w:pStyle w:val="FootnoteText"/>
        <w:spacing w:before="120"/>
        <w:ind w:firstLine="720"/>
        <w:jc w:val="both"/>
        <w:rPr>
          <w:rFonts w:asciiTheme="majorHAnsi" w:hAnsiTheme="majorHAnsi"/>
          <w:sz w:val="16"/>
          <w:szCs w:val="16"/>
          <w:lang w:val="es-MX"/>
        </w:rPr>
      </w:pPr>
      <w:r w:rsidRPr="007051B9">
        <w:rPr>
          <w:rStyle w:val="FootnoteReference"/>
          <w:rFonts w:asciiTheme="majorHAnsi" w:hAnsiTheme="majorHAnsi"/>
          <w:sz w:val="16"/>
          <w:szCs w:val="16"/>
        </w:rPr>
        <w:footnoteRef/>
      </w:r>
      <w:r w:rsidR="000731B5" w:rsidRPr="007051B9">
        <w:rPr>
          <w:rFonts w:asciiTheme="majorHAnsi" w:hAnsiTheme="majorHAnsi"/>
          <w:sz w:val="16"/>
          <w:szCs w:val="16"/>
          <w:lang w:val="es-MX"/>
        </w:rPr>
        <w:t xml:space="preserve"> En adelante “</w:t>
      </w:r>
      <w:r w:rsidRPr="007051B9">
        <w:rPr>
          <w:rFonts w:asciiTheme="majorHAnsi" w:hAnsiTheme="majorHAnsi"/>
          <w:sz w:val="16"/>
          <w:szCs w:val="16"/>
          <w:lang w:val="es-MX"/>
        </w:rPr>
        <w:t>Convención Belem do Pará”.</w:t>
      </w:r>
    </w:p>
  </w:footnote>
  <w:footnote w:id="6">
    <w:p w14:paraId="6D42A3D7" w14:textId="563B8E63" w:rsidR="00D542BF" w:rsidRPr="007051B9" w:rsidRDefault="00D542BF" w:rsidP="00D542BF">
      <w:pPr>
        <w:pStyle w:val="FootnoteText"/>
        <w:spacing w:before="120"/>
        <w:ind w:firstLine="720"/>
        <w:jc w:val="both"/>
        <w:rPr>
          <w:rFonts w:asciiTheme="majorHAnsi" w:hAnsiTheme="majorHAnsi"/>
          <w:sz w:val="16"/>
          <w:szCs w:val="16"/>
          <w:lang w:val="es-ES"/>
        </w:rPr>
      </w:pPr>
      <w:r w:rsidRPr="007051B9">
        <w:rPr>
          <w:rStyle w:val="FootnoteReference"/>
          <w:rFonts w:asciiTheme="majorHAnsi" w:hAnsiTheme="majorHAnsi"/>
          <w:sz w:val="16"/>
          <w:szCs w:val="16"/>
        </w:rPr>
        <w:footnoteRef/>
      </w:r>
      <w:r w:rsidRPr="007051B9">
        <w:rPr>
          <w:rFonts w:asciiTheme="majorHAnsi" w:hAnsiTheme="majorHAnsi"/>
          <w:sz w:val="16"/>
          <w:szCs w:val="16"/>
          <w:lang w:val="es-ES"/>
        </w:rPr>
        <w:t xml:space="preserve"> Los peticionarios alegan violaciones a la </w:t>
      </w:r>
      <w:r w:rsidRPr="007051B9">
        <w:rPr>
          <w:rFonts w:asciiTheme="majorHAnsi" w:hAnsiTheme="majorHAnsi"/>
          <w:bCs/>
          <w:sz w:val="16"/>
          <w:szCs w:val="16"/>
          <w:lang w:val="es-MX"/>
        </w:rPr>
        <w:t>Convención sobre los Derechos del Niño.</w:t>
      </w:r>
    </w:p>
  </w:footnote>
  <w:footnote w:id="7">
    <w:p w14:paraId="61DFF1E0" w14:textId="77777777" w:rsidR="00052911" w:rsidRPr="007051B9" w:rsidRDefault="00052911" w:rsidP="00D542BF">
      <w:pPr>
        <w:pStyle w:val="FootnoteText"/>
        <w:spacing w:before="120"/>
        <w:ind w:firstLine="720"/>
        <w:jc w:val="both"/>
        <w:rPr>
          <w:rFonts w:asciiTheme="majorHAnsi" w:hAnsiTheme="majorHAnsi"/>
          <w:sz w:val="16"/>
          <w:szCs w:val="16"/>
          <w:lang w:val="es-ES"/>
        </w:rPr>
      </w:pPr>
      <w:r w:rsidRPr="007051B9">
        <w:rPr>
          <w:rStyle w:val="FootnoteReference"/>
          <w:rFonts w:asciiTheme="majorHAnsi" w:hAnsiTheme="majorHAnsi"/>
          <w:sz w:val="16"/>
          <w:szCs w:val="16"/>
        </w:rPr>
        <w:footnoteRef/>
      </w:r>
      <w:r w:rsidRPr="007051B9">
        <w:rPr>
          <w:rFonts w:asciiTheme="majorHAnsi" w:hAnsiTheme="majorHAnsi"/>
          <w:sz w:val="16"/>
          <w:szCs w:val="16"/>
          <w:lang w:val="es-ES"/>
        </w:rPr>
        <w:t xml:space="preserve"> Todas las observaciones fueron debidamente trasladadas a la parte contraria.</w:t>
      </w:r>
    </w:p>
  </w:footnote>
  <w:footnote w:id="8">
    <w:p w14:paraId="5BE5A408" w14:textId="74C5E987" w:rsidR="00BD13E4" w:rsidRPr="002F0294" w:rsidRDefault="00BD13E4" w:rsidP="002F0294">
      <w:pPr>
        <w:pStyle w:val="FootnoteText"/>
        <w:spacing w:before="120"/>
        <w:ind w:firstLine="720"/>
        <w:jc w:val="both"/>
        <w:rPr>
          <w:rFonts w:asciiTheme="majorHAnsi" w:hAnsiTheme="majorHAnsi"/>
          <w:sz w:val="16"/>
          <w:szCs w:val="16"/>
          <w:lang w:val="es-MX"/>
        </w:rPr>
      </w:pPr>
      <w:r w:rsidRPr="007051B9">
        <w:rPr>
          <w:rStyle w:val="FootnoteReference"/>
          <w:rFonts w:asciiTheme="majorHAnsi" w:hAnsiTheme="majorHAnsi"/>
          <w:sz w:val="16"/>
          <w:szCs w:val="16"/>
        </w:rPr>
        <w:footnoteRef/>
      </w:r>
      <w:r w:rsidRPr="007051B9">
        <w:rPr>
          <w:rFonts w:asciiTheme="majorHAnsi" w:hAnsiTheme="majorHAnsi"/>
          <w:sz w:val="16"/>
          <w:szCs w:val="16"/>
          <w:lang w:val="es-MX"/>
        </w:rPr>
        <w:t xml:space="preserve"> CIDH, Informe Nº 72/16. Petición 694-06. Admisibilidad. Onofre Antonio de La Hoz Montero y Familia. Colombia. 6 de diciembre de 2016, párr. </w:t>
      </w:r>
      <w:r w:rsidRPr="007051B9">
        <w:rPr>
          <w:rFonts w:asciiTheme="majorHAnsi" w:hAnsiTheme="majorHAnsi"/>
          <w:sz w:val="16"/>
          <w:szCs w:val="16"/>
          <w:lang w:val="es-ES"/>
        </w:rPr>
        <w:t>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1CC8D" w14:textId="77777777" w:rsidR="00E95692" w:rsidRDefault="00E95692" w:rsidP="00E9569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5C10E72" w14:textId="77777777" w:rsidR="00E95692" w:rsidRDefault="00E956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4E703" w14:textId="77777777" w:rsidR="00E95692" w:rsidRDefault="00E95692" w:rsidP="00A50FCF">
    <w:pPr>
      <w:pStyle w:val="Header"/>
      <w:tabs>
        <w:tab w:val="clear" w:pos="4320"/>
        <w:tab w:val="clear" w:pos="8640"/>
      </w:tabs>
      <w:jc w:val="center"/>
      <w:rPr>
        <w:sz w:val="22"/>
        <w:szCs w:val="22"/>
      </w:rPr>
    </w:pPr>
    <w:r>
      <w:rPr>
        <w:noProof/>
        <w:sz w:val="22"/>
        <w:szCs w:val="22"/>
      </w:rPr>
      <w:drawing>
        <wp:inline distT="0" distB="0" distL="0" distR="0" wp14:anchorId="0AAC5A10" wp14:editId="1107DA6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3DF2798" w14:textId="77777777" w:rsidR="00E95692" w:rsidRPr="00EC7D62" w:rsidRDefault="00A926C6" w:rsidP="00A50FCF">
    <w:pPr>
      <w:pStyle w:val="Header"/>
      <w:tabs>
        <w:tab w:val="clear" w:pos="4320"/>
        <w:tab w:val="clear" w:pos="8640"/>
      </w:tabs>
      <w:jc w:val="center"/>
      <w:rPr>
        <w:sz w:val="22"/>
        <w:szCs w:val="22"/>
      </w:rPr>
    </w:pPr>
    <w:r>
      <w:rPr>
        <w:sz w:val="22"/>
        <w:szCs w:val="22"/>
      </w:rPr>
      <w:pict w14:anchorId="75534D6E">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38116" w14:textId="77777777" w:rsidR="00090FA9" w:rsidRDefault="00090F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18EEA94E"/>
    <w:lvl w:ilvl="0" w:tplc="F03CB5F6">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6ED"/>
    <w:rsid w:val="00003D63"/>
    <w:rsid w:val="00006E1F"/>
    <w:rsid w:val="000070D7"/>
    <w:rsid w:val="0001112E"/>
    <w:rsid w:val="000174C9"/>
    <w:rsid w:val="0001788C"/>
    <w:rsid w:val="00027242"/>
    <w:rsid w:val="00034AFE"/>
    <w:rsid w:val="00040C3A"/>
    <w:rsid w:val="000419AD"/>
    <w:rsid w:val="00041AA2"/>
    <w:rsid w:val="00042D20"/>
    <w:rsid w:val="000505D7"/>
    <w:rsid w:val="000514D1"/>
    <w:rsid w:val="00052911"/>
    <w:rsid w:val="00061F8F"/>
    <w:rsid w:val="000716C5"/>
    <w:rsid w:val="00071A19"/>
    <w:rsid w:val="000731B5"/>
    <w:rsid w:val="00075E23"/>
    <w:rsid w:val="000863FB"/>
    <w:rsid w:val="000867FB"/>
    <w:rsid w:val="00090FA9"/>
    <w:rsid w:val="000927CB"/>
    <w:rsid w:val="0009344A"/>
    <w:rsid w:val="0009628C"/>
    <w:rsid w:val="0009733B"/>
    <w:rsid w:val="000A2433"/>
    <w:rsid w:val="000A3317"/>
    <w:rsid w:val="000A392E"/>
    <w:rsid w:val="000A575F"/>
    <w:rsid w:val="000A6607"/>
    <w:rsid w:val="000B2B9F"/>
    <w:rsid w:val="000C647F"/>
    <w:rsid w:val="000D10DB"/>
    <w:rsid w:val="000D3C18"/>
    <w:rsid w:val="000E5309"/>
    <w:rsid w:val="000E5EB5"/>
    <w:rsid w:val="000F18A5"/>
    <w:rsid w:val="000F35ED"/>
    <w:rsid w:val="00107131"/>
    <w:rsid w:val="0010736F"/>
    <w:rsid w:val="001077BD"/>
    <w:rsid w:val="001117D6"/>
    <w:rsid w:val="00112A61"/>
    <w:rsid w:val="00113F73"/>
    <w:rsid w:val="0011546A"/>
    <w:rsid w:val="001204D9"/>
    <w:rsid w:val="0012134B"/>
    <w:rsid w:val="00121CC2"/>
    <w:rsid w:val="001220A0"/>
    <w:rsid w:val="0012796C"/>
    <w:rsid w:val="00133EE5"/>
    <w:rsid w:val="00135E24"/>
    <w:rsid w:val="00147AD1"/>
    <w:rsid w:val="00167A34"/>
    <w:rsid w:val="00170EFE"/>
    <w:rsid w:val="001811A7"/>
    <w:rsid w:val="001A7870"/>
    <w:rsid w:val="001C1B41"/>
    <w:rsid w:val="001C28D7"/>
    <w:rsid w:val="001D4454"/>
    <w:rsid w:val="001D65EF"/>
    <w:rsid w:val="001E189C"/>
    <w:rsid w:val="001E2760"/>
    <w:rsid w:val="001E6BB2"/>
    <w:rsid w:val="001F3DB2"/>
    <w:rsid w:val="001F7201"/>
    <w:rsid w:val="001F78E4"/>
    <w:rsid w:val="001F7D22"/>
    <w:rsid w:val="00206F10"/>
    <w:rsid w:val="00215103"/>
    <w:rsid w:val="0021689B"/>
    <w:rsid w:val="002250A3"/>
    <w:rsid w:val="00235217"/>
    <w:rsid w:val="00236187"/>
    <w:rsid w:val="00241A68"/>
    <w:rsid w:val="00241DDB"/>
    <w:rsid w:val="00241FCA"/>
    <w:rsid w:val="00242B78"/>
    <w:rsid w:val="00243970"/>
    <w:rsid w:val="00246D1F"/>
    <w:rsid w:val="00247403"/>
    <w:rsid w:val="00247542"/>
    <w:rsid w:val="00247D0C"/>
    <w:rsid w:val="00252B88"/>
    <w:rsid w:val="0025571D"/>
    <w:rsid w:val="00260938"/>
    <w:rsid w:val="00265746"/>
    <w:rsid w:val="00266B61"/>
    <w:rsid w:val="0026712A"/>
    <w:rsid w:val="002704DB"/>
    <w:rsid w:val="00276830"/>
    <w:rsid w:val="00282FA9"/>
    <w:rsid w:val="002979F5"/>
    <w:rsid w:val="002A0AAE"/>
    <w:rsid w:val="002A5820"/>
    <w:rsid w:val="002B5C75"/>
    <w:rsid w:val="002B608E"/>
    <w:rsid w:val="002B6534"/>
    <w:rsid w:val="002D1544"/>
    <w:rsid w:val="002D1A7F"/>
    <w:rsid w:val="002D2B26"/>
    <w:rsid w:val="002D47D4"/>
    <w:rsid w:val="002D555E"/>
    <w:rsid w:val="002D7EA2"/>
    <w:rsid w:val="002E187C"/>
    <w:rsid w:val="002F0294"/>
    <w:rsid w:val="00302733"/>
    <w:rsid w:val="00304DB0"/>
    <w:rsid w:val="00305A12"/>
    <w:rsid w:val="00314078"/>
    <w:rsid w:val="0031535D"/>
    <w:rsid w:val="003239B8"/>
    <w:rsid w:val="003262B5"/>
    <w:rsid w:val="0033169F"/>
    <w:rsid w:val="00346C95"/>
    <w:rsid w:val="0035133A"/>
    <w:rsid w:val="00352287"/>
    <w:rsid w:val="00356185"/>
    <w:rsid w:val="00360380"/>
    <w:rsid w:val="0037519E"/>
    <w:rsid w:val="003835C7"/>
    <w:rsid w:val="00386CF0"/>
    <w:rsid w:val="003906C4"/>
    <w:rsid w:val="003912BC"/>
    <w:rsid w:val="00394957"/>
    <w:rsid w:val="003A39A8"/>
    <w:rsid w:val="003A5A08"/>
    <w:rsid w:val="003A5CA3"/>
    <w:rsid w:val="003A76D0"/>
    <w:rsid w:val="003B630E"/>
    <w:rsid w:val="003B70FB"/>
    <w:rsid w:val="003C29E6"/>
    <w:rsid w:val="003C3B5C"/>
    <w:rsid w:val="003C676B"/>
    <w:rsid w:val="003D114E"/>
    <w:rsid w:val="003D3BC2"/>
    <w:rsid w:val="003D7501"/>
    <w:rsid w:val="003E4182"/>
    <w:rsid w:val="003E45E7"/>
    <w:rsid w:val="003E5AAE"/>
    <w:rsid w:val="003E6CA1"/>
    <w:rsid w:val="003F083B"/>
    <w:rsid w:val="00405678"/>
    <w:rsid w:val="004165C2"/>
    <w:rsid w:val="004205D9"/>
    <w:rsid w:val="00430675"/>
    <w:rsid w:val="00431946"/>
    <w:rsid w:val="00437FE1"/>
    <w:rsid w:val="00441ECB"/>
    <w:rsid w:val="00445193"/>
    <w:rsid w:val="00447914"/>
    <w:rsid w:val="004617B6"/>
    <w:rsid w:val="00462C1B"/>
    <w:rsid w:val="00467B7E"/>
    <w:rsid w:val="00471549"/>
    <w:rsid w:val="00473BB4"/>
    <w:rsid w:val="00474794"/>
    <w:rsid w:val="0047758A"/>
    <w:rsid w:val="00477592"/>
    <w:rsid w:val="00480498"/>
    <w:rsid w:val="00483DFA"/>
    <w:rsid w:val="00486F1C"/>
    <w:rsid w:val="00492888"/>
    <w:rsid w:val="0049419D"/>
    <w:rsid w:val="004A188E"/>
    <w:rsid w:val="004A1CD7"/>
    <w:rsid w:val="004B2722"/>
    <w:rsid w:val="004C20D2"/>
    <w:rsid w:val="004C4B62"/>
    <w:rsid w:val="004C54C9"/>
    <w:rsid w:val="004C6126"/>
    <w:rsid w:val="004C7352"/>
    <w:rsid w:val="004D4ABA"/>
    <w:rsid w:val="004D5B62"/>
    <w:rsid w:val="004D6025"/>
    <w:rsid w:val="004E2649"/>
    <w:rsid w:val="004E312E"/>
    <w:rsid w:val="004E79E6"/>
    <w:rsid w:val="004F6E8D"/>
    <w:rsid w:val="00501399"/>
    <w:rsid w:val="00503B2A"/>
    <w:rsid w:val="0050456B"/>
    <w:rsid w:val="0050633D"/>
    <w:rsid w:val="00507BC4"/>
    <w:rsid w:val="005128E4"/>
    <w:rsid w:val="00512F90"/>
    <w:rsid w:val="005133DB"/>
    <w:rsid w:val="00523B16"/>
    <w:rsid w:val="00525560"/>
    <w:rsid w:val="00527E34"/>
    <w:rsid w:val="00530311"/>
    <w:rsid w:val="005306AD"/>
    <w:rsid w:val="005378BA"/>
    <w:rsid w:val="00544C49"/>
    <w:rsid w:val="00545B38"/>
    <w:rsid w:val="005478A9"/>
    <w:rsid w:val="005516A1"/>
    <w:rsid w:val="00554F4A"/>
    <w:rsid w:val="005615F7"/>
    <w:rsid w:val="00563557"/>
    <w:rsid w:val="0057402A"/>
    <w:rsid w:val="005771D0"/>
    <w:rsid w:val="00581F9F"/>
    <w:rsid w:val="00582435"/>
    <w:rsid w:val="0059191A"/>
    <w:rsid w:val="005921FF"/>
    <w:rsid w:val="005A24ED"/>
    <w:rsid w:val="005A6D0E"/>
    <w:rsid w:val="005B5004"/>
    <w:rsid w:val="005B52B0"/>
    <w:rsid w:val="005B592B"/>
    <w:rsid w:val="005B6806"/>
    <w:rsid w:val="005B747D"/>
    <w:rsid w:val="005C41A2"/>
    <w:rsid w:val="005C4225"/>
    <w:rsid w:val="005D4FBA"/>
    <w:rsid w:val="005F0DAD"/>
    <w:rsid w:val="005F0F33"/>
    <w:rsid w:val="0060048C"/>
    <w:rsid w:val="00600DEB"/>
    <w:rsid w:val="00604027"/>
    <w:rsid w:val="0060476D"/>
    <w:rsid w:val="00614595"/>
    <w:rsid w:val="00614A43"/>
    <w:rsid w:val="00627C9F"/>
    <w:rsid w:val="006311E9"/>
    <w:rsid w:val="00632354"/>
    <w:rsid w:val="00636D7E"/>
    <w:rsid w:val="00642810"/>
    <w:rsid w:val="00643980"/>
    <w:rsid w:val="00643BD2"/>
    <w:rsid w:val="00644CB5"/>
    <w:rsid w:val="00646BE7"/>
    <w:rsid w:val="00652333"/>
    <w:rsid w:val="00655DF4"/>
    <w:rsid w:val="0068009E"/>
    <w:rsid w:val="00683570"/>
    <w:rsid w:val="00692219"/>
    <w:rsid w:val="00696765"/>
    <w:rsid w:val="006977D6"/>
    <w:rsid w:val="006A1060"/>
    <w:rsid w:val="006A17D2"/>
    <w:rsid w:val="006A73E6"/>
    <w:rsid w:val="006B2D5C"/>
    <w:rsid w:val="006B685B"/>
    <w:rsid w:val="006C4EB1"/>
    <w:rsid w:val="006D76D3"/>
    <w:rsid w:val="006E0166"/>
    <w:rsid w:val="006E32E8"/>
    <w:rsid w:val="006E4E9C"/>
    <w:rsid w:val="006E7B34"/>
    <w:rsid w:val="006E7EEE"/>
    <w:rsid w:val="006F3A34"/>
    <w:rsid w:val="006F400F"/>
    <w:rsid w:val="007000B2"/>
    <w:rsid w:val="007051B9"/>
    <w:rsid w:val="0070697F"/>
    <w:rsid w:val="00706BCD"/>
    <w:rsid w:val="00713DB0"/>
    <w:rsid w:val="0072199C"/>
    <w:rsid w:val="00722C9F"/>
    <w:rsid w:val="007253B8"/>
    <w:rsid w:val="00727EF1"/>
    <w:rsid w:val="00730437"/>
    <w:rsid w:val="007314E5"/>
    <w:rsid w:val="00733EB2"/>
    <w:rsid w:val="0073741F"/>
    <w:rsid w:val="00745E83"/>
    <w:rsid w:val="0076643F"/>
    <w:rsid w:val="00766465"/>
    <w:rsid w:val="00777F63"/>
    <w:rsid w:val="00783DB1"/>
    <w:rsid w:val="00784D88"/>
    <w:rsid w:val="00787EE4"/>
    <w:rsid w:val="0079094D"/>
    <w:rsid w:val="007928A8"/>
    <w:rsid w:val="007A5817"/>
    <w:rsid w:val="007B05C4"/>
    <w:rsid w:val="007B60E9"/>
    <w:rsid w:val="007B6CC3"/>
    <w:rsid w:val="007C3334"/>
    <w:rsid w:val="007C7855"/>
    <w:rsid w:val="007D2B98"/>
    <w:rsid w:val="007D357B"/>
    <w:rsid w:val="007E06D4"/>
    <w:rsid w:val="007E21BC"/>
    <w:rsid w:val="00803F1C"/>
    <w:rsid w:val="0080600E"/>
    <w:rsid w:val="008141B5"/>
    <w:rsid w:val="008163DA"/>
    <w:rsid w:val="00817612"/>
    <w:rsid w:val="00817BBC"/>
    <w:rsid w:val="0082057D"/>
    <w:rsid w:val="00822B96"/>
    <w:rsid w:val="0082693C"/>
    <w:rsid w:val="008338A4"/>
    <w:rsid w:val="00837C45"/>
    <w:rsid w:val="00837F6D"/>
    <w:rsid w:val="00844244"/>
    <w:rsid w:val="00844730"/>
    <w:rsid w:val="008457C2"/>
    <w:rsid w:val="008511B2"/>
    <w:rsid w:val="0085189F"/>
    <w:rsid w:val="00852E57"/>
    <w:rsid w:val="00857324"/>
    <w:rsid w:val="00857A82"/>
    <w:rsid w:val="00864673"/>
    <w:rsid w:val="008656FF"/>
    <w:rsid w:val="00873836"/>
    <w:rsid w:val="008742DF"/>
    <w:rsid w:val="008752C8"/>
    <w:rsid w:val="00877335"/>
    <w:rsid w:val="00885737"/>
    <w:rsid w:val="008870B5"/>
    <w:rsid w:val="00890650"/>
    <w:rsid w:val="00897E12"/>
    <w:rsid w:val="008A2DDB"/>
    <w:rsid w:val="008A3567"/>
    <w:rsid w:val="008A7E0F"/>
    <w:rsid w:val="008B12F5"/>
    <w:rsid w:val="008D2440"/>
    <w:rsid w:val="008D58B4"/>
    <w:rsid w:val="008D6A1B"/>
    <w:rsid w:val="008D6D82"/>
    <w:rsid w:val="008D768D"/>
    <w:rsid w:val="008E3759"/>
    <w:rsid w:val="008F1912"/>
    <w:rsid w:val="008F3C9F"/>
    <w:rsid w:val="008F6B0C"/>
    <w:rsid w:val="0090270B"/>
    <w:rsid w:val="009041DC"/>
    <w:rsid w:val="00905486"/>
    <w:rsid w:val="00917258"/>
    <w:rsid w:val="00917B5A"/>
    <w:rsid w:val="00920A58"/>
    <w:rsid w:val="00920A8C"/>
    <w:rsid w:val="009255B8"/>
    <w:rsid w:val="00926140"/>
    <w:rsid w:val="00934A2C"/>
    <w:rsid w:val="00937D63"/>
    <w:rsid w:val="00953E57"/>
    <w:rsid w:val="009602FD"/>
    <w:rsid w:val="0096706E"/>
    <w:rsid w:val="00974491"/>
    <w:rsid w:val="00975C4E"/>
    <w:rsid w:val="00980C3A"/>
    <w:rsid w:val="00981FBA"/>
    <w:rsid w:val="0098798B"/>
    <w:rsid w:val="00997BC5"/>
    <w:rsid w:val="009A4F41"/>
    <w:rsid w:val="009B381B"/>
    <w:rsid w:val="009B4EC5"/>
    <w:rsid w:val="009C0720"/>
    <w:rsid w:val="009C395A"/>
    <w:rsid w:val="009C5471"/>
    <w:rsid w:val="009D0002"/>
    <w:rsid w:val="009D1753"/>
    <w:rsid w:val="009D4F6F"/>
    <w:rsid w:val="009D5DBB"/>
    <w:rsid w:val="009D7213"/>
    <w:rsid w:val="009D7611"/>
    <w:rsid w:val="009E0B61"/>
    <w:rsid w:val="009E53DE"/>
    <w:rsid w:val="009F0AA5"/>
    <w:rsid w:val="009F406F"/>
    <w:rsid w:val="009F68DA"/>
    <w:rsid w:val="00A11E44"/>
    <w:rsid w:val="00A24C81"/>
    <w:rsid w:val="00A250EE"/>
    <w:rsid w:val="00A27403"/>
    <w:rsid w:val="00A328B3"/>
    <w:rsid w:val="00A34F63"/>
    <w:rsid w:val="00A440A2"/>
    <w:rsid w:val="00A50FCF"/>
    <w:rsid w:val="00A528D1"/>
    <w:rsid w:val="00A5354A"/>
    <w:rsid w:val="00A539AC"/>
    <w:rsid w:val="00A566EA"/>
    <w:rsid w:val="00A56AEB"/>
    <w:rsid w:val="00A60211"/>
    <w:rsid w:val="00A610CD"/>
    <w:rsid w:val="00A6340C"/>
    <w:rsid w:val="00A758AA"/>
    <w:rsid w:val="00A75E85"/>
    <w:rsid w:val="00A77C88"/>
    <w:rsid w:val="00A82189"/>
    <w:rsid w:val="00A926C6"/>
    <w:rsid w:val="00AA09A2"/>
    <w:rsid w:val="00AA0CAE"/>
    <w:rsid w:val="00AA3528"/>
    <w:rsid w:val="00AA7996"/>
    <w:rsid w:val="00AB7492"/>
    <w:rsid w:val="00AC19CB"/>
    <w:rsid w:val="00AE4F5E"/>
    <w:rsid w:val="00AE5488"/>
    <w:rsid w:val="00AE5A48"/>
    <w:rsid w:val="00AE6F91"/>
    <w:rsid w:val="00AF06A7"/>
    <w:rsid w:val="00AF5571"/>
    <w:rsid w:val="00AF568C"/>
    <w:rsid w:val="00AF7DEA"/>
    <w:rsid w:val="00B037DD"/>
    <w:rsid w:val="00B07341"/>
    <w:rsid w:val="00B269B7"/>
    <w:rsid w:val="00B30539"/>
    <w:rsid w:val="00B30F2D"/>
    <w:rsid w:val="00B314DB"/>
    <w:rsid w:val="00B34FC8"/>
    <w:rsid w:val="00B351C2"/>
    <w:rsid w:val="00B361F2"/>
    <w:rsid w:val="00B3718B"/>
    <w:rsid w:val="00B4203E"/>
    <w:rsid w:val="00B4632A"/>
    <w:rsid w:val="00B475E4"/>
    <w:rsid w:val="00B500D4"/>
    <w:rsid w:val="00B5184B"/>
    <w:rsid w:val="00B530F1"/>
    <w:rsid w:val="00B574DE"/>
    <w:rsid w:val="00B57E30"/>
    <w:rsid w:val="00B73503"/>
    <w:rsid w:val="00B87BF0"/>
    <w:rsid w:val="00BA276C"/>
    <w:rsid w:val="00BA48A5"/>
    <w:rsid w:val="00BA4FCF"/>
    <w:rsid w:val="00BA7073"/>
    <w:rsid w:val="00BA772A"/>
    <w:rsid w:val="00BB0F0E"/>
    <w:rsid w:val="00BB1B0B"/>
    <w:rsid w:val="00BB217F"/>
    <w:rsid w:val="00BB306F"/>
    <w:rsid w:val="00BB5585"/>
    <w:rsid w:val="00BC03ED"/>
    <w:rsid w:val="00BC6699"/>
    <w:rsid w:val="00BC72E4"/>
    <w:rsid w:val="00BD13E4"/>
    <w:rsid w:val="00BD35CF"/>
    <w:rsid w:val="00BD4B89"/>
    <w:rsid w:val="00BF02CB"/>
    <w:rsid w:val="00BF6FD8"/>
    <w:rsid w:val="00C01DC2"/>
    <w:rsid w:val="00C03680"/>
    <w:rsid w:val="00C054DF"/>
    <w:rsid w:val="00C17BFF"/>
    <w:rsid w:val="00C21762"/>
    <w:rsid w:val="00C21FEF"/>
    <w:rsid w:val="00C24543"/>
    <w:rsid w:val="00C256A2"/>
    <w:rsid w:val="00C32767"/>
    <w:rsid w:val="00C4238B"/>
    <w:rsid w:val="00C51515"/>
    <w:rsid w:val="00C5660B"/>
    <w:rsid w:val="00C6046A"/>
    <w:rsid w:val="00C66B72"/>
    <w:rsid w:val="00C71F04"/>
    <w:rsid w:val="00C84B16"/>
    <w:rsid w:val="00C84F61"/>
    <w:rsid w:val="00C948B3"/>
    <w:rsid w:val="00C9567A"/>
    <w:rsid w:val="00CA294E"/>
    <w:rsid w:val="00CA5EEF"/>
    <w:rsid w:val="00CB20BC"/>
    <w:rsid w:val="00CB212D"/>
    <w:rsid w:val="00CB2660"/>
    <w:rsid w:val="00CC4B07"/>
    <w:rsid w:val="00CC5E90"/>
    <w:rsid w:val="00CD046C"/>
    <w:rsid w:val="00CD408E"/>
    <w:rsid w:val="00CE076C"/>
    <w:rsid w:val="00CE0E9B"/>
    <w:rsid w:val="00CE46D5"/>
    <w:rsid w:val="00CE4714"/>
    <w:rsid w:val="00CE5199"/>
    <w:rsid w:val="00CE66D5"/>
    <w:rsid w:val="00CF0277"/>
    <w:rsid w:val="00CF4ED5"/>
    <w:rsid w:val="00CF637A"/>
    <w:rsid w:val="00D032FD"/>
    <w:rsid w:val="00D059DE"/>
    <w:rsid w:val="00D12E67"/>
    <w:rsid w:val="00D13FCE"/>
    <w:rsid w:val="00D213C2"/>
    <w:rsid w:val="00D2512A"/>
    <w:rsid w:val="00D256A9"/>
    <w:rsid w:val="00D25D2E"/>
    <w:rsid w:val="00D306D1"/>
    <w:rsid w:val="00D30800"/>
    <w:rsid w:val="00D319AD"/>
    <w:rsid w:val="00D332FD"/>
    <w:rsid w:val="00D33DE1"/>
    <w:rsid w:val="00D34786"/>
    <w:rsid w:val="00D37AE0"/>
    <w:rsid w:val="00D37BFC"/>
    <w:rsid w:val="00D4160B"/>
    <w:rsid w:val="00D44EC3"/>
    <w:rsid w:val="00D47A8E"/>
    <w:rsid w:val="00D52D14"/>
    <w:rsid w:val="00D542BF"/>
    <w:rsid w:val="00D607A7"/>
    <w:rsid w:val="00D633C7"/>
    <w:rsid w:val="00D71109"/>
    <w:rsid w:val="00D712D3"/>
    <w:rsid w:val="00D71422"/>
    <w:rsid w:val="00D72DC6"/>
    <w:rsid w:val="00D7558D"/>
    <w:rsid w:val="00D77C2C"/>
    <w:rsid w:val="00D814E6"/>
    <w:rsid w:val="00D81D92"/>
    <w:rsid w:val="00D83183"/>
    <w:rsid w:val="00D87B1B"/>
    <w:rsid w:val="00D93023"/>
    <w:rsid w:val="00D94F3B"/>
    <w:rsid w:val="00D9705D"/>
    <w:rsid w:val="00DA7B5F"/>
    <w:rsid w:val="00DB0431"/>
    <w:rsid w:val="00DC11E7"/>
    <w:rsid w:val="00DC6A58"/>
    <w:rsid w:val="00DC7023"/>
    <w:rsid w:val="00DC769A"/>
    <w:rsid w:val="00DD3D86"/>
    <w:rsid w:val="00DE5A81"/>
    <w:rsid w:val="00DE73EF"/>
    <w:rsid w:val="00DF1EC4"/>
    <w:rsid w:val="00DF5133"/>
    <w:rsid w:val="00DF64C1"/>
    <w:rsid w:val="00E0340B"/>
    <w:rsid w:val="00E04A90"/>
    <w:rsid w:val="00E0551F"/>
    <w:rsid w:val="00E115EC"/>
    <w:rsid w:val="00E125CA"/>
    <w:rsid w:val="00E13FD0"/>
    <w:rsid w:val="00E16D82"/>
    <w:rsid w:val="00E219C7"/>
    <w:rsid w:val="00E23137"/>
    <w:rsid w:val="00E40506"/>
    <w:rsid w:val="00E43157"/>
    <w:rsid w:val="00E461CE"/>
    <w:rsid w:val="00E52DE8"/>
    <w:rsid w:val="00E53E1A"/>
    <w:rsid w:val="00E54421"/>
    <w:rsid w:val="00E55DD4"/>
    <w:rsid w:val="00E720CA"/>
    <w:rsid w:val="00E736AC"/>
    <w:rsid w:val="00E84EB5"/>
    <w:rsid w:val="00E85662"/>
    <w:rsid w:val="00E8722F"/>
    <w:rsid w:val="00E8789F"/>
    <w:rsid w:val="00E94371"/>
    <w:rsid w:val="00E955C2"/>
    <w:rsid w:val="00E95692"/>
    <w:rsid w:val="00E968A7"/>
    <w:rsid w:val="00E97B71"/>
    <w:rsid w:val="00EA3D34"/>
    <w:rsid w:val="00EA7673"/>
    <w:rsid w:val="00EB21E3"/>
    <w:rsid w:val="00EB3516"/>
    <w:rsid w:val="00EB454D"/>
    <w:rsid w:val="00EB5CAF"/>
    <w:rsid w:val="00EB5E0A"/>
    <w:rsid w:val="00EB68F2"/>
    <w:rsid w:val="00EC5DF9"/>
    <w:rsid w:val="00ED0049"/>
    <w:rsid w:val="00ED4940"/>
    <w:rsid w:val="00ED549D"/>
    <w:rsid w:val="00ED76BE"/>
    <w:rsid w:val="00ED7950"/>
    <w:rsid w:val="00EF58F9"/>
    <w:rsid w:val="00EF619B"/>
    <w:rsid w:val="00F00B55"/>
    <w:rsid w:val="00F02AD1"/>
    <w:rsid w:val="00F043C0"/>
    <w:rsid w:val="00F13DF4"/>
    <w:rsid w:val="00F20953"/>
    <w:rsid w:val="00F21658"/>
    <w:rsid w:val="00F22A62"/>
    <w:rsid w:val="00F253CC"/>
    <w:rsid w:val="00F31B36"/>
    <w:rsid w:val="00F37106"/>
    <w:rsid w:val="00F50CA5"/>
    <w:rsid w:val="00F519CF"/>
    <w:rsid w:val="00F51B54"/>
    <w:rsid w:val="00F53EDB"/>
    <w:rsid w:val="00F54CA2"/>
    <w:rsid w:val="00F56BA5"/>
    <w:rsid w:val="00F60E22"/>
    <w:rsid w:val="00F74D88"/>
    <w:rsid w:val="00F81395"/>
    <w:rsid w:val="00F81BB8"/>
    <w:rsid w:val="00F81E75"/>
    <w:rsid w:val="00F917D1"/>
    <w:rsid w:val="00F93418"/>
    <w:rsid w:val="00F93F5F"/>
    <w:rsid w:val="00F9653B"/>
    <w:rsid w:val="00FA4AD2"/>
    <w:rsid w:val="00FB3E90"/>
    <w:rsid w:val="00FB45AF"/>
    <w:rsid w:val="00FB62CF"/>
    <w:rsid w:val="00FB7B5F"/>
    <w:rsid w:val="00FD3C3B"/>
    <w:rsid w:val="00FE07DD"/>
    <w:rsid w:val="00FE53DB"/>
    <w:rsid w:val="00FE6B45"/>
    <w:rsid w:val="00FF51C9"/>
    <w:rsid w:val="00FF55F3"/>
    <w:rsid w:val="00FF5851"/>
    <w:rsid w:val="00FF6CAC"/>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F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1DC2"/>
    <w:rPr>
      <w:sz w:val="16"/>
      <w:szCs w:val="16"/>
    </w:rPr>
  </w:style>
  <w:style w:type="paragraph" w:styleId="CommentText">
    <w:name w:val="annotation text"/>
    <w:basedOn w:val="Normal"/>
    <w:link w:val="CommentTextChar"/>
    <w:uiPriority w:val="99"/>
    <w:semiHidden/>
    <w:unhideWhenUsed/>
    <w:rsid w:val="00C01DC2"/>
    <w:rPr>
      <w:sz w:val="20"/>
      <w:szCs w:val="20"/>
    </w:rPr>
  </w:style>
  <w:style w:type="character" w:customStyle="1" w:styleId="CommentTextChar">
    <w:name w:val="Comment Text Char"/>
    <w:basedOn w:val="DefaultParagraphFont"/>
    <w:link w:val="CommentText"/>
    <w:uiPriority w:val="99"/>
    <w:semiHidden/>
    <w:rsid w:val="00C01DC2"/>
    <w:rPr>
      <w:lang w:val="en-US" w:eastAsia="en-US"/>
    </w:rPr>
  </w:style>
  <w:style w:type="paragraph" w:styleId="CommentSubject">
    <w:name w:val="annotation subject"/>
    <w:basedOn w:val="CommentText"/>
    <w:next w:val="CommentText"/>
    <w:link w:val="CommentSubjectChar"/>
    <w:uiPriority w:val="99"/>
    <w:semiHidden/>
    <w:unhideWhenUsed/>
    <w:rsid w:val="00C01DC2"/>
    <w:rPr>
      <w:b/>
      <w:bCs/>
    </w:rPr>
  </w:style>
  <w:style w:type="character" w:customStyle="1" w:styleId="CommentSubjectChar">
    <w:name w:val="Comment Subject Char"/>
    <w:basedOn w:val="CommentTextChar"/>
    <w:link w:val="CommentSubject"/>
    <w:uiPriority w:val="99"/>
    <w:semiHidden/>
    <w:rsid w:val="00C01DC2"/>
    <w:rPr>
      <w:b/>
      <w:bCs/>
      <w:lang w:val="en-US" w:eastAsia="en-US"/>
    </w:rPr>
  </w:style>
  <w:style w:type="paragraph" w:styleId="Revision">
    <w:name w:val="Revision"/>
    <w:hidden/>
    <w:uiPriority w:val="99"/>
    <w:semiHidden/>
    <w:rsid w:val="0005291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har2">
    <w:name w:val="Char2"/>
    <w:basedOn w:val="Normal"/>
    <w:link w:val="FootnoteReference"/>
    <w:rsid w:val="00BD13E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1DC2"/>
    <w:rPr>
      <w:sz w:val="16"/>
      <w:szCs w:val="16"/>
    </w:rPr>
  </w:style>
  <w:style w:type="paragraph" w:styleId="CommentText">
    <w:name w:val="annotation text"/>
    <w:basedOn w:val="Normal"/>
    <w:link w:val="CommentTextChar"/>
    <w:uiPriority w:val="99"/>
    <w:semiHidden/>
    <w:unhideWhenUsed/>
    <w:rsid w:val="00C01DC2"/>
    <w:rPr>
      <w:sz w:val="20"/>
      <w:szCs w:val="20"/>
    </w:rPr>
  </w:style>
  <w:style w:type="character" w:customStyle="1" w:styleId="CommentTextChar">
    <w:name w:val="Comment Text Char"/>
    <w:basedOn w:val="DefaultParagraphFont"/>
    <w:link w:val="CommentText"/>
    <w:uiPriority w:val="99"/>
    <w:semiHidden/>
    <w:rsid w:val="00C01DC2"/>
    <w:rPr>
      <w:lang w:val="en-US" w:eastAsia="en-US"/>
    </w:rPr>
  </w:style>
  <w:style w:type="paragraph" w:styleId="CommentSubject">
    <w:name w:val="annotation subject"/>
    <w:basedOn w:val="CommentText"/>
    <w:next w:val="CommentText"/>
    <w:link w:val="CommentSubjectChar"/>
    <w:uiPriority w:val="99"/>
    <w:semiHidden/>
    <w:unhideWhenUsed/>
    <w:rsid w:val="00C01DC2"/>
    <w:rPr>
      <w:b/>
      <w:bCs/>
    </w:rPr>
  </w:style>
  <w:style w:type="character" w:customStyle="1" w:styleId="CommentSubjectChar">
    <w:name w:val="Comment Subject Char"/>
    <w:basedOn w:val="CommentTextChar"/>
    <w:link w:val="CommentSubject"/>
    <w:uiPriority w:val="99"/>
    <w:semiHidden/>
    <w:rsid w:val="00C01DC2"/>
    <w:rPr>
      <w:b/>
      <w:bCs/>
      <w:lang w:val="en-US" w:eastAsia="en-US"/>
    </w:rPr>
  </w:style>
  <w:style w:type="paragraph" w:styleId="Revision">
    <w:name w:val="Revision"/>
    <w:hidden/>
    <w:uiPriority w:val="99"/>
    <w:semiHidden/>
    <w:rsid w:val="0005291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har2">
    <w:name w:val="Char2"/>
    <w:basedOn w:val="Normal"/>
    <w:link w:val="FootnoteReference"/>
    <w:rsid w:val="00BD13E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16B3"/>
    <w:rsid w:val="00023F7B"/>
    <w:rsid w:val="00170E1C"/>
    <w:rsid w:val="001804A5"/>
    <w:rsid w:val="002C6231"/>
    <w:rsid w:val="002F2E98"/>
    <w:rsid w:val="00394049"/>
    <w:rsid w:val="00457BDB"/>
    <w:rsid w:val="004C473D"/>
    <w:rsid w:val="004F2DF8"/>
    <w:rsid w:val="00522CA6"/>
    <w:rsid w:val="005A350D"/>
    <w:rsid w:val="005B5545"/>
    <w:rsid w:val="005F2EF7"/>
    <w:rsid w:val="00635E1A"/>
    <w:rsid w:val="00686C69"/>
    <w:rsid w:val="006E539F"/>
    <w:rsid w:val="00774171"/>
    <w:rsid w:val="00846A3A"/>
    <w:rsid w:val="00870116"/>
    <w:rsid w:val="00875FC3"/>
    <w:rsid w:val="009537C6"/>
    <w:rsid w:val="009A261B"/>
    <w:rsid w:val="00AC15A4"/>
    <w:rsid w:val="00CB23DB"/>
    <w:rsid w:val="00DC7131"/>
    <w:rsid w:val="00DD207D"/>
    <w:rsid w:val="00E30C8F"/>
    <w:rsid w:val="00E84277"/>
    <w:rsid w:val="00F00D2F"/>
    <w:rsid w:val="00F100F2"/>
    <w:rsid w:val="00F70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B6C8D-E0FB-457E-9170-0B1BCC07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4557</Words>
  <Characters>24018</Characters>
  <Application>Microsoft Office Word</Application>
  <DocSecurity>0</DocSecurity>
  <Lines>558</Lines>
  <Paragraphs>204</Paragraphs>
  <ScaleCrop>false</ScaleCrop>
  <Company/>
  <LinksUpToDate>false</LinksUpToDate>
  <CharactersWithSpaces>28371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109/17</dc:title>
  <dc:creator/>
  <cp:lastModifiedBy/>
  <cp:revision>1</cp:revision>
  <dcterms:created xsi:type="dcterms:W3CDTF">2018-03-15T18:33:00Z</dcterms:created>
  <dcterms:modified xsi:type="dcterms:W3CDTF">2018-03-15T18:33:00Z</dcterms:modified>
</cp:coreProperties>
</file>