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0958E5A" w14:textId="77777777" w:rsidR="00040C3A" w:rsidRPr="00E90E47" w:rsidRDefault="00D306D1" w:rsidP="00627C9F">
      <w:pPr>
        <w:jc w:val="both"/>
        <w:rPr>
          <w:rFonts w:asciiTheme="majorHAnsi" w:hAnsiTheme="majorHAnsi" w:cs="Univers"/>
          <w:b/>
          <w:bCs/>
          <w:sz w:val="22"/>
          <w:szCs w:val="22"/>
          <w:lang w:val="es-ES_tradnl"/>
        </w:rPr>
      </w:pPr>
      <w:r w:rsidRPr="00E90E4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2086B1" wp14:editId="7DDC2EA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48C2AA6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90E4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2F6D4A0" wp14:editId="5247BFB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B21D7" w14:textId="77777777" w:rsidR="00CB2660" w:rsidRDefault="00AE5488" w:rsidP="00AE5488">
                            <w:r>
                              <w:rPr>
                                <w:noProof/>
                              </w:rPr>
                              <w:drawing>
                                <wp:inline distT="0" distB="0" distL="0" distR="0" wp14:anchorId="7BBFDF34" wp14:editId="0AE2CC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A7B21D7" w14:textId="77777777" w:rsidR="00CB2660" w:rsidRDefault="00AE5488" w:rsidP="00AE5488">
                      <w:r>
                        <w:rPr>
                          <w:noProof/>
                        </w:rPr>
                        <w:drawing>
                          <wp:inline distT="0" distB="0" distL="0" distR="0" wp14:anchorId="7BBFDF34" wp14:editId="0AE2CC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482E830" w14:textId="77777777" w:rsidR="00040C3A" w:rsidRPr="00E90E47" w:rsidRDefault="00040C3A" w:rsidP="00040C3A">
      <w:pPr>
        <w:tabs>
          <w:tab w:val="center" w:pos="5400"/>
        </w:tabs>
        <w:suppressAutoHyphens/>
        <w:jc w:val="both"/>
        <w:rPr>
          <w:rFonts w:asciiTheme="majorHAnsi" w:hAnsiTheme="majorHAnsi"/>
          <w:sz w:val="22"/>
          <w:szCs w:val="22"/>
          <w:lang w:val="es-ES"/>
        </w:rPr>
      </w:pPr>
    </w:p>
    <w:p w14:paraId="6D125CF1" w14:textId="77777777" w:rsidR="00040C3A" w:rsidRPr="00E90E47" w:rsidRDefault="00040C3A" w:rsidP="00040C3A">
      <w:pPr>
        <w:tabs>
          <w:tab w:val="center" w:pos="5400"/>
        </w:tabs>
        <w:suppressAutoHyphens/>
        <w:jc w:val="both"/>
        <w:rPr>
          <w:rFonts w:asciiTheme="majorHAnsi" w:hAnsiTheme="majorHAnsi"/>
          <w:sz w:val="22"/>
          <w:szCs w:val="22"/>
          <w:lang w:val="es-ES"/>
        </w:rPr>
      </w:pPr>
    </w:p>
    <w:p w14:paraId="74846BC7" w14:textId="77777777" w:rsidR="005128E4" w:rsidRPr="00E90E47" w:rsidRDefault="005128E4" w:rsidP="00040C3A">
      <w:pPr>
        <w:tabs>
          <w:tab w:val="center" w:pos="5400"/>
        </w:tabs>
        <w:suppressAutoHyphens/>
        <w:rPr>
          <w:rFonts w:asciiTheme="majorHAnsi" w:hAnsiTheme="majorHAnsi"/>
          <w:sz w:val="22"/>
          <w:szCs w:val="22"/>
          <w:lang w:val="es-ES_tradnl"/>
        </w:rPr>
      </w:pPr>
    </w:p>
    <w:p w14:paraId="1727B698" w14:textId="77777777" w:rsidR="005128E4" w:rsidRPr="00E90E47" w:rsidRDefault="005128E4" w:rsidP="00040C3A">
      <w:pPr>
        <w:tabs>
          <w:tab w:val="center" w:pos="5400"/>
        </w:tabs>
        <w:suppressAutoHyphens/>
        <w:rPr>
          <w:rFonts w:asciiTheme="majorHAnsi" w:hAnsiTheme="majorHAnsi"/>
          <w:sz w:val="22"/>
          <w:szCs w:val="22"/>
          <w:lang w:val="es-ES_tradnl"/>
        </w:rPr>
      </w:pPr>
    </w:p>
    <w:p w14:paraId="69949E16" w14:textId="77777777" w:rsidR="005128E4" w:rsidRPr="00E90E47" w:rsidRDefault="005128E4" w:rsidP="00040C3A">
      <w:pPr>
        <w:tabs>
          <w:tab w:val="center" w:pos="5400"/>
        </w:tabs>
        <w:suppressAutoHyphens/>
        <w:rPr>
          <w:rFonts w:asciiTheme="majorHAnsi" w:hAnsiTheme="majorHAnsi"/>
          <w:sz w:val="22"/>
          <w:szCs w:val="22"/>
          <w:lang w:val="es-ES_tradnl"/>
        </w:rPr>
      </w:pPr>
    </w:p>
    <w:p w14:paraId="0581AD07" w14:textId="77777777" w:rsidR="00040C3A" w:rsidRPr="00E90E47" w:rsidRDefault="00040C3A" w:rsidP="005128E4">
      <w:pPr>
        <w:tabs>
          <w:tab w:val="center" w:pos="5400"/>
        </w:tabs>
        <w:suppressAutoHyphens/>
        <w:jc w:val="center"/>
        <w:rPr>
          <w:rFonts w:asciiTheme="majorHAnsi" w:hAnsiTheme="majorHAnsi"/>
          <w:sz w:val="22"/>
          <w:szCs w:val="22"/>
          <w:lang w:val="es-ES_tradnl"/>
        </w:rPr>
      </w:pPr>
    </w:p>
    <w:p w14:paraId="5AD7A2C2" w14:textId="77777777" w:rsidR="00040C3A" w:rsidRPr="00E90E47" w:rsidRDefault="00040C3A" w:rsidP="005128E4">
      <w:pPr>
        <w:tabs>
          <w:tab w:val="center" w:pos="5400"/>
        </w:tabs>
        <w:suppressAutoHyphens/>
        <w:jc w:val="center"/>
        <w:rPr>
          <w:rFonts w:asciiTheme="majorHAnsi" w:hAnsiTheme="majorHAnsi"/>
          <w:sz w:val="22"/>
          <w:szCs w:val="22"/>
          <w:lang w:val="es-ES_tradnl"/>
        </w:rPr>
      </w:pPr>
    </w:p>
    <w:p w14:paraId="1D8BD5AE" w14:textId="77777777" w:rsidR="005B52B0" w:rsidRPr="00E90E47" w:rsidRDefault="005B52B0" w:rsidP="005128E4">
      <w:pPr>
        <w:tabs>
          <w:tab w:val="center" w:pos="5400"/>
        </w:tabs>
        <w:suppressAutoHyphens/>
        <w:jc w:val="center"/>
        <w:rPr>
          <w:rFonts w:asciiTheme="majorHAnsi" w:hAnsiTheme="majorHAnsi"/>
          <w:sz w:val="22"/>
          <w:szCs w:val="22"/>
          <w:lang w:val="es-ES_tradnl"/>
        </w:rPr>
      </w:pPr>
    </w:p>
    <w:p w14:paraId="18912897" w14:textId="77777777" w:rsidR="005B52B0" w:rsidRPr="00E90E47" w:rsidRDefault="005B52B0" w:rsidP="005128E4">
      <w:pPr>
        <w:tabs>
          <w:tab w:val="center" w:pos="5400"/>
        </w:tabs>
        <w:suppressAutoHyphens/>
        <w:jc w:val="center"/>
        <w:rPr>
          <w:rFonts w:asciiTheme="majorHAnsi" w:hAnsiTheme="majorHAnsi"/>
          <w:sz w:val="22"/>
          <w:szCs w:val="22"/>
          <w:lang w:val="es-ES_tradnl"/>
        </w:rPr>
      </w:pPr>
    </w:p>
    <w:p w14:paraId="13CEDB0F" w14:textId="77777777" w:rsidR="005B52B0" w:rsidRPr="00E90E47" w:rsidRDefault="005B52B0" w:rsidP="005128E4">
      <w:pPr>
        <w:tabs>
          <w:tab w:val="center" w:pos="5400"/>
        </w:tabs>
        <w:suppressAutoHyphens/>
        <w:jc w:val="center"/>
        <w:rPr>
          <w:rFonts w:asciiTheme="majorHAnsi" w:hAnsiTheme="majorHAnsi"/>
          <w:sz w:val="22"/>
          <w:szCs w:val="22"/>
          <w:lang w:val="es-ES_tradnl"/>
        </w:rPr>
      </w:pPr>
    </w:p>
    <w:p w14:paraId="01B69CC1"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55A84478"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33579DD1" w14:textId="77777777" w:rsidR="00040C3A" w:rsidRPr="00E90E47" w:rsidRDefault="003D3BC2" w:rsidP="00040C3A">
      <w:pPr>
        <w:tabs>
          <w:tab w:val="center" w:pos="5400"/>
        </w:tabs>
        <w:suppressAutoHyphens/>
        <w:jc w:val="center"/>
        <w:rPr>
          <w:rFonts w:asciiTheme="majorHAnsi" w:hAnsiTheme="majorHAnsi"/>
          <w:sz w:val="22"/>
          <w:szCs w:val="22"/>
          <w:lang w:val="es-ES_tradnl"/>
        </w:rPr>
      </w:pPr>
      <w:r w:rsidRPr="00E90E4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5919A4F" wp14:editId="5DD98B3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AF707" w14:textId="503D7C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B6161">
                              <w:rPr>
                                <w:rFonts w:asciiTheme="majorHAnsi" w:hAnsiTheme="majorHAnsi" w:cs="Arial"/>
                                <w:b/>
                                <w:bCs/>
                                <w:color w:val="0D0D0D" w:themeColor="text1" w:themeTint="F2"/>
                                <w:sz w:val="36"/>
                                <w:szCs w:val="22"/>
                                <w:lang w:val="es-ES_tradnl"/>
                              </w:rPr>
                              <w:t xml:space="preserve"> 15</w:t>
                            </w:r>
                            <w:r w:rsidR="007B05C4">
                              <w:rPr>
                                <w:rFonts w:asciiTheme="majorHAnsi" w:hAnsiTheme="majorHAnsi" w:cs="Arial"/>
                                <w:b/>
                                <w:bCs/>
                                <w:color w:val="0D0D0D" w:themeColor="text1" w:themeTint="F2"/>
                                <w:sz w:val="36"/>
                                <w:szCs w:val="22"/>
                                <w:lang w:val="es-ES_tradnl"/>
                              </w:rPr>
                              <w:t>/1</w:t>
                            </w:r>
                            <w:r w:rsidR="009F64B2">
                              <w:rPr>
                                <w:rFonts w:asciiTheme="majorHAnsi" w:hAnsiTheme="majorHAnsi" w:cs="Arial"/>
                                <w:b/>
                                <w:bCs/>
                                <w:color w:val="0D0D0D" w:themeColor="text1" w:themeTint="F2"/>
                                <w:sz w:val="36"/>
                                <w:szCs w:val="22"/>
                                <w:lang w:val="es-ES_tradnl"/>
                              </w:rPr>
                              <w:t>7</w:t>
                            </w:r>
                          </w:p>
                          <w:p w14:paraId="7F63A10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2605">
                              <w:rPr>
                                <w:rFonts w:asciiTheme="majorHAnsi" w:hAnsiTheme="majorHAnsi" w:cs="Arial"/>
                                <w:b/>
                                <w:color w:val="0D0D0D" w:themeColor="text1" w:themeTint="F2"/>
                                <w:sz w:val="36"/>
                                <w:szCs w:val="22"/>
                                <w:lang w:val="es-ES_tradnl"/>
                              </w:rPr>
                              <w:t>358</w:t>
                            </w:r>
                            <w:r w:rsidR="00246D1F" w:rsidRPr="004E2649">
                              <w:rPr>
                                <w:rFonts w:asciiTheme="majorHAnsi" w:hAnsiTheme="majorHAnsi" w:cs="Arial"/>
                                <w:b/>
                                <w:color w:val="0D0D0D" w:themeColor="text1" w:themeTint="F2"/>
                                <w:sz w:val="36"/>
                                <w:szCs w:val="22"/>
                                <w:lang w:val="es-ES_tradnl"/>
                              </w:rPr>
                              <w:t>-</w:t>
                            </w:r>
                            <w:r w:rsidR="00A12605">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2C249EEC" w14:textId="09BD0C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13F18B7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47F415F" w14:textId="77777777" w:rsidR="005B52B0" w:rsidRPr="0010736F" w:rsidRDefault="00A126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LARIOS UGALDE</w:t>
                            </w:r>
                          </w:p>
                          <w:bookmarkEnd w:id="1"/>
                          <w:p w14:paraId="10FBB2C1" w14:textId="77777777" w:rsidR="005B52B0" w:rsidRPr="0010736F" w:rsidRDefault="00A126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2305566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37AF707" w14:textId="503D7C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B6161">
                        <w:rPr>
                          <w:rFonts w:asciiTheme="majorHAnsi" w:hAnsiTheme="majorHAnsi" w:cs="Arial"/>
                          <w:b/>
                          <w:bCs/>
                          <w:color w:val="0D0D0D" w:themeColor="text1" w:themeTint="F2"/>
                          <w:sz w:val="36"/>
                          <w:szCs w:val="22"/>
                          <w:lang w:val="es-ES_tradnl"/>
                        </w:rPr>
                        <w:t xml:space="preserve"> 15</w:t>
                      </w:r>
                      <w:r w:rsidR="007B05C4">
                        <w:rPr>
                          <w:rFonts w:asciiTheme="majorHAnsi" w:hAnsiTheme="majorHAnsi" w:cs="Arial"/>
                          <w:b/>
                          <w:bCs/>
                          <w:color w:val="0D0D0D" w:themeColor="text1" w:themeTint="F2"/>
                          <w:sz w:val="36"/>
                          <w:szCs w:val="22"/>
                          <w:lang w:val="es-ES_tradnl"/>
                        </w:rPr>
                        <w:t>/1</w:t>
                      </w:r>
                      <w:r w:rsidR="009F64B2">
                        <w:rPr>
                          <w:rFonts w:asciiTheme="majorHAnsi" w:hAnsiTheme="majorHAnsi" w:cs="Arial"/>
                          <w:b/>
                          <w:bCs/>
                          <w:color w:val="0D0D0D" w:themeColor="text1" w:themeTint="F2"/>
                          <w:sz w:val="36"/>
                          <w:szCs w:val="22"/>
                          <w:lang w:val="es-ES_tradnl"/>
                        </w:rPr>
                        <w:t>7</w:t>
                      </w:r>
                    </w:p>
                    <w:p w14:paraId="7F63A10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2605">
                        <w:rPr>
                          <w:rFonts w:asciiTheme="majorHAnsi" w:hAnsiTheme="majorHAnsi" w:cs="Arial"/>
                          <w:b/>
                          <w:color w:val="0D0D0D" w:themeColor="text1" w:themeTint="F2"/>
                          <w:sz w:val="36"/>
                          <w:szCs w:val="22"/>
                          <w:lang w:val="es-ES_tradnl"/>
                        </w:rPr>
                        <w:t>358</w:t>
                      </w:r>
                      <w:r w:rsidR="00246D1F" w:rsidRPr="004E2649">
                        <w:rPr>
                          <w:rFonts w:asciiTheme="majorHAnsi" w:hAnsiTheme="majorHAnsi" w:cs="Arial"/>
                          <w:b/>
                          <w:color w:val="0D0D0D" w:themeColor="text1" w:themeTint="F2"/>
                          <w:sz w:val="36"/>
                          <w:szCs w:val="22"/>
                          <w:lang w:val="es-ES_tradnl"/>
                        </w:rPr>
                        <w:t>-</w:t>
                      </w:r>
                      <w:r w:rsidR="00A12605">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2C249EEC" w14:textId="09BD0C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13F18B7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47F415F" w14:textId="77777777" w:rsidR="005B52B0" w:rsidRPr="0010736F" w:rsidRDefault="00A126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LARIOS UGALDE</w:t>
                      </w:r>
                    </w:p>
                    <w:bookmarkEnd w:id="1"/>
                    <w:p w14:paraId="10FBB2C1" w14:textId="77777777" w:rsidR="005B52B0" w:rsidRPr="0010736F" w:rsidRDefault="00A126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23055667" w14:textId="77777777" w:rsidR="005B52B0" w:rsidRPr="00AE5488" w:rsidRDefault="005B52B0" w:rsidP="007A5817">
                      <w:pPr>
                        <w:rPr>
                          <w:color w:val="0D0D0D" w:themeColor="text1" w:themeTint="F2"/>
                          <w:lang w:val="es-ES_tradnl"/>
                        </w:rPr>
                      </w:pPr>
                    </w:p>
                  </w:txbxContent>
                </v:textbox>
              </v:shape>
            </w:pict>
          </mc:Fallback>
        </mc:AlternateContent>
      </w:r>
      <w:r w:rsidR="004E2649" w:rsidRPr="00E90E4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DBF6206" wp14:editId="3220693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18ABC" w14:textId="6F214702" w:rsidR="00627C9F" w:rsidRPr="007A2598" w:rsidRDefault="00FB6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634363A" w14:textId="6E0EB323" w:rsidR="00627C9F" w:rsidRPr="007A2598" w:rsidRDefault="00FB6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B44D38">
                              <w:rPr>
                                <w:rFonts w:asciiTheme="minorHAnsi" w:hAnsiTheme="minorHAnsi"/>
                                <w:color w:val="FFFFFF" w:themeColor="background1"/>
                                <w:sz w:val="22"/>
                                <w:lang w:val="pt-BR"/>
                              </w:rPr>
                              <w:t xml:space="preserve"> 16</w:t>
                            </w:r>
                            <w:r>
                              <w:rPr>
                                <w:rFonts w:asciiTheme="minorHAnsi" w:hAnsiTheme="minorHAnsi"/>
                                <w:color w:val="FFFFFF" w:themeColor="background1"/>
                                <w:sz w:val="22"/>
                                <w:lang w:val="pt-BR"/>
                              </w:rPr>
                              <w:t xml:space="preserve"> </w:t>
                            </w:r>
                          </w:p>
                          <w:p w14:paraId="6C110012" w14:textId="1A11F7D6" w:rsidR="00627C9F" w:rsidRPr="00391217" w:rsidRDefault="00DA37B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27 enero </w:t>
                            </w:r>
                            <w:r w:rsidR="00627C9F" w:rsidRPr="00391217">
                              <w:rPr>
                                <w:rFonts w:asciiTheme="minorHAnsi" w:hAnsiTheme="minorHAnsi"/>
                                <w:color w:val="FFFFFF" w:themeColor="background1"/>
                                <w:sz w:val="22"/>
                                <w:lang w:val="es-ES"/>
                              </w:rPr>
                              <w:t>201</w:t>
                            </w:r>
                            <w:r>
                              <w:rPr>
                                <w:rFonts w:asciiTheme="minorHAnsi" w:hAnsiTheme="minorHAnsi"/>
                                <w:color w:val="FFFFFF" w:themeColor="background1"/>
                                <w:sz w:val="22"/>
                                <w:lang w:val="es-ES"/>
                              </w:rPr>
                              <w:t>7</w:t>
                            </w:r>
                          </w:p>
                          <w:p w14:paraId="633CAACC" w14:textId="77777777" w:rsidR="00627C9F" w:rsidRPr="00391217" w:rsidRDefault="00E0340B" w:rsidP="007A5817">
                            <w:pPr>
                              <w:spacing w:line="276" w:lineRule="auto"/>
                              <w:jc w:val="right"/>
                              <w:rPr>
                                <w:rFonts w:asciiTheme="minorHAnsi" w:hAnsiTheme="minorHAnsi"/>
                                <w:color w:val="FFFFFF" w:themeColor="background1"/>
                                <w:sz w:val="22"/>
                                <w:lang w:val="es-ES"/>
                              </w:rPr>
                            </w:pPr>
                            <w:r w:rsidRPr="00391217">
                              <w:rPr>
                                <w:rFonts w:asciiTheme="minorHAnsi" w:hAnsiTheme="minorHAnsi"/>
                                <w:color w:val="FFFFFF" w:themeColor="background1"/>
                                <w:sz w:val="22"/>
                                <w:lang w:val="es-ES"/>
                              </w:rPr>
                              <w:t xml:space="preserve">Original: </w:t>
                            </w:r>
                            <w:r w:rsidR="008B12F5" w:rsidRPr="00391217">
                              <w:rPr>
                                <w:rFonts w:asciiTheme="minorHAnsi" w:hAnsiTheme="minorHAnsi"/>
                                <w:color w:val="FFFFFF" w:themeColor="background1"/>
                                <w:sz w:val="22"/>
                                <w:lang w:val="es-ES"/>
                              </w:rPr>
                              <w:t>e</w:t>
                            </w:r>
                            <w:r w:rsidR="00627C9F" w:rsidRPr="00391217">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0018ABC" w14:textId="6F214702" w:rsidR="00627C9F" w:rsidRPr="007A2598" w:rsidRDefault="00FB6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634363A" w14:textId="6E0EB323" w:rsidR="00627C9F" w:rsidRPr="007A2598" w:rsidRDefault="00FB6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B44D38">
                        <w:rPr>
                          <w:rFonts w:asciiTheme="minorHAnsi" w:hAnsiTheme="minorHAnsi"/>
                          <w:color w:val="FFFFFF" w:themeColor="background1"/>
                          <w:sz w:val="22"/>
                          <w:lang w:val="pt-BR"/>
                        </w:rPr>
                        <w:t xml:space="preserve"> 16</w:t>
                      </w:r>
                      <w:r>
                        <w:rPr>
                          <w:rFonts w:asciiTheme="minorHAnsi" w:hAnsiTheme="minorHAnsi"/>
                          <w:color w:val="FFFFFF" w:themeColor="background1"/>
                          <w:sz w:val="22"/>
                          <w:lang w:val="pt-BR"/>
                        </w:rPr>
                        <w:t xml:space="preserve"> </w:t>
                      </w:r>
                    </w:p>
                    <w:p w14:paraId="6C110012" w14:textId="1A11F7D6" w:rsidR="00627C9F" w:rsidRPr="00391217" w:rsidRDefault="00DA37B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27 enero </w:t>
                      </w:r>
                      <w:r w:rsidR="00627C9F" w:rsidRPr="00391217">
                        <w:rPr>
                          <w:rFonts w:asciiTheme="minorHAnsi" w:hAnsiTheme="minorHAnsi"/>
                          <w:color w:val="FFFFFF" w:themeColor="background1"/>
                          <w:sz w:val="22"/>
                          <w:lang w:val="es-ES"/>
                        </w:rPr>
                        <w:t>201</w:t>
                      </w:r>
                      <w:r>
                        <w:rPr>
                          <w:rFonts w:asciiTheme="minorHAnsi" w:hAnsiTheme="minorHAnsi"/>
                          <w:color w:val="FFFFFF" w:themeColor="background1"/>
                          <w:sz w:val="22"/>
                          <w:lang w:val="es-ES"/>
                        </w:rPr>
                        <w:t>7</w:t>
                      </w:r>
                    </w:p>
                    <w:p w14:paraId="633CAACC" w14:textId="77777777" w:rsidR="00627C9F" w:rsidRPr="00391217" w:rsidRDefault="00E0340B" w:rsidP="007A5817">
                      <w:pPr>
                        <w:spacing w:line="276" w:lineRule="auto"/>
                        <w:jc w:val="right"/>
                        <w:rPr>
                          <w:rFonts w:asciiTheme="minorHAnsi" w:hAnsiTheme="minorHAnsi"/>
                          <w:color w:val="FFFFFF" w:themeColor="background1"/>
                          <w:sz w:val="22"/>
                          <w:lang w:val="es-ES"/>
                        </w:rPr>
                      </w:pPr>
                      <w:r w:rsidRPr="00391217">
                        <w:rPr>
                          <w:rFonts w:asciiTheme="minorHAnsi" w:hAnsiTheme="minorHAnsi"/>
                          <w:color w:val="FFFFFF" w:themeColor="background1"/>
                          <w:sz w:val="22"/>
                          <w:lang w:val="es-ES"/>
                        </w:rPr>
                        <w:t xml:space="preserve">Original: </w:t>
                      </w:r>
                      <w:r w:rsidR="008B12F5" w:rsidRPr="00391217">
                        <w:rPr>
                          <w:rFonts w:asciiTheme="minorHAnsi" w:hAnsiTheme="minorHAnsi"/>
                          <w:color w:val="FFFFFF" w:themeColor="background1"/>
                          <w:sz w:val="22"/>
                          <w:lang w:val="es-ES"/>
                        </w:rPr>
                        <w:t>e</w:t>
                      </w:r>
                      <w:r w:rsidR="00627C9F" w:rsidRPr="00391217">
                        <w:rPr>
                          <w:rFonts w:asciiTheme="minorHAnsi" w:hAnsiTheme="minorHAnsi"/>
                          <w:color w:val="FFFFFF" w:themeColor="background1"/>
                          <w:sz w:val="22"/>
                          <w:lang w:val="es-ES"/>
                        </w:rPr>
                        <w:t>spañol</w:t>
                      </w:r>
                    </w:p>
                  </w:txbxContent>
                </v:textbox>
              </v:shape>
            </w:pict>
          </mc:Fallback>
        </mc:AlternateContent>
      </w:r>
    </w:p>
    <w:p w14:paraId="434E2CD3"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291A6296"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7444D65A" w14:textId="77777777" w:rsidR="00040C3A" w:rsidRPr="00E90E47" w:rsidRDefault="00040C3A" w:rsidP="00040C3A">
      <w:pPr>
        <w:tabs>
          <w:tab w:val="center" w:pos="5400"/>
        </w:tabs>
        <w:suppressAutoHyphens/>
        <w:jc w:val="center"/>
        <w:rPr>
          <w:rFonts w:asciiTheme="majorHAnsi" w:hAnsiTheme="majorHAnsi" w:cs="Arial"/>
          <w:sz w:val="22"/>
          <w:szCs w:val="22"/>
          <w:lang w:val="es-ES_tradnl"/>
        </w:rPr>
      </w:pPr>
    </w:p>
    <w:p w14:paraId="0FE02DF0"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264F11C0"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4268CA1E"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491EB2CB"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39BE040B" w14:textId="77777777" w:rsidR="005128E4" w:rsidRPr="00E90E47" w:rsidRDefault="005128E4" w:rsidP="00040C3A">
      <w:pPr>
        <w:tabs>
          <w:tab w:val="center" w:pos="5400"/>
        </w:tabs>
        <w:suppressAutoHyphens/>
        <w:jc w:val="center"/>
        <w:rPr>
          <w:rFonts w:asciiTheme="majorHAnsi" w:hAnsiTheme="majorHAnsi"/>
          <w:sz w:val="22"/>
          <w:szCs w:val="22"/>
          <w:lang w:val="es-ES_tradnl"/>
        </w:rPr>
      </w:pPr>
    </w:p>
    <w:p w14:paraId="49ADDBDC"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2DD853CD" w14:textId="77777777" w:rsidR="005128E4" w:rsidRPr="00E90E47" w:rsidRDefault="005128E4" w:rsidP="00040C3A">
      <w:pPr>
        <w:tabs>
          <w:tab w:val="center" w:pos="5400"/>
        </w:tabs>
        <w:suppressAutoHyphens/>
        <w:jc w:val="center"/>
        <w:rPr>
          <w:rFonts w:asciiTheme="majorHAnsi" w:hAnsiTheme="majorHAnsi"/>
          <w:sz w:val="22"/>
          <w:szCs w:val="22"/>
          <w:lang w:val="es-ES_tradnl"/>
        </w:rPr>
      </w:pPr>
    </w:p>
    <w:p w14:paraId="5F13A0E2" w14:textId="77777777" w:rsidR="005128E4" w:rsidRPr="00E90E47" w:rsidRDefault="005128E4" w:rsidP="00040C3A">
      <w:pPr>
        <w:tabs>
          <w:tab w:val="center" w:pos="5400"/>
        </w:tabs>
        <w:suppressAutoHyphens/>
        <w:jc w:val="center"/>
        <w:rPr>
          <w:rFonts w:asciiTheme="majorHAnsi" w:hAnsiTheme="majorHAnsi"/>
          <w:sz w:val="22"/>
          <w:szCs w:val="22"/>
          <w:lang w:val="es-ES_tradnl"/>
        </w:rPr>
      </w:pPr>
    </w:p>
    <w:p w14:paraId="0F0FEDE6" w14:textId="77777777" w:rsidR="005128E4" w:rsidRPr="00E90E47" w:rsidRDefault="005128E4" w:rsidP="00040C3A">
      <w:pPr>
        <w:tabs>
          <w:tab w:val="center" w:pos="5400"/>
        </w:tabs>
        <w:suppressAutoHyphens/>
        <w:jc w:val="center"/>
        <w:rPr>
          <w:rFonts w:asciiTheme="majorHAnsi" w:hAnsiTheme="majorHAnsi"/>
          <w:sz w:val="22"/>
          <w:szCs w:val="22"/>
          <w:lang w:val="es-ES_tradnl"/>
        </w:rPr>
      </w:pPr>
    </w:p>
    <w:p w14:paraId="71264454"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6418380F" w14:textId="77777777" w:rsidR="00040C3A" w:rsidRPr="00E90E47" w:rsidRDefault="00040C3A" w:rsidP="00040C3A">
      <w:pPr>
        <w:tabs>
          <w:tab w:val="center" w:pos="5400"/>
        </w:tabs>
        <w:suppressAutoHyphens/>
        <w:jc w:val="center"/>
        <w:rPr>
          <w:rFonts w:asciiTheme="majorHAnsi" w:hAnsiTheme="majorHAnsi"/>
          <w:sz w:val="22"/>
          <w:szCs w:val="22"/>
          <w:lang w:val="es-ES_tradnl"/>
        </w:rPr>
      </w:pPr>
    </w:p>
    <w:p w14:paraId="102B86DF"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70E1D04E"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2201427D"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25607C85"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0195BC42"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6863DD75"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5A33B529"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0CB9BB2B"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4C4E08DB"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68B6A827"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425DBDE7"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214B29AD"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5B8A94C2"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6E79B82E"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4E9BB785" w14:textId="77777777" w:rsidR="00A50FCF" w:rsidRPr="00E90E47" w:rsidRDefault="0090270B" w:rsidP="00040C3A">
      <w:pPr>
        <w:tabs>
          <w:tab w:val="center" w:pos="5400"/>
        </w:tabs>
        <w:suppressAutoHyphens/>
        <w:jc w:val="center"/>
        <w:rPr>
          <w:rFonts w:asciiTheme="majorHAnsi" w:hAnsiTheme="majorHAnsi"/>
          <w:sz w:val="18"/>
          <w:szCs w:val="22"/>
          <w:lang w:val="es-ES_tradnl"/>
        </w:rPr>
      </w:pPr>
      <w:r w:rsidRPr="00E90E4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071C963" wp14:editId="4847A3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85DB5" w14:textId="2B48B11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DA37B6">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F64B2">
                              <w:rPr>
                                <w:rFonts w:asciiTheme="majorHAnsi" w:hAnsiTheme="majorHAnsi"/>
                                <w:color w:val="0D0D0D" w:themeColor="text1" w:themeTint="F2"/>
                                <w:sz w:val="18"/>
                                <w:szCs w:val="22"/>
                                <w:lang w:val="es-ES"/>
                              </w:rPr>
                              <w:t>7</w:t>
                            </w:r>
                            <w:r w:rsidR="00466599">
                              <w:rPr>
                                <w:rFonts w:asciiTheme="majorHAnsi" w:hAnsiTheme="majorHAnsi"/>
                                <w:color w:val="0D0D0D" w:themeColor="text1" w:themeTint="F2"/>
                                <w:sz w:val="18"/>
                                <w:szCs w:val="22"/>
                                <w:lang w:val="es-ES"/>
                              </w:rPr>
                              <w:t>.</w:t>
                            </w:r>
                          </w:p>
                          <w:p w14:paraId="5C3FD0F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740FA2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D485DB5" w14:textId="2B48B11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DA37B6">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F64B2">
                        <w:rPr>
                          <w:rFonts w:asciiTheme="majorHAnsi" w:hAnsiTheme="majorHAnsi"/>
                          <w:color w:val="0D0D0D" w:themeColor="text1" w:themeTint="F2"/>
                          <w:sz w:val="18"/>
                          <w:szCs w:val="22"/>
                          <w:lang w:val="es-ES"/>
                        </w:rPr>
                        <w:t>7</w:t>
                      </w:r>
                      <w:r w:rsidR="00466599">
                        <w:rPr>
                          <w:rFonts w:asciiTheme="majorHAnsi" w:hAnsiTheme="majorHAnsi"/>
                          <w:color w:val="0D0D0D" w:themeColor="text1" w:themeTint="F2"/>
                          <w:sz w:val="18"/>
                          <w:szCs w:val="22"/>
                          <w:lang w:val="es-ES"/>
                        </w:rPr>
                        <w:t>.</w:t>
                      </w:r>
                    </w:p>
                    <w:p w14:paraId="5C3FD0F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740FA2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6DC3811"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095FBA59"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387C9776"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1ECB6D60"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7D2FB7BD" w14:textId="77777777" w:rsidR="00A50FCF" w:rsidRPr="00E90E47" w:rsidRDefault="0090270B" w:rsidP="00040C3A">
      <w:pPr>
        <w:tabs>
          <w:tab w:val="center" w:pos="5400"/>
        </w:tabs>
        <w:suppressAutoHyphens/>
        <w:jc w:val="center"/>
        <w:rPr>
          <w:rFonts w:asciiTheme="majorHAnsi" w:hAnsiTheme="majorHAnsi"/>
          <w:sz w:val="18"/>
          <w:szCs w:val="22"/>
          <w:lang w:val="es-ES_tradnl"/>
        </w:rPr>
      </w:pPr>
      <w:r w:rsidRPr="00E90E4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5252A3" wp14:editId="1439381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D5964" w14:textId="72D9469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4D38">
                              <w:rPr>
                                <w:rFonts w:asciiTheme="majorHAnsi" w:hAnsiTheme="majorHAnsi"/>
                                <w:color w:val="595959" w:themeColor="text1" w:themeTint="A6"/>
                                <w:sz w:val="18"/>
                                <w:szCs w:val="18"/>
                                <w:lang w:val="pt-BR"/>
                              </w:rPr>
                              <w:t>15/17</w:t>
                            </w:r>
                            <w:r w:rsidRPr="00397A6C">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44D38">
                              <w:rPr>
                                <w:rFonts w:asciiTheme="majorHAnsi" w:hAnsiTheme="majorHAnsi"/>
                                <w:color w:val="595959" w:themeColor="text1" w:themeTint="A6"/>
                                <w:sz w:val="18"/>
                                <w:szCs w:val="18"/>
                                <w:lang w:val="es-ES_tradnl"/>
                              </w:rPr>
                              <w:t>. Miguel Ángel Larios Ugalde. Costa Rica. 27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E3D5964" w14:textId="72D9469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4D38">
                        <w:rPr>
                          <w:rFonts w:asciiTheme="majorHAnsi" w:hAnsiTheme="majorHAnsi"/>
                          <w:color w:val="595959" w:themeColor="text1" w:themeTint="A6"/>
                          <w:sz w:val="18"/>
                          <w:szCs w:val="18"/>
                          <w:lang w:val="pt-BR"/>
                        </w:rPr>
                        <w:t>15/17</w:t>
                      </w:r>
                      <w:r w:rsidRPr="00397A6C">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44D38">
                        <w:rPr>
                          <w:rFonts w:asciiTheme="majorHAnsi" w:hAnsiTheme="majorHAnsi"/>
                          <w:color w:val="595959" w:themeColor="text1" w:themeTint="A6"/>
                          <w:sz w:val="18"/>
                          <w:szCs w:val="18"/>
                          <w:lang w:val="es-ES_tradnl"/>
                        </w:rPr>
                        <w:t>. Miguel Ángel Larios Ugalde. Costa Rica. 27 de enero de 2017.</w:t>
                      </w:r>
                    </w:p>
                  </w:txbxContent>
                </v:textbox>
              </v:shape>
            </w:pict>
          </mc:Fallback>
        </mc:AlternateContent>
      </w:r>
    </w:p>
    <w:p w14:paraId="2AA8D2E2" w14:textId="77777777" w:rsidR="00A50FCF" w:rsidRPr="00E90E47" w:rsidRDefault="00A50FCF" w:rsidP="00040C3A">
      <w:pPr>
        <w:tabs>
          <w:tab w:val="center" w:pos="5400"/>
        </w:tabs>
        <w:suppressAutoHyphens/>
        <w:jc w:val="center"/>
        <w:rPr>
          <w:rFonts w:asciiTheme="majorHAnsi" w:hAnsiTheme="majorHAnsi"/>
          <w:sz w:val="18"/>
          <w:szCs w:val="22"/>
          <w:lang w:val="es-ES_tradnl"/>
        </w:rPr>
      </w:pPr>
    </w:p>
    <w:p w14:paraId="29AF0072" w14:textId="77777777" w:rsidR="0090270B" w:rsidRPr="00E90E47" w:rsidRDefault="00D306D1" w:rsidP="005516A1">
      <w:pPr>
        <w:tabs>
          <w:tab w:val="center" w:pos="5400"/>
        </w:tabs>
        <w:suppressAutoHyphens/>
        <w:jc w:val="center"/>
        <w:rPr>
          <w:rFonts w:asciiTheme="majorHAnsi" w:hAnsiTheme="majorHAnsi"/>
          <w:b/>
          <w:sz w:val="20"/>
          <w:lang w:val="es-ES_tradnl"/>
        </w:rPr>
      </w:pPr>
      <w:r w:rsidRPr="00E90E4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229B460" wp14:editId="44F9C7E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DC12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9CA0350" wp14:editId="15EDDB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5EDC12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9CA0350" wp14:editId="15EDDB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90E4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D76BAAA" wp14:editId="0EE3EC1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15D2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3115D2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9B0CECF" w14:textId="77777777" w:rsidR="0070697F" w:rsidRPr="00E90E47" w:rsidRDefault="0070697F" w:rsidP="005516A1">
      <w:pPr>
        <w:tabs>
          <w:tab w:val="center" w:pos="5400"/>
        </w:tabs>
        <w:suppressAutoHyphens/>
        <w:jc w:val="center"/>
        <w:rPr>
          <w:rFonts w:asciiTheme="majorHAnsi" w:hAnsiTheme="majorHAnsi"/>
          <w:b/>
          <w:sz w:val="20"/>
          <w:lang w:val="es-ES_tradnl"/>
        </w:rPr>
        <w:sectPr w:rsidR="0070697F" w:rsidRPr="00E90E4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EFABA48" w14:textId="69E659CB" w:rsidR="00722C9F" w:rsidRPr="00E90E47" w:rsidRDefault="00B44D38" w:rsidP="00466599">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15</w:t>
      </w:r>
      <w:r w:rsidR="00722C9F" w:rsidRPr="00E90E47">
        <w:rPr>
          <w:rFonts w:asciiTheme="majorHAnsi" w:hAnsiTheme="majorHAnsi"/>
          <w:b/>
          <w:sz w:val="18"/>
          <w:szCs w:val="20"/>
          <w:lang w:val="es-ES_tradnl"/>
        </w:rPr>
        <w:t>/1</w:t>
      </w:r>
      <w:r w:rsidR="009F64B2" w:rsidRPr="00E90E47">
        <w:rPr>
          <w:rFonts w:asciiTheme="majorHAnsi" w:hAnsiTheme="majorHAnsi"/>
          <w:b/>
          <w:sz w:val="18"/>
          <w:szCs w:val="20"/>
          <w:lang w:val="es-ES_tradnl"/>
        </w:rPr>
        <w:t>7</w:t>
      </w:r>
    </w:p>
    <w:p w14:paraId="03C94941" w14:textId="77777777" w:rsidR="00722C9F" w:rsidRPr="00E90E47" w:rsidRDefault="00722C9F" w:rsidP="00466599">
      <w:pPr>
        <w:tabs>
          <w:tab w:val="center" w:pos="5400"/>
        </w:tabs>
        <w:suppressAutoHyphens/>
        <w:jc w:val="center"/>
        <w:rPr>
          <w:rFonts w:asciiTheme="majorHAnsi" w:hAnsiTheme="majorHAnsi"/>
          <w:b/>
          <w:sz w:val="18"/>
          <w:szCs w:val="20"/>
          <w:lang w:val="es-ES_tradnl"/>
        </w:rPr>
      </w:pPr>
      <w:r w:rsidRPr="00E90E47">
        <w:rPr>
          <w:rFonts w:asciiTheme="majorHAnsi" w:hAnsiTheme="majorHAnsi"/>
          <w:b/>
          <w:sz w:val="18"/>
          <w:szCs w:val="20"/>
          <w:lang w:val="es-ES_tradnl"/>
        </w:rPr>
        <w:t xml:space="preserve">PETICIÓN </w:t>
      </w:r>
      <w:r w:rsidR="00A12605" w:rsidRPr="00E90E47">
        <w:rPr>
          <w:rFonts w:asciiTheme="majorHAnsi" w:hAnsiTheme="majorHAnsi"/>
          <w:b/>
          <w:sz w:val="18"/>
          <w:szCs w:val="20"/>
          <w:lang w:val="es-ES_tradnl"/>
        </w:rPr>
        <w:t>358</w:t>
      </w:r>
      <w:r w:rsidRPr="00E90E47">
        <w:rPr>
          <w:rFonts w:asciiTheme="majorHAnsi" w:hAnsiTheme="majorHAnsi"/>
          <w:b/>
          <w:sz w:val="18"/>
          <w:szCs w:val="20"/>
          <w:lang w:val="es-ES_tradnl"/>
        </w:rPr>
        <w:t>-</w:t>
      </w:r>
      <w:r w:rsidR="00A12605" w:rsidRPr="00E90E47">
        <w:rPr>
          <w:rFonts w:asciiTheme="majorHAnsi" w:hAnsiTheme="majorHAnsi"/>
          <w:b/>
          <w:sz w:val="18"/>
          <w:szCs w:val="20"/>
          <w:lang w:val="es-ES_tradnl"/>
        </w:rPr>
        <w:t>07</w:t>
      </w:r>
      <w:r w:rsidRPr="00E90E47">
        <w:rPr>
          <w:rFonts w:asciiTheme="majorHAnsi" w:hAnsiTheme="majorHAnsi"/>
          <w:b/>
          <w:sz w:val="18"/>
          <w:szCs w:val="20"/>
          <w:lang w:val="es-ES_tradnl"/>
        </w:rPr>
        <w:t xml:space="preserve"> </w:t>
      </w:r>
    </w:p>
    <w:p w14:paraId="5C0C0812" w14:textId="348988FF" w:rsidR="00722C9F" w:rsidRPr="00E90E47" w:rsidRDefault="00722C9F" w:rsidP="00466599">
      <w:pPr>
        <w:tabs>
          <w:tab w:val="center" w:pos="5400"/>
        </w:tabs>
        <w:suppressAutoHyphens/>
        <w:jc w:val="center"/>
        <w:rPr>
          <w:rFonts w:asciiTheme="majorHAnsi" w:hAnsiTheme="majorHAnsi"/>
          <w:sz w:val="18"/>
          <w:szCs w:val="20"/>
          <w:lang w:val="es-ES_tradnl"/>
        </w:rPr>
      </w:pPr>
      <w:r w:rsidRPr="00E90E47">
        <w:rPr>
          <w:rFonts w:asciiTheme="majorHAnsi" w:hAnsiTheme="majorHAnsi"/>
          <w:sz w:val="18"/>
          <w:szCs w:val="20"/>
          <w:lang w:val="es-ES_tradnl"/>
        </w:rPr>
        <w:t>INFORME DE A</w:t>
      </w:r>
      <w:r w:rsidR="005A24ED" w:rsidRPr="00E90E47">
        <w:rPr>
          <w:rFonts w:asciiTheme="majorHAnsi" w:hAnsiTheme="majorHAnsi"/>
          <w:sz w:val="18"/>
          <w:szCs w:val="20"/>
          <w:lang w:val="es-ES_tradnl"/>
        </w:rPr>
        <w:t>DMISIBILIDAD</w:t>
      </w:r>
    </w:p>
    <w:p w14:paraId="549E82FD" w14:textId="77777777" w:rsidR="00722C9F" w:rsidRPr="00E90E47" w:rsidRDefault="00A12605" w:rsidP="00466599">
      <w:pPr>
        <w:tabs>
          <w:tab w:val="center" w:pos="5400"/>
        </w:tabs>
        <w:suppressAutoHyphens/>
        <w:jc w:val="center"/>
        <w:rPr>
          <w:rFonts w:asciiTheme="majorHAnsi" w:hAnsiTheme="majorHAnsi"/>
          <w:sz w:val="18"/>
          <w:szCs w:val="20"/>
          <w:lang w:val="es-ES_tradnl"/>
        </w:rPr>
      </w:pPr>
      <w:r w:rsidRPr="00E90E47">
        <w:rPr>
          <w:rFonts w:asciiTheme="majorHAnsi" w:hAnsiTheme="majorHAnsi"/>
          <w:sz w:val="18"/>
          <w:szCs w:val="20"/>
          <w:lang w:val="es-ES_tradnl"/>
        </w:rPr>
        <w:t>MIGUEL ÁNGEL LARIOS UGALDE</w:t>
      </w:r>
    </w:p>
    <w:p w14:paraId="601405B1" w14:textId="77777777" w:rsidR="0070697F" w:rsidRPr="00E90E47" w:rsidRDefault="00A12605" w:rsidP="00466599">
      <w:pPr>
        <w:tabs>
          <w:tab w:val="center" w:pos="5400"/>
        </w:tabs>
        <w:suppressAutoHyphens/>
        <w:jc w:val="center"/>
        <w:rPr>
          <w:rFonts w:asciiTheme="majorHAnsi" w:hAnsiTheme="majorHAnsi"/>
          <w:sz w:val="18"/>
          <w:szCs w:val="20"/>
          <w:lang w:val="es-ES_tradnl"/>
        </w:rPr>
      </w:pPr>
      <w:r w:rsidRPr="00E90E47">
        <w:rPr>
          <w:rFonts w:asciiTheme="majorHAnsi" w:hAnsiTheme="majorHAnsi"/>
          <w:sz w:val="18"/>
          <w:szCs w:val="20"/>
          <w:lang w:val="es-ES_tradnl"/>
        </w:rPr>
        <w:t>COSTA RICA</w:t>
      </w:r>
    </w:p>
    <w:p w14:paraId="7B2B32B6" w14:textId="3DBD98BD" w:rsidR="00722C9F" w:rsidRDefault="00B44D38" w:rsidP="00466599">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14:paraId="21FD2C8B" w14:textId="77777777" w:rsidR="00B44D38" w:rsidRDefault="00B44D38" w:rsidP="00466599">
      <w:pPr>
        <w:tabs>
          <w:tab w:val="center" w:pos="5400"/>
        </w:tabs>
        <w:suppressAutoHyphens/>
        <w:jc w:val="center"/>
        <w:rPr>
          <w:rFonts w:asciiTheme="majorHAnsi" w:hAnsiTheme="majorHAnsi"/>
          <w:sz w:val="18"/>
          <w:szCs w:val="20"/>
          <w:lang w:val="es-ES_tradnl"/>
        </w:rPr>
      </w:pPr>
    </w:p>
    <w:p w14:paraId="6DFF7335" w14:textId="77777777" w:rsidR="00B44D38" w:rsidRPr="00E90E47" w:rsidRDefault="00B44D38" w:rsidP="00B44D38">
      <w:pPr>
        <w:tabs>
          <w:tab w:val="center" w:pos="5400"/>
        </w:tabs>
        <w:suppressAutoHyphens/>
        <w:spacing w:line="276" w:lineRule="auto"/>
        <w:rPr>
          <w:rFonts w:asciiTheme="majorHAnsi" w:hAnsiTheme="majorHAnsi"/>
          <w:sz w:val="18"/>
          <w:szCs w:val="20"/>
          <w:lang w:val="es-ES_tradnl"/>
        </w:rPr>
      </w:pPr>
    </w:p>
    <w:p w14:paraId="57A865EB" w14:textId="7E1C66A0" w:rsidR="003239B8" w:rsidRPr="00E90E47" w:rsidRDefault="003239B8" w:rsidP="003239B8">
      <w:pPr>
        <w:spacing w:after="240"/>
        <w:ind w:firstLine="720"/>
        <w:jc w:val="both"/>
        <w:rPr>
          <w:rFonts w:asciiTheme="majorHAnsi" w:hAnsiTheme="majorHAnsi"/>
          <w:b/>
          <w:bCs/>
          <w:sz w:val="20"/>
          <w:szCs w:val="20"/>
          <w:lang w:val="es-ES"/>
        </w:rPr>
      </w:pPr>
      <w:r w:rsidRPr="00E90E47">
        <w:rPr>
          <w:rFonts w:asciiTheme="majorHAnsi" w:hAnsiTheme="majorHAnsi"/>
          <w:b/>
          <w:bCs/>
          <w:sz w:val="20"/>
          <w:szCs w:val="20"/>
          <w:lang w:val="es-ES"/>
        </w:rPr>
        <w:t>I.</w:t>
      </w:r>
      <w:r w:rsidRPr="00E90E4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90E47" w14:paraId="1A96B0A6" w14:textId="77777777" w:rsidTr="008D2290">
        <w:tc>
          <w:tcPr>
            <w:tcW w:w="4680" w:type="dxa"/>
            <w:tcBorders>
              <w:top w:val="single" w:sz="4" w:space="0" w:color="auto"/>
              <w:bottom w:val="single" w:sz="6" w:space="0" w:color="auto"/>
            </w:tcBorders>
            <w:shd w:val="clear" w:color="auto" w:fill="386294"/>
            <w:vAlign w:val="center"/>
          </w:tcPr>
          <w:p w14:paraId="725AC56E" w14:textId="77777777" w:rsidR="003239B8" w:rsidRPr="00E90E47" w:rsidRDefault="003239B8" w:rsidP="008D2290">
            <w:pPr>
              <w:jc w:val="center"/>
              <w:rPr>
                <w:rFonts w:ascii="Cambria" w:hAnsi="Cambria"/>
                <w:b/>
                <w:bCs/>
                <w:color w:val="FFFFFF" w:themeColor="background1"/>
                <w:sz w:val="20"/>
                <w:szCs w:val="20"/>
              </w:rPr>
            </w:pPr>
            <w:r w:rsidRPr="00B44D38">
              <w:rPr>
                <w:rFonts w:ascii="Cambria" w:hAnsi="Cambria"/>
                <w:b/>
                <w:bCs/>
                <w:color w:val="FFFFFF" w:themeColor="background1"/>
                <w:sz w:val="20"/>
                <w:szCs w:val="20"/>
                <w:lang w:val="es-ES"/>
              </w:rPr>
              <w:t>Parte peticionar</w:t>
            </w:r>
            <w:r w:rsidRPr="00E90E47">
              <w:rPr>
                <w:rFonts w:ascii="Cambria" w:hAnsi="Cambria"/>
                <w:b/>
                <w:bCs/>
                <w:color w:val="FFFFFF" w:themeColor="background1"/>
                <w:sz w:val="20"/>
                <w:szCs w:val="20"/>
              </w:rPr>
              <w:t>ia:</w:t>
            </w:r>
          </w:p>
        </w:tc>
        <w:tc>
          <w:tcPr>
            <w:tcW w:w="4680" w:type="dxa"/>
            <w:vAlign w:val="center"/>
          </w:tcPr>
          <w:p w14:paraId="1F54FDBB" w14:textId="77777777" w:rsidR="003239B8" w:rsidRPr="00E90E47" w:rsidRDefault="004433A3" w:rsidP="008D2290">
            <w:pPr>
              <w:jc w:val="both"/>
              <w:rPr>
                <w:rFonts w:ascii="Cambria" w:hAnsi="Cambria"/>
                <w:bCs/>
                <w:sz w:val="20"/>
                <w:szCs w:val="20"/>
              </w:rPr>
            </w:pPr>
            <w:r w:rsidRPr="00E90E47">
              <w:rPr>
                <w:rFonts w:ascii="Cambria" w:hAnsi="Cambria"/>
                <w:bCs/>
                <w:sz w:val="20"/>
                <w:szCs w:val="20"/>
              </w:rPr>
              <w:t>Jorge Enrique Infante Rojas y Miguel Ángel Larios Ugalde</w:t>
            </w:r>
          </w:p>
        </w:tc>
      </w:tr>
      <w:tr w:rsidR="003239B8" w:rsidRPr="00E90E47" w14:paraId="452EF62D" w14:textId="77777777" w:rsidTr="008D2290">
        <w:tc>
          <w:tcPr>
            <w:tcW w:w="4680" w:type="dxa"/>
            <w:tcBorders>
              <w:top w:val="single" w:sz="6" w:space="0" w:color="auto"/>
              <w:bottom w:val="single" w:sz="6" w:space="0" w:color="auto"/>
            </w:tcBorders>
            <w:shd w:val="clear" w:color="auto" w:fill="386294"/>
            <w:vAlign w:val="center"/>
          </w:tcPr>
          <w:p w14:paraId="22038F3F" w14:textId="77777777" w:rsidR="003239B8" w:rsidRPr="00E90E47" w:rsidRDefault="00BD04E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90E47">
                  <w:rPr>
                    <w:rFonts w:ascii="Cambria" w:hAnsi="Cambria"/>
                    <w:b/>
                    <w:bCs/>
                    <w:color w:val="FFFFFF" w:themeColor="background1"/>
                    <w:sz w:val="20"/>
                    <w:szCs w:val="20"/>
                  </w:rPr>
                  <w:t>Presunta víctima</w:t>
                </w:r>
              </w:sdtContent>
            </w:sdt>
            <w:r w:rsidR="003239B8" w:rsidRPr="00E90E47">
              <w:rPr>
                <w:rFonts w:ascii="Cambria" w:hAnsi="Cambria"/>
                <w:b/>
                <w:bCs/>
                <w:color w:val="FFFFFF" w:themeColor="background1"/>
                <w:sz w:val="20"/>
                <w:szCs w:val="20"/>
              </w:rPr>
              <w:t>:</w:t>
            </w:r>
          </w:p>
        </w:tc>
        <w:tc>
          <w:tcPr>
            <w:tcW w:w="4680" w:type="dxa"/>
            <w:vAlign w:val="center"/>
          </w:tcPr>
          <w:p w14:paraId="7D9B2D8A" w14:textId="77777777" w:rsidR="003239B8" w:rsidRPr="00E90E47" w:rsidRDefault="004433A3" w:rsidP="008D2290">
            <w:pPr>
              <w:jc w:val="both"/>
              <w:rPr>
                <w:rFonts w:ascii="Cambria" w:hAnsi="Cambria"/>
                <w:bCs/>
                <w:sz w:val="20"/>
                <w:szCs w:val="20"/>
              </w:rPr>
            </w:pPr>
            <w:r w:rsidRPr="00E90E47">
              <w:rPr>
                <w:rFonts w:ascii="Cambria" w:hAnsi="Cambria"/>
                <w:bCs/>
                <w:sz w:val="20"/>
                <w:szCs w:val="20"/>
              </w:rPr>
              <w:t>Miguel Ángel Larios Ugalde</w:t>
            </w:r>
          </w:p>
        </w:tc>
      </w:tr>
      <w:tr w:rsidR="003239B8" w:rsidRPr="00E90E47" w14:paraId="6AFEA5A0" w14:textId="77777777" w:rsidTr="008D2290">
        <w:tc>
          <w:tcPr>
            <w:tcW w:w="4680" w:type="dxa"/>
            <w:tcBorders>
              <w:top w:val="single" w:sz="6" w:space="0" w:color="auto"/>
              <w:bottom w:val="single" w:sz="6" w:space="0" w:color="auto"/>
            </w:tcBorders>
            <w:shd w:val="clear" w:color="auto" w:fill="386294"/>
            <w:vAlign w:val="center"/>
          </w:tcPr>
          <w:p w14:paraId="35A6FDAE" w14:textId="77777777" w:rsidR="003239B8" w:rsidRPr="00E90E47" w:rsidRDefault="003239B8"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rPr>
              <w:t>Estado denunciado:</w:t>
            </w:r>
          </w:p>
        </w:tc>
        <w:tc>
          <w:tcPr>
            <w:tcW w:w="4680" w:type="dxa"/>
            <w:vAlign w:val="center"/>
          </w:tcPr>
          <w:p w14:paraId="625ED42D" w14:textId="77777777" w:rsidR="003239B8" w:rsidRPr="00E90E47" w:rsidRDefault="004433A3" w:rsidP="008D2290">
            <w:pPr>
              <w:jc w:val="both"/>
              <w:rPr>
                <w:rFonts w:ascii="Cambria" w:hAnsi="Cambria"/>
                <w:bCs/>
                <w:sz w:val="20"/>
                <w:szCs w:val="20"/>
              </w:rPr>
            </w:pPr>
            <w:r w:rsidRPr="00E90E47">
              <w:rPr>
                <w:rFonts w:ascii="Cambria" w:hAnsi="Cambria"/>
                <w:bCs/>
                <w:sz w:val="20"/>
                <w:szCs w:val="20"/>
              </w:rPr>
              <w:t>Costa Rica</w:t>
            </w:r>
          </w:p>
        </w:tc>
      </w:tr>
      <w:tr w:rsidR="00686259" w:rsidRPr="00466599" w14:paraId="724B4215" w14:textId="77777777" w:rsidTr="008D2290">
        <w:tc>
          <w:tcPr>
            <w:tcW w:w="4680" w:type="dxa"/>
            <w:tcBorders>
              <w:top w:val="single" w:sz="6" w:space="0" w:color="auto"/>
              <w:bottom w:val="single" w:sz="6" w:space="0" w:color="auto"/>
            </w:tcBorders>
            <w:shd w:val="clear" w:color="auto" w:fill="386294"/>
            <w:vAlign w:val="center"/>
          </w:tcPr>
          <w:p w14:paraId="4624DED0" w14:textId="77777777" w:rsidR="00686259" w:rsidRPr="00E90E47" w:rsidRDefault="00686259"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rPr>
              <w:t>Derechos invocados:</w:t>
            </w:r>
          </w:p>
        </w:tc>
        <w:tc>
          <w:tcPr>
            <w:tcW w:w="4680" w:type="dxa"/>
            <w:vAlign w:val="center"/>
          </w:tcPr>
          <w:p w14:paraId="0F84BCCA" w14:textId="66BD6431" w:rsidR="00686259" w:rsidRPr="00E90E47" w:rsidRDefault="004D3D15" w:rsidP="008D2290">
            <w:pPr>
              <w:jc w:val="both"/>
              <w:rPr>
                <w:rFonts w:ascii="Cambria" w:hAnsi="Cambria"/>
                <w:bCs/>
                <w:sz w:val="20"/>
                <w:szCs w:val="20"/>
                <w:lang w:val="es-BO"/>
              </w:rPr>
            </w:pPr>
            <w:r w:rsidRPr="00E90E47">
              <w:rPr>
                <w:rFonts w:ascii="Cambria" w:hAnsi="Cambria"/>
                <w:bCs/>
                <w:sz w:val="20"/>
                <w:szCs w:val="20"/>
                <w:lang w:val="es-BO"/>
              </w:rPr>
              <w:t>Artículos 8 (garantías judiciales) y 23 (derechos políticos) de la Convención Americana sobre Derechos Humanos</w:t>
            </w:r>
            <w:r w:rsidR="000E4AF8" w:rsidRPr="00E90E47">
              <w:rPr>
                <w:rStyle w:val="FootnoteReference"/>
                <w:rFonts w:ascii="Cambria" w:hAnsi="Cambria"/>
                <w:bCs/>
                <w:sz w:val="20"/>
                <w:szCs w:val="20"/>
                <w:lang w:val="es-BO"/>
              </w:rPr>
              <w:footnoteReference w:id="2"/>
            </w:r>
            <w:r w:rsidR="003B40F5" w:rsidRPr="00E90E47">
              <w:rPr>
                <w:rFonts w:ascii="Cambria" w:hAnsi="Cambria"/>
                <w:bCs/>
                <w:sz w:val="20"/>
                <w:szCs w:val="20"/>
                <w:lang w:val="es-BO"/>
              </w:rPr>
              <w:t>; a</w:t>
            </w:r>
            <w:r w:rsidRPr="00E90E47">
              <w:rPr>
                <w:rFonts w:ascii="Cambria" w:hAnsi="Cambria"/>
                <w:bCs/>
                <w:sz w:val="20"/>
                <w:szCs w:val="20"/>
                <w:lang w:val="es-BO"/>
              </w:rPr>
              <w:t xml:space="preserve">rtículo 7 del Protocolo </w:t>
            </w:r>
            <w:r w:rsidR="001C7EC9" w:rsidRPr="00E90E47">
              <w:rPr>
                <w:rFonts w:ascii="Cambria" w:hAnsi="Cambria"/>
                <w:bCs/>
                <w:sz w:val="20"/>
                <w:szCs w:val="20"/>
                <w:lang w:val="es-BO"/>
              </w:rPr>
              <w:t>de San Salvador; y</w:t>
            </w:r>
            <w:r w:rsidRPr="00E90E47">
              <w:rPr>
                <w:rFonts w:ascii="Cambria" w:hAnsi="Cambria"/>
                <w:bCs/>
                <w:sz w:val="20"/>
                <w:szCs w:val="20"/>
                <w:lang w:val="es-BO"/>
              </w:rPr>
              <w:t xml:space="preserve"> otros instrumentos </w:t>
            </w:r>
            <w:r w:rsidR="000E4AF8" w:rsidRPr="00E90E47">
              <w:rPr>
                <w:rFonts w:ascii="Cambria" w:hAnsi="Cambria"/>
                <w:bCs/>
                <w:sz w:val="20"/>
                <w:szCs w:val="20"/>
                <w:lang w:val="es-BO"/>
              </w:rPr>
              <w:t>de Derecho Internacional de Derechos Humanos</w:t>
            </w:r>
          </w:p>
        </w:tc>
      </w:tr>
    </w:tbl>
    <w:p w14:paraId="4C332261" w14:textId="5D490486" w:rsidR="003239B8" w:rsidRPr="00E90E47" w:rsidRDefault="003239B8" w:rsidP="003239B8">
      <w:pPr>
        <w:spacing w:before="240" w:after="240"/>
        <w:ind w:firstLine="720"/>
        <w:jc w:val="both"/>
        <w:rPr>
          <w:rFonts w:asciiTheme="majorHAnsi" w:hAnsiTheme="majorHAnsi"/>
          <w:b/>
          <w:bCs/>
          <w:sz w:val="20"/>
          <w:szCs w:val="20"/>
          <w:lang w:val="es-ES"/>
        </w:rPr>
      </w:pPr>
      <w:r w:rsidRPr="00E90E47">
        <w:rPr>
          <w:rFonts w:asciiTheme="majorHAnsi" w:hAnsiTheme="majorHAnsi"/>
          <w:b/>
          <w:bCs/>
          <w:sz w:val="20"/>
          <w:szCs w:val="20"/>
          <w:lang w:val="es-ES"/>
        </w:rPr>
        <w:t>II.</w:t>
      </w:r>
      <w:r w:rsidRPr="00E90E47">
        <w:rPr>
          <w:rFonts w:asciiTheme="majorHAnsi" w:hAnsiTheme="majorHAnsi"/>
          <w:b/>
          <w:bCs/>
          <w:sz w:val="20"/>
          <w:szCs w:val="20"/>
          <w:lang w:val="es-ES"/>
        </w:rPr>
        <w:tab/>
        <w:t>TRÁMITE ANTE LA CIDH</w:t>
      </w:r>
      <w:r w:rsidR="007A2598" w:rsidRPr="00E90E47">
        <w:rPr>
          <w:rStyle w:val="FootnoteReference"/>
          <w:rFonts w:asciiTheme="majorHAnsi" w:hAnsiTheme="majorHAnsi"/>
          <w:b/>
          <w:bCs/>
          <w:sz w:val="20"/>
          <w:szCs w:val="20"/>
          <w:lang w:val="es-ES"/>
        </w:rPr>
        <w:footnoteReference w:id="3"/>
      </w:r>
      <w:r w:rsidR="00686259" w:rsidRPr="00E90E47">
        <w:rPr>
          <w:rStyle w:val="FootnoteReference"/>
          <w:rFonts w:ascii="Cambria" w:hAnsi="Cambria"/>
          <w:b/>
          <w:color w:val="FFFFFF" w:themeColor="background1"/>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90E47" w14:paraId="5B03538B" w14:textId="77777777" w:rsidTr="008D2290">
        <w:tc>
          <w:tcPr>
            <w:tcW w:w="4680" w:type="dxa"/>
            <w:tcBorders>
              <w:top w:val="single" w:sz="6" w:space="0" w:color="auto"/>
              <w:bottom w:val="single" w:sz="6" w:space="0" w:color="auto"/>
            </w:tcBorders>
            <w:shd w:val="clear" w:color="auto" w:fill="386294"/>
            <w:vAlign w:val="center"/>
          </w:tcPr>
          <w:p w14:paraId="60BABBBA" w14:textId="77777777" w:rsidR="003239B8" w:rsidRPr="00E90E47" w:rsidRDefault="003239B8" w:rsidP="008D2290">
            <w:pPr>
              <w:jc w:val="center"/>
              <w:rPr>
                <w:rFonts w:ascii="Cambria" w:hAnsi="Cambria"/>
                <w:b/>
                <w:bCs/>
                <w:color w:val="FFFFFF" w:themeColor="background1"/>
                <w:sz w:val="20"/>
                <w:szCs w:val="20"/>
                <w:lang w:val="es-ES"/>
              </w:rPr>
            </w:pPr>
            <w:r w:rsidRPr="00E90E47">
              <w:rPr>
                <w:rFonts w:ascii="Cambria" w:hAnsi="Cambria"/>
                <w:b/>
                <w:bCs/>
                <w:color w:val="FFFFFF" w:themeColor="background1"/>
                <w:sz w:val="20"/>
                <w:szCs w:val="20"/>
                <w:lang w:val="es-ES"/>
              </w:rPr>
              <w:t>Fecha de presentación de la petición:</w:t>
            </w:r>
          </w:p>
        </w:tc>
        <w:tc>
          <w:tcPr>
            <w:tcW w:w="4680" w:type="dxa"/>
            <w:vAlign w:val="center"/>
          </w:tcPr>
          <w:p w14:paraId="76C0BC43" w14:textId="77777777" w:rsidR="003239B8" w:rsidRPr="00E90E47" w:rsidRDefault="004433A3" w:rsidP="005C234A">
            <w:pPr>
              <w:jc w:val="both"/>
              <w:rPr>
                <w:rFonts w:ascii="Cambria" w:hAnsi="Cambria"/>
                <w:bCs/>
                <w:sz w:val="20"/>
                <w:szCs w:val="20"/>
                <w:lang w:val="es-ES"/>
              </w:rPr>
            </w:pPr>
            <w:r w:rsidRPr="00E90E47">
              <w:rPr>
                <w:rFonts w:ascii="Cambria" w:hAnsi="Cambria"/>
                <w:bCs/>
                <w:sz w:val="20"/>
                <w:szCs w:val="20"/>
                <w:lang w:val="es-ES"/>
              </w:rPr>
              <w:t>23 de marzo de 2007</w:t>
            </w:r>
          </w:p>
        </w:tc>
      </w:tr>
      <w:tr w:rsidR="003239B8" w:rsidRPr="00466599" w14:paraId="7BC56617" w14:textId="77777777" w:rsidTr="008D2290">
        <w:tc>
          <w:tcPr>
            <w:tcW w:w="4680" w:type="dxa"/>
            <w:tcBorders>
              <w:top w:val="single" w:sz="6" w:space="0" w:color="auto"/>
              <w:bottom w:val="single" w:sz="6" w:space="0" w:color="auto"/>
            </w:tcBorders>
            <w:shd w:val="clear" w:color="auto" w:fill="386294"/>
            <w:vAlign w:val="center"/>
          </w:tcPr>
          <w:p w14:paraId="29A8E96B" w14:textId="77777777" w:rsidR="003239B8" w:rsidRPr="00E90E47" w:rsidRDefault="003239B8" w:rsidP="008D2290">
            <w:pPr>
              <w:jc w:val="center"/>
              <w:rPr>
                <w:rFonts w:ascii="Cambria" w:hAnsi="Cambria"/>
                <w:b/>
                <w:color w:val="FFFFFF" w:themeColor="background1"/>
                <w:sz w:val="20"/>
                <w:szCs w:val="20"/>
                <w:lang w:val="es-ES"/>
              </w:rPr>
            </w:pPr>
            <w:r w:rsidRPr="00E90E47">
              <w:rPr>
                <w:rFonts w:ascii="Cambria" w:hAnsi="Cambria"/>
                <w:b/>
                <w:color w:val="FFFFFF" w:themeColor="background1"/>
                <w:sz w:val="20"/>
                <w:szCs w:val="20"/>
                <w:lang w:val="es-ES"/>
              </w:rPr>
              <w:t>Información adicional recibida durante la etapa de estudio:</w:t>
            </w:r>
          </w:p>
        </w:tc>
        <w:tc>
          <w:tcPr>
            <w:tcW w:w="4680" w:type="dxa"/>
            <w:vAlign w:val="center"/>
          </w:tcPr>
          <w:p w14:paraId="500F7341" w14:textId="2998299C" w:rsidR="003239B8" w:rsidRPr="00E90E47" w:rsidRDefault="005C234A" w:rsidP="005C234A">
            <w:pPr>
              <w:jc w:val="both"/>
              <w:rPr>
                <w:rFonts w:ascii="Cambria" w:hAnsi="Cambria"/>
                <w:bCs/>
                <w:sz w:val="20"/>
                <w:szCs w:val="20"/>
                <w:lang w:val="es-ES"/>
              </w:rPr>
            </w:pPr>
            <w:r w:rsidRPr="00E90E47">
              <w:rPr>
                <w:rFonts w:ascii="Cambria" w:hAnsi="Cambria"/>
                <w:bCs/>
                <w:sz w:val="20"/>
                <w:szCs w:val="20"/>
                <w:lang w:val="es-ES"/>
              </w:rPr>
              <w:t>10 de abril de 2007</w:t>
            </w:r>
            <w:r w:rsidR="001C7EC9" w:rsidRPr="00E90E47">
              <w:rPr>
                <w:rFonts w:ascii="Cambria" w:hAnsi="Cambria"/>
                <w:bCs/>
                <w:sz w:val="20"/>
                <w:szCs w:val="20"/>
                <w:lang w:val="es-ES"/>
              </w:rPr>
              <w:t xml:space="preserve"> y</w:t>
            </w:r>
            <w:r w:rsidRPr="00E90E47">
              <w:rPr>
                <w:rFonts w:ascii="Cambria" w:hAnsi="Cambria"/>
                <w:bCs/>
                <w:sz w:val="20"/>
                <w:szCs w:val="20"/>
                <w:lang w:val="es-ES"/>
              </w:rPr>
              <w:t xml:space="preserve"> 15 de febrero de 2008</w:t>
            </w:r>
          </w:p>
        </w:tc>
      </w:tr>
      <w:tr w:rsidR="003239B8" w:rsidRPr="00E90E47" w14:paraId="0CD6A88D" w14:textId="77777777" w:rsidTr="008D2290">
        <w:tc>
          <w:tcPr>
            <w:tcW w:w="4680" w:type="dxa"/>
            <w:tcBorders>
              <w:top w:val="single" w:sz="6" w:space="0" w:color="auto"/>
              <w:bottom w:val="single" w:sz="6" w:space="0" w:color="auto"/>
            </w:tcBorders>
            <w:shd w:val="clear" w:color="auto" w:fill="386294"/>
            <w:vAlign w:val="center"/>
          </w:tcPr>
          <w:p w14:paraId="5EEA8C9F" w14:textId="77777777" w:rsidR="003239B8" w:rsidRPr="00E90E47" w:rsidRDefault="003239B8" w:rsidP="008D2290">
            <w:pPr>
              <w:jc w:val="center"/>
              <w:rPr>
                <w:rFonts w:ascii="Cambria" w:hAnsi="Cambria"/>
                <w:b/>
                <w:bCs/>
                <w:color w:val="FFFFFF" w:themeColor="background1"/>
                <w:sz w:val="20"/>
                <w:szCs w:val="20"/>
                <w:lang w:val="es-ES"/>
              </w:rPr>
            </w:pPr>
            <w:r w:rsidRPr="00E90E47">
              <w:rPr>
                <w:rFonts w:ascii="Cambria" w:hAnsi="Cambria"/>
                <w:b/>
                <w:color w:val="FFFFFF" w:themeColor="background1"/>
                <w:sz w:val="20"/>
                <w:szCs w:val="20"/>
                <w:lang w:val="es-ES"/>
              </w:rPr>
              <w:t>Fecha de notificación de la petición al Estado:</w:t>
            </w:r>
          </w:p>
        </w:tc>
        <w:tc>
          <w:tcPr>
            <w:tcW w:w="4680" w:type="dxa"/>
            <w:vAlign w:val="center"/>
          </w:tcPr>
          <w:p w14:paraId="67218ACC" w14:textId="44CB95AE" w:rsidR="003239B8" w:rsidRPr="00E90E47" w:rsidRDefault="00146C47" w:rsidP="008D2290">
            <w:pPr>
              <w:jc w:val="both"/>
              <w:rPr>
                <w:rFonts w:ascii="Cambria" w:hAnsi="Cambria"/>
                <w:bCs/>
                <w:sz w:val="20"/>
                <w:szCs w:val="20"/>
                <w:lang w:val="es-ES"/>
              </w:rPr>
            </w:pPr>
            <w:r w:rsidRPr="00E90E47">
              <w:rPr>
                <w:rFonts w:ascii="Cambria" w:hAnsi="Cambria"/>
                <w:bCs/>
                <w:sz w:val="20"/>
                <w:szCs w:val="20"/>
                <w:lang w:val="es-ES"/>
              </w:rPr>
              <w:t>17</w:t>
            </w:r>
            <w:r w:rsidR="00334AC7" w:rsidRPr="00E90E47">
              <w:rPr>
                <w:rFonts w:ascii="Cambria" w:hAnsi="Cambria"/>
                <w:bCs/>
                <w:sz w:val="20"/>
                <w:szCs w:val="20"/>
                <w:lang w:val="es-ES"/>
              </w:rPr>
              <w:t xml:space="preserve"> de mayo de 2011</w:t>
            </w:r>
          </w:p>
        </w:tc>
      </w:tr>
      <w:tr w:rsidR="003239B8" w:rsidRPr="00E90E47" w14:paraId="2B601154" w14:textId="77777777" w:rsidTr="008D2290">
        <w:tc>
          <w:tcPr>
            <w:tcW w:w="4680" w:type="dxa"/>
            <w:tcBorders>
              <w:top w:val="single" w:sz="6" w:space="0" w:color="auto"/>
              <w:bottom w:val="single" w:sz="6" w:space="0" w:color="auto"/>
            </w:tcBorders>
            <w:shd w:val="clear" w:color="auto" w:fill="386294"/>
            <w:vAlign w:val="center"/>
          </w:tcPr>
          <w:p w14:paraId="220CE70A" w14:textId="77777777" w:rsidR="003239B8" w:rsidRPr="00E90E47" w:rsidRDefault="003239B8" w:rsidP="008D2290">
            <w:pPr>
              <w:jc w:val="center"/>
              <w:rPr>
                <w:rFonts w:ascii="Cambria" w:hAnsi="Cambria"/>
                <w:b/>
                <w:bCs/>
                <w:color w:val="FFFFFF" w:themeColor="background1"/>
                <w:sz w:val="20"/>
                <w:szCs w:val="20"/>
                <w:lang w:val="es-ES"/>
              </w:rPr>
            </w:pPr>
            <w:r w:rsidRPr="00E90E47">
              <w:rPr>
                <w:rFonts w:ascii="Cambria" w:hAnsi="Cambria"/>
                <w:b/>
                <w:color w:val="FFFFFF" w:themeColor="background1"/>
                <w:sz w:val="20"/>
                <w:szCs w:val="20"/>
                <w:lang w:val="es-ES"/>
              </w:rPr>
              <w:t>Fecha de primera respuesta del Estado:</w:t>
            </w:r>
          </w:p>
        </w:tc>
        <w:tc>
          <w:tcPr>
            <w:tcW w:w="4680" w:type="dxa"/>
            <w:vAlign w:val="center"/>
          </w:tcPr>
          <w:p w14:paraId="64083EDA" w14:textId="77777777" w:rsidR="003239B8" w:rsidRPr="00E90E47" w:rsidRDefault="00D511CF" w:rsidP="00D511CF">
            <w:pPr>
              <w:jc w:val="both"/>
              <w:rPr>
                <w:rFonts w:ascii="Cambria" w:hAnsi="Cambria"/>
                <w:bCs/>
                <w:sz w:val="20"/>
                <w:szCs w:val="20"/>
                <w:lang w:val="es-ES"/>
              </w:rPr>
            </w:pPr>
            <w:r w:rsidRPr="00E90E47">
              <w:rPr>
                <w:rFonts w:ascii="Cambria" w:hAnsi="Cambria"/>
                <w:bCs/>
                <w:sz w:val="20"/>
                <w:szCs w:val="20"/>
                <w:lang w:val="es-ES"/>
              </w:rPr>
              <w:t xml:space="preserve">26 de agosto de 2011 </w:t>
            </w:r>
          </w:p>
        </w:tc>
      </w:tr>
      <w:tr w:rsidR="003239B8" w:rsidRPr="00466599" w14:paraId="5121CBCF" w14:textId="77777777" w:rsidTr="008D2290">
        <w:tc>
          <w:tcPr>
            <w:tcW w:w="4680" w:type="dxa"/>
            <w:tcBorders>
              <w:top w:val="single" w:sz="6" w:space="0" w:color="auto"/>
              <w:bottom w:val="single" w:sz="6" w:space="0" w:color="auto"/>
            </w:tcBorders>
            <w:shd w:val="clear" w:color="auto" w:fill="386294"/>
            <w:vAlign w:val="center"/>
          </w:tcPr>
          <w:p w14:paraId="2747EF6E" w14:textId="77777777" w:rsidR="001C7EC9" w:rsidRPr="00E90E47" w:rsidRDefault="003239B8" w:rsidP="008D2290">
            <w:pPr>
              <w:ind w:left="-288"/>
              <w:jc w:val="center"/>
              <w:rPr>
                <w:rFonts w:ascii="Cambria" w:hAnsi="Cambria"/>
                <w:b/>
                <w:bCs/>
                <w:color w:val="FFFFFF" w:themeColor="background1"/>
                <w:sz w:val="20"/>
                <w:szCs w:val="20"/>
                <w:lang w:val="es-ES"/>
              </w:rPr>
            </w:pPr>
            <w:r w:rsidRPr="00E90E47">
              <w:rPr>
                <w:rFonts w:ascii="Cambria" w:hAnsi="Cambria"/>
                <w:b/>
                <w:bCs/>
                <w:color w:val="FFFFFF" w:themeColor="background1"/>
                <w:sz w:val="20"/>
                <w:szCs w:val="20"/>
                <w:lang w:val="es-ES"/>
              </w:rPr>
              <w:t xml:space="preserve">Observaciones adicionales </w:t>
            </w:r>
          </w:p>
          <w:p w14:paraId="1F859F15" w14:textId="4588AC54" w:rsidR="003239B8" w:rsidRPr="00E90E47" w:rsidRDefault="003239B8" w:rsidP="008D2290">
            <w:pPr>
              <w:ind w:left="-288"/>
              <w:jc w:val="center"/>
              <w:rPr>
                <w:rFonts w:ascii="Cambria" w:hAnsi="Cambria"/>
                <w:b/>
                <w:bCs/>
                <w:color w:val="FFFFFF" w:themeColor="background1"/>
                <w:sz w:val="20"/>
                <w:szCs w:val="20"/>
                <w:lang w:val="es-ES"/>
              </w:rPr>
            </w:pPr>
            <w:r w:rsidRPr="00E90E47">
              <w:rPr>
                <w:rFonts w:ascii="Cambria" w:hAnsi="Cambria"/>
                <w:b/>
                <w:bCs/>
                <w:color w:val="FFFFFF" w:themeColor="background1"/>
                <w:sz w:val="20"/>
                <w:szCs w:val="20"/>
                <w:lang w:val="es-ES"/>
              </w:rPr>
              <w:t>de la parte peticionaria:</w:t>
            </w:r>
          </w:p>
        </w:tc>
        <w:tc>
          <w:tcPr>
            <w:tcW w:w="4680" w:type="dxa"/>
            <w:vAlign w:val="center"/>
          </w:tcPr>
          <w:p w14:paraId="64349AC1" w14:textId="4D8117B8" w:rsidR="003239B8" w:rsidRPr="00E90E47" w:rsidRDefault="00D511CF" w:rsidP="008D2290">
            <w:pPr>
              <w:jc w:val="both"/>
              <w:rPr>
                <w:rFonts w:ascii="Cambria" w:hAnsi="Cambria"/>
                <w:bCs/>
                <w:sz w:val="20"/>
                <w:szCs w:val="20"/>
                <w:lang w:val="es-BO"/>
              </w:rPr>
            </w:pPr>
            <w:r w:rsidRPr="00E90E47">
              <w:rPr>
                <w:rFonts w:ascii="Cambria" w:hAnsi="Cambria"/>
                <w:bCs/>
                <w:sz w:val="20"/>
                <w:szCs w:val="20"/>
                <w:lang w:val="es-ES"/>
              </w:rPr>
              <w:t>17 de enero de 2012</w:t>
            </w:r>
            <w:r w:rsidR="001C7EC9" w:rsidRPr="00E90E47">
              <w:rPr>
                <w:rFonts w:ascii="Cambria" w:hAnsi="Cambria"/>
                <w:bCs/>
                <w:sz w:val="20"/>
                <w:szCs w:val="20"/>
                <w:lang w:val="es-ES"/>
              </w:rPr>
              <w:t xml:space="preserve"> y</w:t>
            </w:r>
            <w:r w:rsidR="00D445C3" w:rsidRPr="00E90E47">
              <w:rPr>
                <w:rFonts w:ascii="Cambria" w:hAnsi="Cambria"/>
                <w:bCs/>
                <w:sz w:val="20"/>
                <w:szCs w:val="20"/>
                <w:lang w:val="es-BO"/>
              </w:rPr>
              <w:t xml:space="preserve"> 7 de mayo de 2015</w:t>
            </w:r>
          </w:p>
        </w:tc>
      </w:tr>
      <w:tr w:rsidR="003239B8" w:rsidRPr="00E90E47" w14:paraId="3BA77919" w14:textId="77777777" w:rsidTr="008D2290">
        <w:tc>
          <w:tcPr>
            <w:tcW w:w="4680" w:type="dxa"/>
            <w:tcBorders>
              <w:top w:val="single" w:sz="6" w:space="0" w:color="auto"/>
              <w:bottom w:val="single" w:sz="6" w:space="0" w:color="auto"/>
            </w:tcBorders>
            <w:shd w:val="clear" w:color="auto" w:fill="386294"/>
            <w:vAlign w:val="center"/>
          </w:tcPr>
          <w:p w14:paraId="18949B0B" w14:textId="7E303988" w:rsidR="003239B8" w:rsidRPr="00E90E47" w:rsidRDefault="003239B8" w:rsidP="008D2290">
            <w:pPr>
              <w:jc w:val="center"/>
              <w:rPr>
                <w:rFonts w:ascii="Cambria" w:hAnsi="Cambria"/>
                <w:b/>
                <w:bCs/>
                <w:color w:val="FFFFFF" w:themeColor="background1"/>
                <w:sz w:val="20"/>
                <w:szCs w:val="20"/>
                <w:lang w:val="es-BO"/>
              </w:rPr>
            </w:pPr>
            <w:r w:rsidRPr="00E90E47">
              <w:rPr>
                <w:rFonts w:ascii="Cambria" w:hAnsi="Cambria"/>
                <w:b/>
                <w:bCs/>
                <w:color w:val="FFFFFF" w:themeColor="background1"/>
                <w:sz w:val="20"/>
                <w:szCs w:val="20"/>
                <w:lang w:val="es-BO"/>
              </w:rPr>
              <w:t>Observaciones adicionales del Estado:</w:t>
            </w:r>
          </w:p>
        </w:tc>
        <w:tc>
          <w:tcPr>
            <w:tcW w:w="4680" w:type="dxa"/>
            <w:vAlign w:val="center"/>
          </w:tcPr>
          <w:p w14:paraId="180CBC7B" w14:textId="77777777" w:rsidR="003239B8" w:rsidRPr="00E90E47" w:rsidRDefault="005C234A" w:rsidP="008D2290">
            <w:pPr>
              <w:jc w:val="both"/>
              <w:rPr>
                <w:rFonts w:ascii="Cambria" w:hAnsi="Cambria"/>
                <w:bCs/>
                <w:sz w:val="20"/>
                <w:szCs w:val="20"/>
                <w:lang w:val="es-BO"/>
              </w:rPr>
            </w:pPr>
            <w:r w:rsidRPr="00E90E47">
              <w:rPr>
                <w:rFonts w:ascii="Cambria" w:hAnsi="Cambria"/>
                <w:bCs/>
                <w:sz w:val="20"/>
                <w:szCs w:val="20"/>
                <w:lang w:val="es-ES"/>
              </w:rPr>
              <w:t>25</w:t>
            </w:r>
            <w:r w:rsidR="00D511CF" w:rsidRPr="00E90E47">
              <w:rPr>
                <w:rFonts w:ascii="Cambria" w:hAnsi="Cambria"/>
                <w:bCs/>
                <w:sz w:val="20"/>
                <w:szCs w:val="20"/>
                <w:lang w:val="es-ES"/>
              </w:rPr>
              <w:t xml:space="preserve"> de septiembre de 2012</w:t>
            </w:r>
          </w:p>
        </w:tc>
      </w:tr>
    </w:tbl>
    <w:p w14:paraId="22DD99B0" w14:textId="77777777" w:rsidR="003239B8" w:rsidRPr="00E90E47" w:rsidRDefault="005C234A" w:rsidP="003239B8">
      <w:pPr>
        <w:spacing w:before="240" w:after="240"/>
        <w:ind w:firstLine="720"/>
        <w:jc w:val="both"/>
        <w:rPr>
          <w:rFonts w:asciiTheme="majorHAnsi" w:hAnsiTheme="majorHAnsi"/>
          <w:b/>
          <w:bCs/>
          <w:sz w:val="20"/>
          <w:szCs w:val="20"/>
          <w:lang w:val="es-ES"/>
        </w:rPr>
      </w:pPr>
      <w:r w:rsidRPr="00E90E47">
        <w:rPr>
          <w:rFonts w:asciiTheme="majorHAnsi" w:hAnsiTheme="majorHAnsi"/>
          <w:b/>
          <w:bCs/>
          <w:sz w:val="20"/>
          <w:szCs w:val="20"/>
          <w:lang w:val="es-ES"/>
        </w:rPr>
        <w:t xml:space="preserve">III. </w:t>
      </w:r>
      <w:r w:rsidRPr="00E90E47">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90E47" w14:paraId="2AB2910C" w14:textId="77777777" w:rsidTr="008D2290">
        <w:trPr>
          <w:cantSplit/>
        </w:trPr>
        <w:tc>
          <w:tcPr>
            <w:tcW w:w="4680" w:type="dxa"/>
            <w:tcBorders>
              <w:top w:val="single" w:sz="4" w:space="0" w:color="auto"/>
              <w:bottom w:val="single" w:sz="6" w:space="0" w:color="auto"/>
            </w:tcBorders>
            <w:shd w:val="clear" w:color="auto" w:fill="386294"/>
            <w:vAlign w:val="center"/>
          </w:tcPr>
          <w:p w14:paraId="2A5DB41B" w14:textId="77777777" w:rsidR="003239B8" w:rsidRPr="00E90E47" w:rsidRDefault="003239B8" w:rsidP="008D2290">
            <w:pPr>
              <w:jc w:val="center"/>
              <w:rPr>
                <w:rFonts w:ascii="Cambria" w:hAnsi="Cambria"/>
                <w:b/>
                <w:bCs/>
                <w:i/>
                <w:color w:val="FFFFFF" w:themeColor="background1"/>
                <w:sz w:val="20"/>
                <w:szCs w:val="20"/>
                <w:lang w:val="es-BO"/>
              </w:rPr>
            </w:pPr>
            <w:r w:rsidRPr="00E90E47">
              <w:rPr>
                <w:rFonts w:ascii="Cambria" w:hAnsi="Cambria"/>
                <w:b/>
                <w:bCs/>
                <w:color w:val="FFFFFF" w:themeColor="background1"/>
                <w:sz w:val="20"/>
                <w:szCs w:val="20"/>
                <w:lang w:val="es-BO"/>
              </w:rPr>
              <w:t>Competencia</w:t>
            </w:r>
            <w:r w:rsidRPr="00E90E47">
              <w:rPr>
                <w:rFonts w:ascii="Cambria" w:hAnsi="Cambria"/>
                <w:b/>
                <w:bCs/>
                <w:i/>
                <w:color w:val="FFFFFF" w:themeColor="background1"/>
                <w:sz w:val="20"/>
                <w:szCs w:val="20"/>
                <w:lang w:val="es-BO"/>
              </w:rPr>
              <w:t xml:space="preserve"> Ratione personae:</w:t>
            </w:r>
          </w:p>
        </w:tc>
        <w:tc>
          <w:tcPr>
            <w:tcW w:w="4680" w:type="dxa"/>
            <w:vAlign w:val="center"/>
          </w:tcPr>
          <w:p w14:paraId="67D32801" w14:textId="77777777" w:rsidR="003239B8" w:rsidRPr="00E90E47" w:rsidRDefault="005A7CC6" w:rsidP="008D2290">
            <w:pPr>
              <w:rPr>
                <w:rFonts w:ascii="Cambria" w:hAnsi="Cambria"/>
                <w:bCs/>
                <w:sz w:val="20"/>
                <w:szCs w:val="20"/>
                <w:lang w:val="es-BO"/>
              </w:rPr>
            </w:pPr>
            <w:r w:rsidRPr="00E90E47">
              <w:rPr>
                <w:rFonts w:ascii="Cambria" w:hAnsi="Cambria"/>
                <w:bCs/>
                <w:sz w:val="20"/>
                <w:szCs w:val="20"/>
                <w:lang w:val="es-BO"/>
              </w:rPr>
              <w:t>Sí</w:t>
            </w:r>
          </w:p>
        </w:tc>
      </w:tr>
      <w:tr w:rsidR="003239B8" w:rsidRPr="00E90E47" w14:paraId="5E1B7C8A" w14:textId="77777777" w:rsidTr="008D2290">
        <w:trPr>
          <w:cantSplit/>
        </w:trPr>
        <w:tc>
          <w:tcPr>
            <w:tcW w:w="4680" w:type="dxa"/>
            <w:tcBorders>
              <w:top w:val="single" w:sz="6" w:space="0" w:color="auto"/>
              <w:bottom w:val="single" w:sz="6" w:space="0" w:color="auto"/>
            </w:tcBorders>
            <w:shd w:val="clear" w:color="auto" w:fill="386294"/>
            <w:vAlign w:val="center"/>
          </w:tcPr>
          <w:p w14:paraId="1F73354E" w14:textId="77777777" w:rsidR="003239B8" w:rsidRPr="00E90E47" w:rsidRDefault="003239B8"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lang w:val="es-BO"/>
              </w:rPr>
              <w:t>Competencia</w:t>
            </w:r>
            <w:r w:rsidRPr="00E90E47">
              <w:rPr>
                <w:rFonts w:ascii="Cambria" w:hAnsi="Cambria"/>
                <w:b/>
                <w:bCs/>
                <w:i/>
                <w:color w:val="FFFFFF" w:themeColor="background1"/>
                <w:sz w:val="20"/>
                <w:szCs w:val="20"/>
                <w:lang w:val="es-BO"/>
              </w:rPr>
              <w:t xml:space="preserve"> </w:t>
            </w:r>
            <w:r w:rsidRPr="00E90E47">
              <w:rPr>
                <w:rFonts w:ascii="Cambria" w:hAnsi="Cambria"/>
                <w:b/>
                <w:bCs/>
                <w:i/>
                <w:color w:val="FFFFFF" w:themeColor="background1"/>
                <w:sz w:val="20"/>
                <w:szCs w:val="20"/>
              </w:rPr>
              <w:t>Ratione loci</w:t>
            </w:r>
            <w:r w:rsidRPr="00E90E47">
              <w:rPr>
                <w:rFonts w:ascii="Cambria" w:hAnsi="Cambria"/>
                <w:b/>
                <w:bCs/>
                <w:color w:val="FFFFFF" w:themeColor="background1"/>
                <w:sz w:val="20"/>
                <w:szCs w:val="20"/>
              </w:rPr>
              <w:t>:</w:t>
            </w:r>
          </w:p>
        </w:tc>
        <w:tc>
          <w:tcPr>
            <w:tcW w:w="4680" w:type="dxa"/>
            <w:vAlign w:val="center"/>
          </w:tcPr>
          <w:p w14:paraId="21D0B0CD" w14:textId="77777777" w:rsidR="003239B8" w:rsidRPr="00E90E47" w:rsidRDefault="005A7CC6" w:rsidP="008D2290">
            <w:pPr>
              <w:rPr>
                <w:rFonts w:ascii="Cambria" w:hAnsi="Cambria"/>
                <w:bCs/>
                <w:sz w:val="20"/>
                <w:szCs w:val="20"/>
              </w:rPr>
            </w:pPr>
            <w:r w:rsidRPr="00E90E47">
              <w:rPr>
                <w:rFonts w:ascii="Cambria" w:hAnsi="Cambria"/>
                <w:bCs/>
                <w:sz w:val="20"/>
                <w:szCs w:val="20"/>
              </w:rPr>
              <w:t>Sí</w:t>
            </w:r>
          </w:p>
        </w:tc>
      </w:tr>
      <w:tr w:rsidR="003239B8" w:rsidRPr="00E90E47" w14:paraId="5481278C" w14:textId="77777777" w:rsidTr="008D2290">
        <w:trPr>
          <w:cantSplit/>
        </w:trPr>
        <w:tc>
          <w:tcPr>
            <w:tcW w:w="4680" w:type="dxa"/>
            <w:tcBorders>
              <w:top w:val="single" w:sz="6" w:space="0" w:color="auto"/>
              <w:bottom w:val="single" w:sz="6" w:space="0" w:color="auto"/>
            </w:tcBorders>
            <w:shd w:val="clear" w:color="auto" w:fill="386294"/>
            <w:vAlign w:val="center"/>
          </w:tcPr>
          <w:p w14:paraId="5F85B2B1" w14:textId="77777777" w:rsidR="003239B8" w:rsidRPr="00E90E47" w:rsidRDefault="003239B8"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rPr>
              <w:t>Competencia</w:t>
            </w:r>
            <w:r w:rsidRPr="00E90E47">
              <w:rPr>
                <w:rFonts w:ascii="Cambria" w:hAnsi="Cambria"/>
                <w:b/>
                <w:bCs/>
                <w:i/>
                <w:color w:val="FFFFFF" w:themeColor="background1"/>
                <w:sz w:val="20"/>
                <w:szCs w:val="20"/>
              </w:rPr>
              <w:t xml:space="preserve"> Ratione temporis</w:t>
            </w:r>
            <w:r w:rsidRPr="00E90E47">
              <w:rPr>
                <w:rFonts w:ascii="Cambria" w:hAnsi="Cambria"/>
                <w:b/>
                <w:bCs/>
                <w:color w:val="FFFFFF" w:themeColor="background1"/>
                <w:sz w:val="20"/>
                <w:szCs w:val="20"/>
              </w:rPr>
              <w:t>:</w:t>
            </w:r>
          </w:p>
        </w:tc>
        <w:tc>
          <w:tcPr>
            <w:tcW w:w="4680" w:type="dxa"/>
            <w:vAlign w:val="center"/>
          </w:tcPr>
          <w:p w14:paraId="2725141B" w14:textId="77777777" w:rsidR="003239B8" w:rsidRPr="00E90E47" w:rsidRDefault="005A7CC6" w:rsidP="008D2290">
            <w:pPr>
              <w:rPr>
                <w:bCs/>
                <w:sz w:val="20"/>
                <w:szCs w:val="20"/>
              </w:rPr>
            </w:pPr>
            <w:r w:rsidRPr="00E90E47">
              <w:rPr>
                <w:bCs/>
                <w:sz w:val="20"/>
                <w:szCs w:val="20"/>
              </w:rPr>
              <w:t>Sí</w:t>
            </w:r>
          </w:p>
        </w:tc>
      </w:tr>
      <w:tr w:rsidR="003239B8" w:rsidRPr="00466599" w14:paraId="24B5F63E" w14:textId="77777777" w:rsidTr="008D2290">
        <w:trPr>
          <w:cantSplit/>
        </w:trPr>
        <w:tc>
          <w:tcPr>
            <w:tcW w:w="4680" w:type="dxa"/>
            <w:tcBorders>
              <w:top w:val="single" w:sz="6" w:space="0" w:color="auto"/>
              <w:bottom w:val="single" w:sz="6" w:space="0" w:color="auto"/>
            </w:tcBorders>
            <w:shd w:val="clear" w:color="auto" w:fill="386294"/>
            <w:vAlign w:val="center"/>
          </w:tcPr>
          <w:p w14:paraId="79D71A98" w14:textId="77777777" w:rsidR="003239B8" w:rsidRPr="00E90E47" w:rsidRDefault="003239B8"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rPr>
              <w:t>Competencia</w:t>
            </w:r>
            <w:r w:rsidRPr="00E90E47">
              <w:rPr>
                <w:rFonts w:ascii="Cambria" w:hAnsi="Cambria"/>
                <w:b/>
                <w:bCs/>
                <w:i/>
                <w:color w:val="FFFFFF" w:themeColor="background1"/>
                <w:sz w:val="20"/>
                <w:szCs w:val="20"/>
              </w:rPr>
              <w:t xml:space="preserve"> Ratione materia</w:t>
            </w:r>
            <w:r w:rsidR="00686259" w:rsidRPr="00E90E47">
              <w:rPr>
                <w:rFonts w:ascii="Cambria" w:hAnsi="Cambria"/>
                <w:b/>
                <w:bCs/>
                <w:i/>
                <w:color w:val="FFFFFF" w:themeColor="background1"/>
                <w:sz w:val="20"/>
                <w:szCs w:val="20"/>
              </w:rPr>
              <w:t>e</w:t>
            </w:r>
            <w:r w:rsidRPr="00E90E47">
              <w:rPr>
                <w:rFonts w:ascii="Cambria" w:hAnsi="Cambria"/>
                <w:b/>
                <w:bCs/>
                <w:color w:val="FFFFFF" w:themeColor="background1"/>
                <w:sz w:val="20"/>
                <w:szCs w:val="20"/>
              </w:rPr>
              <w:t>:</w:t>
            </w:r>
          </w:p>
        </w:tc>
        <w:tc>
          <w:tcPr>
            <w:tcW w:w="4680" w:type="dxa"/>
            <w:vAlign w:val="center"/>
          </w:tcPr>
          <w:p w14:paraId="3D8048E4" w14:textId="77777777" w:rsidR="003239B8" w:rsidRPr="00E90E47" w:rsidRDefault="005A7CC6" w:rsidP="00753691">
            <w:pPr>
              <w:jc w:val="both"/>
              <w:rPr>
                <w:rFonts w:ascii="Cambria" w:hAnsi="Cambria"/>
                <w:bCs/>
                <w:sz w:val="20"/>
                <w:szCs w:val="20"/>
                <w:bdr w:val="none" w:sz="0" w:space="0" w:color="auto" w:frame="1"/>
                <w:lang w:val="es-ES"/>
              </w:rPr>
            </w:pPr>
            <w:r w:rsidRPr="00E90E47">
              <w:rPr>
                <w:rFonts w:ascii="Cambria" w:hAnsi="Cambria"/>
                <w:bCs/>
                <w:sz w:val="20"/>
                <w:szCs w:val="20"/>
                <w:lang w:val="es-BO"/>
              </w:rPr>
              <w:t xml:space="preserve">Sí, </w:t>
            </w:r>
            <w:r w:rsidRPr="00E90E47">
              <w:rPr>
                <w:rFonts w:ascii="Cambria" w:hAnsi="Cambria"/>
                <w:bCs/>
                <w:sz w:val="20"/>
                <w:szCs w:val="20"/>
                <w:bdr w:val="none" w:sz="0" w:space="0" w:color="auto" w:frame="1"/>
                <w:lang w:val="es-ES"/>
              </w:rPr>
              <w:t>Convención Americana (depósito de instrumento realizado el 8 de abril de 1970)</w:t>
            </w:r>
          </w:p>
          <w:p w14:paraId="4C243945" w14:textId="4DF152D4" w:rsidR="005A5769" w:rsidRPr="00E90E47" w:rsidRDefault="005A5769" w:rsidP="00753691">
            <w:pPr>
              <w:jc w:val="both"/>
              <w:rPr>
                <w:rFonts w:ascii="Cambria" w:hAnsi="Cambria"/>
                <w:bCs/>
                <w:sz w:val="20"/>
                <w:szCs w:val="20"/>
                <w:lang w:val="es-BO"/>
              </w:rPr>
            </w:pPr>
            <w:r w:rsidRPr="00E90E47">
              <w:rPr>
                <w:rFonts w:ascii="Cambria" w:hAnsi="Cambria"/>
                <w:bCs/>
                <w:sz w:val="20"/>
                <w:szCs w:val="20"/>
                <w:bdr w:val="none" w:sz="0" w:space="0" w:color="auto" w:frame="1"/>
                <w:lang w:val="es-ES"/>
              </w:rPr>
              <w:t>No, Protocolo de San Salvador en los términos de la Sección VII</w:t>
            </w:r>
          </w:p>
        </w:tc>
      </w:tr>
    </w:tbl>
    <w:p w14:paraId="73B46AC2" w14:textId="77777777" w:rsidR="003239B8" w:rsidRPr="00E90E47" w:rsidRDefault="003239B8" w:rsidP="003239B8">
      <w:pPr>
        <w:spacing w:before="240" w:after="240"/>
        <w:ind w:firstLine="720"/>
        <w:jc w:val="both"/>
        <w:rPr>
          <w:rFonts w:asciiTheme="majorHAnsi" w:hAnsiTheme="majorHAnsi"/>
          <w:b/>
          <w:bCs/>
          <w:sz w:val="20"/>
          <w:szCs w:val="20"/>
          <w:lang w:val="es-ES"/>
        </w:rPr>
      </w:pPr>
      <w:r w:rsidRPr="00E90E47">
        <w:rPr>
          <w:rFonts w:asciiTheme="majorHAnsi" w:hAnsiTheme="majorHAnsi"/>
          <w:b/>
          <w:bCs/>
          <w:sz w:val="20"/>
          <w:szCs w:val="20"/>
          <w:lang w:val="es-ES"/>
        </w:rPr>
        <w:t xml:space="preserve">IV. </w:t>
      </w:r>
      <w:r w:rsidRPr="00E90E47">
        <w:rPr>
          <w:rFonts w:asciiTheme="majorHAnsi" w:hAnsiTheme="majorHAnsi"/>
          <w:b/>
          <w:bCs/>
          <w:sz w:val="20"/>
          <w:szCs w:val="20"/>
          <w:lang w:val="es-ES"/>
        </w:rPr>
        <w:tab/>
        <w:t xml:space="preserve">ANÁLISIS DE </w:t>
      </w:r>
      <w:r w:rsidR="005A7CC6" w:rsidRPr="00E90E47">
        <w:rPr>
          <w:rFonts w:asciiTheme="majorHAnsi" w:hAnsiTheme="majorHAnsi"/>
          <w:b/>
          <w:bCs/>
          <w:sz w:val="20"/>
          <w:szCs w:val="20"/>
          <w:lang w:val="es-ES"/>
        </w:rPr>
        <w:t>DUPLICACIÓN</w:t>
      </w:r>
      <w:r w:rsidR="005A7CC6" w:rsidRPr="00E90E47">
        <w:rPr>
          <w:rFonts w:asciiTheme="majorHAnsi" w:hAnsiTheme="majorHAnsi"/>
          <w:b/>
          <w:bCs/>
          <w:color w:val="FFFFFF" w:themeColor="background1"/>
          <w:sz w:val="20"/>
          <w:szCs w:val="20"/>
          <w:lang w:val="es-ES"/>
        </w:rPr>
        <w:t xml:space="preserve"> </w:t>
      </w:r>
      <w:r w:rsidR="005A7CC6" w:rsidRPr="00E90E47">
        <w:rPr>
          <w:rFonts w:asciiTheme="majorHAnsi" w:hAnsiTheme="majorHAnsi"/>
          <w:b/>
          <w:bCs/>
          <w:sz w:val="20"/>
          <w:szCs w:val="20"/>
          <w:lang w:val="es-ES"/>
        </w:rPr>
        <w:t>DE PROCEDIMIENTOS Y COSA JUZGADA</w:t>
      </w:r>
      <w:r w:rsidR="005A7CC6" w:rsidRPr="00E90E47">
        <w:rPr>
          <w:rFonts w:asciiTheme="majorHAnsi" w:hAnsiTheme="majorHAnsi"/>
          <w:b/>
          <w:bCs/>
          <w:i/>
          <w:sz w:val="20"/>
          <w:szCs w:val="20"/>
          <w:lang w:val="es-ES"/>
        </w:rPr>
        <w:t xml:space="preserve"> </w:t>
      </w:r>
      <w:r w:rsidR="005A7CC6" w:rsidRPr="00E90E47">
        <w:rPr>
          <w:rFonts w:asciiTheme="majorHAnsi" w:hAnsiTheme="majorHAnsi"/>
          <w:b/>
          <w:bCs/>
          <w:sz w:val="20"/>
          <w:szCs w:val="20"/>
          <w:lang w:val="es-ES"/>
        </w:rPr>
        <w:t xml:space="preserve">INTERNACIONAL, </w:t>
      </w:r>
      <w:r w:rsidRPr="00E90E47">
        <w:rPr>
          <w:rFonts w:asciiTheme="majorHAnsi" w:hAnsiTheme="majorHAnsi"/>
          <w:b/>
          <w:bCs/>
          <w:sz w:val="20"/>
          <w:szCs w:val="20"/>
          <w:lang w:val="es-ES"/>
        </w:rPr>
        <w:t xml:space="preserve">CARACTERIZACIÓN, </w:t>
      </w:r>
      <w:r w:rsidRPr="00E90E4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90E47" w14:paraId="5E4F9F7D" w14:textId="77777777" w:rsidTr="008D2290">
        <w:trPr>
          <w:cantSplit/>
        </w:trPr>
        <w:tc>
          <w:tcPr>
            <w:tcW w:w="4680" w:type="dxa"/>
            <w:tcBorders>
              <w:top w:val="single" w:sz="4" w:space="0" w:color="auto"/>
              <w:bottom w:val="single" w:sz="6" w:space="0" w:color="auto"/>
            </w:tcBorders>
            <w:shd w:val="clear" w:color="auto" w:fill="386294"/>
            <w:vAlign w:val="center"/>
          </w:tcPr>
          <w:p w14:paraId="6B708431" w14:textId="77777777" w:rsidR="003239B8" w:rsidRPr="00E90E47" w:rsidRDefault="005A7CC6" w:rsidP="008D2290">
            <w:pPr>
              <w:jc w:val="center"/>
              <w:rPr>
                <w:rFonts w:ascii="Cambria" w:hAnsi="Cambria"/>
                <w:b/>
                <w:bCs/>
                <w:i/>
                <w:color w:val="FFFFFF" w:themeColor="background1"/>
                <w:sz w:val="20"/>
                <w:szCs w:val="20"/>
                <w:lang w:val="es-BO"/>
              </w:rPr>
            </w:pPr>
            <w:r w:rsidRPr="00E90E47">
              <w:rPr>
                <w:rFonts w:asciiTheme="majorHAnsi" w:hAnsiTheme="majorHAnsi"/>
                <w:b/>
                <w:bCs/>
                <w:color w:val="FFFFFF" w:themeColor="background1"/>
                <w:sz w:val="20"/>
                <w:szCs w:val="20"/>
                <w:lang w:val="es-ES"/>
              </w:rPr>
              <w:t>Duplicación de procedimientos y cosa juzgada</w:t>
            </w:r>
            <w:r w:rsidRPr="00E90E47">
              <w:rPr>
                <w:rFonts w:asciiTheme="majorHAnsi" w:hAnsiTheme="majorHAnsi"/>
                <w:b/>
                <w:bCs/>
                <w:i/>
                <w:color w:val="FFFFFF" w:themeColor="background1"/>
                <w:sz w:val="20"/>
                <w:szCs w:val="20"/>
                <w:lang w:val="es-ES"/>
              </w:rPr>
              <w:t xml:space="preserve"> </w:t>
            </w:r>
            <w:r w:rsidRPr="00E90E47">
              <w:rPr>
                <w:rFonts w:asciiTheme="majorHAnsi" w:hAnsiTheme="majorHAnsi"/>
                <w:b/>
                <w:bCs/>
                <w:color w:val="FFFFFF" w:themeColor="background1"/>
                <w:sz w:val="20"/>
                <w:szCs w:val="20"/>
                <w:lang w:val="es-ES"/>
              </w:rPr>
              <w:t>internacional</w:t>
            </w:r>
          </w:p>
        </w:tc>
        <w:tc>
          <w:tcPr>
            <w:tcW w:w="4680" w:type="dxa"/>
            <w:vAlign w:val="center"/>
          </w:tcPr>
          <w:p w14:paraId="568C4569" w14:textId="77777777" w:rsidR="003239B8" w:rsidRPr="00E90E47" w:rsidRDefault="005A7CC6" w:rsidP="008D2290">
            <w:pPr>
              <w:jc w:val="both"/>
              <w:rPr>
                <w:rFonts w:ascii="Cambria" w:hAnsi="Cambria"/>
                <w:bCs/>
                <w:sz w:val="20"/>
                <w:szCs w:val="20"/>
                <w:lang w:val="es-BO"/>
              </w:rPr>
            </w:pPr>
            <w:r w:rsidRPr="00E90E47">
              <w:rPr>
                <w:rFonts w:ascii="Cambria" w:hAnsi="Cambria"/>
                <w:bCs/>
                <w:sz w:val="20"/>
                <w:szCs w:val="20"/>
                <w:lang w:val="es-BO"/>
              </w:rPr>
              <w:t>No</w:t>
            </w:r>
          </w:p>
        </w:tc>
      </w:tr>
      <w:tr w:rsidR="005A7CC6" w:rsidRPr="00466599" w14:paraId="10150A40" w14:textId="77777777" w:rsidTr="008D2290">
        <w:trPr>
          <w:cantSplit/>
        </w:trPr>
        <w:tc>
          <w:tcPr>
            <w:tcW w:w="4680" w:type="dxa"/>
            <w:tcBorders>
              <w:top w:val="single" w:sz="4" w:space="0" w:color="auto"/>
              <w:bottom w:val="single" w:sz="6" w:space="0" w:color="auto"/>
            </w:tcBorders>
            <w:shd w:val="clear" w:color="auto" w:fill="386294"/>
            <w:vAlign w:val="center"/>
          </w:tcPr>
          <w:p w14:paraId="2FA67027" w14:textId="77777777" w:rsidR="005A7CC6" w:rsidRPr="00E90E47" w:rsidRDefault="005A7CC6" w:rsidP="008D2290">
            <w:pPr>
              <w:jc w:val="center"/>
              <w:rPr>
                <w:rFonts w:ascii="Cambria" w:hAnsi="Cambria"/>
                <w:b/>
                <w:bCs/>
                <w:color w:val="FFFFFF" w:themeColor="background1"/>
                <w:sz w:val="20"/>
                <w:szCs w:val="20"/>
              </w:rPr>
            </w:pPr>
            <w:r w:rsidRPr="00E90E47">
              <w:rPr>
                <w:rFonts w:ascii="Cambria" w:hAnsi="Cambria"/>
                <w:b/>
                <w:bCs/>
                <w:color w:val="FFFFFF" w:themeColor="background1"/>
                <w:sz w:val="20"/>
                <w:szCs w:val="20"/>
              </w:rPr>
              <w:t>Derechos declarados admisibles</w:t>
            </w:r>
            <w:r w:rsidRPr="00E90E47">
              <w:rPr>
                <w:rFonts w:ascii="Cambria" w:hAnsi="Cambria"/>
                <w:b/>
                <w:bCs/>
                <w:i/>
                <w:color w:val="FFFFFF" w:themeColor="background1"/>
                <w:sz w:val="20"/>
                <w:szCs w:val="20"/>
              </w:rPr>
              <w:t>:</w:t>
            </w:r>
          </w:p>
        </w:tc>
        <w:tc>
          <w:tcPr>
            <w:tcW w:w="4680" w:type="dxa"/>
            <w:vAlign w:val="center"/>
          </w:tcPr>
          <w:p w14:paraId="1F2957AB" w14:textId="2829C4B6" w:rsidR="005A7CC6" w:rsidRPr="00E90E47" w:rsidRDefault="00686259" w:rsidP="008D2290">
            <w:pPr>
              <w:jc w:val="both"/>
              <w:rPr>
                <w:rFonts w:ascii="Cambria" w:hAnsi="Cambria"/>
                <w:bCs/>
                <w:sz w:val="20"/>
                <w:szCs w:val="20"/>
                <w:lang w:val="es-BO"/>
              </w:rPr>
            </w:pPr>
            <w:r w:rsidRPr="00E90E47">
              <w:rPr>
                <w:rFonts w:ascii="Cambria" w:hAnsi="Cambria"/>
                <w:bCs/>
                <w:sz w:val="20"/>
                <w:szCs w:val="20"/>
                <w:lang w:val="es-BO"/>
              </w:rPr>
              <w:t xml:space="preserve">Artículos </w:t>
            </w:r>
            <w:r w:rsidR="00D23BA4" w:rsidRPr="00E90E47">
              <w:rPr>
                <w:rFonts w:ascii="Cambria" w:hAnsi="Cambria"/>
                <w:bCs/>
                <w:sz w:val="20"/>
                <w:szCs w:val="20"/>
                <w:lang w:val="es-BO"/>
              </w:rPr>
              <w:t>8 (</w:t>
            </w:r>
            <w:r w:rsidRPr="00E90E47">
              <w:rPr>
                <w:rFonts w:ascii="Cambria" w:hAnsi="Cambria"/>
                <w:bCs/>
                <w:sz w:val="20"/>
                <w:szCs w:val="20"/>
                <w:lang w:val="es-BO"/>
              </w:rPr>
              <w:t>g</w:t>
            </w:r>
            <w:r w:rsidR="00D23BA4" w:rsidRPr="00E90E47">
              <w:rPr>
                <w:rFonts w:ascii="Cambria" w:hAnsi="Cambria"/>
                <w:bCs/>
                <w:sz w:val="20"/>
                <w:szCs w:val="20"/>
                <w:lang w:val="es-BO"/>
              </w:rPr>
              <w:t>arantías judiciales) y 25 (</w:t>
            </w:r>
            <w:r w:rsidRPr="00E90E47">
              <w:rPr>
                <w:rFonts w:ascii="Cambria" w:hAnsi="Cambria"/>
                <w:bCs/>
                <w:sz w:val="20"/>
                <w:szCs w:val="20"/>
                <w:lang w:val="es-BO"/>
              </w:rPr>
              <w:t>p</w:t>
            </w:r>
            <w:r w:rsidR="00D23BA4" w:rsidRPr="00E90E47">
              <w:rPr>
                <w:rFonts w:ascii="Cambria" w:hAnsi="Cambria"/>
                <w:bCs/>
                <w:sz w:val="20"/>
                <w:szCs w:val="20"/>
                <w:lang w:val="es-BO"/>
              </w:rPr>
              <w:t>rotección judicial)</w:t>
            </w:r>
            <w:r w:rsidRPr="00E90E47">
              <w:rPr>
                <w:rFonts w:ascii="Cambria" w:hAnsi="Cambria"/>
                <w:bCs/>
                <w:sz w:val="20"/>
                <w:szCs w:val="20"/>
                <w:lang w:val="es-BO"/>
              </w:rPr>
              <w:t>, en relación con el 1.1 (obligación de respetar los derechos)</w:t>
            </w:r>
            <w:r w:rsidR="00D23BA4" w:rsidRPr="00E90E47">
              <w:rPr>
                <w:rFonts w:ascii="Cambria" w:hAnsi="Cambria"/>
                <w:bCs/>
                <w:sz w:val="20"/>
                <w:szCs w:val="20"/>
                <w:lang w:val="es-BO"/>
              </w:rPr>
              <w:t xml:space="preserve"> de la Convención Americana</w:t>
            </w:r>
          </w:p>
        </w:tc>
      </w:tr>
      <w:tr w:rsidR="003239B8" w:rsidRPr="00E90E47" w14:paraId="1618076A" w14:textId="77777777" w:rsidTr="008D2290">
        <w:trPr>
          <w:cantSplit/>
        </w:trPr>
        <w:tc>
          <w:tcPr>
            <w:tcW w:w="4680" w:type="dxa"/>
            <w:tcBorders>
              <w:top w:val="single" w:sz="6" w:space="0" w:color="auto"/>
              <w:bottom w:val="single" w:sz="6" w:space="0" w:color="auto"/>
            </w:tcBorders>
            <w:shd w:val="clear" w:color="auto" w:fill="386294"/>
            <w:vAlign w:val="center"/>
          </w:tcPr>
          <w:p w14:paraId="1236E589" w14:textId="77777777" w:rsidR="003239B8" w:rsidRPr="00E90E47" w:rsidRDefault="003239B8" w:rsidP="008D2290">
            <w:pPr>
              <w:jc w:val="center"/>
              <w:rPr>
                <w:rFonts w:ascii="Cambria" w:hAnsi="Cambria"/>
                <w:b/>
                <w:bCs/>
                <w:color w:val="FFFFFF" w:themeColor="background1"/>
                <w:sz w:val="20"/>
                <w:szCs w:val="20"/>
                <w:lang w:val="es-ES"/>
              </w:rPr>
            </w:pPr>
            <w:r w:rsidRPr="00E90E47">
              <w:rPr>
                <w:rFonts w:ascii="Cambria" w:hAnsi="Cambria"/>
                <w:b/>
                <w:bCs/>
                <w:color w:val="FFFFFF" w:themeColor="background1"/>
                <w:sz w:val="20"/>
                <w:szCs w:val="20"/>
                <w:lang w:val="es-ES"/>
              </w:rPr>
              <w:lastRenderedPageBreak/>
              <w:t>Agotamiento de recursos internos:</w:t>
            </w:r>
          </w:p>
        </w:tc>
        <w:tc>
          <w:tcPr>
            <w:tcW w:w="4680" w:type="dxa"/>
            <w:vAlign w:val="center"/>
          </w:tcPr>
          <w:p w14:paraId="5F1079A8" w14:textId="656C51B5" w:rsidR="003239B8" w:rsidRPr="00E90E47" w:rsidRDefault="00D23BA4" w:rsidP="008D2290">
            <w:pPr>
              <w:rPr>
                <w:rFonts w:ascii="Cambria" w:hAnsi="Cambria"/>
                <w:bCs/>
                <w:sz w:val="20"/>
                <w:szCs w:val="20"/>
                <w:lang w:val="es-ES"/>
              </w:rPr>
            </w:pPr>
            <w:r w:rsidRPr="00E90E47">
              <w:rPr>
                <w:rFonts w:ascii="Cambria" w:hAnsi="Cambria"/>
                <w:bCs/>
                <w:sz w:val="20"/>
                <w:szCs w:val="20"/>
                <w:lang w:val="es-ES"/>
              </w:rPr>
              <w:t>S</w:t>
            </w:r>
            <w:r w:rsidR="00686259" w:rsidRPr="00E90E47">
              <w:rPr>
                <w:rFonts w:ascii="Cambria" w:hAnsi="Cambria"/>
                <w:bCs/>
                <w:sz w:val="20"/>
                <w:szCs w:val="20"/>
                <w:lang w:val="es-ES"/>
              </w:rPr>
              <w:t>í</w:t>
            </w:r>
            <w:r w:rsidRPr="00E90E47">
              <w:rPr>
                <w:rFonts w:ascii="Cambria" w:hAnsi="Cambria"/>
                <w:bCs/>
                <w:sz w:val="20"/>
                <w:szCs w:val="20"/>
                <w:lang w:val="es-ES"/>
              </w:rPr>
              <w:t>, 27 de septiembre de 2006</w:t>
            </w:r>
          </w:p>
        </w:tc>
      </w:tr>
      <w:tr w:rsidR="003239B8" w:rsidRPr="00E90E47" w14:paraId="0A209E2F" w14:textId="77777777" w:rsidTr="008D2290">
        <w:trPr>
          <w:cantSplit/>
        </w:trPr>
        <w:tc>
          <w:tcPr>
            <w:tcW w:w="4680" w:type="dxa"/>
            <w:tcBorders>
              <w:top w:val="single" w:sz="6" w:space="0" w:color="auto"/>
              <w:bottom w:val="single" w:sz="6" w:space="0" w:color="auto"/>
            </w:tcBorders>
            <w:shd w:val="clear" w:color="auto" w:fill="386294"/>
            <w:vAlign w:val="center"/>
          </w:tcPr>
          <w:p w14:paraId="32E117C5" w14:textId="77777777" w:rsidR="003239B8" w:rsidRPr="00E90E47" w:rsidRDefault="003239B8" w:rsidP="008D2290">
            <w:pPr>
              <w:jc w:val="center"/>
              <w:rPr>
                <w:rFonts w:ascii="Cambria" w:hAnsi="Cambria"/>
                <w:b/>
                <w:bCs/>
                <w:color w:val="FFFFFF" w:themeColor="background1"/>
                <w:sz w:val="20"/>
                <w:szCs w:val="20"/>
                <w:lang w:val="es-ES"/>
              </w:rPr>
            </w:pPr>
            <w:r w:rsidRPr="00E90E47">
              <w:rPr>
                <w:rFonts w:ascii="Cambria" w:hAnsi="Cambria"/>
                <w:b/>
                <w:bCs/>
                <w:color w:val="FFFFFF" w:themeColor="background1"/>
                <w:sz w:val="20"/>
                <w:szCs w:val="20"/>
                <w:lang w:val="es-ES"/>
              </w:rPr>
              <w:t>Presentación dentro de plazo:</w:t>
            </w:r>
          </w:p>
        </w:tc>
        <w:tc>
          <w:tcPr>
            <w:tcW w:w="4680" w:type="dxa"/>
            <w:vAlign w:val="center"/>
          </w:tcPr>
          <w:p w14:paraId="0059A521" w14:textId="0787738F" w:rsidR="003239B8" w:rsidRPr="00E90E47" w:rsidRDefault="00D23BA4" w:rsidP="008D2290">
            <w:pPr>
              <w:rPr>
                <w:rFonts w:asciiTheme="majorHAnsi" w:hAnsiTheme="majorHAnsi"/>
                <w:bCs/>
                <w:sz w:val="20"/>
                <w:szCs w:val="20"/>
              </w:rPr>
            </w:pPr>
            <w:r w:rsidRPr="00E90E47">
              <w:rPr>
                <w:rFonts w:asciiTheme="majorHAnsi" w:hAnsiTheme="majorHAnsi"/>
                <w:bCs/>
                <w:sz w:val="20"/>
                <w:szCs w:val="20"/>
                <w:lang w:val="es-ES"/>
              </w:rPr>
              <w:t>S</w:t>
            </w:r>
            <w:r w:rsidR="00686259" w:rsidRPr="00E90E47">
              <w:rPr>
                <w:rFonts w:asciiTheme="majorHAnsi" w:hAnsiTheme="majorHAnsi"/>
                <w:bCs/>
                <w:sz w:val="20"/>
                <w:szCs w:val="20"/>
                <w:lang w:val="es-ES"/>
              </w:rPr>
              <w:t>í</w:t>
            </w:r>
            <w:r w:rsidRPr="00E90E47">
              <w:rPr>
                <w:rFonts w:asciiTheme="majorHAnsi" w:hAnsiTheme="majorHAnsi"/>
                <w:bCs/>
                <w:sz w:val="20"/>
                <w:szCs w:val="20"/>
                <w:lang w:val="es-ES"/>
              </w:rPr>
              <w:t xml:space="preserve">, 23 de marzo de </w:t>
            </w:r>
            <w:r w:rsidRPr="00E90E47">
              <w:rPr>
                <w:rFonts w:asciiTheme="majorHAnsi" w:hAnsiTheme="majorHAnsi"/>
                <w:bCs/>
                <w:sz w:val="20"/>
                <w:szCs w:val="20"/>
              </w:rPr>
              <w:t>2007</w:t>
            </w:r>
          </w:p>
        </w:tc>
      </w:tr>
    </w:tbl>
    <w:p w14:paraId="7FA78ABD" w14:textId="77777777" w:rsidR="003239B8" w:rsidRPr="00E90E47" w:rsidRDefault="003239B8" w:rsidP="003E7F32">
      <w:pPr>
        <w:spacing w:before="240" w:after="240"/>
        <w:ind w:firstLine="720"/>
        <w:jc w:val="both"/>
        <w:rPr>
          <w:rFonts w:asciiTheme="majorHAnsi" w:hAnsiTheme="majorHAnsi"/>
          <w:b/>
          <w:sz w:val="20"/>
          <w:szCs w:val="20"/>
          <w:lang w:val="es-UY"/>
        </w:rPr>
      </w:pPr>
      <w:r w:rsidRPr="00E90E47">
        <w:rPr>
          <w:rFonts w:asciiTheme="majorHAnsi" w:hAnsiTheme="majorHAnsi"/>
          <w:b/>
          <w:sz w:val="20"/>
          <w:szCs w:val="20"/>
          <w:lang w:val="es-UY"/>
        </w:rPr>
        <w:t xml:space="preserve">V. </w:t>
      </w:r>
      <w:r w:rsidRPr="00E90E47">
        <w:rPr>
          <w:rFonts w:asciiTheme="majorHAnsi" w:hAnsiTheme="majorHAnsi"/>
          <w:b/>
          <w:sz w:val="20"/>
          <w:szCs w:val="20"/>
          <w:lang w:val="es-UY"/>
        </w:rPr>
        <w:tab/>
        <w:t xml:space="preserve">HECHOS ALEGADOS </w:t>
      </w:r>
    </w:p>
    <w:p w14:paraId="59827AC8" w14:textId="43A286CD" w:rsidR="00A55BAB" w:rsidRPr="00E90E47" w:rsidRDefault="00391217"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Los peticionarios</w:t>
      </w:r>
      <w:r w:rsidR="006B3348" w:rsidRPr="00E90E47">
        <w:rPr>
          <w:sz w:val="20"/>
          <w:szCs w:val="20"/>
          <w:lang w:val="es-BO"/>
        </w:rPr>
        <w:t xml:space="preserve"> </w:t>
      </w:r>
      <w:r w:rsidR="00A55BAB" w:rsidRPr="00E90E47">
        <w:rPr>
          <w:sz w:val="20"/>
          <w:szCs w:val="20"/>
          <w:lang w:val="es-BO"/>
        </w:rPr>
        <w:t>manifiesta</w:t>
      </w:r>
      <w:r w:rsidRPr="00E90E47">
        <w:rPr>
          <w:sz w:val="20"/>
          <w:szCs w:val="20"/>
          <w:lang w:val="es-BO"/>
        </w:rPr>
        <w:t>n</w:t>
      </w:r>
      <w:r w:rsidR="00A55BAB" w:rsidRPr="00E90E47">
        <w:rPr>
          <w:sz w:val="20"/>
          <w:szCs w:val="20"/>
          <w:lang w:val="es-BO"/>
        </w:rPr>
        <w:t xml:space="preserve"> </w:t>
      </w:r>
      <w:r w:rsidR="00B90B08" w:rsidRPr="00E90E47">
        <w:rPr>
          <w:sz w:val="20"/>
          <w:szCs w:val="20"/>
          <w:lang w:val="es-BO"/>
        </w:rPr>
        <w:t xml:space="preserve">que </w:t>
      </w:r>
      <w:r w:rsidR="000D58D3" w:rsidRPr="00E90E47">
        <w:rPr>
          <w:sz w:val="20"/>
          <w:szCs w:val="20"/>
          <w:lang w:val="es-BO"/>
        </w:rPr>
        <w:t>la presunta víctima e</w:t>
      </w:r>
      <w:r w:rsidR="00EE1988" w:rsidRPr="00E90E47">
        <w:rPr>
          <w:sz w:val="20"/>
          <w:szCs w:val="20"/>
          <w:lang w:val="es-BO"/>
        </w:rPr>
        <w:t>ra</w:t>
      </w:r>
      <w:r w:rsidR="000D58D3" w:rsidRPr="00E90E47">
        <w:rPr>
          <w:sz w:val="20"/>
          <w:szCs w:val="20"/>
          <w:lang w:val="es-BO"/>
        </w:rPr>
        <w:t xml:space="preserve"> juez integra</w:t>
      </w:r>
      <w:r w:rsidR="00EE1988" w:rsidRPr="00E90E47">
        <w:rPr>
          <w:sz w:val="20"/>
          <w:szCs w:val="20"/>
          <w:lang w:val="es-BO"/>
        </w:rPr>
        <w:t>nte d</w:t>
      </w:r>
      <w:r w:rsidR="000D58D3" w:rsidRPr="00E90E47">
        <w:rPr>
          <w:sz w:val="20"/>
          <w:szCs w:val="20"/>
          <w:lang w:val="es-BO"/>
        </w:rPr>
        <w:t xml:space="preserve">el </w:t>
      </w:r>
      <w:r w:rsidR="00EE1988" w:rsidRPr="00E90E47">
        <w:rPr>
          <w:sz w:val="20"/>
          <w:szCs w:val="20"/>
          <w:lang w:val="es-BO"/>
        </w:rPr>
        <w:t>Tribunal de Pérez Zeledón</w:t>
      </w:r>
      <w:r w:rsidR="009563E8" w:rsidRPr="00E90E47">
        <w:rPr>
          <w:sz w:val="20"/>
          <w:szCs w:val="20"/>
          <w:lang w:val="es-BO"/>
        </w:rPr>
        <w:t xml:space="preserve">, el cual </w:t>
      </w:r>
      <w:r w:rsidR="00EE1988" w:rsidRPr="00E90E47">
        <w:rPr>
          <w:sz w:val="20"/>
          <w:szCs w:val="20"/>
          <w:lang w:val="es-BO"/>
        </w:rPr>
        <w:t>en abril de 1997</w:t>
      </w:r>
      <w:r w:rsidR="000D58D3" w:rsidRPr="00E90E47">
        <w:rPr>
          <w:sz w:val="20"/>
          <w:szCs w:val="20"/>
          <w:lang w:val="es-BO"/>
        </w:rPr>
        <w:t xml:space="preserve"> </w:t>
      </w:r>
      <w:r w:rsidR="00675D67" w:rsidRPr="00E90E47">
        <w:rPr>
          <w:sz w:val="20"/>
          <w:szCs w:val="20"/>
          <w:lang w:val="es-BO"/>
        </w:rPr>
        <w:t>resolvi</w:t>
      </w:r>
      <w:r w:rsidR="009563E8" w:rsidRPr="00E90E47">
        <w:rPr>
          <w:sz w:val="20"/>
          <w:szCs w:val="20"/>
          <w:lang w:val="es-BO"/>
        </w:rPr>
        <w:t xml:space="preserve">ó la causa penal 97-20063-030 imponiendo una </w:t>
      </w:r>
      <w:r w:rsidR="00B90B08" w:rsidRPr="00E90E47">
        <w:rPr>
          <w:sz w:val="20"/>
          <w:szCs w:val="20"/>
          <w:lang w:val="es-BO"/>
        </w:rPr>
        <w:t>condena</w:t>
      </w:r>
      <w:r w:rsidR="009563E8" w:rsidRPr="00E90E47">
        <w:rPr>
          <w:sz w:val="20"/>
          <w:szCs w:val="20"/>
          <w:lang w:val="es-BO"/>
        </w:rPr>
        <w:t xml:space="preserve"> de 18 años de prisión a </w:t>
      </w:r>
      <w:r w:rsidR="00622A29" w:rsidRPr="00E90E47">
        <w:rPr>
          <w:sz w:val="20"/>
          <w:szCs w:val="20"/>
          <w:lang w:val="es-BO"/>
        </w:rPr>
        <w:t>dos personas acusadas de delitos de narcotráfico, fallo confirmado por la Sala de Casación. Posteriormente, a inicios del año 1999 la defensa de los sentenciados</w:t>
      </w:r>
      <w:r w:rsidR="00B90B08" w:rsidRPr="00E90E47">
        <w:rPr>
          <w:sz w:val="20"/>
          <w:szCs w:val="20"/>
          <w:lang w:val="es-BO"/>
        </w:rPr>
        <w:t>, al solicitar</w:t>
      </w:r>
      <w:r w:rsidR="003E315B" w:rsidRPr="00E90E47">
        <w:rPr>
          <w:sz w:val="20"/>
          <w:szCs w:val="20"/>
          <w:lang w:val="es-BO"/>
        </w:rPr>
        <w:t xml:space="preserve"> la aplicación retroactiva de una norma más favorable, </w:t>
      </w:r>
      <w:r w:rsidR="00622A29" w:rsidRPr="00E90E47">
        <w:rPr>
          <w:sz w:val="20"/>
          <w:szCs w:val="20"/>
          <w:lang w:val="es-BO"/>
        </w:rPr>
        <w:t>plante</w:t>
      </w:r>
      <w:r w:rsidR="00444FB0" w:rsidRPr="00E90E47">
        <w:rPr>
          <w:sz w:val="20"/>
          <w:szCs w:val="20"/>
          <w:lang w:val="es-BO"/>
        </w:rPr>
        <w:t>ó un incidente de m</w:t>
      </w:r>
      <w:r w:rsidR="00622A29" w:rsidRPr="00E90E47">
        <w:rPr>
          <w:sz w:val="20"/>
          <w:szCs w:val="20"/>
          <w:lang w:val="es-BO"/>
        </w:rPr>
        <w:t>odificaci</w:t>
      </w:r>
      <w:r w:rsidR="00444FB0" w:rsidRPr="00E90E47">
        <w:rPr>
          <w:sz w:val="20"/>
          <w:szCs w:val="20"/>
          <w:lang w:val="es-BO"/>
        </w:rPr>
        <w:t>ón de p</w:t>
      </w:r>
      <w:r w:rsidR="00622A29" w:rsidRPr="00E90E47">
        <w:rPr>
          <w:sz w:val="20"/>
          <w:szCs w:val="20"/>
          <w:lang w:val="es-BO"/>
        </w:rPr>
        <w:t xml:space="preserve">ena </w:t>
      </w:r>
      <w:r w:rsidR="00C86C32" w:rsidRPr="00E90E47">
        <w:rPr>
          <w:sz w:val="20"/>
          <w:szCs w:val="20"/>
          <w:lang w:val="es-BO"/>
        </w:rPr>
        <w:t>que</w:t>
      </w:r>
      <w:r w:rsidR="00622A29" w:rsidRPr="00E90E47">
        <w:rPr>
          <w:sz w:val="20"/>
          <w:szCs w:val="20"/>
          <w:lang w:val="es-BO"/>
        </w:rPr>
        <w:t xml:space="preserve"> fue rechazado por el Juzgado de Ejecución de Pena de Alajuela. </w:t>
      </w:r>
      <w:r w:rsidR="00CC7416" w:rsidRPr="00E90E47">
        <w:rPr>
          <w:sz w:val="20"/>
          <w:szCs w:val="20"/>
          <w:lang w:val="es-BO"/>
        </w:rPr>
        <w:t xml:space="preserve">La </w:t>
      </w:r>
      <w:r w:rsidR="00560877" w:rsidRPr="00E90E47">
        <w:rPr>
          <w:sz w:val="20"/>
          <w:szCs w:val="20"/>
          <w:lang w:val="es-BO"/>
        </w:rPr>
        <w:t xml:space="preserve">defensa apeló tal decisión ante </w:t>
      </w:r>
      <w:r w:rsidR="00CC7416" w:rsidRPr="00E90E47">
        <w:rPr>
          <w:sz w:val="20"/>
          <w:szCs w:val="20"/>
          <w:lang w:val="es-BO"/>
        </w:rPr>
        <w:t>el Tribunal de Pérez Zeled</w:t>
      </w:r>
      <w:r w:rsidR="00560877" w:rsidRPr="00E90E47">
        <w:rPr>
          <w:sz w:val="20"/>
          <w:szCs w:val="20"/>
          <w:lang w:val="es-BO"/>
        </w:rPr>
        <w:t xml:space="preserve">ón, </w:t>
      </w:r>
      <w:r w:rsidR="00C86C32" w:rsidRPr="00E90E47">
        <w:rPr>
          <w:sz w:val="20"/>
          <w:szCs w:val="20"/>
          <w:lang w:val="es-BO"/>
        </w:rPr>
        <w:t>el cual</w:t>
      </w:r>
      <w:r w:rsidR="0044678B" w:rsidRPr="00E90E47">
        <w:rPr>
          <w:sz w:val="20"/>
          <w:szCs w:val="20"/>
          <w:lang w:val="es-BO"/>
        </w:rPr>
        <w:t xml:space="preserve"> dispuso devolver el asunto al juez de ejecución, ordenándole que resuelva </w:t>
      </w:r>
      <w:r w:rsidR="00C86C32" w:rsidRPr="00E90E47">
        <w:rPr>
          <w:sz w:val="20"/>
          <w:szCs w:val="20"/>
          <w:lang w:val="es-BO"/>
        </w:rPr>
        <w:t>el incidente</w:t>
      </w:r>
      <w:r w:rsidR="00081B36" w:rsidRPr="00E90E47">
        <w:rPr>
          <w:sz w:val="20"/>
          <w:szCs w:val="20"/>
          <w:lang w:val="es-BO"/>
        </w:rPr>
        <w:t>. Éste,</w:t>
      </w:r>
      <w:r w:rsidR="00C86C32" w:rsidRPr="00E90E47">
        <w:rPr>
          <w:sz w:val="20"/>
          <w:szCs w:val="20"/>
          <w:lang w:val="es-BO"/>
        </w:rPr>
        <w:t xml:space="preserve"> no obstante, </w:t>
      </w:r>
      <w:r w:rsidR="00EE3549" w:rsidRPr="00E90E47">
        <w:rPr>
          <w:sz w:val="20"/>
          <w:szCs w:val="20"/>
          <w:lang w:val="es-BO"/>
        </w:rPr>
        <w:t xml:space="preserve">no cumplió con </w:t>
      </w:r>
      <w:r w:rsidR="00C86C32" w:rsidRPr="00E90E47">
        <w:rPr>
          <w:sz w:val="20"/>
          <w:szCs w:val="20"/>
          <w:lang w:val="es-BO"/>
        </w:rPr>
        <w:t xml:space="preserve">la orden del Tribunal </w:t>
      </w:r>
      <w:r w:rsidR="00081B36" w:rsidRPr="00E90E47">
        <w:rPr>
          <w:sz w:val="20"/>
          <w:szCs w:val="20"/>
          <w:lang w:val="es-BO"/>
        </w:rPr>
        <w:t xml:space="preserve">y </w:t>
      </w:r>
      <w:r w:rsidR="00C86C32" w:rsidRPr="00E90E47">
        <w:rPr>
          <w:sz w:val="20"/>
          <w:szCs w:val="20"/>
          <w:lang w:val="es-BO"/>
        </w:rPr>
        <w:t>se declaró incompetente</w:t>
      </w:r>
      <w:r w:rsidR="00CD0D05" w:rsidRPr="00E90E47">
        <w:rPr>
          <w:sz w:val="20"/>
          <w:szCs w:val="20"/>
          <w:lang w:val="es-BO"/>
        </w:rPr>
        <w:t xml:space="preserve"> pues consideró que su obligación era garantizar la sanción impuesta y no establecer una nueva pena</w:t>
      </w:r>
      <w:r w:rsidR="00C86C32" w:rsidRPr="00E90E47">
        <w:rPr>
          <w:sz w:val="20"/>
          <w:szCs w:val="20"/>
          <w:lang w:val="es-BO"/>
        </w:rPr>
        <w:t xml:space="preserve">. </w:t>
      </w:r>
      <w:r w:rsidR="001661E0" w:rsidRPr="00E90E47">
        <w:rPr>
          <w:sz w:val="20"/>
          <w:szCs w:val="20"/>
          <w:lang w:val="es-BO"/>
        </w:rPr>
        <w:t>Frente a esta decisión</w:t>
      </w:r>
      <w:r w:rsidR="00BC123B" w:rsidRPr="00E90E47">
        <w:rPr>
          <w:sz w:val="20"/>
          <w:szCs w:val="20"/>
          <w:lang w:val="es-BO"/>
        </w:rPr>
        <w:t>,</w:t>
      </w:r>
      <w:r w:rsidR="001661E0" w:rsidRPr="00E90E47">
        <w:rPr>
          <w:sz w:val="20"/>
          <w:szCs w:val="20"/>
          <w:lang w:val="es-BO"/>
        </w:rPr>
        <w:t xml:space="preserve"> la defensa presentó una apelación nuevamente </w:t>
      </w:r>
      <w:r w:rsidR="00444FB0" w:rsidRPr="00E90E47">
        <w:rPr>
          <w:sz w:val="20"/>
          <w:szCs w:val="20"/>
          <w:lang w:val="es-BO"/>
        </w:rPr>
        <w:t>a</w:t>
      </w:r>
      <w:r w:rsidR="001661E0" w:rsidRPr="00E90E47">
        <w:rPr>
          <w:sz w:val="20"/>
          <w:szCs w:val="20"/>
          <w:lang w:val="es-BO"/>
        </w:rPr>
        <w:t xml:space="preserve">l Tribunal de Pérez Zeledón, </w:t>
      </w:r>
      <w:r w:rsidR="00B17F0C" w:rsidRPr="00E90E47">
        <w:rPr>
          <w:sz w:val="20"/>
          <w:szCs w:val="20"/>
          <w:lang w:val="es-BO"/>
        </w:rPr>
        <w:t>el cual</w:t>
      </w:r>
      <w:r w:rsidR="00081B36" w:rsidRPr="00E90E47">
        <w:rPr>
          <w:sz w:val="20"/>
          <w:szCs w:val="20"/>
          <w:lang w:val="es-BO"/>
        </w:rPr>
        <w:t>,</w:t>
      </w:r>
      <w:r w:rsidR="00B17F0C" w:rsidRPr="00E90E47">
        <w:rPr>
          <w:sz w:val="20"/>
          <w:szCs w:val="20"/>
          <w:lang w:val="es-BO"/>
        </w:rPr>
        <w:t xml:space="preserve"> interpretando las nuevas disposiciones del Código de Procesal Penal de 1998, </w:t>
      </w:r>
      <w:r w:rsidR="00657C2B" w:rsidRPr="00E90E47">
        <w:rPr>
          <w:sz w:val="20"/>
          <w:szCs w:val="20"/>
          <w:lang w:val="es-BO"/>
        </w:rPr>
        <w:t>acogió el recurso</w:t>
      </w:r>
      <w:r w:rsidR="003E315B" w:rsidRPr="00E90E47">
        <w:rPr>
          <w:sz w:val="20"/>
          <w:szCs w:val="20"/>
          <w:lang w:val="es-BO"/>
        </w:rPr>
        <w:t xml:space="preserve"> de apelación</w:t>
      </w:r>
      <w:r w:rsidR="00657C2B" w:rsidRPr="00E90E47">
        <w:rPr>
          <w:sz w:val="20"/>
          <w:szCs w:val="20"/>
          <w:lang w:val="es-BO"/>
        </w:rPr>
        <w:t xml:space="preserve"> y </w:t>
      </w:r>
      <w:r w:rsidR="004A42FE" w:rsidRPr="00E90E47">
        <w:rPr>
          <w:sz w:val="20"/>
          <w:szCs w:val="20"/>
          <w:lang w:val="es-BO"/>
        </w:rPr>
        <w:t xml:space="preserve">determinó </w:t>
      </w:r>
      <w:r w:rsidR="001B7DE8" w:rsidRPr="00E90E47">
        <w:rPr>
          <w:sz w:val="20"/>
          <w:szCs w:val="20"/>
          <w:lang w:val="es-BO"/>
        </w:rPr>
        <w:t>reducir</w:t>
      </w:r>
      <w:r w:rsidR="004A42FE" w:rsidRPr="00E90E47">
        <w:rPr>
          <w:sz w:val="20"/>
          <w:szCs w:val="20"/>
          <w:lang w:val="es-BO"/>
        </w:rPr>
        <w:t xml:space="preserve"> la pena de los dos sentenciados a 6 años de prisión</w:t>
      </w:r>
      <w:r w:rsidR="00B17F0C" w:rsidRPr="00E90E47">
        <w:rPr>
          <w:sz w:val="20"/>
          <w:szCs w:val="20"/>
          <w:lang w:val="es-BO"/>
        </w:rPr>
        <w:t xml:space="preserve"> el 9 de julio de 1999</w:t>
      </w:r>
      <w:r w:rsidR="004A42FE" w:rsidRPr="00E90E47">
        <w:rPr>
          <w:sz w:val="20"/>
          <w:szCs w:val="20"/>
          <w:lang w:val="es-BO"/>
        </w:rPr>
        <w:t xml:space="preserve">. </w:t>
      </w:r>
    </w:p>
    <w:p w14:paraId="257F6894" w14:textId="4D1A4688" w:rsidR="00EE3549" w:rsidRPr="00E90E47" w:rsidRDefault="00391217"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Los</w:t>
      </w:r>
      <w:r w:rsidR="004A42FE" w:rsidRPr="00E90E47">
        <w:rPr>
          <w:sz w:val="20"/>
          <w:szCs w:val="20"/>
          <w:lang w:val="es-BO"/>
        </w:rPr>
        <w:t xml:space="preserve"> peticionario</w:t>
      </w:r>
      <w:r w:rsidRPr="00E90E47">
        <w:rPr>
          <w:sz w:val="20"/>
          <w:szCs w:val="20"/>
          <w:lang w:val="es-BO"/>
        </w:rPr>
        <w:t>s</w:t>
      </w:r>
      <w:r w:rsidR="004A42FE" w:rsidRPr="00E90E47">
        <w:rPr>
          <w:sz w:val="20"/>
          <w:szCs w:val="20"/>
          <w:lang w:val="es-BO"/>
        </w:rPr>
        <w:t xml:space="preserve"> refiere</w:t>
      </w:r>
      <w:r w:rsidRPr="00E90E47">
        <w:rPr>
          <w:sz w:val="20"/>
          <w:szCs w:val="20"/>
          <w:lang w:val="es-BO"/>
        </w:rPr>
        <w:t>n</w:t>
      </w:r>
      <w:r w:rsidR="004A42FE" w:rsidRPr="00E90E47">
        <w:rPr>
          <w:sz w:val="20"/>
          <w:szCs w:val="20"/>
          <w:lang w:val="es-BO"/>
        </w:rPr>
        <w:t xml:space="preserve"> </w:t>
      </w:r>
      <w:r w:rsidR="003F5A34" w:rsidRPr="00E90E47">
        <w:rPr>
          <w:sz w:val="20"/>
          <w:szCs w:val="20"/>
          <w:lang w:val="es-BO"/>
        </w:rPr>
        <w:t>que,</w:t>
      </w:r>
      <w:r w:rsidR="004A42FE" w:rsidRPr="00E90E47">
        <w:rPr>
          <w:sz w:val="20"/>
          <w:szCs w:val="20"/>
          <w:lang w:val="es-BO"/>
        </w:rPr>
        <w:t xml:space="preserve"> en el mes de octubre de 1999, a raíz de información difundida en medios de prensa relacionada a supuestos hechos de corrupción </w:t>
      </w:r>
      <w:r w:rsidR="001B7DE8" w:rsidRPr="00E90E47">
        <w:rPr>
          <w:sz w:val="20"/>
          <w:szCs w:val="20"/>
          <w:lang w:val="es-BO"/>
        </w:rPr>
        <w:t>de autoridades judiciales, la Corte Plena ordenó iniciar investigaciones contra los jueces y fiscal</w:t>
      </w:r>
      <w:r w:rsidR="006A0F69" w:rsidRPr="00E90E47">
        <w:rPr>
          <w:sz w:val="20"/>
          <w:szCs w:val="20"/>
          <w:lang w:val="es-BO"/>
        </w:rPr>
        <w:t>es</w:t>
      </w:r>
      <w:r w:rsidR="001B7DE8" w:rsidRPr="00E90E47">
        <w:rPr>
          <w:sz w:val="20"/>
          <w:szCs w:val="20"/>
          <w:lang w:val="es-BO"/>
        </w:rPr>
        <w:t xml:space="preserve"> que tomaron decisiones referidas a reducción de penas. </w:t>
      </w:r>
      <w:r w:rsidR="004727CA" w:rsidRPr="00E90E47">
        <w:rPr>
          <w:sz w:val="20"/>
          <w:szCs w:val="20"/>
          <w:lang w:val="es-BO"/>
        </w:rPr>
        <w:t>En ese sentido</w:t>
      </w:r>
      <w:r w:rsidR="006A0F69" w:rsidRPr="00E90E47">
        <w:rPr>
          <w:sz w:val="20"/>
          <w:szCs w:val="20"/>
          <w:lang w:val="es-BO"/>
        </w:rPr>
        <w:t>,</w:t>
      </w:r>
      <w:r w:rsidR="004727CA" w:rsidRPr="00E90E47">
        <w:rPr>
          <w:sz w:val="20"/>
          <w:szCs w:val="20"/>
          <w:lang w:val="es-BO"/>
        </w:rPr>
        <w:t xml:space="preserve"> y en consideración a los hechos relatados anteriormente,</w:t>
      </w:r>
      <w:r w:rsidR="001B7DE8" w:rsidRPr="00E90E47">
        <w:rPr>
          <w:sz w:val="20"/>
          <w:szCs w:val="20"/>
          <w:lang w:val="es-BO"/>
        </w:rPr>
        <w:t xml:space="preserve"> la presunta víctima fue sometida a un proceso administrativo</w:t>
      </w:r>
      <w:r w:rsidR="004727CA" w:rsidRPr="00E90E47">
        <w:rPr>
          <w:sz w:val="20"/>
          <w:szCs w:val="20"/>
          <w:lang w:val="es-BO"/>
        </w:rPr>
        <w:t xml:space="preserve"> acusada de haber conocido</w:t>
      </w:r>
      <w:r w:rsidR="00035840" w:rsidRPr="00E90E47">
        <w:rPr>
          <w:sz w:val="20"/>
          <w:szCs w:val="20"/>
          <w:lang w:val="es-BO"/>
        </w:rPr>
        <w:t xml:space="preserve"> un asunto que </w:t>
      </w:r>
      <w:r w:rsidR="004727CA" w:rsidRPr="00E90E47">
        <w:rPr>
          <w:sz w:val="20"/>
          <w:szCs w:val="20"/>
          <w:lang w:val="es-BO"/>
        </w:rPr>
        <w:t xml:space="preserve">no </w:t>
      </w:r>
      <w:r w:rsidR="00035840" w:rsidRPr="00E90E47">
        <w:rPr>
          <w:sz w:val="20"/>
          <w:szCs w:val="20"/>
          <w:lang w:val="es-BO"/>
        </w:rPr>
        <w:t xml:space="preserve">era de </w:t>
      </w:r>
      <w:r w:rsidR="004727CA" w:rsidRPr="00E90E47">
        <w:rPr>
          <w:sz w:val="20"/>
          <w:szCs w:val="20"/>
          <w:lang w:val="es-BO"/>
        </w:rPr>
        <w:t xml:space="preserve">su </w:t>
      </w:r>
      <w:r w:rsidR="00035840" w:rsidRPr="00E90E47">
        <w:rPr>
          <w:sz w:val="20"/>
          <w:szCs w:val="20"/>
          <w:lang w:val="es-BO"/>
        </w:rPr>
        <w:t>competencia</w:t>
      </w:r>
      <w:r w:rsidR="00DD2D98" w:rsidRPr="00E90E47">
        <w:rPr>
          <w:sz w:val="20"/>
          <w:szCs w:val="20"/>
          <w:lang w:val="es-BO"/>
        </w:rPr>
        <w:t xml:space="preserve"> y de reducir drásticamente una sentencia condenatoria.</w:t>
      </w:r>
      <w:r w:rsidR="00AF0A4D" w:rsidRPr="00E90E47">
        <w:rPr>
          <w:sz w:val="20"/>
          <w:szCs w:val="20"/>
          <w:lang w:val="es-BO"/>
        </w:rPr>
        <w:t xml:space="preserve"> Así, con base en el artículo 199</w:t>
      </w:r>
      <w:r w:rsidR="0073610E" w:rsidRPr="00E90E47">
        <w:rPr>
          <w:sz w:val="20"/>
          <w:szCs w:val="20"/>
          <w:lang w:val="es-BO"/>
        </w:rPr>
        <w:t xml:space="preserve"> </w:t>
      </w:r>
      <w:r w:rsidR="00AF0A4D" w:rsidRPr="00E90E47">
        <w:rPr>
          <w:sz w:val="20"/>
          <w:szCs w:val="20"/>
          <w:lang w:val="es-BO"/>
        </w:rPr>
        <w:t>de la Ley Orgánica del Poder Judicial</w:t>
      </w:r>
      <w:r w:rsidR="0073610E" w:rsidRPr="00E90E47">
        <w:rPr>
          <w:rStyle w:val="FootnoteReference"/>
          <w:sz w:val="20"/>
          <w:szCs w:val="20"/>
          <w:lang w:val="es-BO"/>
        </w:rPr>
        <w:footnoteReference w:id="5"/>
      </w:r>
      <w:r w:rsidR="00AF3B96" w:rsidRPr="00E90E47">
        <w:rPr>
          <w:sz w:val="20"/>
          <w:szCs w:val="20"/>
          <w:lang w:val="es-BO"/>
        </w:rPr>
        <w:t>, la Corte Suprema de Justicia el 20 de marzo de 2000</w:t>
      </w:r>
      <w:r w:rsidR="00566DB7" w:rsidRPr="00E90E47">
        <w:rPr>
          <w:sz w:val="20"/>
          <w:szCs w:val="20"/>
          <w:lang w:val="es-BO"/>
        </w:rPr>
        <w:t xml:space="preserve"> determinó </w:t>
      </w:r>
      <w:r w:rsidR="00A52075" w:rsidRPr="00E90E47">
        <w:rPr>
          <w:sz w:val="20"/>
          <w:szCs w:val="20"/>
          <w:lang w:val="es-BO"/>
        </w:rPr>
        <w:t xml:space="preserve">que la presunta víctima había cometido un error grave al resolver el caso alejándose de las líneas jurisprudenciales y la normativa existente, </w:t>
      </w:r>
      <w:r w:rsidR="00566DB7" w:rsidRPr="00E90E47">
        <w:rPr>
          <w:sz w:val="20"/>
          <w:szCs w:val="20"/>
          <w:lang w:val="es-BO"/>
        </w:rPr>
        <w:t>por</w:t>
      </w:r>
      <w:r w:rsidR="00613165" w:rsidRPr="00E90E47">
        <w:rPr>
          <w:sz w:val="20"/>
          <w:szCs w:val="20"/>
          <w:lang w:val="es-BO"/>
        </w:rPr>
        <w:t xml:space="preserve"> lo</w:t>
      </w:r>
      <w:r w:rsidR="00566DB7" w:rsidRPr="00E90E47">
        <w:rPr>
          <w:sz w:val="20"/>
          <w:szCs w:val="20"/>
          <w:lang w:val="es-BO"/>
        </w:rPr>
        <w:t xml:space="preserve"> </w:t>
      </w:r>
      <w:r w:rsidR="006A0F69" w:rsidRPr="00E90E47">
        <w:rPr>
          <w:sz w:val="20"/>
          <w:szCs w:val="20"/>
          <w:lang w:val="es-BO"/>
        </w:rPr>
        <w:t>que</w:t>
      </w:r>
      <w:r w:rsidR="00AF3B96" w:rsidRPr="00E90E47">
        <w:rPr>
          <w:sz w:val="20"/>
          <w:szCs w:val="20"/>
          <w:lang w:val="es-BO"/>
        </w:rPr>
        <w:t xml:space="preserve"> </w:t>
      </w:r>
      <w:r w:rsidR="0073610E" w:rsidRPr="00E90E47">
        <w:rPr>
          <w:sz w:val="20"/>
          <w:szCs w:val="20"/>
          <w:lang w:val="es-BO"/>
        </w:rPr>
        <w:t>dispuso su</w:t>
      </w:r>
      <w:r w:rsidR="00DE5D09" w:rsidRPr="00E90E47">
        <w:rPr>
          <w:sz w:val="20"/>
          <w:szCs w:val="20"/>
          <w:lang w:val="es-BO"/>
        </w:rPr>
        <w:t xml:space="preserve"> destitución del cargo de juez.</w:t>
      </w:r>
      <w:r w:rsidR="00AA0E46" w:rsidRPr="00E90E47">
        <w:rPr>
          <w:sz w:val="20"/>
          <w:szCs w:val="20"/>
          <w:lang w:val="es-BO"/>
        </w:rPr>
        <w:t xml:space="preserve"> </w:t>
      </w:r>
    </w:p>
    <w:p w14:paraId="00993B57" w14:textId="7205A1D8" w:rsidR="00AA0002" w:rsidRPr="00E90E47" w:rsidRDefault="00AA0002"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La presunta víctima interpuso</w:t>
      </w:r>
      <w:r w:rsidR="00AA0E46" w:rsidRPr="00E90E47">
        <w:rPr>
          <w:sz w:val="20"/>
          <w:szCs w:val="20"/>
          <w:lang w:val="es-BO"/>
        </w:rPr>
        <w:t xml:space="preserve"> un recurso de reconsideración que fue desestimado por la Corte </w:t>
      </w:r>
      <w:r w:rsidR="007A5D8C" w:rsidRPr="00E90E47">
        <w:rPr>
          <w:sz w:val="20"/>
          <w:szCs w:val="20"/>
          <w:lang w:val="es-BO"/>
        </w:rPr>
        <w:t>Suprema de Justicia el 23 de mayo de 2000</w:t>
      </w:r>
      <w:r w:rsidR="00193558" w:rsidRPr="00E90E47">
        <w:rPr>
          <w:sz w:val="20"/>
          <w:szCs w:val="20"/>
          <w:lang w:val="es-BO"/>
        </w:rPr>
        <w:t xml:space="preserve">. Posteriormente, </w:t>
      </w:r>
      <w:r w:rsidR="007A2598" w:rsidRPr="00E90E47">
        <w:rPr>
          <w:sz w:val="20"/>
          <w:szCs w:val="20"/>
          <w:lang w:val="es-BO"/>
        </w:rPr>
        <w:t>present</w:t>
      </w:r>
      <w:r w:rsidRPr="00E90E47">
        <w:rPr>
          <w:sz w:val="20"/>
          <w:szCs w:val="20"/>
          <w:lang w:val="es-BO"/>
        </w:rPr>
        <w:t>ó</w:t>
      </w:r>
      <w:r w:rsidR="007A2598" w:rsidRPr="00E90E47">
        <w:rPr>
          <w:sz w:val="20"/>
          <w:szCs w:val="20"/>
          <w:lang w:val="es-BO"/>
        </w:rPr>
        <w:t xml:space="preserve"> </w:t>
      </w:r>
      <w:r w:rsidR="00193558" w:rsidRPr="00E90E47">
        <w:rPr>
          <w:sz w:val="20"/>
          <w:szCs w:val="20"/>
          <w:lang w:val="es-BO"/>
        </w:rPr>
        <w:t xml:space="preserve">una demanda ordinaria laboral </w:t>
      </w:r>
      <w:r w:rsidR="009A07D2" w:rsidRPr="00E90E47">
        <w:rPr>
          <w:sz w:val="20"/>
          <w:szCs w:val="20"/>
          <w:lang w:val="es-BO"/>
        </w:rPr>
        <w:t xml:space="preserve">ante el Juzgado de Trabajo de Pérez Zeledón </w:t>
      </w:r>
      <w:r w:rsidRPr="00E90E47">
        <w:rPr>
          <w:sz w:val="20"/>
          <w:szCs w:val="20"/>
          <w:lang w:val="es-BO"/>
        </w:rPr>
        <w:t>solicitando se declare injusto el despido y se ordene su reinstalación. E</w:t>
      </w:r>
      <w:r w:rsidR="00ED40B4" w:rsidRPr="00E90E47">
        <w:rPr>
          <w:sz w:val="20"/>
          <w:szCs w:val="20"/>
          <w:lang w:val="es-BO"/>
        </w:rPr>
        <w:t>l 10 de septiembre de 2004</w:t>
      </w:r>
      <w:r w:rsidRPr="00E90E47">
        <w:rPr>
          <w:sz w:val="20"/>
          <w:szCs w:val="20"/>
          <w:lang w:val="es-BO"/>
        </w:rPr>
        <w:t xml:space="preserve"> el Juzgado rechazó las dos pretensiones principales y acogió parcialmente la pretensión subsidiaria de trasladar las cuotas cotizadas para el régimen de pensiones del Poder Judicial al régimen de la Caja de Seguro Social. Contra dicha sentencia</w:t>
      </w:r>
      <w:r w:rsidR="00D1711F" w:rsidRPr="00E90E47">
        <w:rPr>
          <w:sz w:val="20"/>
          <w:szCs w:val="20"/>
          <w:lang w:val="es-BO"/>
        </w:rPr>
        <w:t xml:space="preserve"> la presunta víctima</w:t>
      </w:r>
      <w:r w:rsidRPr="00E90E47">
        <w:rPr>
          <w:sz w:val="20"/>
          <w:szCs w:val="20"/>
          <w:lang w:val="es-BO"/>
        </w:rPr>
        <w:t xml:space="preserve"> interpuso recurso de apelación ante el Tribunal de la Zona Sur de Pérez Zeledón alegando prescripci</w:t>
      </w:r>
      <w:r w:rsidR="00D1711F" w:rsidRPr="00E90E47">
        <w:rPr>
          <w:sz w:val="20"/>
          <w:szCs w:val="20"/>
          <w:lang w:val="es-BO"/>
        </w:rPr>
        <w:t>ón. El 15 de julio de 2005 el Tribunal rechazó el recurso por considerar que no hubo defectos de procedimiento u omisiones capaces de producir nulidades o indefensión, declarando sin lugar la excepción de prescripción. Contra dicha decisión, la presunta víctima presentó recurso de casación ante la Segunda Sala de la Corte Suprema</w:t>
      </w:r>
      <w:r w:rsidR="00030121" w:rsidRPr="00E90E47">
        <w:rPr>
          <w:sz w:val="20"/>
          <w:szCs w:val="20"/>
          <w:lang w:val="es-BO"/>
        </w:rPr>
        <w:t xml:space="preserve"> de Justicia</w:t>
      </w:r>
      <w:r w:rsidR="00F72BDE" w:rsidRPr="00E90E47">
        <w:rPr>
          <w:sz w:val="20"/>
          <w:szCs w:val="20"/>
          <w:lang w:val="es-BO"/>
        </w:rPr>
        <w:t xml:space="preserve"> solicitando se declare injusto el despido</w:t>
      </w:r>
      <w:r w:rsidR="004B42AC" w:rsidRPr="00E90E47">
        <w:rPr>
          <w:sz w:val="20"/>
          <w:szCs w:val="20"/>
          <w:lang w:val="es-BO"/>
        </w:rPr>
        <w:t xml:space="preserve"> y sea reinstalado a su cargo.</w:t>
      </w:r>
      <w:r w:rsidR="00573271" w:rsidRPr="00E90E47">
        <w:rPr>
          <w:sz w:val="20"/>
          <w:szCs w:val="20"/>
          <w:lang w:val="es-BO"/>
        </w:rPr>
        <w:t xml:space="preserve"> Luego de analizar cada uno de los argumentos planteados por la parte actora, la Sala rechazó el recurso el 22 de marzo de 2006 concluyendo que “se ha creado una situación objetiva de desconfianza total y absoluta en la labor que realiza el actor como funcionario judicial, lo cual hace imposible su continuidad en el Poder Judicial”.</w:t>
      </w:r>
      <w:r w:rsidR="004B42AC" w:rsidRPr="00E90E47">
        <w:rPr>
          <w:sz w:val="20"/>
          <w:szCs w:val="20"/>
          <w:lang w:val="es-BO"/>
        </w:rPr>
        <w:t xml:space="preserve"> </w:t>
      </w:r>
      <w:r w:rsidR="00401147" w:rsidRPr="00E90E47">
        <w:rPr>
          <w:sz w:val="20"/>
          <w:szCs w:val="20"/>
          <w:lang w:val="es-BO"/>
        </w:rPr>
        <w:t>Dicha sentencia, la cual tuvo dos votos disidentes, fue notificada el 27 de septiembre de 2006.</w:t>
      </w:r>
    </w:p>
    <w:p w14:paraId="772CE47E" w14:textId="2B32F6F9" w:rsidR="00A95EB2" w:rsidRPr="00E90E47" w:rsidRDefault="00A95EB2" w:rsidP="002C1C8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 xml:space="preserve">Por otra parte, </w:t>
      </w:r>
      <w:r w:rsidR="007A2598" w:rsidRPr="00E90E47">
        <w:rPr>
          <w:sz w:val="20"/>
          <w:szCs w:val="20"/>
          <w:lang w:val="es-BO"/>
        </w:rPr>
        <w:t>los</w:t>
      </w:r>
      <w:r w:rsidRPr="00E90E47">
        <w:rPr>
          <w:sz w:val="20"/>
          <w:szCs w:val="20"/>
          <w:lang w:val="es-BO"/>
        </w:rPr>
        <w:t xml:space="preserve"> peticionario</w:t>
      </w:r>
      <w:r w:rsidR="007A2598" w:rsidRPr="00E90E47">
        <w:rPr>
          <w:sz w:val="20"/>
          <w:szCs w:val="20"/>
          <w:lang w:val="es-BO"/>
        </w:rPr>
        <w:t>s</w:t>
      </w:r>
      <w:r w:rsidRPr="00E90E47">
        <w:rPr>
          <w:sz w:val="20"/>
          <w:szCs w:val="20"/>
          <w:lang w:val="es-BO"/>
        </w:rPr>
        <w:t xml:space="preserve"> </w:t>
      </w:r>
      <w:r w:rsidR="00E02E96" w:rsidRPr="00E90E47">
        <w:rPr>
          <w:sz w:val="20"/>
          <w:szCs w:val="20"/>
          <w:lang w:val="es-BO"/>
        </w:rPr>
        <w:t>señalan</w:t>
      </w:r>
      <w:r w:rsidR="00161C6D" w:rsidRPr="00E90E47">
        <w:rPr>
          <w:sz w:val="20"/>
          <w:szCs w:val="20"/>
          <w:lang w:val="es-BO"/>
        </w:rPr>
        <w:t>, como elemento de contexto,</w:t>
      </w:r>
      <w:r w:rsidR="00E02E96" w:rsidRPr="00E90E47">
        <w:rPr>
          <w:sz w:val="20"/>
          <w:szCs w:val="20"/>
          <w:lang w:val="es-BO"/>
        </w:rPr>
        <w:t xml:space="preserve"> </w:t>
      </w:r>
      <w:r w:rsidRPr="00E90E47">
        <w:rPr>
          <w:sz w:val="20"/>
          <w:szCs w:val="20"/>
          <w:lang w:val="es-BO"/>
        </w:rPr>
        <w:t>que además del proceso disciplinario</w:t>
      </w:r>
      <w:r w:rsidR="00DA1459" w:rsidRPr="00E90E47">
        <w:rPr>
          <w:sz w:val="20"/>
          <w:szCs w:val="20"/>
          <w:lang w:val="es-BO"/>
        </w:rPr>
        <w:t xml:space="preserve"> </w:t>
      </w:r>
      <w:r w:rsidR="009E7A02" w:rsidRPr="00E90E47">
        <w:rPr>
          <w:sz w:val="20"/>
          <w:szCs w:val="20"/>
          <w:lang w:val="es-BO"/>
        </w:rPr>
        <w:t>el señor Larios Ugalde</w:t>
      </w:r>
      <w:r w:rsidRPr="00E90E47">
        <w:rPr>
          <w:sz w:val="20"/>
          <w:szCs w:val="20"/>
          <w:lang w:val="es-BO"/>
        </w:rPr>
        <w:t xml:space="preserve"> fue acusad</w:t>
      </w:r>
      <w:r w:rsidR="009E7A02" w:rsidRPr="00E90E47">
        <w:rPr>
          <w:sz w:val="20"/>
          <w:szCs w:val="20"/>
          <w:lang w:val="es-BO"/>
        </w:rPr>
        <w:t>o</w:t>
      </w:r>
      <w:r w:rsidR="00161C6D" w:rsidRPr="00E90E47">
        <w:rPr>
          <w:sz w:val="20"/>
          <w:szCs w:val="20"/>
          <w:lang w:val="es-BO"/>
        </w:rPr>
        <w:t xml:space="preserve"> penalmente</w:t>
      </w:r>
      <w:r w:rsidRPr="00E90E47">
        <w:rPr>
          <w:sz w:val="20"/>
          <w:szCs w:val="20"/>
          <w:lang w:val="es-BO"/>
        </w:rPr>
        <w:t xml:space="preserve"> </w:t>
      </w:r>
      <w:r w:rsidR="00C76BAD" w:rsidRPr="00E90E47">
        <w:rPr>
          <w:sz w:val="20"/>
          <w:szCs w:val="20"/>
          <w:lang w:val="es-BO"/>
        </w:rPr>
        <w:t xml:space="preserve">por falta de competencia </w:t>
      </w:r>
      <w:r w:rsidRPr="00E90E47">
        <w:rPr>
          <w:sz w:val="20"/>
          <w:szCs w:val="20"/>
          <w:lang w:val="es-BO"/>
        </w:rPr>
        <w:t xml:space="preserve">pero </w:t>
      </w:r>
      <w:r w:rsidR="004116C6" w:rsidRPr="00E90E47">
        <w:rPr>
          <w:sz w:val="20"/>
          <w:szCs w:val="20"/>
          <w:lang w:val="es-BO"/>
        </w:rPr>
        <w:t>fue absuelt</w:t>
      </w:r>
      <w:r w:rsidR="00AF3C18" w:rsidRPr="00E90E47">
        <w:rPr>
          <w:sz w:val="20"/>
          <w:szCs w:val="20"/>
          <w:lang w:val="es-BO"/>
        </w:rPr>
        <w:t>o</w:t>
      </w:r>
      <w:r w:rsidR="004116C6" w:rsidRPr="00E90E47">
        <w:rPr>
          <w:sz w:val="20"/>
          <w:szCs w:val="20"/>
          <w:lang w:val="es-BO"/>
        </w:rPr>
        <w:t xml:space="preserve"> de </w:t>
      </w:r>
      <w:r w:rsidRPr="00E90E47">
        <w:rPr>
          <w:sz w:val="20"/>
          <w:szCs w:val="20"/>
          <w:lang w:val="es-BO"/>
        </w:rPr>
        <w:t>todo cargo e</w:t>
      </w:r>
      <w:r w:rsidR="00AF3C18" w:rsidRPr="00E90E47">
        <w:rPr>
          <w:sz w:val="20"/>
          <w:szCs w:val="20"/>
          <w:lang w:val="es-BO"/>
        </w:rPr>
        <w:t>l 8</w:t>
      </w:r>
      <w:r w:rsidRPr="00E90E47">
        <w:rPr>
          <w:sz w:val="20"/>
          <w:szCs w:val="20"/>
          <w:lang w:val="es-BO"/>
        </w:rPr>
        <w:t xml:space="preserve"> octubre de 2003</w:t>
      </w:r>
      <w:r w:rsidR="00C76BAD" w:rsidRPr="00E90E47">
        <w:rPr>
          <w:sz w:val="20"/>
          <w:szCs w:val="20"/>
          <w:lang w:val="es-BO"/>
        </w:rPr>
        <w:t xml:space="preserve"> </w:t>
      </w:r>
      <w:r w:rsidR="009E7A02" w:rsidRPr="00E90E47">
        <w:rPr>
          <w:sz w:val="20"/>
          <w:szCs w:val="20"/>
          <w:lang w:val="es-BO"/>
        </w:rPr>
        <w:t>tras comprobarse que él</w:t>
      </w:r>
      <w:r w:rsidR="00C76BAD" w:rsidRPr="00E90E47">
        <w:rPr>
          <w:sz w:val="20"/>
          <w:szCs w:val="20"/>
          <w:lang w:val="es-BO"/>
        </w:rPr>
        <w:t xml:space="preserve"> y otro magistrado fueron engañados e </w:t>
      </w:r>
      <w:r w:rsidR="00C76BAD" w:rsidRPr="00E90E47">
        <w:rPr>
          <w:sz w:val="20"/>
          <w:szCs w:val="20"/>
          <w:lang w:val="es-BO"/>
        </w:rPr>
        <w:lastRenderedPageBreak/>
        <w:t>inducidos a error por el tercer magistrado y el fiscal</w:t>
      </w:r>
      <w:r w:rsidR="00DA1459" w:rsidRPr="00E90E47">
        <w:rPr>
          <w:sz w:val="20"/>
          <w:szCs w:val="20"/>
          <w:lang w:val="es-BO"/>
        </w:rPr>
        <w:t>.</w:t>
      </w:r>
      <w:r w:rsidR="006C1C96" w:rsidRPr="00E90E47">
        <w:rPr>
          <w:sz w:val="20"/>
          <w:szCs w:val="20"/>
          <w:lang w:val="es-BO"/>
        </w:rPr>
        <w:t xml:space="preserve"> </w:t>
      </w:r>
      <w:r w:rsidR="00793C5B" w:rsidRPr="00E90E47">
        <w:rPr>
          <w:sz w:val="20"/>
          <w:szCs w:val="20"/>
          <w:lang w:val="es-BO"/>
        </w:rPr>
        <w:t>De acuerdo</w:t>
      </w:r>
      <w:r w:rsidR="002C1C8F" w:rsidRPr="00E90E47">
        <w:rPr>
          <w:sz w:val="20"/>
          <w:szCs w:val="20"/>
          <w:lang w:val="es-BO"/>
        </w:rPr>
        <w:t xml:space="preserve"> a la sentencia, “dista mucho de haberse acreditado en debate que consciente y voluntariamente [la presunta víctima] tuviera todo el conocimiento de que lo que dictaba era contrario a la ley” y el magistrado Pérez González “quien sí conocía a fondo el expediente y la misma jurisprudencia de la Sala III, como lo admitió en debate y se acreditó en el análisis anterior, voluntariamente procedió a redactar dicha decisión, omitiendo datos básicos a sus compañeros que pudieran desviarlo de su cometido”.</w:t>
      </w:r>
      <w:r w:rsidR="005837CF" w:rsidRPr="00E90E47">
        <w:rPr>
          <w:sz w:val="20"/>
          <w:szCs w:val="20"/>
          <w:lang w:val="es-BO"/>
        </w:rPr>
        <w:t xml:space="preserve"> </w:t>
      </w:r>
      <w:r w:rsidR="00030121" w:rsidRPr="00E90E47">
        <w:rPr>
          <w:sz w:val="20"/>
          <w:szCs w:val="20"/>
          <w:lang w:val="es-BO"/>
        </w:rPr>
        <w:t>Indica</w:t>
      </w:r>
      <w:r w:rsidR="00793C5B" w:rsidRPr="00E90E47">
        <w:rPr>
          <w:sz w:val="20"/>
          <w:szCs w:val="20"/>
          <w:lang w:val="es-BO"/>
        </w:rPr>
        <w:t xml:space="preserve"> el peticionario</w:t>
      </w:r>
      <w:r w:rsidR="00030121" w:rsidRPr="00E90E47">
        <w:rPr>
          <w:sz w:val="20"/>
          <w:szCs w:val="20"/>
          <w:lang w:val="es-BO"/>
        </w:rPr>
        <w:t xml:space="preserve"> que el contenido de dicha sentencia fue presentado en el marco del recurso de casación en el proceso laboral, pese a lo cual este recurso fue rechazado. </w:t>
      </w:r>
      <w:r w:rsidR="006C1C96" w:rsidRPr="00E90E47">
        <w:rPr>
          <w:sz w:val="20"/>
          <w:szCs w:val="20"/>
          <w:lang w:val="es-BO"/>
        </w:rPr>
        <w:t xml:space="preserve">Adicionalmente, </w:t>
      </w:r>
      <w:r w:rsidR="007E7CE9" w:rsidRPr="00E90E47">
        <w:rPr>
          <w:sz w:val="20"/>
          <w:szCs w:val="20"/>
          <w:lang w:val="es-BO"/>
        </w:rPr>
        <w:t>refiere que debido a la aplicación del artículo 199</w:t>
      </w:r>
      <w:r w:rsidR="007F75BD" w:rsidRPr="00E90E47">
        <w:rPr>
          <w:sz w:val="20"/>
          <w:szCs w:val="20"/>
          <w:lang w:val="es-BO"/>
        </w:rPr>
        <w:t xml:space="preserve"> de la Ley Orgánica del Poder Judicial</w:t>
      </w:r>
      <w:r w:rsidR="004116C6" w:rsidRPr="00E90E47">
        <w:rPr>
          <w:sz w:val="20"/>
          <w:szCs w:val="20"/>
          <w:lang w:val="es-BO"/>
        </w:rPr>
        <w:t xml:space="preserve"> que le otorga a la Corte Plena </w:t>
      </w:r>
      <w:r w:rsidR="007E7CE9" w:rsidRPr="00E90E47">
        <w:rPr>
          <w:sz w:val="20"/>
          <w:szCs w:val="20"/>
          <w:lang w:val="es-BO"/>
        </w:rPr>
        <w:t xml:space="preserve">la facultad </w:t>
      </w:r>
      <w:r w:rsidR="004116C6" w:rsidRPr="00E90E47">
        <w:rPr>
          <w:sz w:val="20"/>
          <w:szCs w:val="20"/>
          <w:lang w:val="es-BO"/>
        </w:rPr>
        <w:t>d</w:t>
      </w:r>
      <w:r w:rsidR="007E7CE9" w:rsidRPr="00E90E47">
        <w:rPr>
          <w:sz w:val="20"/>
          <w:szCs w:val="20"/>
          <w:lang w:val="es-BO"/>
        </w:rPr>
        <w:t>e d</w:t>
      </w:r>
      <w:r w:rsidR="004116C6" w:rsidRPr="00E90E47">
        <w:rPr>
          <w:sz w:val="20"/>
          <w:szCs w:val="20"/>
          <w:lang w:val="es-BO"/>
        </w:rPr>
        <w:t xml:space="preserve">estituir autoridades judiciales, varios jueces acudieron a la Sala Constitucional solicitando </w:t>
      </w:r>
      <w:r w:rsidR="007F75BD" w:rsidRPr="00E90E47">
        <w:rPr>
          <w:sz w:val="20"/>
          <w:szCs w:val="20"/>
          <w:lang w:val="es-BO"/>
        </w:rPr>
        <w:t xml:space="preserve">se declare </w:t>
      </w:r>
      <w:r w:rsidR="004116C6" w:rsidRPr="00E90E47">
        <w:rPr>
          <w:sz w:val="20"/>
          <w:szCs w:val="20"/>
          <w:lang w:val="es-BO"/>
        </w:rPr>
        <w:t xml:space="preserve">la inconstitucionalidad del párrafo segundo del citado artículo. No obstante, en todos los casos dicho tribunal ha </w:t>
      </w:r>
      <w:r w:rsidR="007F75BD" w:rsidRPr="00E90E47">
        <w:rPr>
          <w:sz w:val="20"/>
          <w:szCs w:val="20"/>
          <w:lang w:val="es-BO"/>
        </w:rPr>
        <w:t>rechazado tales pretensiones sosteniendo que el artículo en su integridad se encuentra conforme a la Constitución costarricense.</w:t>
      </w:r>
      <w:r w:rsidR="004116C6" w:rsidRPr="00E90E47">
        <w:rPr>
          <w:sz w:val="20"/>
          <w:szCs w:val="20"/>
          <w:lang w:val="es-BO"/>
        </w:rPr>
        <w:t xml:space="preserve"> </w:t>
      </w:r>
    </w:p>
    <w:p w14:paraId="1046BFDF" w14:textId="08090479" w:rsidR="004A42FE" w:rsidRPr="00E90E47" w:rsidRDefault="007A2598"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Los</w:t>
      </w:r>
      <w:r w:rsidR="007F75BD" w:rsidRPr="00E90E47">
        <w:rPr>
          <w:sz w:val="20"/>
          <w:szCs w:val="20"/>
          <w:lang w:val="es-BO"/>
        </w:rPr>
        <w:t xml:space="preserve"> peticionario</w:t>
      </w:r>
      <w:r w:rsidRPr="00E90E47">
        <w:rPr>
          <w:sz w:val="20"/>
          <w:szCs w:val="20"/>
          <w:lang w:val="es-BO"/>
        </w:rPr>
        <w:t>s</w:t>
      </w:r>
      <w:r w:rsidR="007F75BD" w:rsidRPr="00E90E47">
        <w:rPr>
          <w:sz w:val="20"/>
          <w:szCs w:val="20"/>
          <w:lang w:val="es-BO"/>
        </w:rPr>
        <w:t xml:space="preserve"> sostiene</w:t>
      </w:r>
      <w:r w:rsidRPr="00E90E47">
        <w:rPr>
          <w:sz w:val="20"/>
          <w:szCs w:val="20"/>
          <w:lang w:val="es-BO"/>
        </w:rPr>
        <w:t>n</w:t>
      </w:r>
      <w:r w:rsidR="007F75BD" w:rsidRPr="00E90E47">
        <w:rPr>
          <w:sz w:val="20"/>
          <w:szCs w:val="20"/>
          <w:lang w:val="es-BO"/>
        </w:rPr>
        <w:t xml:space="preserve"> que la destitución de la presunta víctima violó su garantía de independencia judicial, </w:t>
      </w:r>
      <w:r w:rsidR="002D418D" w:rsidRPr="00E90E47">
        <w:rPr>
          <w:sz w:val="20"/>
          <w:szCs w:val="20"/>
          <w:lang w:val="es-BO"/>
        </w:rPr>
        <w:t xml:space="preserve">de derecho al trabajo y de acceso y estabilidad en la función pública, </w:t>
      </w:r>
      <w:r w:rsidR="007F75BD" w:rsidRPr="00E90E47">
        <w:rPr>
          <w:sz w:val="20"/>
          <w:szCs w:val="20"/>
          <w:lang w:val="es-BO"/>
        </w:rPr>
        <w:t>toda vez que la Corte Suprema</w:t>
      </w:r>
      <w:r w:rsidR="006A0F69" w:rsidRPr="00E90E47">
        <w:rPr>
          <w:sz w:val="20"/>
          <w:szCs w:val="20"/>
          <w:lang w:val="es-BO"/>
        </w:rPr>
        <w:t>,</w:t>
      </w:r>
      <w:r w:rsidR="007F75BD" w:rsidRPr="00E90E47">
        <w:rPr>
          <w:sz w:val="20"/>
          <w:szCs w:val="20"/>
          <w:lang w:val="es-BO"/>
        </w:rPr>
        <w:t xml:space="preserve"> </w:t>
      </w:r>
      <w:r w:rsidR="003A3BEE" w:rsidRPr="00E90E47">
        <w:rPr>
          <w:sz w:val="20"/>
          <w:szCs w:val="20"/>
          <w:lang w:val="es-BO"/>
        </w:rPr>
        <w:t xml:space="preserve">actuando más allá de su potestad disciplinaria y  </w:t>
      </w:r>
      <w:r w:rsidR="00DF56CF" w:rsidRPr="00E90E47">
        <w:rPr>
          <w:sz w:val="20"/>
          <w:szCs w:val="20"/>
          <w:lang w:val="es-BO"/>
        </w:rPr>
        <w:t xml:space="preserve">amparada en una disposición normativa que es ambigua, arbitraria y que no define </w:t>
      </w:r>
      <w:r w:rsidR="003A3BEE" w:rsidRPr="00E90E47">
        <w:rPr>
          <w:sz w:val="20"/>
          <w:szCs w:val="20"/>
          <w:lang w:val="es-BO"/>
        </w:rPr>
        <w:t>expresamente las conductas reprochables</w:t>
      </w:r>
      <w:r w:rsidR="002D418D" w:rsidRPr="00E90E47">
        <w:rPr>
          <w:sz w:val="20"/>
          <w:szCs w:val="20"/>
          <w:lang w:val="es-BO"/>
        </w:rPr>
        <w:t>,</w:t>
      </w:r>
      <w:r w:rsidR="003A3BEE" w:rsidRPr="00E90E47">
        <w:rPr>
          <w:sz w:val="20"/>
          <w:szCs w:val="20"/>
          <w:lang w:val="es-BO"/>
        </w:rPr>
        <w:t xml:space="preserve"> </w:t>
      </w:r>
      <w:r w:rsidR="007F75BD" w:rsidRPr="00E90E47">
        <w:rPr>
          <w:sz w:val="20"/>
          <w:szCs w:val="20"/>
          <w:lang w:val="es-BO"/>
        </w:rPr>
        <w:t>valoró el contenido de sus fallos, interpretaciones y resoluciones judiciales</w:t>
      </w:r>
      <w:r w:rsidR="00DF56CF" w:rsidRPr="00E90E47">
        <w:rPr>
          <w:sz w:val="20"/>
          <w:szCs w:val="20"/>
          <w:lang w:val="es-BO"/>
        </w:rPr>
        <w:t xml:space="preserve"> para luego imponer</w:t>
      </w:r>
      <w:r w:rsidR="003A3BEE" w:rsidRPr="00E90E47">
        <w:rPr>
          <w:sz w:val="20"/>
          <w:szCs w:val="20"/>
          <w:lang w:val="es-BO"/>
        </w:rPr>
        <w:t xml:space="preserve">le </w:t>
      </w:r>
      <w:r w:rsidR="003E7F32" w:rsidRPr="00E90E47">
        <w:rPr>
          <w:sz w:val="20"/>
          <w:szCs w:val="20"/>
          <w:lang w:val="es-BO"/>
        </w:rPr>
        <w:t>la sanción máxima</w:t>
      </w:r>
      <w:r w:rsidR="007F75BD" w:rsidRPr="00E90E47">
        <w:rPr>
          <w:sz w:val="20"/>
          <w:szCs w:val="20"/>
          <w:lang w:val="es-BO"/>
        </w:rPr>
        <w:t>.</w:t>
      </w:r>
      <w:r w:rsidR="0073610E" w:rsidRPr="00E90E47">
        <w:rPr>
          <w:sz w:val="20"/>
          <w:szCs w:val="20"/>
          <w:lang w:val="es-BO"/>
        </w:rPr>
        <w:t xml:space="preserve"> </w:t>
      </w:r>
    </w:p>
    <w:p w14:paraId="5C283D64" w14:textId="77777777" w:rsidR="00BC634A" w:rsidRPr="00E90E47" w:rsidRDefault="00043434"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El Estado sostiene que</w:t>
      </w:r>
      <w:r w:rsidR="00B148EC" w:rsidRPr="00E90E47">
        <w:rPr>
          <w:sz w:val="20"/>
          <w:szCs w:val="20"/>
          <w:lang w:val="es-BO"/>
        </w:rPr>
        <w:t xml:space="preserve"> la petición es inadmisible en el marco de las disposiciones del artículo 47.b de la Convención. Refiere que los hechos denunciados no caracterizan una violación de derechos humanos, pues </w:t>
      </w:r>
      <w:r w:rsidRPr="00E90E47">
        <w:rPr>
          <w:sz w:val="20"/>
          <w:szCs w:val="20"/>
          <w:lang w:val="es-BO"/>
        </w:rPr>
        <w:t xml:space="preserve">los procesos judiciales desarrollados en relación al presente caso fueron llevados ante tribunales competentes, independientes e imparciales conforme a las reglas del debido proceso. </w:t>
      </w:r>
      <w:r w:rsidR="00B148EC" w:rsidRPr="00E90E47">
        <w:rPr>
          <w:sz w:val="20"/>
          <w:szCs w:val="20"/>
          <w:lang w:val="es-BO"/>
        </w:rPr>
        <w:t>Así</w:t>
      </w:r>
      <w:r w:rsidR="007030E9" w:rsidRPr="00E90E47">
        <w:rPr>
          <w:sz w:val="20"/>
          <w:szCs w:val="20"/>
          <w:lang w:val="es-BO"/>
        </w:rPr>
        <w:t>, destaca que el hecho que la decisión final</w:t>
      </w:r>
      <w:r w:rsidR="001C7EC9" w:rsidRPr="00E90E47">
        <w:rPr>
          <w:sz w:val="20"/>
          <w:szCs w:val="20"/>
          <w:lang w:val="es-BO"/>
        </w:rPr>
        <w:t>,</w:t>
      </w:r>
      <w:r w:rsidR="007030E9" w:rsidRPr="00E90E47">
        <w:rPr>
          <w:sz w:val="20"/>
          <w:szCs w:val="20"/>
          <w:lang w:val="es-BO"/>
        </w:rPr>
        <w:t xml:space="preserve"> tanto a nivel disciplinario como judicial</w:t>
      </w:r>
      <w:r w:rsidR="004E1EED" w:rsidRPr="00E90E47">
        <w:rPr>
          <w:sz w:val="20"/>
          <w:szCs w:val="20"/>
          <w:lang w:val="es-BO"/>
        </w:rPr>
        <w:t xml:space="preserve"> en el ámbito laboral,</w:t>
      </w:r>
      <w:r w:rsidR="007030E9" w:rsidRPr="00E90E47">
        <w:rPr>
          <w:sz w:val="20"/>
          <w:szCs w:val="20"/>
          <w:lang w:val="es-BO"/>
        </w:rPr>
        <w:t xml:space="preserve"> haya sido perjudicial a los intereses de la presunta víctima, no puede reputarse como una violación a la Convención Americana. </w:t>
      </w:r>
    </w:p>
    <w:p w14:paraId="60CC8E4A" w14:textId="77777777" w:rsidR="000F4739" w:rsidRPr="00E90E47" w:rsidRDefault="007030E9" w:rsidP="00822475">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Argumenta</w:t>
      </w:r>
      <w:r w:rsidR="00BC634A" w:rsidRPr="00E90E47">
        <w:rPr>
          <w:sz w:val="20"/>
          <w:szCs w:val="20"/>
          <w:lang w:val="es-BO"/>
        </w:rPr>
        <w:t xml:space="preserve"> e</w:t>
      </w:r>
      <w:r w:rsidR="00B214B4" w:rsidRPr="00E90E47">
        <w:rPr>
          <w:sz w:val="20"/>
          <w:szCs w:val="20"/>
          <w:lang w:val="es-BO"/>
        </w:rPr>
        <w:t>l</w:t>
      </w:r>
      <w:r w:rsidR="00BC634A" w:rsidRPr="00E90E47">
        <w:rPr>
          <w:sz w:val="20"/>
          <w:szCs w:val="20"/>
          <w:lang w:val="es-BO"/>
        </w:rPr>
        <w:t xml:space="preserve"> Estado</w:t>
      </w:r>
      <w:r w:rsidRPr="00E90E47">
        <w:rPr>
          <w:sz w:val="20"/>
          <w:szCs w:val="20"/>
          <w:lang w:val="es-BO"/>
        </w:rPr>
        <w:t xml:space="preserve"> que</w:t>
      </w:r>
      <w:r w:rsidR="00341306" w:rsidRPr="00E90E47">
        <w:rPr>
          <w:sz w:val="20"/>
          <w:szCs w:val="20"/>
          <w:lang w:val="es-BO"/>
        </w:rPr>
        <w:t>,</w:t>
      </w:r>
      <w:r w:rsidR="009A40BA" w:rsidRPr="00E90E47">
        <w:rPr>
          <w:sz w:val="20"/>
          <w:szCs w:val="20"/>
          <w:lang w:val="es-BO"/>
        </w:rPr>
        <w:t xml:space="preserve"> previo </w:t>
      </w:r>
      <w:r w:rsidR="00F43FA0" w:rsidRPr="00E90E47">
        <w:rPr>
          <w:sz w:val="20"/>
          <w:szCs w:val="20"/>
          <w:lang w:val="es-BO"/>
        </w:rPr>
        <w:t>a la</w:t>
      </w:r>
      <w:r w:rsidR="009A40BA" w:rsidRPr="00E90E47">
        <w:rPr>
          <w:sz w:val="20"/>
          <w:szCs w:val="20"/>
          <w:lang w:val="es-BO"/>
        </w:rPr>
        <w:t xml:space="preserve"> investigación</w:t>
      </w:r>
      <w:r w:rsidR="0092241D" w:rsidRPr="00E90E47">
        <w:rPr>
          <w:sz w:val="20"/>
          <w:szCs w:val="20"/>
          <w:lang w:val="es-BO"/>
        </w:rPr>
        <w:t xml:space="preserve"> penal</w:t>
      </w:r>
      <w:r w:rsidR="009A40BA" w:rsidRPr="00E90E47">
        <w:rPr>
          <w:sz w:val="20"/>
          <w:szCs w:val="20"/>
          <w:lang w:val="es-BO"/>
        </w:rPr>
        <w:t>,</w:t>
      </w:r>
      <w:r w:rsidRPr="00E90E47">
        <w:rPr>
          <w:sz w:val="20"/>
          <w:szCs w:val="20"/>
          <w:lang w:val="es-BO"/>
        </w:rPr>
        <w:t xml:space="preserve"> la Sala Segunda de la Corte Suprema de Justicia estableció que existió una grave negligencia que motivó la irregular actuación</w:t>
      </w:r>
      <w:r w:rsidR="00CD0090" w:rsidRPr="00E90E47">
        <w:rPr>
          <w:sz w:val="20"/>
          <w:szCs w:val="20"/>
          <w:lang w:val="es-BO"/>
        </w:rPr>
        <w:t xml:space="preserve"> en la administración de justicia por parte</w:t>
      </w:r>
      <w:r w:rsidRPr="00E90E47">
        <w:rPr>
          <w:sz w:val="20"/>
          <w:szCs w:val="20"/>
          <w:lang w:val="es-BO"/>
        </w:rPr>
        <w:t xml:space="preserve"> d</w:t>
      </w:r>
      <w:r w:rsidR="009A40BA" w:rsidRPr="00E90E47">
        <w:rPr>
          <w:sz w:val="20"/>
          <w:szCs w:val="20"/>
          <w:lang w:val="es-BO"/>
        </w:rPr>
        <w:t>e</w:t>
      </w:r>
      <w:r w:rsidR="003E7F32" w:rsidRPr="00E90E47">
        <w:rPr>
          <w:sz w:val="20"/>
          <w:szCs w:val="20"/>
          <w:lang w:val="es-BO"/>
        </w:rPr>
        <w:t xml:space="preserve"> </w:t>
      </w:r>
      <w:r w:rsidR="009A40BA" w:rsidRPr="00E90E47">
        <w:rPr>
          <w:sz w:val="20"/>
          <w:szCs w:val="20"/>
          <w:lang w:val="es-BO"/>
        </w:rPr>
        <w:t>l</w:t>
      </w:r>
      <w:r w:rsidR="003E7F32" w:rsidRPr="00E90E47">
        <w:rPr>
          <w:sz w:val="20"/>
          <w:szCs w:val="20"/>
          <w:lang w:val="es-BO"/>
        </w:rPr>
        <w:t>a</w:t>
      </w:r>
      <w:r w:rsidR="009A40BA" w:rsidRPr="00E90E47">
        <w:rPr>
          <w:sz w:val="20"/>
          <w:szCs w:val="20"/>
          <w:lang w:val="es-BO"/>
        </w:rPr>
        <w:t xml:space="preserve"> </w:t>
      </w:r>
      <w:r w:rsidR="003E7F32" w:rsidRPr="00E90E47">
        <w:rPr>
          <w:sz w:val="20"/>
          <w:szCs w:val="20"/>
          <w:lang w:val="es-BO"/>
        </w:rPr>
        <w:t>presunta víctima</w:t>
      </w:r>
      <w:r w:rsidR="009A40BA" w:rsidRPr="00E90E47">
        <w:rPr>
          <w:sz w:val="20"/>
          <w:szCs w:val="20"/>
          <w:lang w:val="es-BO"/>
        </w:rPr>
        <w:t>, por lo que</w:t>
      </w:r>
      <w:r w:rsidR="00341306" w:rsidRPr="00E90E47">
        <w:rPr>
          <w:sz w:val="20"/>
          <w:szCs w:val="20"/>
          <w:lang w:val="es-BO"/>
        </w:rPr>
        <w:t>,</w:t>
      </w:r>
      <w:r w:rsidR="009A40BA" w:rsidRPr="00E90E47">
        <w:rPr>
          <w:sz w:val="20"/>
          <w:szCs w:val="20"/>
          <w:lang w:val="es-BO"/>
        </w:rPr>
        <w:t xml:space="preserve"> en atención al ordenamiento interno</w:t>
      </w:r>
      <w:r w:rsidR="00341306" w:rsidRPr="00E90E47">
        <w:rPr>
          <w:sz w:val="20"/>
          <w:szCs w:val="20"/>
          <w:lang w:val="es-BO"/>
        </w:rPr>
        <w:t>,</w:t>
      </w:r>
      <w:r w:rsidR="00DF56CF" w:rsidRPr="00E90E47">
        <w:rPr>
          <w:sz w:val="20"/>
          <w:szCs w:val="20"/>
          <w:lang w:val="es-BO"/>
        </w:rPr>
        <w:t xml:space="preserve"> se procedió conforme a </w:t>
      </w:r>
      <w:r w:rsidR="00F43FA0" w:rsidRPr="00E90E47">
        <w:rPr>
          <w:sz w:val="20"/>
          <w:szCs w:val="20"/>
          <w:lang w:val="es-BO"/>
        </w:rPr>
        <w:t>d</w:t>
      </w:r>
      <w:r w:rsidR="00DF56CF" w:rsidRPr="00E90E47">
        <w:rPr>
          <w:sz w:val="20"/>
          <w:szCs w:val="20"/>
          <w:lang w:val="es-BO"/>
        </w:rPr>
        <w:t xml:space="preserve">erecho </w:t>
      </w:r>
      <w:r w:rsidR="009A40BA" w:rsidRPr="00E90E47">
        <w:rPr>
          <w:sz w:val="20"/>
          <w:szCs w:val="20"/>
          <w:lang w:val="es-BO"/>
        </w:rPr>
        <w:t>al imponérsele una sanción disciplinaria por el incumplimiento de deberes que le eran propios en razón al cargo que desempeñaba.</w:t>
      </w:r>
      <w:r w:rsidR="00B148EC" w:rsidRPr="00E90E47">
        <w:rPr>
          <w:sz w:val="20"/>
          <w:szCs w:val="20"/>
          <w:lang w:val="es-BO"/>
        </w:rPr>
        <w:t xml:space="preserve"> </w:t>
      </w:r>
      <w:r w:rsidR="00BC634A" w:rsidRPr="00E90E47">
        <w:rPr>
          <w:sz w:val="20"/>
          <w:szCs w:val="20"/>
          <w:lang w:val="es-BO"/>
        </w:rPr>
        <w:t xml:space="preserve">Al respecto, indica que el 20 de marzo de 2000 la Corte Plena acordó separar a la presunta víctima de su cargo de juez debido a errores graves e injustificados </w:t>
      </w:r>
      <w:r w:rsidR="00BC634A" w:rsidRPr="00E90E47">
        <w:rPr>
          <w:sz w:val="20"/>
          <w:szCs w:val="20"/>
          <w:lang w:val="es-BO"/>
        </w:rPr>
        <w:br/>
        <w:t>(mala praxis jurídica grave)</w:t>
      </w:r>
      <w:r w:rsidR="001B6E3E" w:rsidRPr="00E90E47">
        <w:rPr>
          <w:sz w:val="20"/>
          <w:szCs w:val="20"/>
          <w:lang w:val="es-BO"/>
        </w:rPr>
        <w:t xml:space="preserve"> en la administración de justicia por haber asumido una competencia que no le correspondía, en lugar de plantear el conflicto de competencia ante la Corte Plena.</w:t>
      </w:r>
      <w:r w:rsidR="00BC634A" w:rsidRPr="00E90E47">
        <w:rPr>
          <w:sz w:val="20"/>
          <w:szCs w:val="20"/>
          <w:lang w:val="es-BO"/>
        </w:rPr>
        <w:t xml:space="preserve"> </w:t>
      </w:r>
      <w:r w:rsidR="00822475" w:rsidRPr="00E90E47">
        <w:rPr>
          <w:sz w:val="20"/>
          <w:szCs w:val="20"/>
          <w:lang w:val="es-BO"/>
        </w:rPr>
        <w:t>En cuant</w:t>
      </w:r>
      <w:r w:rsidR="001B6E3E" w:rsidRPr="00E90E47">
        <w:rPr>
          <w:sz w:val="20"/>
          <w:szCs w:val="20"/>
          <w:lang w:val="es-BO"/>
        </w:rPr>
        <w:t xml:space="preserve">o a la alegada violación de la independencia del juez, el Estado señala que la Corte Plena estimó que la misma no es irrestricta pues, al resolver los asuntos sometidos a su conocimiento, el juzgador debe hacerlo de conformidad con las normas del ordenamiento jurídico. </w:t>
      </w:r>
    </w:p>
    <w:p w14:paraId="7BF3AF9D" w14:textId="49AABED3" w:rsidR="00B44D38" w:rsidRDefault="00822475" w:rsidP="00B44D3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Respecto a la sentencia de la Sala Segunda de la Corte Suprema de Justicia del 22 de marzo de 2006 que confirma el fallo recurrido, el Estado destaca que la Sala aplicó el artículo 199 de la Ley Orgánica del Poder Judicial, según el cual</w:t>
      </w:r>
      <w:r w:rsidR="00731604" w:rsidRPr="00E90E47">
        <w:rPr>
          <w:sz w:val="20"/>
          <w:szCs w:val="20"/>
          <w:lang w:val="es-BO"/>
        </w:rPr>
        <w:t xml:space="preserve">, si bien se rechazará </w:t>
      </w:r>
      <w:r w:rsidRPr="00E90E47">
        <w:rPr>
          <w:sz w:val="20"/>
          <w:szCs w:val="20"/>
          <w:lang w:val="es-BO"/>
        </w:rPr>
        <w:t>toda queja que se refiera exclusivamente a problemas de interpretación de normas jurídicas</w:t>
      </w:r>
      <w:r w:rsidR="00731604" w:rsidRPr="00E90E47">
        <w:rPr>
          <w:sz w:val="20"/>
          <w:szCs w:val="20"/>
          <w:lang w:val="es-BO"/>
        </w:rPr>
        <w:t>, “</w:t>
      </w:r>
      <w:r w:rsidRPr="00E90E47">
        <w:rPr>
          <w:sz w:val="20"/>
          <w:szCs w:val="20"/>
          <w:lang w:val="es-BO"/>
        </w:rPr>
        <w:t>en casos de retardo o errores graves e injustificados en la administración de justicia, el Tribunal de la Inspección Judicial, sin más trámite deberá poner el hecho en conocimiento de la Corte Plena, para que ésta, una vez hecha la investigación del caso, resuelva sobre la permanencia, suspensión o separación del funcionario”.</w:t>
      </w:r>
      <w:r w:rsidR="000F4739" w:rsidRPr="00E90E47">
        <w:rPr>
          <w:sz w:val="20"/>
          <w:szCs w:val="20"/>
          <w:lang w:val="es-BO"/>
        </w:rPr>
        <w:t xml:space="preserve"> Destaca el Estado que en dicha sentencia la Sala Segunda consideró “como irregular que el Tribunal de Pérez Zeledón, actuando como segunda instancia, se hubiera arrogado la competencia para resolver el rebajo de la pena de los sentenciados, sin que existiera un pronunciamiento de primera instancia”. </w:t>
      </w:r>
    </w:p>
    <w:p w14:paraId="053B7880" w14:textId="7EF1EF05" w:rsidR="00A11E44" w:rsidRPr="00E90E47" w:rsidRDefault="00B148EC"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BO"/>
        </w:rPr>
        <w:t>En consecuencia, sostiene que</w:t>
      </w:r>
      <w:r w:rsidR="00D84205" w:rsidRPr="00E90E47">
        <w:rPr>
          <w:sz w:val="20"/>
          <w:szCs w:val="20"/>
          <w:lang w:val="es-BO"/>
        </w:rPr>
        <w:t>,</w:t>
      </w:r>
      <w:r w:rsidRPr="00E90E47">
        <w:rPr>
          <w:sz w:val="20"/>
          <w:szCs w:val="20"/>
          <w:lang w:val="es-BO"/>
        </w:rPr>
        <w:t xml:space="preserve"> en función del principio de subsidiariedad y complementariedad, la Comisión no es un tribunal de alzada que tenga la facultad de examinar supuestos errores de hecho o de derecho que puedan haber cometido los tribunales nacionales que hayan actuado dentro de los límites de su competencia y</w:t>
      </w:r>
      <w:r w:rsidR="00D84205" w:rsidRPr="00E90E47">
        <w:rPr>
          <w:sz w:val="20"/>
          <w:szCs w:val="20"/>
          <w:lang w:val="es-BO"/>
        </w:rPr>
        <w:t>,</w:t>
      </w:r>
      <w:r w:rsidRPr="00E90E47">
        <w:rPr>
          <w:sz w:val="20"/>
          <w:szCs w:val="20"/>
          <w:lang w:val="es-BO"/>
        </w:rPr>
        <w:t xml:space="preserve"> de hacerlo</w:t>
      </w:r>
      <w:r w:rsidR="00D84205" w:rsidRPr="00E90E47">
        <w:rPr>
          <w:sz w:val="20"/>
          <w:szCs w:val="20"/>
          <w:lang w:val="es-BO"/>
        </w:rPr>
        <w:t>,</w:t>
      </w:r>
      <w:r w:rsidRPr="00E90E47">
        <w:rPr>
          <w:sz w:val="20"/>
          <w:szCs w:val="20"/>
          <w:lang w:val="es-BO"/>
        </w:rPr>
        <w:t xml:space="preserve"> intervendría como una “cuarta instancia”.</w:t>
      </w:r>
    </w:p>
    <w:p w14:paraId="558A799A" w14:textId="77777777" w:rsidR="003239B8" w:rsidRPr="00E90E47" w:rsidRDefault="003239B8" w:rsidP="003E7F32">
      <w:pPr>
        <w:pStyle w:val="ListParagraph"/>
        <w:spacing w:before="240"/>
        <w:jc w:val="both"/>
        <w:rPr>
          <w:sz w:val="20"/>
          <w:szCs w:val="20"/>
          <w:lang w:val="es-UY"/>
        </w:rPr>
      </w:pPr>
      <w:r w:rsidRPr="00E90E47">
        <w:rPr>
          <w:rFonts w:asciiTheme="majorHAnsi" w:hAnsiTheme="majorHAnsi"/>
          <w:b/>
          <w:bCs/>
          <w:sz w:val="20"/>
          <w:szCs w:val="20"/>
          <w:lang w:val="es-ES"/>
        </w:rPr>
        <w:lastRenderedPageBreak/>
        <w:t>VI.</w:t>
      </w:r>
      <w:r w:rsidRPr="00E90E47">
        <w:rPr>
          <w:rFonts w:asciiTheme="majorHAnsi" w:hAnsiTheme="majorHAnsi"/>
          <w:b/>
          <w:bCs/>
          <w:sz w:val="20"/>
          <w:szCs w:val="20"/>
          <w:lang w:val="es-ES"/>
        </w:rPr>
        <w:tab/>
      </w:r>
      <w:r w:rsidR="00C21FEF" w:rsidRPr="00E90E47">
        <w:rPr>
          <w:rFonts w:asciiTheme="majorHAnsi" w:hAnsiTheme="majorHAnsi"/>
          <w:b/>
          <w:sz w:val="20"/>
          <w:szCs w:val="20"/>
          <w:lang w:val="es-ES"/>
        </w:rPr>
        <w:t>AGOTAMIENTO DE LOS RECURSOS INTERNOS Y PLAZO DE PRESENTACIÓN</w:t>
      </w:r>
      <w:r w:rsidR="00C21FEF" w:rsidRPr="00E90E47">
        <w:rPr>
          <w:rFonts w:asciiTheme="majorHAnsi" w:hAnsiTheme="majorHAnsi"/>
          <w:b/>
          <w:bCs/>
          <w:sz w:val="20"/>
          <w:szCs w:val="20"/>
          <w:lang w:val="es-ES"/>
        </w:rPr>
        <w:t xml:space="preserve"> </w:t>
      </w:r>
    </w:p>
    <w:p w14:paraId="3C67DE24" w14:textId="5CFD3B0C" w:rsidR="003239B8" w:rsidRPr="00E90E47" w:rsidRDefault="007A2598" w:rsidP="003E7F3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firstLine="720"/>
        <w:jc w:val="both"/>
        <w:rPr>
          <w:sz w:val="20"/>
          <w:szCs w:val="20"/>
          <w:lang w:val="es-BO"/>
        </w:rPr>
      </w:pPr>
      <w:r w:rsidRPr="00E90E47">
        <w:rPr>
          <w:sz w:val="20"/>
          <w:szCs w:val="20"/>
          <w:lang w:val="es-ES"/>
        </w:rPr>
        <w:t>Los</w:t>
      </w:r>
      <w:r w:rsidR="00605DB8" w:rsidRPr="00E90E47">
        <w:rPr>
          <w:sz w:val="20"/>
          <w:szCs w:val="20"/>
          <w:lang w:val="es-ES"/>
        </w:rPr>
        <w:t xml:space="preserve"> peticionario</w:t>
      </w:r>
      <w:r w:rsidRPr="00E90E47">
        <w:rPr>
          <w:sz w:val="20"/>
          <w:szCs w:val="20"/>
          <w:lang w:val="es-ES"/>
        </w:rPr>
        <w:t>s</w:t>
      </w:r>
      <w:r w:rsidR="004A5F92" w:rsidRPr="00E90E47">
        <w:rPr>
          <w:sz w:val="20"/>
          <w:szCs w:val="20"/>
          <w:lang w:val="es-ES"/>
        </w:rPr>
        <w:t xml:space="preserve"> señala</w:t>
      </w:r>
      <w:r w:rsidRPr="00E90E47">
        <w:rPr>
          <w:sz w:val="20"/>
          <w:szCs w:val="20"/>
          <w:lang w:val="es-ES"/>
        </w:rPr>
        <w:t>n</w:t>
      </w:r>
      <w:r w:rsidR="004A5F92" w:rsidRPr="00E90E47">
        <w:rPr>
          <w:sz w:val="20"/>
          <w:szCs w:val="20"/>
          <w:lang w:val="es-ES"/>
        </w:rPr>
        <w:t xml:space="preserve"> que</w:t>
      </w:r>
      <w:r w:rsidRPr="00E90E47">
        <w:rPr>
          <w:sz w:val="20"/>
          <w:szCs w:val="20"/>
          <w:lang w:val="es-ES"/>
        </w:rPr>
        <w:t xml:space="preserve"> la presunta víctima</w:t>
      </w:r>
      <w:r w:rsidR="004A5F92" w:rsidRPr="00E90E47">
        <w:rPr>
          <w:sz w:val="20"/>
          <w:szCs w:val="20"/>
          <w:lang w:val="es-ES"/>
        </w:rPr>
        <w:t xml:space="preserve"> </w:t>
      </w:r>
      <w:r w:rsidR="00605DB8" w:rsidRPr="00E90E47">
        <w:rPr>
          <w:sz w:val="20"/>
          <w:szCs w:val="20"/>
          <w:lang w:val="es-ES"/>
        </w:rPr>
        <w:t>agotó los recursos internos</w:t>
      </w:r>
      <w:r w:rsidR="005504DF" w:rsidRPr="00E90E47">
        <w:rPr>
          <w:sz w:val="20"/>
          <w:szCs w:val="20"/>
          <w:lang w:val="es-ES"/>
        </w:rPr>
        <w:t xml:space="preserve"> administrativos y judiciales,</w:t>
      </w:r>
      <w:r w:rsidR="00605DB8" w:rsidRPr="00E90E47">
        <w:rPr>
          <w:sz w:val="20"/>
          <w:szCs w:val="20"/>
          <w:lang w:val="es-ES"/>
        </w:rPr>
        <w:t xml:space="preserve"> toda vez que</w:t>
      </w:r>
      <w:r w:rsidR="00134C09" w:rsidRPr="00E90E47">
        <w:rPr>
          <w:sz w:val="20"/>
          <w:szCs w:val="20"/>
          <w:lang w:val="es-ES"/>
        </w:rPr>
        <w:t>,</w:t>
      </w:r>
      <w:r w:rsidR="00605DB8" w:rsidRPr="00E90E47">
        <w:rPr>
          <w:sz w:val="20"/>
          <w:szCs w:val="20"/>
          <w:lang w:val="es-ES"/>
        </w:rPr>
        <w:t xml:space="preserve"> contra la </w:t>
      </w:r>
      <w:r w:rsidR="00605DB8" w:rsidRPr="00E90E47">
        <w:rPr>
          <w:sz w:val="20"/>
          <w:szCs w:val="20"/>
          <w:lang w:val="es-BO"/>
        </w:rPr>
        <w:t>resolución de 20 de marzo de 2000 que determinó su destitución del cargo de juez</w:t>
      </w:r>
      <w:r w:rsidR="00134C09" w:rsidRPr="00E90E47">
        <w:rPr>
          <w:sz w:val="20"/>
          <w:szCs w:val="20"/>
          <w:lang w:val="es-BO"/>
        </w:rPr>
        <w:t>,</w:t>
      </w:r>
      <w:r w:rsidR="00605DB8" w:rsidRPr="00E90E47">
        <w:rPr>
          <w:sz w:val="20"/>
          <w:szCs w:val="20"/>
          <w:lang w:val="es-BO"/>
        </w:rPr>
        <w:t xml:space="preserve"> interpuso un recurso de reconsideración que fue desestimado por la Corte Suprema de Justicia el 23 de mayo de 2000. Posteriormente, denunciando su despido, presentó una demanda ordinaria laboral</w:t>
      </w:r>
      <w:r w:rsidR="001049F2" w:rsidRPr="00E90E47">
        <w:rPr>
          <w:sz w:val="20"/>
          <w:szCs w:val="20"/>
          <w:lang w:val="es-BO"/>
        </w:rPr>
        <w:t xml:space="preserve"> que fue rechazada </w:t>
      </w:r>
      <w:r w:rsidR="00134C09" w:rsidRPr="00E90E47">
        <w:rPr>
          <w:sz w:val="20"/>
          <w:szCs w:val="20"/>
          <w:lang w:val="es-BO"/>
        </w:rPr>
        <w:t>en sede</w:t>
      </w:r>
      <w:r w:rsidR="00605DB8" w:rsidRPr="00E90E47">
        <w:rPr>
          <w:sz w:val="20"/>
          <w:szCs w:val="20"/>
          <w:lang w:val="es-BO"/>
        </w:rPr>
        <w:t xml:space="preserve"> de casación </w:t>
      </w:r>
      <w:r w:rsidR="00134C09" w:rsidRPr="00E90E47">
        <w:rPr>
          <w:sz w:val="20"/>
          <w:szCs w:val="20"/>
          <w:lang w:val="es-BO"/>
        </w:rPr>
        <w:t>el</w:t>
      </w:r>
      <w:r w:rsidR="004646D5" w:rsidRPr="00E90E47">
        <w:rPr>
          <w:sz w:val="20"/>
          <w:szCs w:val="20"/>
          <w:lang w:val="es-BO"/>
        </w:rPr>
        <w:t xml:space="preserve"> 22 de marzo de 2006</w:t>
      </w:r>
      <w:r w:rsidR="00134C09" w:rsidRPr="00E90E47">
        <w:rPr>
          <w:sz w:val="20"/>
          <w:szCs w:val="20"/>
          <w:lang w:val="es-BO"/>
        </w:rPr>
        <w:t>,</w:t>
      </w:r>
      <w:r w:rsidR="004646D5" w:rsidRPr="00E90E47">
        <w:rPr>
          <w:sz w:val="20"/>
          <w:szCs w:val="20"/>
          <w:lang w:val="es-BO"/>
        </w:rPr>
        <w:t xml:space="preserve"> </w:t>
      </w:r>
      <w:r w:rsidR="00134C09" w:rsidRPr="00E90E47">
        <w:rPr>
          <w:sz w:val="20"/>
          <w:szCs w:val="20"/>
          <w:lang w:val="es-BO"/>
        </w:rPr>
        <w:t>sentencia</w:t>
      </w:r>
      <w:r w:rsidR="00605DB8" w:rsidRPr="00E90E47">
        <w:rPr>
          <w:sz w:val="20"/>
          <w:szCs w:val="20"/>
          <w:lang w:val="es-BO"/>
        </w:rPr>
        <w:t xml:space="preserve"> notificada el 27 de septiembre de 2006. </w:t>
      </w:r>
      <w:r w:rsidR="00CD0090" w:rsidRPr="00E90E47">
        <w:rPr>
          <w:sz w:val="20"/>
          <w:szCs w:val="20"/>
          <w:lang w:val="es-BO"/>
        </w:rPr>
        <w:t xml:space="preserve">Por su parte, el Estado </w:t>
      </w:r>
      <w:r w:rsidR="00F46DBB" w:rsidRPr="00E90E47">
        <w:rPr>
          <w:sz w:val="20"/>
          <w:szCs w:val="20"/>
          <w:lang w:val="es-BO"/>
        </w:rPr>
        <w:t>no ha indicado argumento alguno respecto al agotamiento de recursos internos</w:t>
      </w:r>
      <w:r w:rsidR="000A4C9F" w:rsidRPr="00E90E47">
        <w:rPr>
          <w:sz w:val="20"/>
          <w:szCs w:val="20"/>
          <w:lang w:val="es-BO"/>
        </w:rPr>
        <w:t xml:space="preserve">, </w:t>
      </w:r>
      <w:r w:rsidR="000A4C9F" w:rsidRPr="00E90E47">
        <w:rPr>
          <w:sz w:val="20"/>
          <w:szCs w:val="20"/>
          <w:lang w:val="es-UY"/>
        </w:rPr>
        <w:t>ni controvirtió lo indicado por el peticionario al respecto. Atendido lo anterior, la Comisión concluye que la presunta víctima agotó los recursos internos mediante la sentencia que le fue notificada el 27 de septiembre de 2006, en cumplimiento de los artículos 46.1.a de la Convención y 31.1 del Reglamento</w:t>
      </w:r>
      <w:r w:rsidR="00134C09" w:rsidRPr="00E90E47">
        <w:rPr>
          <w:sz w:val="20"/>
          <w:szCs w:val="20"/>
          <w:lang w:val="es-UY"/>
        </w:rPr>
        <w:t>. E</w:t>
      </w:r>
      <w:r w:rsidR="000A4C9F" w:rsidRPr="00E90E47">
        <w:rPr>
          <w:sz w:val="20"/>
          <w:szCs w:val="20"/>
          <w:lang w:val="es-UY"/>
        </w:rPr>
        <w:t>n vista que la petición fue presentada el 23 de marzo de 2007, la petición cumple el requisito establecido en el artículo 46.1.b de la Convención y 32.1 del Reglamento.</w:t>
      </w:r>
    </w:p>
    <w:p w14:paraId="77C1D2B5" w14:textId="77777777" w:rsidR="000A4C9F" w:rsidRPr="00E90E47" w:rsidRDefault="003239B8" w:rsidP="003E7F32">
      <w:pPr>
        <w:pStyle w:val="ListParagraph"/>
        <w:spacing w:before="240"/>
        <w:jc w:val="both"/>
        <w:rPr>
          <w:rFonts w:asciiTheme="majorHAnsi" w:hAnsiTheme="majorHAnsi"/>
          <w:b/>
          <w:sz w:val="20"/>
          <w:szCs w:val="20"/>
          <w:lang w:val="es-ES"/>
        </w:rPr>
      </w:pPr>
      <w:r w:rsidRPr="00E90E47">
        <w:rPr>
          <w:rFonts w:asciiTheme="majorHAnsi" w:hAnsiTheme="majorHAnsi"/>
          <w:b/>
          <w:bCs/>
          <w:sz w:val="20"/>
          <w:szCs w:val="20"/>
          <w:lang w:val="es-ES"/>
        </w:rPr>
        <w:t>VII.</w:t>
      </w:r>
      <w:r w:rsidRPr="00E90E47">
        <w:rPr>
          <w:rFonts w:asciiTheme="majorHAnsi" w:hAnsiTheme="majorHAnsi"/>
          <w:b/>
          <w:bCs/>
          <w:sz w:val="20"/>
          <w:szCs w:val="20"/>
          <w:lang w:val="es-ES"/>
        </w:rPr>
        <w:tab/>
      </w:r>
      <w:r w:rsidR="00C21FEF" w:rsidRPr="00E90E47">
        <w:rPr>
          <w:rFonts w:asciiTheme="majorHAnsi" w:hAnsiTheme="majorHAnsi"/>
          <w:b/>
          <w:bCs/>
          <w:sz w:val="20"/>
          <w:szCs w:val="20"/>
          <w:lang w:val="es-ES"/>
        </w:rPr>
        <w:t xml:space="preserve">CARACTERIZACIÓN </w:t>
      </w:r>
      <w:r w:rsidR="00C21FEF" w:rsidRPr="00E90E47">
        <w:rPr>
          <w:rFonts w:asciiTheme="majorHAnsi" w:hAnsiTheme="majorHAnsi"/>
          <w:b/>
          <w:bCs/>
          <w:sz w:val="20"/>
          <w:szCs w:val="20"/>
          <w:lang w:val="es-UY"/>
        </w:rPr>
        <w:t>DE LOS HECHOS ALEGADOS</w:t>
      </w:r>
    </w:p>
    <w:p w14:paraId="1164CD3F" w14:textId="02681305" w:rsidR="00CA33E1" w:rsidRPr="00E90E47" w:rsidRDefault="000A4C9F" w:rsidP="003E7F32">
      <w:pPr>
        <w:pStyle w:val="List"/>
        <w:numPr>
          <w:ilvl w:val="0"/>
          <w:numId w:val="110"/>
        </w:numPr>
        <w:spacing w:before="240"/>
        <w:ind w:left="0" w:firstLine="720"/>
        <w:jc w:val="both"/>
        <w:rPr>
          <w:rFonts w:ascii="Cambria" w:hAnsi="Cambria"/>
          <w:sz w:val="20"/>
          <w:szCs w:val="20"/>
          <w:lang w:eastAsia="en-US"/>
        </w:rPr>
      </w:pPr>
      <w:r w:rsidRPr="00E90E47">
        <w:rPr>
          <w:rFonts w:asciiTheme="majorHAnsi" w:hAnsiTheme="majorHAnsi"/>
          <w:sz w:val="20"/>
          <w:szCs w:val="20"/>
          <w:lang w:val="es-AR"/>
        </w:rPr>
        <w:t xml:space="preserve">En vista de los elementos de hecho y de derecho expuestos por las partes y la naturaleza del asunto puesto bajo su conocimiento, la Comisión </w:t>
      </w:r>
      <w:r w:rsidR="00A04569" w:rsidRPr="00E90E47">
        <w:rPr>
          <w:rFonts w:asciiTheme="majorHAnsi" w:hAnsiTheme="majorHAnsi"/>
          <w:sz w:val="20"/>
          <w:szCs w:val="20"/>
          <w:lang w:val="es-AR"/>
        </w:rPr>
        <w:t>considera que</w:t>
      </w:r>
      <w:r w:rsidR="00B77157" w:rsidRPr="00E90E47">
        <w:rPr>
          <w:rFonts w:asciiTheme="majorHAnsi" w:hAnsiTheme="majorHAnsi"/>
          <w:sz w:val="20"/>
          <w:szCs w:val="20"/>
          <w:lang w:val="es-AR"/>
        </w:rPr>
        <w:t xml:space="preserve"> deberá estudiarse en etapa de fondo si la destitución de </w:t>
      </w:r>
      <w:r w:rsidR="00A04569" w:rsidRPr="00E90E47">
        <w:rPr>
          <w:rFonts w:asciiTheme="majorHAnsi" w:hAnsiTheme="majorHAnsi"/>
          <w:sz w:val="20"/>
          <w:szCs w:val="20"/>
          <w:lang w:val="es-AR"/>
        </w:rPr>
        <w:t xml:space="preserve">la presunta víctima de su cargo de juez en un proceso disciplinario </w:t>
      </w:r>
      <w:r w:rsidR="00B77157" w:rsidRPr="00E90E47">
        <w:rPr>
          <w:rFonts w:asciiTheme="majorHAnsi" w:hAnsiTheme="majorHAnsi"/>
          <w:sz w:val="20"/>
          <w:szCs w:val="20"/>
          <w:lang w:val="es-AR"/>
        </w:rPr>
        <w:t xml:space="preserve">respetaron las garantías establecidas </w:t>
      </w:r>
      <w:r w:rsidRPr="00E90E47">
        <w:rPr>
          <w:rFonts w:asciiTheme="majorHAnsi" w:hAnsiTheme="majorHAnsi"/>
          <w:sz w:val="20"/>
          <w:szCs w:val="20"/>
          <w:lang w:val="es-AR"/>
        </w:rPr>
        <w:t>en los artículos 8 (garantías judiciales) y 25 (protección judicial) de la Convención, en concordancia con el artículo 1.1 de dicho tratado.</w:t>
      </w:r>
    </w:p>
    <w:p w14:paraId="61BD5C78" w14:textId="01903F11" w:rsidR="00A11E44" w:rsidRPr="00E90E47" w:rsidRDefault="00CA33E1" w:rsidP="005A5769">
      <w:pPr>
        <w:pStyle w:val="List"/>
        <w:numPr>
          <w:ilvl w:val="0"/>
          <w:numId w:val="110"/>
        </w:numPr>
        <w:spacing w:before="240"/>
        <w:ind w:left="0" w:firstLine="720"/>
        <w:jc w:val="both"/>
        <w:rPr>
          <w:rFonts w:asciiTheme="majorHAnsi" w:hAnsiTheme="majorHAnsi"/>
          <w:sz w:val="20"/>
          <w:szCs w:val="20"/>
          <w:lang w:eastAsia="en-US"/>
        </w:rPr>
      </w:pPr>
      <w:r w:rsidRPr="00E90E47">
        <w:rPr>
          <w:rFonts w:asciiTheme="majorHAnsi" w:hAnsiTheme="majorHAnsi"/>
          <w:sz w:val="20"/>
          <w:szCs w:val="20"/>
          <w:lang w:val="es-UY"/>
        </w:rPr>
        <w:t>En cuanto al reclamo sobre la presunta violación del derecho</w:t>
      </w:r>
      <w:r w:rsidR="005A5769" w:rsidRPr="00E90E47">
        <w:rPr>
          <w:rFonts w:asciiTheme="majorHAnsi" w:hAnsiTheme="majorHAnsi"/>
          <w:sz w:val="20"/>
          <w:szCs w:val="20"/>
          <w:lang w:val="es-UY"/>
        </w:rPr>
        <w:t xml:space="preserve"> contenido</w:t>
      </w:r>
      <w:r w:rsidRPr="00E90E47">
        <w:rPr>
          <w:rFonts w:asciiTheme="majorHAnsi" w:hAnsiTheme="majorHAnsi"/>
          <w:sz w:val="20"/>
          <w:szCs w:val="20"/>
          <w:lang w:val="es-UY"/>
        </w:rPr>
        <w:t xml:space="preserve"> en </w:t>
      </w:r>
      <w:r w:rsidR="005A5769" w:rsidRPr="00E90E47">
        <w:rPr>
          <w:rFonts w:asciiTheme="majorHAnsi" w:hAnsiTheme="majorHAnsi"/>
          <w:sz w:val="20"/>
          <w:szCs w:val="20"/>
          <w:lang w:val="es-UY"/>
        </w:rPr>
        <w:t>e</w:t>
      </w:r>
      <w:r w:rsidRPr="00E90E47">
        <w:rPr>
          <w:rFonts w:asciiTheme="majorHAnsi" w:hAnsiTheme="majorHAnsi"/>
          <w:sz w:val="20"/>
          <w:szCs w:val="20"/>
          <w:lang w:val="es-UY"/>
        </w:rPr>
        <w:t>l artículo 23 de la Convención, la Comisión observa que el peticionario no ofrece alegatos o sustento para su presunta violación, por lo que no corresponde declarar dicha pretensión admisible.</w:t>
      </w:r>
      <w:r w:rsidR="000A4C9F" w:rsidRPr="00E90E47">
        <w:rPr>
          <w:rFonts w:asciiTheme="majorHAnsi" w:hAnsiTheme="majorHAnsi"/>
          <w:sz w:val="20"/>
          <w:szCs w:val="20"/>
          <w:lang w:val="es-AR"/>
        </w:rPr>
        <w:t xml:space="preserve"> </w:t>
      </w:r>
      <w:r w:rsidRPr="00E90E47">
        <w:rPr>
          <w:rFonts w:asciiTheme="majorHAnsi" w:hAnsiTheme="majorHAnsi"/>
          <w:sz w:val="20"/>
          <w:szCs w:val="20"/>
          <w:lang w:val="es-AR"/>
        </w:rPr>
        <w:t xml:space="preserve">Finalmente, en relación al artículo </w:t>
      </w:r>
      <w:r w:rsidRPr="00E90E47">
        <w:rPr>
          <w:rFonts w:asciiTheme="majorHAnsi" w:hAnsiTheme="majorHAnsi"/>
          <w:sz w:val="20"/>
          <w:szCs w:val="20"/>
          <w:lang w:val="es-UY"/>
        </w:rPr>
        <w:t xml:space="preserve">7 del Protocolo de San Salvador, la CIDH </w:t>
      </w:r>
      <w:r w:rsidR="005A5769" w:rsidRPr="00E90E47">
        <w:rPr>
          <w:rFonts w:asciiTheme="majorHAnsi" w:hAnsiTheme="majorHAnsi"/>
          <w:color w:val="000000"/>
          <w:sz w:val="20"/>
          <w:szCs w:val="20"/>
        </w:rPr>
        <w:t>resalta que el artículo 19.6 de dicho tratado consagra una cláusula limitada de competencia para que los órganos del Sistema Interamericano puedan pronunciarse sobre peticiones individuales relacionadas con los derechos consagrados en los artículos 8 a) y 13. En ese sentido, la Comisión no tiene competencia</w:t>
      </w:r>
      <w:r w:rsidR="00B44D38">
        <w:rPr>
          <w:rStyle w:val="apple-converted-space"/>
          <w:rFonts w:asciiTheme="majorHAnsi" w:hAnsiTheme="majorHAnsi"/>
          <w:color w:val="000000"/>
          <w:sz w:val="20"/>
          <w:szCs w:val="20"/>
        </w:rPr>
        <w:t xml:space="preserve"> </w:t>
      </w:r>
      <w:r w:rsidR="005A5769" w:rsidRPr="00E90E47">
        <w:rPr>
          <w:rFonts w:asciiTheme="majorHAnsi" w:hAnsiTheme="majorHAnsi"/>
          <w:i/>
          <w:iCs/>
          <w:color w:val="000000"/>
          <w:sz w:val="20"/>
          <w:szCs w:val="20"/>
        </w:rPr>
        <w:t>ratione materiae</w:t>
      </w:r>
      <w:r w:rsidR="00B44D38">
        <w:rPr>
          <w:rStyle w:val="apple-converted-space"/>
          <w:rFonts w:asciiTheme="majorHAnsi" w:hAnsiTheme="majorHAnsi"/>
          <w:i/>
          <w:iCs/>
          <w:color w:val="000000"/>
          <w:sz w:val="20"/>
          <w:szCs w:val="20"/>
        </w:rPr>
        <w:t xml:space="preserve"> </w:t>
      </w:r>
      <w:r w:rsidR="005A5769" w:rsidRPr="00E90E47">
        <w:rPr>
          <w:rFonts w:asciiTheme="majorHAnsi" w:hAnsiTheme="majorHAnsi"/>
          <w:color w:val="000000"/>
          <w:sz w:val="20"/>
          <w:szCs w:val="20"/>
        </w:rPr>
        <w:t>para pronunciarse sobre la posible violación del artículo 7 del Protocolo de San Salvador.</w:t>
      </w:r>
    </w:p>
    <w:p w14:paraId="38914508" w14:textId="77777777" w:rsidR="003239B8" w:rsidRPr="00E90E47" w:rsidRDefault="003239B8" w:rsidP="003E7F32">
      <w:pPr>
        <w:pStyle w:val="ListParagraph"/>
        <w:spacing w:before="240" w:after="240"/>
        <w:ind w:left="0" w:firstLine="720"/>
        <w:jc w:val="both"/>
        <w:rPr>
          <w:rFonts w:asciiTheme="majorHAnsi" w:hAnsiTheme="majorHAnsi"/>
          <w:b/>
          <w:bCs/>
          <w:sz w:val="20"/>
          <w:szCs w:val="20"/>
          <w:lang w:val="es-ES"/>
        </w:rPr>
      </w:pPr>
      <w:r w:rsidRPr="00E90E47">
        <w:rPr>
          <w:rFonts w:asciiTheme="majorHAnsi" w:hAnsiTheme="majorHAnsi"/>
          <w:b/>
          <w:bCs/>
          <w:sz w:val="20"/>
          <w:szCs w:val="20"/>
          <w:lang w:val="es-ES"/>
        </w:rPr>
        <w:t xml:space="preserve">VIII. </w:t>
      </w:r>
      <w:r w:rsidRPr="00E90E47">
        <w:rPr>
          <w:rFonts w:asciiTheme="majorHAnsi" w:hAnsiTheme="majorHAnsi"/>
          <w:b/>
          <w:bCs/>
          <w:sz w:val="20"/>
          <w:szCs w:val="20"/>
          <w:lang w:val="es-ES"/>
        </w:rPr>
        <w:tab/>
        <w:t>DECISIÓN</w:t>
      </w:r>
    </w:p>
    <w:p w14:paraId="2C63F689" w14:textId="77777777" w:rsidR="00CA33E1" w:rsidRPr="00E90E47" w:rsidRDefault="003239B8" w:rsidP="00051A0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90E47">
        <w:rPr>
          <w:rFonts w:asciiTheme="majorHAnsi" w:hAnsiTheme="majorHAnsi"/>
          <w:sz w:val="20"/>
          <w:szCs w:val="20"/>
          <w:lang w:val="es-ES"/>
        </w:rPr>
        <w:t>Declarar admisible la presente petición en relación con</w:t>
      </w:r>
      <w:r w:rsidR="000616F2" w:rsidRPr="00E90E47">
        <w:rPr>
          <w:rFonts w:asciiTheme="majorHAnsi" w:hAnsiTheme="majorHAnsi"/>
          <w:sz w:val="20"/>
          <w:szCs w:val="20"/>
          <w:lang w:val="es-ES"/>
        </w:rPr>
        <w:t xml:space="preserve"> los artículos 8 y 25 de la Convención Americana en concordancia con la obligación establecida en el artículo 1.1 del mismo instrumento</w:t>
      </w:r>
      <w:r w:rsidR="00A758AA" w:rsidRPr="00E90E47">
        <w:rPr>
          <w:rFonts w:asciiTheme="majorHAnsi" w:hAnsiTheme="majorHAnsi"/>
          <w:sz w:val="20"/>
          <w:szCs w:val="20"/>
          <w:lang w:val="es-ES"/>
        </w:rPr>
        <w:t>;</w:t>
      </w:r>
    </w:p>
    <w:p w14:paraId="6B7D7C3A" w14:textId="7D2DD8FB" w:rsidR="00CA33E1" w:rsidRPr="00E90E47" w:rsidRDefault="00CA33E1" w:rsidP="00CA33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90E47">
        <w:rPr>
          <w:rFonts w:asciiTheme="majorHAnsi" w:hAnsiTheme="majorHAnsi"/>
          <w:sz w:val="20"/>
          <w:szCs w:val="20"/>
          <w:lang w:val="es-UY"/>
        </w:rPr>
        <w:t>Declarar inadmisible la presente petición en relación con los artículos 23 de la Convención Americana y 7 del Protocolo de San Salvador;</w:t>
      </w:r>
    </w:p>
    <w:p w14:paraId="2734BAC8" w14:textId="77777777" w:rsidR="003239B8" w:rsidRPr="00E90E47" w:rsidRDefault="003239B8" w:rsidP="003E7F3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90E47">
        <w:rPr>
          <w:rFonts w:asciiTheme="majorHAnsi" w:hAnsiTheme="majorHAnsi"/>
          <w:sz w:val="20"/>
          <w:szCs w:val="20"/>
          <w:lang w:val="es-ES"/>
        </w:rPr>
        <w:t>Notificar a las partes la presente decisión;</w:t>
      </w:r>
    </w:p>
    <w:p w14:paraId="2684A6B9" w14:textId="77777777" w:rsidR="005D4B8F" w:rsidRPr="00E90E47" w:rsidRDefault="003239B8" w:rsidP="007536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90E47">
        <w:rPr>
          <w:rFonts w:asciiTheme="majorHAnsi" w:hAnsiTheme="majorHAnsi"/>
          <w:sz w:val="20"/>
          <w:szCs w:val="20"/>
          <w:lang w:val="es-ES"/>
        </w:rPr>
        <w:t>Continuar con el análisis del fondo de la cuestión; y</w:t>
      </w:r>
    </w:p>
    <w:p w14:paraId="60261CAD" w14:textId="14F772EB" w:rsidR="00B44D38" w:rsidRDefault="003239B8" w:rsidP="00B44D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90E47">
        <w:rPr>
          <w:rFonts w:asciiTheme="majorHAnsi" w:hAnsiTheme="majorHAnsi"/>
          <w:sz w:val="20"/>
          <w:szCs w:val="20"/>
          <w:lang w:val="es-ES"/>
        </w:rPr>
        <w:t>Publicar esta decisión e incluirla en su Informe Anual a la Asamblea General de la Organización de los Estados Americanos.</w:t>
      </w:r>
    </w:p>
    <w:p w14:paraId="35894451" w14:textId="77777777" w:rsidR="00B44D38" w:rsidRPr="00CD096F" w:rsidRDefault="00B44D38" w:rsidP="00CD096F">
      <w:pPr>
        <w:jc w:val="both"/>
        <w:rPr>
          <w:rFonts w:asciiTheme="majorHAnsi" w:hAnsiTheme="majorHAnsi" w:cs="Arial"/>
          <w:noProof/>
          <w:spacing w:val="-2"/>
          <w:sz w:val="20"/>
          <w:szCs w:val="20"/>
          <w:lang w:val="es-ES"/>
        </w:rPr>
      </w:pPr>
    </w:p>
    <w:p w14:paraId="539754DF" w14:textId="0CAF064B" w:rsidR="00B44D38" w:rsidRPr="00CB41EF" w:rsidRDefault="00B44D38" w:rsidP="00B44D38">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466599">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44D38" w:rsidRPr="00CB41EF"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B63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A35B6" w14:textId="77777777" w:rsidR="00BD04E4" w:rsidRDefault="00BD04E4">
      <w:r>
        <w:separator/>
      </w:r>
    </w:p>
  </w:endnote>
  <w:endnote w:type="continuationSeparator" w:id="0">
    <w:p w14:paraId="0CBC0E71" w14:textId="77777777" w:rsidR="00BD04E4" w:rsidRDefault="00BD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18A68" w14:textId="77777777" w:rsidR="00934916" w:rsidRDefault="00934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57180D5" w14:textId="0643F2E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4916">
          <w:rPr>
            <w:noProof/>
            <w:sz w:val="16"/>
            <w:szCs w:val="22"/>
          </w:rPr>
          <w:t>1</w:t>
        </w:r>
        <w:r w:rsidRPr="00934A2C">
          <w:rPr>
            <w:noProof/>
            <w:sz w:val="16"/>
            <w:szCs w:val="22"/>
          </w:rPr>
          <w:fldChar w:fldCharType="end"/>
        </w:r>
      </w:p>
    </w:sdtContent>
  </w:sdt>
  <w:p w14:paraId="0E684419"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5097B" w14:textId="77777777" w:rsidR="0070697F" w:rsidRPr="00934A2C" w:rsidRDefault="0070697F">
    <w:pPr>
      <w:pStyle w:val="Footer"/>
      <w:jc w:val="center"/>
      <w:rPr>
        <w:sz w:val="16"/>
        <w:szCs w:val="22"/>
      </w:rPr>
    </w:pPr>
  </w:p>
  <w:p w14:paraId="0FF9A2A8"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BFCA" w14:textId="77777777" w:rsidR="00BD04E4" w:rsidRPr="000F35ED" w:rsidRDefault="00BD04E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24CC3C" w14:textId="77777777" w:rsidR="00BD04E4" w:rsidRPr="000F35ED" w:rsidRDefault="00BD04E4" w:rsidP="000F35ED">
      <w:pPr>
        <w:rPr>
          <w:rFonts w:asciiTheme="majorHAnsi" w:hAnsiTheme="majorHAnsi"/>
          <w:sz w:val="16"/>
          <w:szCs w:val="16"/>
        </w:rPr>
      </w:pPr>
      <w:r w:rsidRPr="000F35ED">
        <w:rPr>
          <w:rFonts w:asciiTheme="majorHAnsi" w:hAnsiTheme="majorHAnsi"/>
          <w:sz w:val="16"/>
          <w:szCs w:val="16"/>
        </w:rPr>
        <w:separator/>
      </w:r>
    </w:p>
    <w:p w14:paraId="48BBF91B" w14:textId="77777777" w:rsidR="00BD04E4" w:rsidRPr="000F35ED" w:rsidRDefault="00BD04E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F760E0" w14:textId="77777777" w:rsidR="00BD04E4" w:rsidRPr="000F35ED" w:rsidRDefault="00BD04E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180ADB" w14:textId="73B28594" w:rsidR="000E4AF8" w:rsidRPr="00CC62DC" w:rsidRDefault="000E4AF8" w:rsidP="00753691">
      <w:pPr>
        <w:pStyle w:val="FootnoteText"/>
        <w:spacing w:before="120"/>
        <w:ind w:firstLine="720"/>
        <w:jc w:val="both"/>
        <w:rPr>
          <w:rFonts w:asciiTheme="majorHAnsi" w:hAnsiTheme="majorHAnsi"/>
          <w:sz w:val="16"/>
          <w:szCs w:val="16"/>
          <w:lang w:val="es-BO"/>
        </w:rPr>
      </w:pPr>
      <w:r w:rsidRPr="00CC62DC">
        <w:rPr>
          <w:rStyle w:val="FootnoteReference"/>
          <w:rFonts w:asciiTheme="majorHAnsi" w:hAnsiTheme="majorHAnsi"/>
          <w:sz w:val="16"/>
          <w:szCs w:val="16"/>
        </w:rPr>
        <w:footnoteRef/>
      </w:r>
      <w:r w:rsidRPr="00CC62DC">
        <w:rPr>
          <w:rFonts w:asciiTheme="majorHAnsi" w:hAnsiTheme="majorHAnsi"/>
          <w:sz w:val="16"/>
          <w:szCs w:val="16"/>
          <w:lang w:val="es-BO"/>
        </w:rPr>
        <w:t xml:space="preserve"> </w:t>
      </w:r>
      <w:r w:rsidRPr="00CC62DC">
        <w:rPr>
          <w:rFonts w:asciiTheme="majorHAnsi" w:hAnsiTheme="majorHAnsi"/>
          <w:sz w:val="16"/>
          <w:szCs w:val="16"/>
          <w:lang w:val="es-ES"/>
        </w:rPr>
        <w:t>En adelante “Convención” o Convención Americana”</w:t>
      </w:r>
      <w:r w:rsidR="001C7EC9" w:rsidRPr="00CC62DC">
        <w:rPr>
          <w:rFonts w:asciiTheme="majorHAnsi" w:hAnsiTheme="majorHAnsi"/>
          <w:sz w:val="16"/>
          <w:szCs w:val="16"/>
          <w:lang w:val="es-ES"/>
        </w:rPr>
        <w:t>.</w:t>
      </w:r>
    </w:p>
  </w:footnote>
  <w:footnote w:id="3">
    <w:p w14:paraId="553F6A89" w14:textId="56979416" w:rsidR="007A2598" w:rsidRPr="00CC62DC" w:rsidRDefault="007A2598" w:rsidP="00753691">
      <w:pPr>
        <w:pStyle w:val="FootnoteText"/>
        <w:spacing w:before="120"/>
        <w:ind w:firstLine="720"/>
        <w:jc w:val="both"/>
        <w:rPr>
          <w:rFonts w:asciiTheme="majorHAnsi" w:hAnsiTheme="majorHAnsi"/>
          <w:sz w:val="16"/>
          <w:szCs w:val="16"/>
          <w:lang w:val="es-BO"/>
        </w:rPr>
      </w:pPr>
      <w:r w:rsidRPr="00CC62DC">
        <w:rPr>
          <w:rStyle w:val="FootnoteReference"/>
          <w:rFonts w:asciiTheme="majorHAnsi" w:hAnsiTheme="majorHAnsi"/>
          <w:sz w:val="16"/>
          <w:szCs w:val="16"/>
        </w:rPr>
        <w:footnoteRef/>
      </w:r>
      <w:r w:rsidRPr="00CC62DC">
        <w:rPr>
          <w:rFonts w:asciiTheme="majorHAnsi" w:hAnsiTheme="majorHAnsi"/>
          <w:sz w:val="16"/>
          <w:szCs w:val="16"/>
          <w:lang w:val="es-BO"/>
        </w:rPr>
        <w:t xml:space="preserve"> </w:t>
      </w:r>
      <w:r w:rsidRPr="00CC62DC">
        <w:rPr>
          <w:rFonts w:asciiTheme="majorHAnsi" w:hAnsiTheme="majorHAnsi"/>
          <w:sz w:val="16"/>
          <w:szCs w:val="16"/>
          <w:lang w:val="es-ES"/>
        </w:rPr>
        <w:t>Todas las observaciones fueron debidamente trasladadas a la parte contraria.</w:t>
      </w:r>
    </w:p>
  </w:footnote>
  <w:footnote w:id="4">
    <w:p w14:paraId="64F4B617" w14:textId="4EFCC2CD" w:rsidR="00686259" w:rsidRPr="00CC62DC" w:rsidRDefault="00686259" w:rsidP="00E02E96">
      <w:pPr>
        <w:pStyle w:val="FootnoteText"/>
        <w:spacing w:before="120"/>
        <w:jc w:val="both"/>
        <w:rPr>
          <w:rFonts w:asciiTheme="majorHAnsi" w:hAnsiTheme="majorHAnsi"/>
          <w:sz w:val="16"/>
          <w:szCs w:val="16"/>
          <w:lang w:val="es-ES"/>
        </w:rPr>
      </w:pPr>
    </w:p>
  </w:footnote>
  <w:footnote w:id="5">
    <w:p w14:paraId="02B0A983" w14:textId="79CF11D3" w:rsidR="006A0F69" w:rsidRPr="00CC62DC" w:rsidRDefault="0073610E" w:rsidP="00753691">
      <w:pPr>
        <w:pStyle w:val="FootnoteText"/>
        <w:spacing w:before="120"/>
        <w:ind w:firstLine="720"/>
        <w:jc w:val="both"/>
        <w:rPr>
          <w:rFonts w:asciiTheme="majorHAnsi" w:hAnsiTheme="majorHAnsi"/>
          <w:sz w:val="16"/>
          <w:szCs w:val="16"/>
          <w:lang w:val="es-BO"/>
        </w:rPr>
      </w:pPr>
      <w:r w:rsidRPr="00CC62DC">
        <w:rPr>
          <w:rStyle w:val="FootnoteReference"/>
          <w:rFonts w:asciiTheme="majorHAnsi" w:hAnsiTheme="majorHAnsi"/>
          <w:sz w:val="16"/>
          <w:szCs w:val="16"/>
        </w:rPr>
        <w:footnoteRef/>
      </w:r>
      <w:r w:rsidRPr="00CC62DC">
        <w:rPr>
          <w:rFonts w:asciiTheme="majorHAnsi" w:hAnsiTheme="majorHAnsi"/>
          <w:sz w:val="16"/>
          <w:szCs w:val="16"/>
          <w:lang w:val="es-BO"/>
        </w:rPr>
        <w:t xml:space="preserve"> </w:t>
      </w:r>
      <w:r w:rsidR="00C21C9A" w:rsidRPr="00CC62DC">
        <w:rPr>
          <w:rFonts w:asciiTheme="majorHAnsi" w:hAnsiTheme="majorHAnsi"/>
          <w:sz w:val="16"/>
          <w:szCs w:val="16"/>
          <w:lang w:val="es-BO"/>
        </w:rPr>
        <w:t>Los peticionarios indican que e</w:t>
      </w:r>
      <w:r w:rsidR="006A0F69" w:rsidRPr="00CC62DC">
        <w:rPr>
          <w:rFonts w:asciiTheme="majorHAnsi" w:hAnsiTheme="majorHAnsi"/>
          <w:sz w:val="16"/>
          <w:szCs w:val="16"/>
          <w:lang w:val="es-BO"/>
        </w:rPr>
        <w:t xml:space="preserve">l Artículo 199 de la </w:t>
      </w:r>
      <w:r w:rsidR="007F75BD" w:rsidRPr="00CC62DC">
        <w:rPr>
          <w:rFonts w:asciiTheme="majorHAnsi" w:hAnsiTheme="majorHAnsi"/>
          <w:sz w:val="16"/>
          <w:szCs w:val="16"/>
          <w:lang w:val="es-BO"/>
        </w:rPr>
        <w:t>Ley Orgánica del Poder Judicial</w:t>
      </w:r>
      <w:r w:rsidR="006A0F69" w:rsidRPr="00CC62DC">
        <w:rPr>
          <w:rFonts w:asciiTheme="majorHAnsi" w:hAnsiTheme="majorHAnsi"/>
          <w:sz w:val="16"/>
          <w:szCs w:val="16"/>
          <w:lang w:val="es-BO"/>
        </w:rPr>
        <w:t xml:space="preserve"> establece que:</w:t>
      </w:r>
      <w:r w:rsidRPr="00CC62DC">
        <w:rPr>
          <w:rFonts w:asciiTheme="majorHAnsi" w:hAnsiTheme="majorHAnsi"/>
          <w:sz w:val="16"/>
          <w:szCs w:val="16"/>
          <w:lang w:val="es-BO"/>
        </w:rPr>
        <w:t xml:space="preserve"> </w:t>
      </w:r>
    </w:p>
    <w:p w14:paraId="16844175" w14:textId="6BD26D1C" w:rsidR="003E7F32" w:rsidRPr="00CC62DC" w:rsidRDefault="0073610E" w:rsidP="00753691">
      <w:pPr>
        <w:pStyle w:val="FootnoteText"/>
        <w:spacing w:before="120"/>
        <w:ind w:firstLine="720"/>
        <w:jc w:val="both"/>
        <w:rPr>
          <w:rFonts w:asciiTheme="majorHAnsi" w:hAnsiTheme="majorHAnsi"/>
          <w:sz w:val="16"/>
          <w:szCs w:val="16"/>
          <w:lang w:val="es-BO"/>
        </w:rPr>
      </w:pPr>
      <w:r w:rsidRPr="00CC62DC">
        <w:rPr>
          <w:rFonts w:asciiTheme="majorHAnsi" w:hAnsiTheme="majorHAnsi"/>
          <w:sz w:val="16"/>
          <w:szCs w:val="16"/>
          <w:lang w:val="es-BO"/>
        </w:rPr>
        <w:t xml:space="preserve">Será rechazada de plano toda queja que se refiera exclusivamente a problemas de interpretación de normas jurídicas. </w:t>
      </w:r>
    </w:p>
    <w:p w14:paraId="6ACFD2FC" w14:textId="77777777" w:rsidR="0073610E" w:rsidRPr="00753691" w:rsidRDefault="0073610E" w:rsidP="00753691">
      <w:pPr>
        <w:pStyle w:val="FootnoteText"/>
        <w:spacing w:before="120"/>
        <w:ind w:firstLine="720"/>
        <w:jc w:val="both"/>
        <w:rPr>
          <w:rFonts w:asciiTheme="majorHAnsi" w:hAnsiTheme="majorHAnsi"/>
          <w:sz w:val="16"/>
          <w:szCs w:val="16"/>
          <w:lang w:val="es-BO"/>
        </w:rPr>
      </w:pPr>
      <w:r w:rsidRPr="00CC62DC">
        <w:rPr>
          <w:rFonts w:asciiTheme="majorHAnsi" w:hAnsiTheme="majorHAnsi"/>
          <w:sz w:val="16"/>
          <w:szCs w:val="16"/>
          <w:lang w:val="es-BO"/>
        </w:rPr>
        <w:t>Sin embargo, en casos de retardo o errores graves e injustificados en la administración de justicia, el Tribunal de Inspección Judicial, sin más trámite deberá poner el hecho en conocimiento de la Corte Plena, para que ésta, una vez hecha la investigación del caso, resuelva sobre la permanencia, suspensión o separación del funcionario.</w:t>
      </w:r>
      <w:r w:rsidRPr="00E02E96">
        <w:rPr>
          <w:rFonts w:asciiTheme="majorHAnsi" w:hAnsiTheme="majorHAnsi"/>
          <w:sz w:val="16"/>
          <w:szCs w:val="16"/>
          <w:lang w:val="es-B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575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D5FBF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D53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C200879" wp14:editId="63F1E10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688775" w14:textId="77777777" w:rsidR="00040C3A" w:rsidRPr="00EC7D62" w:rsidRDefault="00BD04E4" w:rsidP="00A50FCF">
    <w:pPr>
      <w:pStyle w:val="Header"/>
      <w:tabs>
        <w:tab w:val="clear" w:pos="4320"/>
        <w:tab w:val="clear" w:pos="8640"/>
      </w:tabs>
      <w:jc w:val="center"/>
      <w:rPr>
        <w:sz w:val="22"/>
        <w:szCs w:val="22"/>
      </w:rPr>
    </w:pPr>
    <w:r>
      <w:rPr>
        <w:sz w:val="22"/>
        <w:szCs w:val="22"/>
      </w:rPr>
      <w:pict w14:anchorId="51527F9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FD1DB" w14:textId="77777777" w:rsidR="00934916" w:rsidRDefault="00934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F27A0A"/>
    <w:multiLevelType w:val="hybridMultilevel"/>
    <w:tmpl w:val="58A8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8C18D9E8"/>
    <w:lvl w:ilvl="0" w:tplc="C40A67D6">
      <w:start w:val="2"/>
      <w:numFmt w:val="upperLetter"/>
      <w:lvlText w:val="%1."/>
      <w:lvlJc w:val="left"/>
      <w:pPr>
        <w:tabs>
          <w:tab w:val="num" w:pos="1440"/>
        </w:tabs>
        <w:ind w:left="1440" w:hanging="720"/>
      </w:pPr>
      <w:rPr>
        <w:rFonts w:hint="default"/>
      </w:rPr>
    </w:lvl>
    <w:lvl w:ilvl="1" w:tplc="47FACA7A">
      <w:start w:val="1"/>
      <w:numFmt w:val="decimal"/>
      <w:lvlText w:val="%2."/>
      <w:lvlJc w:val="left"/>
      <w:pPr>
        <w:tabs>
          <w:tab w:val="num" w:pos="1800"/>
        </w:tabs>
        <w:ind w:left="1800"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6"/>
  </w:num>
  <w:num w:numId="109">
    <w:abstractNumId w:val="48"/>
  </w:num>
  <w:num w:numId="110">
    <w:abstractNumId w:val="8"/>
  </w:num>
  <w:num w:numId="111">
    <w:abstractNumId w:val="1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6C1B"/>
    <w:rsid w:val="00030121"/>
    <w:rsid w:val="00035840"/>
    <w:rsid w:val="00040C3A"/>
    <w:rsid w:val="000419AD"/>
    <w:rsid w:val="00043434"/>
    <w:rsid w:val="00045CCE"/>
    <w:rsid w:val="00051A09"/>
    <w:rsid w:val="000616F2"/>
    <w:rsid w:val="00061C72"/>
    <w:rsid w:val="000716C5"/>
    <w:rsid w:val="00075E23"/>
    <w:rsid w:val="00081B36"/>
    <w:rsid w:val="0009344A"/>
    <w:rsid w:val="000A3387"/>
    <w:rsid w:val="000A392E"/>
    <w:rsid w:val="000A4C9F"/>
    <w:rsid w:val="000A575F"/>
    <w:rsid w:val="000D10DB"/>
    <w:rsid w:val="000D26B8"/>
    <w:rsid w:val="000D58D3"/>
    <w:rsid w:val="000E4AF8"/>
    <w:rsid w:val="000E5EB5"/>
    <w:rsid w:val="000E713B"/>
    <w:rsid w:val="000F35ED"/>
    <w:rsid w:val="000F381C"/>
    <w:rsid w:val="000F4739"/>
    <w:rsid w:val="00103BBD"/>
    <w:rsid w:val="001049F2"/>
    <w:rsid w:val="00107131"/>
    <w:rsid w:val="0010736F"/>
    <w:rsid w:val="00113F73"/>
    <w:rsid w:val="00121CC2"/>
    <w:rsid w:val="00133EE5"/>
    <w:rsid w:val="00134C09"/>
    <w:rsid w:val="00146C47"/>
    <w:rsid w:val="00161C6D"/>
    <w:rsid w:val="001661E0"/>
    <w:rsid w:val="00166C30"/>
    <w:rsid w:val="00167A34"/>
    <w:rsid w:val="00175D38"/>
    <w:rsid w:val="00193558"/>
    <w:rsid w:val="001A7870"/>
    <w:rsid w:val="001B288C"/>
    <w:rsid w:val="001B6E3E"/>
    <w:rsid w:val="001B7DE8"/>
    <w:rsid w:val="001C1B41"/>
    <w:rsid w:val="001C7EC9"/>
    <w:rsid w:val="001D65EF"/>
    <w:rsid w:val="001F7201"/>
    <w:rsid w:val="002250A3"/>
    <w:rsid w:val="00235217"/>
    <w:rsid w:val="00246D1F"/>
    <w:rsid w:val="00247403"/>
    <w:rsid w:val="00247542"/>
    <w:rsid w:val="002639B1"/>
    <w:rsid w:val="00266B61"/>
    <w:rsid w:val="0026712A"/>
    <w:rsid w:val="002704DB"/>
    <w:rsid w:val="00277F9E"/>
    <w:rsid w:val="00297B51"/>
    <w:rsid w:val="002A0AAE"/>
    <w:rsid w:val="002A5820"/>
    <w:rsid w:val="002C1311"/>
    <w:rsid w:val="002C1C8F"/>
    <w:rsid w:val="002D2B26"/>
    <w:rsid w:val="002D418D"/>
    <w:rsid w:val="002D7EA2"/>
    <w:rsid w:val="002E187C"/>
    <w:rsid w:val="00302733"/>
    <w:rsid w:val="00312E4F"/>
    <w:rsid w:val="00314078"/>
    <w:rsid w:val="0031535D"/>
    <w:rsid w:val="003239B8"/>
    <w:rsid w:val="00326AED"/>
    <w:rsid w:val="0033169F"/>
    <w:rsid w:val="00334A57"/>
    <w:rsid w:val="00334AC7"/>
    <w:rsid w:val="00341306"/>
    <w:rsid w:val="00346C95"/>
    <w:rsid w:val="00356185"/>
    <w:rsid w:val="00360380"/>
    <w:rsid w:val="003603C4"/>
    <w:rsid w:val="0037519E"/>
    <w:rsid w:val="00386CF0"/>
    <w:rsid w:val="00391217"/>
    <w:rsid w:val="00397A6C"/>
    <w:rsid w:val="003A3BEE"/>
    <w:rsid w:val="003B40F5"/>
    <w:rsid w:val="003B70FB"/>
    <w:rsid w:val="003C676B"/>
    <w:rsid w:val="003D3BC2"/>
    <w:rsid w:val="003E315B"/>
    <w:rsid w:val="003E57AE"/>
    <w:rsid w:val="003E6CA1"/>
    <w:rsid w:val="003E7F32"/>
    <w:rsid w:val="003F5A34"/>
    <w:rsid w:val="00401147"/>
    <w:rsid w:val="004116C6"/>
    <w:rsid w:val="004165C2"/>
    <w:rsid w:val="004337BD"/>
    <w:rsid w:val="00441A6F"/>
    <w:rsid w:val="00441ECB"/>
    <w:rsid w:val="004433A3"/>
    <w:rsid w:val="00444FB0"/>
    <w:rsid w:val="00445193"/>
    <w:rsid w:val="0044678B"/>
    <w:rsid w:val="00462C1B"/>
    <w:rsid w:val="004646D5"/>
    <w:rsid w:val="00466599"/>
    <w:rsid w:val="00467B7E"/>
    <w:rsid w:val="004727CA"/>
    <w:rsid w:val="00473BB4"/>
    <w:rsid w:val="00477592"/>
    <w:rsid w:val="00486F1C"/>
    <w:rsid w:val="0049419D"/>
    <w:rsid w:val="004A42FE"/>
    <w:rsid w:val="004A5F92"/>
    <w:rsid w:val="004B42AC"/>
    <w:rsid w:val="004C20D2"/>
    <w:rsid w:val="004C411F"/>
    <w:rsid w:val="004C4B62"/>
    <w:rsid w:val="004C54C9"/>
    <w:rsid w:val="004C6336"/>
    <w:rsid w:val="004D3D15"/>
    <w:rsid w:val="004D4ABA"/>
    <w:rsid w:val="004D6025"/>
    <w:rsid w:val="004D6D44"/>
    <w:rsid w:val="004E1EED"/>
    <w:rsid w:val="004E2649"/>
    <w:rsid w:val="00501399"/>
    <w:rsid w:val="0050633D"/>
    <w:rsid w:val="00507BC4"/>
    <w:rsid w:val="005128E4"/>
    <w:rsid w:val="005133DB"/>
    <w:rsid w:val="00525560"/>
    <w:rsid w:val="00540176"/>
    <w:rsid w:val="00541E1F"/>
    <w:rsid w:val="00544C49"/>
    <w:rsid w:val="005504DF"/>
    <w:rsid w:val="005516A1"/>
    <w:rsid w:val="00560877"/>
    <w:rsid w:val="00563557"/>
    <w:rsid w:val="00566DB7"/>
    <w:rsid w:val="00573271"/>
    <w:rsid w:val="0057402A"/>
    <w:rsid w:val="005764A5"/>
    <w:rsid w:val="005771D0"/>
    <w:rsid w:val="005777EB"/>
    <w:rsid w:val="005837CF"/>
    <w:rsid w:val="0059191A"/>
    <w:rsid w:val="005921FF"/>
    <w:rsid w:val="005A24ED"/>
    <w:rsid w:val="005A5769"/>
    <w:rsid w:val="005A6D0E"/>
    <w:rsid w:val="005A7CC6"/>
    <w:rsid w:val="005B52B0"/>
    <w:rsid w:val="005B6806"/>
    <w:rsid w:val="005C2222"/>
    <w:rsid w:val="005C234A"/>
    <w:rsid w:val="005C4225"/>
    <w:rsid w:val="005D4B8F"/>
    <w:rsid w:val="005F0DAD"/>
    <w:rsid w:val="005F0F33"/>
    <w:rsid w:val="00600DEB"/>
    <w:rsid w:val="00605DB8"/>
    <w:rsid w:val="00610F13"/>
    <w:rsid w:val="00613165"/>
    <w:rsid w:val="00622A29"/>
    <w:rsid w:val="00627C9F"/>
    <w:rsid w:val="006311E9"/>
    <w:rsid w:val="00632354"/>
    <w:rsid w:val="00634381"/>
    <w:rsid w:val="00642810"/>
    <w:rsid w:val="00643360"/>
    <w:rsid w:val="00652333"/>
    <w:rsid w:val="00657C2B"/>
    <w:rsid w:val="00675D67"/>
    <w:rsid w:val="0068009E"/>
    <w:rsid w:val="00686259"/>
    <w:rsid w:val="00692219"/>
    <w:rsid w:val="006A0F69"/>
    <w:rsid w:val="006A17D2"/>
    <w:rsid w:val="006A73E6"/>
    <w:rsid w:val="006B2D5C"/>
    <w:rsid w:val="006B3348"/>
    <w:rsid w:val="006C1C96"/>
    <w:rsid w:val="006C4EB1"/>
    <w:rsid w:val="006E0166"/>
    <w:rsid w:val="006E380D"/>
    <w:rsid w:val="006E7B34"/>
    <w:rsid w:val="006F470D"/>
    <w:rsid w:val="007030E9"/>
    <w:rsid w:val="0070697F"/>
    <w:rsid w:val="0071553D"/>
    <w:rsid w:val="0072199C"/>
    <w:rsid w:val="00722C9F"/>
    <w:rsid w:val="007253B8"/>
    <w:rsid w:val="00731604"/>
    <w:rsid w:val="0073610E"/>
    <w:rsid w:val="0073741F"/>
    <w:rsid w:val="00753691"/>
    <w:rsid w:val="0076643F"/>
    <w:rsid w:val="00777F63"/>
    <w:rsid w:val="00793C5B"/>
    <w:rsid w:val="007A2598"/>
    <w:rsid w:val="007A5817"/>
    <w:rsid w:val="007A5D8C"/>
    <w:rsid w:val="007B05C4"/>
    <w:rsid w:val="007B60E9"/>
    <w:rsid w:val="007B6CC3"/>
    <w:rsid w:val="007C3334"/>
    <w:rsid w:val="007D2B98"/>
    <w:rsid w:val="007E21BC"/>
    <w:rsid w:val="007E7CE9"/>
    <w:rsid w:val="007F1D3E"/>
    <w:rsid w:val="007F75BD"/>
    <w:rsid w:val="00803F1C"/>
    <w:rsid w:val="0080600E"/>
    <w:rsid w:val="00817612"/>
    <w:rsid w:val="0082126A"/>
    <w:rsid w:val="00822475"/>
    <w:rsid w:val="008338A4"/>
    <w:rsid w:val="00837C45"/>
    <w:rsid w:val="00844730"/>
    <w:rsid w:val="008457C2"/>
    <w:rsid w:val="00857A82"/>
    <w:rsid w:val="00873836"/>
    <w:rsid w:val="00885737"/>
    <w:rsid w:val="00890650"/>
    <w:rsid w:val="00892164"/>
    <w:rsid w:val="00897E12"/>
    <w:rsid w:val="008A7E0F"/>
    <w:rsid w:val="008B12F5"/>
    <w:rsid w:val="008C1AB0"/>
    <w:rsid w:val="008C3043"/>
    <w:rsid w:val="008D768D"/>
    <w:rsid w:val="008E3759"/>
    <w:rsid w:val="008F1912"/>
    <w:rsid w:val="008F59A8"/>
    <w:rsid w:val="0090270B"/>
    <w:rsid w:val="009041DC"/>
    <w:rsid w:val="00916572"/>
    <w:rsid w:val="00917B5A"/>
    <w:rsid w:val="00920A58"/>
    <w:rsid w:val="00920A8C"/>
    <w:rsid w:val="0092241D"/>
    <w:rsid w:val="00934916"/>
    <w:rsid w:val="00934A2C"/>
    <w:rsid w:val="00935464"/>
    <w:rsid w:val="009563E8"/>
    <w:rsid w:val="0096706E"/>
    <w:rsid w:val="00974491"/>
    <w:rsid w:val="00975C4E"/>
    <w:rsid w:val="00981FBA"/>
    <w:rsid w:val="00997BC5"/>
    <w:rsid w:val="009A07D2"/>
    <w:rsid w:val="009A40BA"/>
    <w:rsid w:val="009A4F41"/>
    <w:rsid w:val="009B381B"/>
    <w:rsid w:val="009C2E3E"/>
    <w:rsid w:val="009D1753"/>
    <w:rsid w:val="009D4895"/>
    <w:rsid w:val="009D7611"/>
    <w:rsid w:val="009E0B61"/>
    <w:rsid w:val="009E53DE"/>
    <w:rsid w:val="009E7A02"/>
    <w:rsid w:val="009F64B2"/>
    <w:rsid w:val="00A04569"/>
    <w:rsid w:val="00A11E44"/>
    <w:rsid w:val="00A12605"/>
    <w:rsid w:val="00A328B3"/>
    <w:rsid w:val="00A50FCF"/>
    <w:rsid w:val="00A52075"/>
    <w:rsid w:val="00A528D1"/>
    <w:rsid w:val="00A538E2"/>
    <w:rsid w:val="00A55BAB"/>
    <w:rsid w:val="00A610CD"/>
    <w:rsid w:val="00A64315"/>
    <w:rsid w:val="00A758AA"/>
    <w:rsid w:val="00A95EB2"/>
    <w:rsid w:val="00A96039"/>
    <w:rsid w:val="00A965ED"/>
    <w:rsid w:val="00AA0002"/>
    <w:rsid w:val="00AA09A2"/>
    <w:rsid w:val="00AA0E46"/>
    <w:rsid w:val="00AA7996"/>
    <w:rsid w:val="00AC19CB"/>
    <w:rsid w:val="00AE5488"/>
    <w:rsid w:val="00AE6F91"/>
    <w:rsid w:val="00AF0A4D"/>
    <w:rsid w:val="00AF3B96"/>
    <w:rsid w:val="00AF3C18"/>
    <w:rsid w:val="00AF5571"/>
    <w:rsid w:val="00B07341"/>
    <w:rsid w:val="00B07571"/>
    <w:rsid w:val="00B148EC"/>
    <w:rsid w:val="00B17F0C"/>
    <w:rsid w:val="00B214B4"/>
    <w:rsid w:val="00B30539"/>
    <w:rsid w:val="00B314DB"/>
    <w:rsid w:val="00B361F2"/>
    <w:rsid w:val="00B3718B"/>
    <w:rsid w:val="00B44D38"/>
    <w:rsid w:val="00B4632A"/>
    <w:rsid w:val="00B530F1"/>
    <w:rsid w:val="00B53685"/>
    <w:rsid w:val="00B77157"/>
    <w:rsid w:val="00B800B4"/>
    <w:rsid w:val="00B90B08"/>
    <w:rsid w:val="00B93F22"/>
    <w:rsid w:val="00BA276C"/>
    <w:rsid w:val="00BB306F"/>
    <w:rsid w:val="00BC123B"/>
    <w:rsid w:val="00BC634A"/>
    <w:rsid w:val="00BD04E4"/>
    <w:rsid w:val="00BD4B89"/>
    <w:rsid w:val="00BF02CB"/>
    <w:rsid w:val="00BF6FD8"/>
    <w:rsid w:val="00C03680"/>
    <w:rsid w:val="00C054DF"/>
    <w:rsid w:val="00C137AE"/>
    <w:rsid w:val="00C21762"/>
    <w:rsid w:val="00C21C9A"/>
    <w:rsid w:val="00C21FEF"/>
    <w:rsid w:val="00C24543"/>
    <w:rsid w:val="00C256A2"/>
    <w:rsid w:val="00C35D17"/>
    <w:rsid w:val="00C36B6E"/>
    <w:rsid w:val="00C51515"/>
    <w:rsid w:val="00C5660B"/>
    <w:rsid w:val="00C66B72"/>
    <w:rsid w:val="00C759F9"/>
    <w:rsid w:val="00C76BAD"/>
    <w:rsid w:val="00C86C32"/>
    <w:rsid w:val="00C9567A"/>
    <w:rsid w:val="00CA33E1"/>
    <w:rsid w:val="00CB212D"/>
    <w:rsid w:val="00CB2660"/>
    <w:rsid w:val="00CC1762"/>
    <w:rsid w:val="00CC5E90"/>
    <w:rsid w:val="00CC62DC"/>
    <w:rsid w:val="00CC7416"/>
    <w:rsid w:val="00CD0090"/>
    <w:rsid w:val="00CD046C"/>
    <w:rsid w:val="00CD096F"/>
    <w:rsid w:val="00CD0D05"/>
    <w:rsid w:val="00CE076C"/>
    <w:rsid w:val="00CE0CC6"/>
    <w:rsid w:val="00CE5199"/>
    <w:rsid w:val="00CE66D5"/>
    <w:rsid w:val="00CF637A"/>
    <w:rsid w:val="00D059DE"/>
    <w:rsid w:val="00D13FCE"/>
    <w:rsid w:val="00D1711F"/>
    <w:rsid w:val="00D23BA4"/>
    <w:rsid w:val="00D306D1"/>
    <w:rsid w:val="00D30800"/>
    <w:rsid w:val="00D34786"/>
    <w:rsid w:val="00D37BFC"/>
    <w:rsid w:val="00D445C3"/>
    <w:rsid w:val="00D477F0"/>
    <w:rsid w:val="00D47A8E"/>
    <w:rsid w:val="00D511CF"/>
    <w:rsid w:val="00D52D14"/>
    <w:rsid w:val="00D712D3"/>
    <w:rsid w:val="00D71422"/>
    <w:rsid w:val="00D72DC6"/>
    <w:rsid w:val="00D7558D"/>
    <w:rsid w:val="00D81D92"/>
    <w:rsid w:val="00D84205"/>
    <w:rsid w:val="00DA1459"/>
    <w:rsid w:val="00DA37B6"/>
    <w:rsid w:val="00DA7B5F"/>
    <w:rsid w:val="00DC11E7"/>
    <w:rsid w:val="00DC7023"/>
    <w:rsid w:val="00DC769A"/>
    <w:rsid w:val="00DD2D98"/>
    <w:rsid w:val="00DD3D86"/>
    <w:rsid w:val="00DE5D09"/>
    <w:rsid w:val="00DF1EC4"/>
    <w:rsid w:val="00DF56CF"/>
    <w:rsid w:val="00E02E96"/>
    <w:rsid w:val="00E0340B"/>
    <w:rsid w:val="00E04A90"/>
    <w:rsid w:val="00E0551F"/>
    <w:rsid w:val="00E20D7C"/>
    <w:rsid w:val="00E219C7"/>
    <w:rsid w:val="00E356F9"/>
    <w:rsid w:val="00E43157"/>
    <w:rsid w:val="00E461CE"/>
    <w:rsid w:val="00E720CA"/>
    <w:rsid w:val="00E84EB5"/>
    <w:rsid w:val="00E85662"/>
    <w:rsid w:val="00E8789F"/>
    <w:rsid w:val="00E90E47"/>
    <w:rsid w:val="00E97B71"/>
    <w:rsid w:val="00EA3D34"/>
    <w:rsid w:val="00EB454D"/>
    <w:rsid w:val="00ED40B4"/>
    <w:rsid w:val="00ED549D"/>
    <w:rsid w:val="00ED76BE"/>
    <w:rsid w:val="00EE1988"/>
    <w:rsid w:val="00EE3549"/>
    <w:rsid w:val="00EF2629"/>
    <w:rsid w:val="00EF619B"/>
    <w:rsid w:val="00F00B55"/>
    <w:rsid w:val="00F02AD1"/>
    <w:rsid w:val="00F253CC"/>
    <w:rsid w:val="00F37106"/>
    <w:rsid w:val="00F43FA0"/>
    <w:rsid w:val="00F46DBB"/>
    <w:rsid w:val="00F519CF"/>
    <w:rsid w:val="00F56BA5"/>
    <w:rsid w:val="00F60E22"/>
    <w:rsid w:val="00F72BDE"/>
    <w:rsid w:val="00F81395"/>
    <w:rsid w:val="00F81BB8"/>
    <w:rsid w:val="00F917D1"/>
    <w:rsid w:val="00F9653B"/>
    <w:rsid w:val="00FB6161"/>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3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0A4C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686259"/>
    <w:rPr>
      <w:sz w:val="16"/>
      <w:szCs w:val="16"/>
    </w:rPr>
  </w:style>
  <w:style w:type="paragraph" w:styleId="CommentText">
    <w:name w:val="annotation text"/>
    <w:basedOn w:val="Normal"/>
    <w:link w:val="CommentTextChar"/>
    <w:uiPriority w:val="99"/>
    <w:semiHidden/>
    <w:unhideWhenUsed/>
    <w:rsid w:val="00686259"/>
    <w:rPr>
      <w:sz w:val="20"/>
      <w:szCs w:val="20"/>
    </w:rPr>
  </w:style>
  <w:style w:type="character" w:customStyle="1" w:styleId="CommentTextChar">
    <w:name w:val="Comment Text Char"/>
    <w:basedOn w:val="DefaultParagraphFont"/>
    <w:link w:val="CommentText"/>
    <w:uiPriority w:val="99"/>
    <w:semiHidden/>
    <w:rsid w:val="00686259"/>
    <w:rPr>
      <w:lang w:val="en-US" w:eastAsia="en-US"/>
    </w:rPr>
  </w:style>
  <w:style w:type="paragraph" w:styleId="CommentSubject">
    <w:name w:val="annotation subject"/>
    <w:basedOn w:val="CommentText"/>
    <w:next w:val="CommentText"/>
    <w:link w:val="CommentSubjectChar"/>
    <w:uiPriority w:val="99"/>
    <w:semiHidden/>
    <w:unhideWhenUsed/>
    <w:rsid w:val="00686259"/>
    <w:rPr>
      <w:b/>
      <w:bCs/>
    </w:rPr>
  </w:style>
  <w:style w:type="character" w:customStyle="1" w:styleId="CommentSubjectChar">
    <w:name w:val="Comment Subject Char"/>
    <w:basedOn w:val="CommentTextChar"/>
    <w:link w:val="CommentSubject"/>
    <w:uiPriority w:val="99"/>
    <w:semiHidden/>
    <w:rsid w:val="00686259"/>
    <w:rPr>
      <w:b/>
      <w:bCs/>
      <w:lang w:val="en-US" w:eastAsia="en-US"/>
    </w:rPr>
  </w:style>
  <w:style w:type="character" w:customStyle="1" w:styleId="apple-converted-space">
    <w:name w:val="apple-converted-space"/>
    <w:basedOn w:val="DefaultParagraphFont"/>
    <w:rsid w:val="005A5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0A4C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686259"/>
    <w:rPr>
      <w:sz w:val="16"/>
      <w:szCs w:val="16"/>
    </w:rPr>
  </w:style>
  <w:style w:type="paragraph" w:styleId="CommentText">
    <w:name w:val="annotation text"/>
    <w:basedOn w:val="Normal"/>
    <w:link w:val="CommentTextChar"/>
    <w:uiPriority w:val="99"/>
    <w:semiHidden/>
    <w:unhideWhenUsed/>
    <w:rsid w:val="00686259"/>
    <w:rPr>
      <w:sz w:val="20"/>
      <w:szCs w:val="20"/>
    </w:rPr>
  </w:style>
  <w:style w:type="character" w:customStyle="1" w:styleId="CommentTextChar">
    <w:name w:val="Comment Text Char"/>
    <w:basedOn w:val="DefaultParagraphFont"/>
    <w:link w:val="CommentText"/>
    <w:uiPriority w:val="99"/>
    <w:semiHidden/>
    <w:rsid w:val="00686259"/>
    <w:rPr>
      <w:lang w:val="en-US" w:eastAsia="en-US"/>
    </w:rPr>
  </w:style>
  <w:style w:type="paragraph" w:styleId="CommentSubject">
    <w:name w:val="annotation subject"/>
    <w:basedOn w:val="CommentText"/>
    <w:next w:val="CommentText"/>
    <w:link w:val="CommentSubjectChar"/>
    <w:uiPriority w:val="99"/>
    <w:semiHidden/>
    <w:unhideWhenUsed/>
    <w:rsid w:val="00686259"/>
    <w:rPr>
      <w:b/>
      <w:bCs/>
    </w:rPr>
  </w:style>
  <w:style w:type="character" w:customStyle="1" w:styleId="CommentSubjectChar">
    <w:name w:val="Comment Subject Char"/>
    <w:basedOn w:val="CommentTextChar"/>
    <w:link w:val="CommentSubject"/>
    <w:uiPriority w:val="99"/>
    <w:semiHidden/>
    <w:rsid w:val="00686259"/>
    <w:rPr>
      <w:b/>
      <w:bCs/>
      <w:lang w:val="en-US" w:eastAsia="en-US"/>
    </w:rPr>
  </w:style>
  <w:style w:type="character" w:customStyle="1" w:styleId="apple-converted-space">
    <w:name w:val="apple-converted-space"/>
    <w:basedOn w:val="DefaultParagraphFont"/>
    <w:rsid w:val="005A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12FE"/>
    <w:rsid w:val="001772DA"/>
    <w:rsid w:val="00220C4E"/>
    <w:rsid w:val="0029079F"/>
    <w:rsid w:val="002A0B67"/>
    <w:rsid w:val="00394049"/>
    <w:rsid w:val="004F2DF8"/>
    <w:rsid w:val="0063779F"/>
    <w:rsid w:val="00645EC3"/>
    <w:rsid w:val="007247DB"/>
    <w:rsid w:val="007B7569"/>
    <w:rsid w:val="007F4E66"/>
    <w:rsid w:val="0080215E"/>
    <w:rsid w:val="008A0662"/>
    <w:rsid w:val="008C2674"/>
    <w:rsid w:val="00951895"/>
    <w:rsid w:val="009A261B"/>
    <w:rsid w:val="00A5096A"/>
    <w:rsid w:val="00AB0896"/>
    <w:rsid w:val="00AC15A4"/>
    <w:rsid w:val="00C62301"/>
    <w:rsid w:val="00D70151"/>
    <w:rsid w:val="00EB4486"/>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96A"/>
    <w:rPr>
      <w:color w:val="808080"/>
    </w:rPr>
  </w:style>
  <w:style w:type="paragraph" w:customStyle="1" w:styleId="EF85E8F873F2494CB1B0EF413DA4B061">
    <w:name w:val="EF85E8F873F2494CB1B0EF413DA4B061"/>
    <w:rsid w:val="00394049"/>
  </w:style>
  <w:style w:type="paragraph" w:customStyle="1" w:styleId="6BBBDBF18CBE444B80C5FAA467639B8F">
    <w:name w:val="6BBBDBF18CBE444B80C5FAA467639B8F"/>
    <w:rsid w:val="00A5096A"/>
  </w:style>
  <w:style w:type="paragraph" w:customStyle="1" w:styleId="096A3F627D974DEB9349D6BEA23CFA96">
    <w:name w:val="096A3F627D974DEB9349D6BEA23CFA96"/>
    <w:rsid w:val="00A509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96A"/>
    <w:rPr>
      <w:color w:val="808080"/>
    </w:rPr>
  </w:style>
  <w:style w:type="paragraph" w:customStyle="1" w:styleId="EF85E8F873F2494CB1B0EF413DA4B061">
    <w:name w:val="EF85E8F873F2494CB1B0EF413DA4B061"/>
    <w:rsid w:val="00394049"/>
  </w:style>
  <w:style w:type="paragraph" w:customStyle="1" w:styleId="6BBBDBF18CBE444B80C5FAA467639B8F">
    <w:name w:val="6BBBDBF18CBE444B80C5FAA467639B8F"/>
    <w:rsid w:val="00A5096A"/>
  </w:style>
  <w:style w:type="paragraph" w:customStyle="1" w:styleId="096A3F627D974DEB9349D6BEA23CFA96">
    <w:name w:val="096A3F627D974DEB9349D6BEA23CFA96"/>
    <w:rsid w:val="00A50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0DF86-F7D7-418B-9FDE-7DF6602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11898</Characters>
  <Application>Microsoft Office Word</Application>
  <DocSecurity>0</DocSecurity>
  <Lines>305</Lines>
  <Paragraphs>131</Paragraphs>
  <ScaleCrop>false</ScaleCrop>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15/17</dc:title>
  <dc:creator/>
  <cp:lastModifiedBy/>
  <cp:revision>1</cp:revision>
  <dcterms:created xsi:type="dcterms:W3CDTF">2017-04-03T12:56:00Z</dcterms:created>
  <dcterms:modified xsi:type="dcterms:W3CDTF">2017-04-03T12:56:00Z</dcterms:modified>
</cp:coreProperties>
</file>