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A32A43" w:rsidRDefault="00D306D1" w:rsidP="00A32A43">
      <w:pPr>
        <w:jc w:val="both"/>
        <w:rPr>
          <w:rFonts w:asciiTheme="majorHAnsi" w:hAnsiTheme="majorHAnsi" w:cs="Univers"/>
          <w:b/>
          <w:bCs/>
          <w:sz w:val="22"/>
          <w:szCs w:val="22"/>
          <w:lang w:val="es-ES_tradnl"/>
        </w:rPr>
      </w:pPr>
      <w:r w:rsidRPr="00A32A4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F6A7373" wp14:editId="61DBEBE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32A4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CF5D0C3" wp14:editId="0D56AC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400F585B" wp14:editId="27BD84B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2F73DCDF" wp14:editId="0AED12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A32A43" w:rsidRDefault="00040C3A" w:rsidP="00A32A43">
      <w:pPr>
        <w:tabs>
          <w:tab w:val="center" w:pos="5400"/>
        </w:tabs>
        <w:suppressAutoHyphens/>
        <w:jc w:val="both"/>
        <w:rPr>
          <w:rFonts w:asciiTheme="majorHAnsi" w:hAnsiTheme="majorHAnsi"/>
          <w:sz w:val="22"/>
          <w:szCs w:val="22"/>
          <w:lang w:val="es-ES"/>
        </w:rPr>
      </w:pPr>
    </w:p>
    <w:p w:rsidR="00040C3A" w:rsidRPr="00A32A43" w:rsidRDefault="00040C3A" w:rsidP="00A32A43">
      <w:pPr>
        <w:tabs>
          <w:tab w:val="center" w:pos="5400"/>
        </w:tabs>
        <w:suppressAutoHyphens/>
        <w:jc w:val="both"/>
        <w:rPr>
          <w:rFonts w:asciiTheme="majorHAnsi" w:hAnsiTheme="majorHAnsi"/>
          <w:sz w:val="22"/>
          <w:szCs w:val="22"/>
          <w:lang w:val="es-ES"/>
        </w:rPr>
      </w:pPr>
    </w:p>
    <w:p w:rsidR="005128E4" w:rsidRPr="00A32A43" w:rsidRDefault="005128E4" w:rsidP="00A32A43">
      <w:pPr>
        <w:tabs>
          <w:tab w:val="center" w:pos="5400"/>
        </w:tabs>
        <w:suppressAutoHyphens/>
        <w:rPr>
          <w:rFonts w:asciiTheme="majorHAnsi" w:hAnsiTheme="majorHAnsi"/>
          <w:sz w:val="22"/>
          <w:szCs w:val="22"/>
          <w:lang w:val="es-ES_tradnl"/>
        </w:rPr>
      </w:pPr>
    </w:p>
    <w:p w:rsidR="005128E4" w:rsidRPr="00A32A43" w:rsidRDefault="005128E4" w:rsidP="00A32A43">
      <w:pPr>
        <w:tabs>
          <w:tab w:val="center" w:pos="5400"/>
        </w:tabs>
        <w:suppressAutoHyphens/>
        <w:rPr>
          <w:rFonts w:asciiTheme="majorHAnsi" w:hAnsiTheme="majorHAnsi"/>
          <w:sz w:val="22"/>
          <w:szCs w:val="22"/>
          <w:lang w:val="es-ES_tradnl"/>
        </w:rPr>
      </w:pPr>
    </w:p>
    <w:p w:rsidR="005128E4" w:rsidRPr="00A32A43" w:rsidRDefault="005128E4" w:rsidP="00A32A43">
      <w:pPr>
        <w:tabs>
          <w:tab w:val="center" w:pos="5400"/>
        </w:tabs>
        <w:suppressAutoHyphens/>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5B52B0" w:rsidRPr="00A32A43" w:rsidRDefault="005B52B0" w:rsidP="00A32A43">
      <w:pPr>
        <w:tabs>
          <w:tab w:val="center" w:pos="5400"/>
        </w:tabs>
        <w:suppressAutoHyphens/>
        <w:jc w:val="center"/>
        <w:rPr>
          <w:rFonts w:asciiTheme="majorHAnsi" w:hAnsiTheme="majorHAnsi"/>
          <w:sz w:val="22"/>
          <w:szCs w:val="22"/>
          <w:lang w:val="es-ES_tradnl"/>
        </w:rPr>
      </w:pPr>
    </w:p>
    <w:p w:rsidR="005B52B0" w:rsidRPr="00A32A43" w:rsidRDefault="005B52B0" w:rsidP="00A32A43">
      <w:pPr>
        <w:tabs>
          <w:tab w:val="center" w:pos="5400"/>
        </w:tabs>
        <w:suppressAutoHyphens/>
        <w:jc w:val="center"/>
        <w:rPr>
          <w:rFonts w:asciiTheme="majorHAnsi" w:hAnsiTheme="majorHAnsi"/>
          <w:sz w:val="22"/>
          <w:szCs w:val="22"/>
          <w:lang w:val="es-ES_tradnl"/>
        </w:rPr>
      </w:pPr>
    </w:p>
    <w:p w:rsidR="005B52B0" w:rsidRPr="00A32A43" w:rsidRDefault="005B52B0"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3D3BC2" w:rsidP="00A32A43">
      <w:pPr>
        <w:tabs>
          <w:tab w:val="center" w:pos="5400"/>
        </w:tabs>
        <w:suppressAutoHyphens/>
        <w:jc w:val="center"/>
        <w:rPr>
          <w:rFonts w:asciiTheme="majorHAnsi" w:hAnsiTheme="majorHAnsi"/>
          <w:sz w:val="22"/>
          <w:szCs w:val="22"/>
          <w:lang w:val="es-ES_tradnl"/>
        </w:rPr>
      </w:pPr>
      <w:r w:rsidRPr="00A32A4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1244DF1" wp14:editId="78CEED2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563F9">
                              <w:rPr>
                                <w:rFonts w:asciiTheme="majorHAnsi" w:hAnsiTheme="majorHAnsi" w:cs="Arial"/>
                                <w:b/>
                                <w:bCs/>
                                <w:color w:val="0D0D0D" w:themeColor="text1" w:themeTint="F2"/>
                                <w:sz w:val="36"/>
                                <w:szCs w:val="22"/>
                                <w:lang w:val="es-ES_tradnl"/>
                              </w:rPr>
                              <w:t xml:space="preserve"> 61</w:t>
                            </w:r>
                            <w:r w:rsidRPr="004E2649">
                              <w:rPr>
                                <w:rFonts w:asciiTheme="majorHAnsi" w:hAnsiTheme="majorHAnsi" w:cs="Arial"/>
                                <w:b/>
                                <w:bCs/>
                                <w:color w:val="0D0D0D" w:themeColor="text1" w:themeTint="F2"/>
                                <w:sz w:val="36"/>
                                <w:szCs w:val="22"/>
                                <w:lang w:val="es-ES_tradnl"/>
                              </w:rPr>
                              <w:t>/1</w:t>
                            </w:r>
                            <w:r w:rsidR="00AD1BC3">
                              <w:rPr>
                                <w:rFonts w:asciiTheme="majorHAnsi" w:hAnsiTheme="majorHAnsi" w:cs="Arial"/>
                                <w:b/>
                                <w:bCs/>
                                <w:color w:val="0D0D0D" w:themeColor="text1" w:themeTint="F2"/>
                                <w:sz w:val="36"/>
                                <w:szCs w:val="22"/>
                                <w:lang w:val="es-ES_tradnl"/>
                              </w:rPr>
                              <w:t>7</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26469">
                              <w:rPr>
                                <w:rFonts w:asciiTheme="majorHAnsi" w:hAnsiTheme="majorHAnsi" w:cs="Arial"/>
                                <w:b/>
                                <w:color w:val="0D0D0D" w:themeColor="text1" w:themeTint="F2"/>
                                <w:sz w:val="36"/>
                                <w:szCs w:val="22"/>
                                <w:lang w:val="es-ES_tradnl"/>
                              </w:rPr>
                              <w:t>282</w:t>
                            </w:r>
                            <w:r w:rsidR="00246D1F" w:rsidRPr="004E2649">
                              <w:rPr>
                                <w:rFonts w:asciiTheme="majorHAnsi" w:hAnsiTheme="majorHAnsi" w:cs="Arial"/>
                                <w:b/>
                                <w:color w:val="0D0D0D" w:themeColor="text1" w:themeTint="F2"/>
                                <w:sz w:val="36"/>
                                <w:szCs w:val="22"/>
                                <w:lang w:val="es-ES_tradnl"/>
                              </w:rPr>
                              <w:t>-</w:t>
                            </w:r>
                            <w:r w:rsidR="00426469">
                              <w:rPr>
                                <w:rFonts w:asciiTheme="majorHAnsi" w:hAnsiTheme="majorHAnsi" w:cs="Arial"/>
                                <w:b/>
                                <w:color w:val="0D0D0D" w:themeColor="text1" w:themeTint="F2"/>
                                <w:sz w:val="36"/>
                                <w:szCs w:val="22"/>
                                <w:lang w:val="es-ES_tradnl"/>
                              </w:rPr>
                              <w:t>05</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426469" w:rsidRPr="00426469" w:rsidRDefault="00426469" w:rsidP="00426469">
                            <w:pPr>
                              <w:spacing w:line="276" w:lineRule="auto"/>
                              <w:rPr>
                                <w:rFonts w:asciiTheme="majorHAnsi" w:hAnsiTheme="majorHAnsi" w:cs="Arial"/>
                                <w:color w:val="0D0D0D" w:themeColor="text1" w:themeTint="F2"/>
                                <w:szCs w:val="22"/>
                                <w:lang w:val="es-ES_tradnl"/>
                              </w:rPr>
                            </w:pPr>
                            <w:r w:rsidRPr="00426469">
                              <w:rPr>
                                <w:rFonts w:asciiTheme="majorHAnsi" w:hAnsiTheme="majorHAnsi" w:cs="Arial"/>
                                <w:color w:val="0D0D0D" w:themeColor="text1" w:themeTint="F2"/>
                                <w:szCs w:val="22"/>
                                <w:lang w:val="es-ES_tradnl"/>
                              </w:rPr>
                              <w:t>REINA ISABEL HERRARTE MOLINA Y OTROS</w:t>
                            </w:r>
                          </w:p>
                          <w:p w:rsidR="005B52B0" w:rsidRPr="0010736F" w:rsidRDefault="0042646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563F9">
                        <w:rPr>
                          <w:rFonts w:asciiTheme="majorHAnsi" w:hAnsiTheme="majorHAnsi" w:cs="Arial"/>
                          <w:b/>
                          <w:bCs/>
                          <w:color w:val="0D0D0D" w:themeColor="text1" w:themeTint="F2"/>
                          <w:sz w:val="36"/>
                          <w:szCs w:val="22"/>
                          <w:lang w:val="es-ES_tradnl"/>
                        </w:rPr>
                        <w:t xml:space="preserve"> 61</w:t>
                      </w:r>
                      <w:r w:rsidRPr="004E2649">
                        <w:rPr>
                          <w:rFonts w:asciiTheme="majorHAnsi" w:hAnsiTheme="majorHAnsi" w:cs="Arial"/>
                          <w:b/>
                          <w:bCs/>
                          <w:color w:val="0D0D0D" w:themeColor="text1" w:themeTint="F2"/>
                          <w:sz w:val="36"/>
                          <w:szCs w:val="22"/>
                          <w:lang w:val="es-ES_tradnl"/>
                        </w:rPr>
                        <w:t>/1</w:t>
                      </w:r>
                      <w:r w:rsidR="00AD1BC3">
                        <w:rPr>
                          <w:rFonts w:asciiTheme="majorHAnsi" w:hAnsiTheme="majorHAnsi" w:cs="Arial"/>
                          <w:b/>
                          <w:bCs/>
                          <w:color w:val="0D0D0D" w:themeColor="text1" w:themeTint="F2"/>
                          <w:sz w:val="36"/>
                          <w:szCs w:val="22"/>
                          <w:lang w:val="es-ES_tradnl"/>
                        </w:rPr>
                        <w:t>7</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26469">
                        <w:rPr>
                          <w:rFonts w:asciiTheme="majorHAnsi" w:hAnsiTheme="majorHAnsi" w:cs="Arial"/>
                          <w:b/>
                          <w:color w:val="0D0D0D" w:themeColor="text1" w:themeTint="F2"/>
                          <w:sz w:val="36"/>
                          <w:szCs w:val="22"/>
                          <w:lang w:val="es-ES_tradnl"/>
                        </w:rPr>
                        <w:t>282</w:t>
                      </w:r>
                      <w:r w:rsidR="00246D1F" w:rsidRPr="004E2649">
                        <w:rPr>
                          <w:rFonts w:asciiTheme="majorHAnsi" w:hAnsiTheme="majorHAnsi" w:cs="Arial"/>
                          <w:b/>
                          <w:color w:val="0D0D0D" w:themeColor="text1" w:themeTint="F2"/>
                          <w:sz w:val="36"/>
                          <w:szCs w:val="22"/>
                          <w:lang w:val="es-ES_tradnl"/>
                        </w:rPr>
                        <w:t>-</w:t>
                      </w:r>
                      <w:r w:rsidR="00426469">
                        <w:rPr>
                          <w:rFonts w:asciiTheme="majorHAnsi" w:hAnsiTheme="majorHAnsi" w:cs="Arial"/>
                          <w:b/>
                          <w:color w:val="0D0D0D" w:themeColor="text1" w:themeTint="F2"/>
                          <w:sz w:val="36"/>
                          <w:szCs w:val="22"/>
                          <w:lang w:val="es-ES_tradnl"/>
                        </w:rPr>
                        <w:t>05</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426469" w:rsidRPr="00426469" w:rsidRDefault="00426469" w:rsidP="00426469">
                      <w:pPr>
                        <w:spacing w:line="276" w:lineRule="auto"/>
                        <w:rPr>
                          <w:rFonts w:asciiTheme="majorHAnsi" w:hAnsiTheme="majorHAnsi" w:cs="Arial"/>
                          <w:color w:val="0D0D0D" w:themeColor="text1" w:themeTint="F2"/>
                          <w:szCs w:val="22"/>
                          <w:lang w:val="es-ES_tradnl"/>
                        </w:rPr>
                      </w:pPr>
                      <w:r w:rsidRPr="00426469">
                        <w:rPr>
                          <w:rFonts w:asciiTheme="majorHAnsi" w:hAnsiTheme="majorHAnsi" w:cs="Arial"/>
                          <w:color w:val="0D0D0D" w:themeColor="text1" w:themeTint="F2"/>
                          <w:szCs w:val="22"/>
                          <w:lang w:val="es-ES_tradnl"/>
                        </w:rPr>
                        <w:t>REINA ISABEL HERRARTE MOLINA Y OTROS</w:t>
                      </w:r>
                    </w:p>
                    <w:p w:rsidR="005B52B0" w:rsidRPr="0010736F" w:rsidRDefault="0042646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v:textbox>
              </v:shape>
            </w:pict>
          </mc:Fallback>
        </mc:AlternateContent>
      </w:r>
      <w:r w:rsidR="004E2649" w:rsidRPr="00A32A4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56D6390" wp14:editId="4091562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A32A43" w:rsidRDefault="00627C9F" w:rsidP="007A5817">
                            <w:pPr>
                              <w:spacing w:line="276" w:lineRule="auto"/>
                              <w:jc w:val="right"/>
                              <w:rPr>
                                <w:rFonts w:asciiTheme="minorHAnsi" w:hAnsiTheme="minorHAnsi"/>
                                <w:color w:val="FFFFFF" w:themeColor="background1"/>
                                <w:sz w:val="22"/>
                                <w:lang w:val="pt-BR"/>
                              </w:rPr>
                            </w:pPr>
                            <w:r w:rsidRPr="00A32A43">
                              <w:rPr>
                                <w:rFonts w:asciiTheme="minorHAnsi" w:hAnsiTheme="minorHAnsi"/>
                                <w:color w:val="FFFFFF" w:themeColor="background1"/>
                                <w:sz w:val="22"/>
                                <w:lang w:val="pt-BR"/>
                              </w:rPr>
                              <w:t>OEA/Ser.L/V/II.</w:t>
                            </w:r>
                            <w:r w:rsidR="0063193E">
                              <w:rPr>
                                <w:rFonts w:asciiTheme="minorHAnsi" w:hAnsiTheme="minorHAnsi"/>
                                <w:color w:val="FFFFFF" w:themeColor="background1"/>
                                <w:sz w:val="22"/>
                                <w:lang w:val="pt-BR"/>
                              </w:rPr>
                              <w:t>162</w:t>
                            </w:r>
                          </w:p>
                          <w:p w:rsidR="00627C9F" w:rsidRPr="00A32A43" w:rsidRDefault="009563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72</w:t>
                            </w:r>
                          </w:p>
                          <w:p w:rsidR="00627C9F" w:rsidRPr="00B438A4" w:rsidRDefault="009563F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627C9F" w:rsidRPr="00B438A4">
                              <w:rPr>
                                <w:rFonts w:asciiTheme="minorHAnsi" w:hAnsiTheme="minorHAnsi"/>
                                <w:color w:val="FFFFFF" w:themeColor="background1"/>
                                <w:sz w:val="22"/>
                                <w:lang w:val="es-ES"/>
                              </w:rPr>
                              <w:t xml:space="preserve"> 201</w:t>
                            </w:r>
                            <w:r w:rsidR="00AD1BC3">
                              <w:rPr>
                                <w:rFonts w:asciiTheme="minorHAnsi" w:hAnsiTheme="minorHAnsi"/>
                                <w:color w:val="FFFFFF" w:themeColor="background1"/>
                                <w:sz w:val="22"/>
                                <w:lang w:val="es-ES"/>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A32A43" w:rsidRDefault="00627C9F" w:rsidP="007A5817">
                      <w:pPr>
                        <w:spacing w:line="276" w:lineRule="auto"/>
                        <w:jc w:val="right"/>
                        <w:rPr>
                          <w:rFonts w:asciiTheme="minorHAnsi" w:hAnsiTheme="minorHAnsi"/>
                          <w:color w:val="FFFFFF" w:themeColor="background1"/>
                          <w:sz w:val="22"/>
                          <w:lang w:val="pt-BR"/>
                        </w:rPr>
                      </w:pPr>
                      <w:r w:rsidRPr="00A32A43">
                        <w:rPr>
                          <w:rFonts w:asciiTheme="minorHAnsi" w:hAnsiTheme="minorHAnsi"/>
                          <w:color w:val="FFFFFF" w:themeColor="background1"/>
                          <w:sz w:val="22"/>
                          <w:lang w:val="pt-BR"/>
                        </w:rPr>
                        <w:t>OEA/Ser.L/V/II.</w:t>
                      </w:r>
                      <w:r w:rsidR="0063193E">
                        <w:rPr>
                          <w:rFonts w:asciiTheme="minorHAnsi" w:hAnsiTheme="minorHAnsi"/>
                          <w:color w:val="FFFFFF" w:themeColor="background1"/>
                          <w:sz w:val="22"/>
                          <w:lang w:val="pt-BR"/>
                        </w:rPr>
                        <w:t>162</w:t>
                      </w:r>
                    </w:p>
                    <w:p w:rsidR="00627C9F" w:rsidRPr="00A32A43" w:rsidRDefault="009563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72</w:t>
                      </w:r>
                    </w:p>
                    <w:p w:rsidR="00627C9F" w:rsidRPr="00B438A4" w:rsidRDefault="009563F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627C9F" w:rsidRPr="00B438A4">
                        <w:rPr>
                          <w:rFonts w:asciiTheme="minorHAnsi" w:hAnsiTheme="minorHAnsi"/>
                          <w:color w:val="FFFFFF" w:themeColor="background1"/>
                          <w:sz w:val="22"/>
                          <w:lang w:val="es-ES"/>
                        </w:rPr>
                        <w:t xml:space="preserve"> 201</w:t>
                      </w:r>
                      <w:r w:rsidR="00AD1BC3">
                        <w:rPr>
                          <w:rFonts w:asciiTheme="minorHAnsi" w:hAnsiTheme="minorHAnsi"/>
                          <w:color w:val="FFFFFF" w:themeColor="background1"/>
                          <w:sz w:val="22"/>
                          <w:lang w:val="es-ES"/>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cs="Arial"/>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5128E4" w:rsidRPr="00A32A43" w:rsidRDefault="005128E4"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5128E4" w:rsidRPr="00A32A43" w:rsidRDefault="005128E4" w:rsidP="00A32A43">
      <w:pPr>
        <w:tabs>
          <w:tab w:val="center" w:pos="5400"/>
        </w:tabs>
        <w:suppressAutoHyphens/>
        <w:jc w:val="center"/>
        <w:rPr>
          <w:rFonts w:asciiTheme="majorHAnsi" w:hAnsiTheme="majorHAnsi"/>
          <w:sz w:val="22"/>
          <w:szCs w:val="22"/>
          <w:lang w:val="es-ES_tradnl"/>
        </w:rPr>
      </w:pPr>
    </w:p>
    <w:p w:rsidR="005128E4" w:rsidRPr="00A32A43" w:rsidRDefault="005128E4" w:rsidP="00A32A43">
      <w:pPr>
        <w:tabs>
          <w:tab w:val="center" w:pos="5400"/>
        </w:tabs>
        <w:suppressAutoHyphens/>
        <w:jc w:val="center"/>
        <w:rPr>
          <w:rFonts w:asciiTheme="majorHAnsi" w:hAnsiTheme="majorHAnsi"/>
          <w:sz w:val="22"/>
          <w:szCs w:val="22"/>
          <w:lang w:val="es-ES_tradnl"/>
        </w:rPr>
      </w:pPr>
    </w:p>
    <w:p w:rsidR="005128E4" w:rsidRPr="00A32A43" w:rsidRDefault="005128E4"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040C3A" w:rsidRPr="00A32A43" w:rsidRDefault="00040C3A" w:rsidP="00A32A43">
      <w:pPr>
        <w:tabs>
          <w:tab w:val="center" w:pos="5400"/>
        </w:tabs>
        <w:suppressAutoHyphens/>
        <w:jc w:val="center"/>
        <w:rPr>
          <w:rFonts w:asciiTheme="majorHAnsi" w:hAnsiTheme="majorHAnsi"/>
          <w:sz w:val="22"/>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90270B" w:rsidP="00A32A43">
      <w:pPr>
        <w:tabs>
          <w:tab w:val="center" w:pos="5400"/>
        </w:tabs>
        <w:suppressAutoHyphens/>
        <w:jc w:val="center"/>
        <w:rPr>
          <w:rFonts w:asciiTheme="majorHAnsi" w:hAnsiTheme="majorHAnsi"/>
          <w:sz w:val="18"/>
          <w:szCs w:val="22"/>
          <w:lang w:val="es-ES_tradnl"/>
        </w:rPr>
      </w:pPr>
      <w:r w:rsidRPr="00A32A4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2A374B5" wp14:editId="73C1095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3F9" w:rsidRPr="00890650" w:rsidRDefault="009563F9" w:rsidP="009563F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DD3D86" w:rsidRPr="009563F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563F9" w:rsidRPr="00890650" w:rsidRDefault="009563F9" w:rsidP="009563F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DD3D86" w:rsidRPr="009563F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A50FCF" w:rsidRPr="00A32A43" w:rsidRDefault="0090270B" w:rsidP="00A32A43">
      <w:pPr>
        <w:tabs>
          <w:tab w:val="center" w:pos="5400"/>
        </w:tabs>
        <w:suppressAutoHyphens/>
        <w:jc w:val="center"/>
        <w:rPr>
          <w:rFonts w:asciiTheme="majorHAnsi" w:hAnsiTheme="majorHAnsi"/>
          <w:sz w:val="18"/>
          <w:szCs w:val="22"/>
          <w:lang w:val="es-ES_tradnl"/>
        </w:rPr>
      </w:pPr>
      <w:r w:rsidRPr="00A32A4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F9104CF" wp14:editId="097252B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D4103A" w:rsidRDefault="00113F73" w:rsidP="009563F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9563F9">
                              <w:rPr>
                                <w:rFonts w:asciiTheme="majorHAnsi" w:hAnsiTheme="majorHAnsi"/>
                                <w:color w:val="595959" w:themeColor="text1" w:themeTint="A6"/>
                                <w:sz w:val="18"/>
                                <w:szCs w:val="18"/>
                                <w:lang w:val="pt-BR"/>
                              </w:rPr>
                              <w:t xml:space="preserve">Informe No. 61/17. </w:t>
                            </w:r>
                            <w:r w:rsidR="009563F9" w:rsidRPr="009563F9">
                              <w:rPr>
                                <w:rFonts w:asciiTheme="majorHAnsi" w:hAnsiTheme="majorHAnsi"/>
                                <w:color w:val="595959" w:themeColor="text1" w:themeTint="A6"/>
                                <w:sz w:val="18"/>
                                <w:szCs w:val="18"/>
                                <w:lang w:val="es-ES"/>
                              </w:rPr>
                              <w:t xml:space="preserve">Petición 282-05. </w:t>
                            </w:r>
                            <w:r w:rsidR="009563F9">
                              <w:rPr>
                                <w:rFonts w:asciiTheme="majorHAnsi" w:hAnsiTheme="majorHAnsi"/>
                                <w:color w:val="595959" w:themeColor="text1" w:themeTint="A6"/>
                                <w:sz w:val="18"/>
                                <w:szCs w:val="18"/>
                                <w:lang w:val="es-ES"/>
                              </w:rPr>
                              <w:t xml:space="preserve">Admisibilidad. </w:t>
                            </w:r>
                            <w:r w:rsidR="009563F9" w:rsidRPr="009563F9">
                              <w:rPr>
                                <w:rFonts w:asciiTheme="majorHAnsi" w:hAnsiTheme="majorHAnsi"/>
                                <w:color w:val="595959" w:themeColor="text1" w:themeTint="A6"/>
                                <w:sz w:val="18"/>
                                <w:szCs w:val="18"/>
                                <w:lang w:val="es-ES"/>
                              </w:rPr>
                              <w:t>Reina</w:t>
                            </w:r>
                            <w:r w:rsidR="009563F9">
                              <w:rPr>
                                <w:rFonts w:asciiTheme="majorHAnsi" w:hAnsiTheme="majorHAnsi"/>
                                <w:color w:val="595959" w:themeColor="text1" w:themeTint="A6"/>
                                <w:sz w:val="18"/>
                                <w:szCs w:val="18"/>
                                <w:lang w:val="es-ES"/>
                              </w:rPr>
                              <w:t xml:space="preserve"> Isabel Herrarte Molina y Otros. </w:t>
                            </w:r>
                            <w:r w:rsidR="009563F9" w:rsidRPr="009563F9">
                              <w:rPr>
                                <w:rFonts w:asciiTheme="majorHAnsi" w:hAnsiTheme="majorHAnsi"/>
                                <w:color w:val="595959" w:themeColor="text1" w:themeTint="A6"/>
                                <w:sz w:val="18"/>
                                <w:szCs w:val="18"/>
                                <w:lang w:val="es-ES"/>
                              </w:rPr>
                              <w:t>Guatemala</w:t>
                            </w:r>
                            <w:r w:rsidR="009563F9">
                              <w:rPr>
                                <w:rFonts w:asciiTheme="majorHAnsi" w:hAnsiTheme="majorHAnsi"/>
                                <w:color w:val="595959" w:themeColor="text1" w:themeTint="A6"/>
                                <w:sz w:val="18"/>
                                <w:szCs w:val="18"/>
                                <w:lang w:val="es-ES"/>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D4103A" w:rsidRDefault="00113F73" w:rsidP="009563F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9563F9">
                        <w:rPr>
                          <w:rFonts w:asciiTheme="majorHAnsi" w:hAnsiTheme="majorHAnsi"/>
                          <w:color w:val="595959" w:themeColor="text1" w:themeTint="A6"/>
                          <w:sz w:val="18"/>
                          <w:szCs w:val="18"/>
                          <w:lang w:val="pt-BR"/>
                        </w:rPr>
                        <w:t xml:space="preserve">Informe No. 61/17. </w:t>
                      </w:r>
                      <w:r w:rsidR="009563F9" w:rsidRPr="009563F9">
                        <w:rPr>
                          <w:rFonts w:asciiTheme="majorHAnsi" w:hAnsiTheme="majorHAnsi"/>
                          <w:color w:val="595959" w:themeColor="text1" w:themeTint="A6"/>
                          <w:sz w:val="18"/>
                          <w:szCs w:val="18"/>
                          <w:lang w:val="es-ES"/>
                        </w:rPr>
                        <w:t xml:space="preserve">Petición 282-05. </w:t>
                      </w:r>
                      <w:r w:rsidR="009563F9">
                        <w:rPr>
                          <w:rFonts w:asciiTheme="majorHAnsi" w:hAnsiTheme="majorHAnsi"/>
                          <w:color w:val="595959" w:themeColor="text1" w:themeTint="A6"/>
                          <w:sz w:val="18"/>
                          <w:szCs w:val="18"/>
                          <w:lang w:val="es-ES"/>
                        </w:rPr>
                        <w:t xml:space="preserve">Admisibilidad. </w:t>
                      </w:r>
                      <w:r w:rsidR="009563F9" w:rsidRPr="009563F9">
                        <w:rPr>
                          <w:rFonts w:asciiTheme="majorHAnsi" w:hAnsiTheme="majorHAnsi"/>
                          <w:color w:val="595959" w:themeColor="text1" w:themeTint="A6"/>
                          <w:sz w:val="18"/>
                          <w:szCs w:val="18"/>
                          <w:lang w:val="es-ES"/>
                        </w:rPr>
                        <w:t>Reina</w:t>
                      </w:r>
                      <w:r w:rsidR="009563F9">
                        <w:rPr>
                          <w:rFonts w:asciiTheme="majorHAnsi" w:hAnsiTheme="majorHAnsi"/>
                          <w:color w:val="595959" w:themeColor="text1" w:themeTint="A6"/>
                          <w:sz w:val="18"/>
                          <w:szCs w:val="18"/>
                          <w:lang w:val="es-ES"/>
                        </w:rPr>
                        <w:t xml:space="preserve"> Isabel Herrarte Molina y Otros. </w:t>
                      </w:r>
                      <w:r w:rsidR="009563F9" w:rsidRPr="009563F9">
                        <w:rPr>
                          <w:rFonts w:asciiTheme="majorHAnsi" w:hAnsiTheme="majorHAnsi"/>
                          <w:color w:val="595959" w:themeColor="text1" w:themeTint="A6"/>
                          <w:sz w:val="18"/>
                          <w:szCs w:val="18"/>
                          <w:lang w:val="es-ES"/>
                        </w:rPr>
                        <w:t>Guatemala</w:t>
                      </w:r>
                      <w:r w:rsidR="009563F9">
                        <w:rPr>
                          <w:rFonts w:asciiTheme="majorHAnsi" w:hAnsiTheme="majorHAnsi"/>
                          <w:color w:val="595959" w:themeColor="text1" w:themeTint="A6"/>
                          <w:sz w:val="18"/>
                          <w:szCs w:val="18"/>
                          <w:lang w:val="es-ES"/>
                        </w:rPr>
                        <w:t>. 25 de mayo de 2017.</w:t>
                      </w:r>
                    </w:p>
                  </w:txbxContent>
                </v:textbox>
              </v:shape>
            </w:pict>
          </mc:Fallback>
        </mc:AlternateContent>
      </w:r>
    </w:p>
    <w:p w:rsidR="00A50FCF" w:rsidRPr="00A32A43" w:rsidRDefault="00A50FCF" w:rsidP="00A32A43">
      <w:pPr>
        <w:tabs>
          <w:tab w:val="center" w:pos="5400"/>
        </w:tabs>
        <w:suppressAutoHyphens/>
        <w:jc w:val="center"/>
        <w:rPr>
          <w:rFonts w:asciiTheme="majorHAnsi" w:hAnsiTheme="majorHAnsi"/>
          <w:sz w:val="18"/>
          <w:szCs w:val="22"/>
          <w:lang w:val="es-ES_tradnl"/>
        </w:rPr>
      </w:pPr>
    </w:p>
    <w:p w:rsidR="0090270B" w:rsidRPr="00A32A43" w:rsidRDefault="00D306D1" w:rsidP="00A32A43">
      <w:pPr>
        <w:tabs>
          <w:tab w:val="center" w:pos="5400"/>
        </w:tabs>
        <w:suppressAutoHyphens/>
        <w:jc w:val="center"/>
        <w:rPr>
          <w:rFonts w:asciiTheme="majorHAnsi" w:hAnsiTheme="majorHAnsi"/>
          <w:b/>
          <w:sz w:val="20"/>
          <w:lang w:val="es-ES_tradnl"/>
        </w:rPr>
      </w:pPr>
      <w:r w:rsidRPr="00A32A4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1DCF8D3" wp14:editId="15427A2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9F93690" wp14:editId="38AEF03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8A3E04E" wp14:editId="11E0CDD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32A4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25569FD" wp14:editId="11CFD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32A43" w:rsidRDefault="0070697F" w:rsidP="00A32A43">
      <w:pPr>
        <w:tabs>
          <w:tab w:val="center" w:pos="5400"/>
        </w:tabs>
        <w:suppressAutoHyphens/>
        <w:rPr>
          <w:rFonts w:asciiTheme="majorHAnsi" w:hAnsiTheme="majorHAnsi"/>
          <w:b/>
          <w:sz w:val="20"/>
          <w:lang w:val="es-ES_tradnl"/>
        </w:rPr>
        <w:sectPr w:rsidR="0070697F" w:rsidRPr="00A32A4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426469" w:rsidRPr="00A32A43" w:rsidRDefault="009563F9" w:rsidP="00A32A43">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61</w:t>
      </w:r>
      <w:r w:rsidR="00426469" w:rsidRPr="00A32A43">
        <w:rPr>
          <w:rFonts w:asciiTheme="majorHAnsi" w:hAnsiTheme="majorHAnsi"/>
          <w:b/>
          <w:sz w:val="18"/>
          <w:szCs w:val="20"/>
          <w:lang w:val="es-ES_tradnl"/>
        </w:rPr>
        <w:t>/1</w:t>
      </w:r>
      <w:r w:rsidR="00AD1BC3" w:rsidRPr="00A32A43">
        <w:rPr>
          <w:rFonts w:asciiTheme="majorHAnsi" w:hAnsiTheme="majorHAnsi"/>
          <w:b/>
          <w:sz w:val="18"/>
          <w:szCs w:val="20"/>
          <w:lang w:val="es-ES_tradnl"/>
        </w:rPr>
        <w:t>7</w:t>
      </w:r>
    </w:p>
    <w:p w:rsidR="00426469" w:rsidRPr="00A32A43" w:rsidRDefault="00426469" w:rsidP="00A32A43">
      <w:pPr>
        <w:tabs>
          <w:tab w:val="center" w:pos="5400"/>
        </w:tabs>
        <w:suppressAutoHyphens/>
        <w:spacing w:line="276" w:lineRule="auto"/>
        <w:jc w:val="center"/>
        <w:rPr>
          <w:rFonts w:asciiTheme="majorHAnsi" w:hAnsiTheme="majorHAnsi"/>
          <w:b/>
          <w:sz w:val="18"/>
          <w:szCs w:val="20"/>
          <w:lang w:val="es-ES_tradnl"/>
        </w:rPr>
      </w:pPr>
      <w:r w:rsidRPr="00A32A43">
        <w:rPr>
          <w:rFonts w:asciiTheme="majorHAnsi" w:hAnsiTheme="majorHAnsi"/>
          <w:b/>
          <w:sz w:val="18"/>
          <w:szCs w:val="20"/>
          <w:lang w:val="es-ES_tradnl"/>
        </w:rPr>
        <w:t xml:space="preserve">PETICIÓN 282-05 </w:t>
      </w:r>
    </w:p>
    <w:p w:rsidR="00426469" w:rsidRPr="00A32A43" w:rsidRDefault="00426469" w:rsidP="00A32A43">
      <w:pPr>
        <w:tabs>
          <w:tab w:val="center" w:pos="5400"/>
        </w:tabs>
        <w:suppressAutoHyphens/>
        <w:spacing w:line="276" w:lineRule="auto"/>
        <w:jc w:val="center"/>
        <w:rPr>
          <w:rFonts w:asciiTheme="majorHAnsi" w:hAnsiTheme="majorHAnsi"/>
          <w:sz w:val="18"/>
          <w:szCs w:val="20"/>
          <w:lang w:val="es-ES_tradnl"/>
        </w:rPr>
      </w:pPr>
      <w:r w:rsidRPr="00A32A43">
        <w:rPr>
          <w:rFonts w:asciiTheme="majorHAnsi" w:hAnsiTheme="majorHAnsi"/>
          <w:sz w:val="18"/>
          <w:szCs w:val="20"/>
          <w:lang w:val="es-ES_tradnl"/>
        </w:rPr>
        <w:t>ADMISIBILIDAD</w:t>
      </w:r>
    </w:p>
    <w:p w:rsidR="00426469" w:rsidRPr="00A32A43" w:rsidRDefault="00426469" w:rsidP="00A32A43">
      <w:pPr>
        <w:tabs>
          <w:tab w:val="center" w:pos="5400"/>
        </w:tabs>
        <w:suppressAutoHyphens/>
        <w:spacing w:line="276" w:lineRule="auto"/>
        <w:jc w:val="center"/>
        <w:rPr>
          <w:rFonts w:asciiTheme="majorHAnsi" w:hAnsiTheme="majorHAnsi"/>
          <w:sz w:val="18"/>
          <w:szCs w:val="20"/>
          <w:lang w:val="es-ES_tradnl"/>
        </w:rPr>
      </w:pPr>
      <w:r w:rsidRPr="00A32A43">
        <w:rPr>
          <w:rFonts w:asciiTheme="majorHAnsi" w:hAnsiTheme="majorHAnsi"/>
          <w:sz w:val="18"/>
          <w:szCs w:val="20"/>
          <w:lang w:val="es-ES_tradnl"/>
        </w:rPr>
        <w:t>REINA ISABEL HERRARTE MOLINA Y OTROS</w:t>
      </w:r>
    </w:p>
    <w:p w:rsidR="00426469" w:rsidRPr="00A32A43" w:rsidRDefault="00426469" w:rsidP="00A32A43">
      <w:pPr>
        <w:tabs>
          <w:tab w:val="center" w:pos="5400"/>
        </w:tabs>
        <w:suppressAutoHyphens/>
        <w:spacing w:line="276" w:lineRule="auto"/>
        <w:jc w:val="center"/>
        <w:rPr>
          <w:rFonts w:asciiTheme="majorHAnsi" w:hAnsiTheme="majorHAnsi"/>
          <w:sz w:val="18"/>
          <w:szCs w:val="20"/>
          <w:lang w:val="es-ES_tradnl"/>
        </w:rPr>
      </w:pPr>
      <w:r w:rsidRPr="00A32A43">
        <w:rPr>
          <w:rFonts w:asciiTheme="majorHAnsi" w:hAnsiTheme="majorHAnsi"/>
          <w:sz w:val="18"/>
          <w:szCs w:val="20"/>
          <w:lang w:val="es-ES_tradnl"/>
        </w:rPr>
        <w:t>GUATEMALA</w:t>
      </w:r>
    </w:p>
    <w:p w:rsidR="00426469" w:rsidRPr="00610C95" w:rsidRDefault="009563F9" w:rsidP="00A32A43">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25 DE MAYO DE 2017</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Univers" w:eastAsia="Batang" w:hAnsi="Univers"/>
          <w:sz w:val="20"/>
          <w:szCs w:val="20"/>
          <w:bdr w:val="none" w:sz="0" w:space="0" w:color="auto"/>
          <w:lang w:val="es-ES"/>
        </w:rPr>
      </w:pP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Univers" w:eastAsia="Batang" w:hAnsi="Univers"/>
          <w:sz w:val="20"/>
          <w:szCs w:val="20"/>
          <w:bdr w:val="none" w:sz="0" w:space="0" w:color="auto"/>
          <w:lang w:val="es-ES"/>
        </w:rPr>
      </w:pP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lang w:val="es-ES"/>
        </w:rPr>
      </w:pPr>
      <w:r w:rsidRPr="00A32A43">
        <w:rPr>
          <w:rFonts w:asciiTheme="majorHAnsi" w:eastAsia="Batang" w:hAnsiTheme="majorHAnsi"/>
          <w:b/>
          <w:bCs/>
          <w:sz w:val="20"/>
          <w:szCs w:val="20"/>
          <w:bdr w:val="none" w:sz="0" w:space="0" w:color="auto"/>
          <w:lang w:val="es-ES"/>
        </w:rPr>
        <w:t>I.</w:t>
      </w:r>
      <w:r w:rsidRPr="00A32A43">
        <w:rPr>
          <w:rFonts w:asciiTheme="majorHAnsi" w:eastAsia="Batang" w:hAnsiTheme="majorHAnsi"/>
          <w:b/>
          <w:sz w:val="20"/>
          <w:szCs w:val="20"/>
          <w:bdr w:val="none" w:sz="0" w:space="0" w:color="auto"/>
          <w:lang w:val="es-ES"/>
        </w:rPr>
        <w:tab/>
      </w:r>
      <w:r w:rsidRPr="00A32A43">
        <w:rPr>
          <w:rFonts w:asciiTheme="majorHAnsi" w:eastAsia="Batang" w:hAnsiTheme="majorHAnsi"/>
          <w:b/>
          <w:bCs/>
          <w:sz w:val="20"/>
          <w:szCs w:val="20"/>
          <w:bdr w:val="none" w:sz="0" w:space="0" w:color="auto"/>
          <w:lang w:val="es-ES"/>
        </w:rPr>
        <w:t>RESUMEN</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5A19C3"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rPr>
      </w:pPr>
      <w:r w:rsidRPr="00A32A43">
        <w:rPr>
          <w:rFonts w:asciiTheme="majorHAnsi" w:eastAsia="MS Mincho" w:hAnsiTheme="majorHAnsi"/>
          <w:sz w:val="20"/>
          <w:szCs w:val="20"/>
          <w:bdr w:val="none" w:sz="0" w:space="0" w:color="auto"/>
          <w:lang w:val="es-ES"/>
        </w:rPr>
        <w:t xml:space="preserve">La Comisión Interamericana de Derechos Humanos (en adelante “Comisión”, “Comisión Interamericana” o “CIDH”) recibió el 24 de junio de 1998 una petición presentada por el Centro para la Acción Legal en Derechos Humanos (CALDH), (en adelante “peticionarios”), en representación de Reina Isabel Herrarte Molina de Chajón, Imperio Marisol Flores Suárez de Rodas, Reyna Judith Rodríguez Peña de Jerez, Francisco de Jesús Morales Carranza, José Luis Enrique Pinzón de León, María Elsa Fernández Porras y María de los Ángeles Coronado Villatoro (en adelante “presuntas víctimas”). La petición </w:t>
      </w:r>
      <w:r w:rsidR="00892762" w:rsidRPr="00A32A43">
        <w:rPr>
          <w:rFonts w:asciiTheme="majorHAnsi" w:eastAsia="MS Mincho" w:hAnsiTheme="majorHAnsi"/>
          <w:sz w:val="20"/>
          <w:szCs w:val="20"/>
          <w:bdr w:val="none" w:sz="0" w:space="0" w:color="auto"/>
          <w:lang w:val="es-ES"/>
        </w:rPr>
        <w:t>se presenta</w:t>
      </w:r>
      <w:r w:rsidRPr="00A32A43">
        <w:rPr>
          <w:rFonts w:asciiTheme="majorHAnsi" w:eastAsia="MS Mincho" w:hAnsiTheme="majorHAnsi"/>
          <w:sz w:val="20"/>
          <w:szCs w:val="20"/>
          <w:bdr w:val="none" w:sz="0" w:space="0" w:color="auto"/>
          <w:lang w:val="es-ES"/>
        </w:rPr>
        <w:t xml:space="preserve"> contra el Estado de Guatemala (en adelante “Estado” o “Estado guatemalteco”), </w:t>
      </w:r>
      <w:r w:rsidR="006766B7" w:rsidRPr="00A32A43">
        <w:rPr>
          <w:rFonts w:asciiTheme="majorHAnsi" w:eastAsia="MS Mincho" w:hAnsiTheme="majorHAnsi"/>
          <w:spacing w:val="-2"/>
          <w:sz w:val="20"/>
          <w:szCs w:val="20"/>
          <w:bdr w:val="none" w:sz="0" w:space="0" w:color="auto"/>
          <w:lang w:val="es-ES"/>
        </w:rPr>
        <w:t>por el alegado despido ilegal de las presuntas víctimas del Instituto Guatemalteco de Seguridad Social</w:t>
      </w:r>
      <w:r w:rsidR="00A96F78" w:rsidRPr="00A32A43">
        <w:rPr>
          <w:rFonts w:asciiTheme="majorHAnsi" w:eastAsia="MS Mincho" w:hAnsiTheme="majorHAnsi"/>
          <w:spacing w:val="-2"/>
          <w:sz w:val="20"/>
          <w:szCs w:val="20"/>
          <w:bdr w:val="none" w:sz="0" w:space="0" w:color="auto"/>
          <w:lang w:val="es-ES"/>
        </w:rPr>
        <w:t xml:space="preserve"> (en adelante “IGSS”)</w:t>
      </w:r>
      <w:r w:rsidR="006766B7" w:rsidRPr="00A32A43">
        <w:rPr>
          <w:rFonts w:asciiTheme="majorHAnsi" w:eastAsia="MS Mincho" w:hAnsiTheme="majorHAnsi"/>
          <w:spacing w:val="-2"/>
          <w:sz w:val="20"/>
          <w:szCs w:val="20"/>
          <w:bdr w:val="none" w:sz="0" w:space="0" w:color="auto"/>
          <w:lang w:val="es-ES"/>
        </w:rPr>
        <w:t>; la violación a sus garantías judiciales y protección judicial y la falta de normativa y procedimientos legales para defenderse.</w:t>
      </w:r>
    </w:p>
    <w:p w:rsidR="006766B7" w:rsidRPr="00A32A43" w:rsidRDefault="006766B7" w:rsidP="00A32A4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rPr>
      </w:pPr>
    </w:p>
    <w:p w:rsidR="007A779F"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rPr>
      </w:pPr>
      <w:r w:rsidRPr="00A32A43">
        <w:rPr>
          <w:rFonts w:asciiTheme="majorHAnsi" w:eastAsia="Batang" w:hAnsiTheme="majorHAnsi"/>
          <w:sz w:val="20"/>
          <w:szCs w:val="20"/>
          <w:bdr w:val="none" w:sz="0" w:space="0" w:color="auto"/>
          <w:lang w:val="es-ES"/>
        </w:rPr>
        <w:t xml:space="preserve">Los peticionarios alegan que el Estado de Guatemala es responsable por la violación de los derechos consagrados en los artículos </w:t>
      </w:r>
      <w:r w:rsidRPr="00A32A43">
        <w:rPr>
          <w:rFonts w:asciiTheme="majorHAnsi" w:eastAsia="Batang" w:hAnsiTheme="majorHAnsi"/>
          <w:bCs/>
          <w:sz w:val="20"/>
          <w:szCs w:val="20"/>
          <w:bdr w:val="none" w:sz="0" w:space="0" w:color="auto"/>
          <w:lang w:val="es-ES"/>
        </w:rPr>
        <w:t>8 (garantías judiciales) y 25 (protección judicial) de la Convención Americana sobre Derechos Humanos (en adelante “Convención” o “Convención Americana”), en concordancia con la obligación general establecida en los artículos 1.1 y 2 del citado instrumento internacional, en perjuicio de las presuntas víctimas.</w:t>
      </w:r>
      <w:r w:rsidR="003B44D4" w:rsidRPr="00A32A43">
        <w:rPr>
          <w:rFonts w:asciiTheme="majorHAnsi" w:eastAsia="Batang" w:hAnsiTheme="majorHAnsi"/>
          <w:sz w:val="20"/>
          <w:szCs w:val="20"/>
          <w:bdr w:val="none" w:sz="0" w:space="0" w:color="auto"/>
          <w:lang w:val="es-ES"/>
        </w:rPr>
        <w:t xml:space="preserve"> </w:t>
      </w:r>
      <w:r w:rsidR="00554464" w:rsidRPr="00A32A43">
        <w:rPr>
          <w:rFonts w:asciiTheme="majorHAnsi" w:eastAsia="Batang" w:hAnsiTheme="majorHAnsi"/>
          <w:sz w:val="20"/>
          <w:szCs w:val="20"/>
          <w:bdr w:val="none" w:sz="0" w:space="0" w:color="auto"/>
          <w:lang w:val="es-ES"/>
        </w:rPr>
        <w:t>P</w:t>
      </w:r>
      <w:r w:rsidR="007A779F" w:rsidRPr="00A32A43">
        <w:rPr>
          <w:rFonts w:asciiTheme="majorHAnsi" w:eastAsia="Batang" w:hAnsiTheme="majorHAnsi"/>
          <w:bCs/>
          <w:sz w:val="20"/>
          <w:szCs w:val="20"/>
          <w:bdr w:val="none" w:sz="0" w:space="0" w:color="auto"/>
          <w:lang w:val="es-ES"/>
        </w:rPr>
        <w:t>or su parte</w:t>
      </w:r>
      <w:r w:rsidR="00554464" w:rsidRPr="00A32A43">
        <w:rPr>
          <w:rFonts w:asciiTheme="majorHAnsi" w:eastAsia="Batang" w:hAnsiTheme="majorHAnsi"/>
          <w:bCs/>
          <w:sz w:val="20"/>
          <w:szCs w:val="20"/>
          <w:bdr w:val="none" w:sz="0" w:space="0" w:color="auto"/>
          <w:lang w:val="es-ES"/>
        </w:rPr>
        <w:t>,</w:t>
      </w:r>
      <w:r w:rsidR="007A779F" w:rsidRPr="00A32A43">
        <w:rPr>
          <w:rFonts w:asciiTheme="majorHAnsi" w:eastAsia="Batang" w:hAnsiTheme="majorHAnsi"/>
          <w:bCs/>
          <w:sz w:val="20"/>
          <w:szCs w:val="20"/>
          <w:bdr w:val="none" w:sz="0" w:space="0" w:color="auto"/>
          <w:lang w:val="es-ES"/>
        </w:rPr>
        <w:t xml:space="preserve"> </w:t>
      </w:r>
      <w:r w:rsidR="00554464" w:rsidRPr="00A32A43">
        <w:rPr>
          <w:rFonts w:asciiTheme="majorHAnsi" w:eastAsia="Batang" w:hAnsiTheme="majorHAnsi"/>
          <w:bCs/>
          <w:sz w:val="20"/>
          <w:szCs w:val="20"/>
          <w:bdr w:val="none" w:sz="0" w:space="0" w:color="auto"/>
          <w:lang w:val="es-ES"/>
        </w:rPr>
        <w:t xml:space="preserve">el Estado </w:t>
      </w:r>
      <w:r w:rsidR="007A779F" w:rsidRPr="00A32A43">
        <w:rPr>
          <w:rFonts w:asciiTheme="majorHAnsi" w:eastAsia="Batang" w:hAnsiTheme="majorHAnsi"/>
          <w:bCs/>
          <w:sz w:val="20"/>
          <w:szCs w:val="20"/>
          <w:bdr w:val="none" w:sz="0" w:space="0" w:color="auto"/>
          <w:lang w:val="es-ES"/>
        </w:rPr>
        <w:t>manifiesta que en los procesos judiciales impulsados por los peticionarios se han respetado las garantías del debido proceso y que el hecho de que las decisiones dictadas en dichos juicios hayan sido contrarias a sus pretensiones no implica que se haya violado la Convención Americana.</w:t>
      </w:r>
      <w:r w:rsidR="00350306" w:rsidRPr="00A32A43">
        <w:rPr>
          <w:rFonts w:asciiTheme="majorHAnsi" w:eastAsia="Batang" w:hAnsiTheme="majorHAnsi"/>
          <w:sz w:val="20"/>
          <w:szCs w:val="20"/>
          <w:bdr w:val="none" w:sz="0" w:space="0" w:color="auto"/>
          <w:lang w:val="es-ES"/>
        </w:rPr>
        <w:t xml:space="preserve"> Consecuentemente solicita que la petición sea declarada inadmisible.</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sz w:val="20"/>
          <w:szCs w:val="20"/>
          <w:bdr w:val="none" w:sz="0" w:space="0" w:color="auto"/>
          <w:lang w:val="es-ES"/>
        </w:rPr>
      </w:pPr>
      <w:r w:rsidRPr="00A32A43">
        <w:rPr>
          <w:rFonts w:asciiTheme="majorHAnsi" w:eastAsia="Batang" w:hAnsiTheme="majorHAnsi"/>
          <w:bCs/>
          <w:sz w:val="20"/>
          <w:szCs w:val="20"/>
          <w:bdr w:val="none" w:sz="0" w:space="0" w:color="auto"/>
          <w:lang w:val="es-ES"/>
        </w:rPr>
        <w:t>Sin prejuzgar sobre el fondo del asunto, tras analizar las posiciones de las partes y en cumplimiento de los requisitos previstos en los artículos 46 y 47 de la Convención Americana, la Comisión decide declarar el caso admisible a efectos del examen</w:t>
      </w:r>
      <w:r w:rsidR="0044487D" w:rsidRPr="00A32A43">
        <w:rPr>
          <w:rFonts w:asciiTheme="majorHAnsi" w:eastAsia="Batang" w:hAnsiTheme="majorHAnsi"/>
          <w:bCs/>
          <w:sz w:val="20"/>
          <w:szCs w:val="20"/>
          <w:bdr w:val="none" w:sz="0" w:space="0" w:color="auto"/>
          <w:lang w:val="es-ES"/>
        </w:rPr>
        <w:t xml:space="preserve"> de los alegatos relativos a la </w:t>
      </w:r>
      <w:r w:rsidRPr="00A32A43">
        <w:rPr>
          <w:rFonts w:asciiTheme="majorHAnsi" w:eastAsia="Batang" w:hAnsiTheme="majorHAnsi"/>
          <w:bCs/>
          <w:sz w:val="20"/>
          <w:szCs w:val="20"/>
          <w:bdr w:val="none" w:sz="0" w:space="0" w:color="auto"/>
          <w:lang w:val="es-ES"/>
        </w:rPr>
        <w:t xml:space="preserve">presunta violación de los derechos </w:t>
      </w:r>
      <w:r w:rsidR="0044487D" w:rsidRPr="00A32A43">
        <w:rPr>
          <w:rFonts w:asciiTheme="majorHAnsi" w:eastAsia="Batang" w:hAnsiTheme="majorHAnsi"/>
          <w:bCs/>
          <w:sz w:val="20"/>
          <w:szCs w:val="20"/>
          <w:bdr w:val="none" w:sz="0" w:space="0" w:color="auto"/>
          <w:lang w:val="es-ES"/>
        </w:rPr>
        <w:t>consagrados en los artículos 8</w:t>
      </w:r>
      <w:r w:rsidRPr="00A32A43">
        <w:rPr>
          <w:rFonts w:asciiTheme="majorHAnsi" w:eastAsia="Batang" w:hAnsiTheme="majorHAnsi"/>
          <w:bCs/>
          <w:sz w:val="20"/>
          <w:szCs w:val="20"/>
          <w:bdr w:val="none" w:sz="0" w:space="0" w:color="auto"/>
          <w:lang w:val="es-ES"/>
        </w:rPr>
        <w:t xml:space="preserve"> y 25</w:t>
      </w:r>
      <w:r w:rsidR="0044487D" w:rsidRPr="00A32A43">
        <w:rPr>
          <w:rFonts w:asciiTheme="majorHAnsi" w:eastAsia="Batang" w:hAnsiTheme="majorHAnsi"/>
          <w:bCs/>
          <w:sz w:val="20"/>
          <w:szCs w:val="20"/>
          <w:bdr w:val="none" w:sz="0" w:space="0" w:color="auto"/>
          <w:lang w:val="es-ES"/>
        </w:rPr>
        <w:t xml:space="preserve"> de la </w:t>
      </w:r>
      <w:r w:rsidR="00C74B17" w:rsidRPr="00A32A43">
        <w:rPr>
          <w:rFonts w:asciiTheme="majorHAnsi" w:eastAsia="Batang" w:hAnsiTheme="majorHAnsi"/>
          <w:bCs/>
          <w:sz w:val="20"/>
          <w:szCs w:val="20"/>
          <w:bdr w:val="none" w:sz="0" w:space="0" w:color="auto"/>
          <w:lang w:val="es-ES"/>
        </w:rPr>
        <w:t>Convención</w:t>
      </w:r>
      <w:r w:rsidRPr="00A32A43">
        <w:rPr>
          <w:rFonts w:asciiTheme="majorHAnsi" w:eastAsia="Batang" w:hAnsiTheme="majorHAnsi"/>
          <w:bCs/>
          <w:sz w:val="20"/>
          <w:szCs w:val="20"/>
          <w:bdr w:val="none" w:sz="0" w:space="0" w:color="auto"/>
          <w:lang w:val="es-ES"/>
        </w:rPr>
        <w:t xml:space="preserve">, en concordancia con los artículos 1.1 y 2 de dicho tratado, respecto de </w:t>
      </w:r>
      <w:r w:rsidR="00892762" w:rsidRPr="00A32A43">
        <w:rPr>
          <w:rFonts w:asciiTheme="majorHAnsi" w:eastAsia="Batang" w:hAnsiTheme="majorHAnsi"/>
          <w:bCs/>
          <w:sz w:val="20"/>
          <w:szCs w:val="20"/>
          <w:bdr w:val="none" w:sz="0" w:space="0" w:color="auto"/>
          <w:lang w:val="es-ES"/>
        </w:rPr>
        <w:t>las presuntas víctimas</w:t>
      </w:r>
      <w:r w:rsidRPr="00A32A43">
        <w:rPr>
          <w:rFonts w:asciiTheme="majorHAnsi" w:eastAsia="Batang" w:hAnsiTheme="majorHAnsi"/>
          <w:bCs/>
          <w:sz w:val="20"/>
          <w:szCs w:val="20"/>
          <w:bdr w:val="none" w:sz="0" w:space="0" w:color="auto"/>
          <w:lang w:val="es-ES"/>
        </w:rPr>
        <w:t>.</w:t>
      </w:r>
      <w:r w:rsidRPr="00A32A43">
        <w:rPr>
          <w:rFonts w:asciiTheme="majorHAnsi" w:eastAsia="Batang" w:hAnsiTheme="majorHAnsi"/>
          <w:b/>
          <w:bCs/>
          <w:sz w:val="20"/>
          <w:szCs w:val="20"/>
          <w:bdr w:val="none" w:sz="0" w:space="0" w:color="auto"/>
          <w:lang w:val="es-ES"/>
        </w:rPr>
        <w:t xml:space="preserve"> </w:t>
      </w:r>
      <w:r w:rsidRPr="00A32A43">
        <w:rPr>
          <w:rFonts w:asciiTheme="majorHAnsi" w:eastAsia="Batang" w:hAnsiTheme="majorHAnsi"/>
          <w:bCs/>
          <w:sz w:val="20"/>
          <w:szCs w:val="20"/>
          <w:bdr w:val="none" w:sz="0" w:space="0" w:color="auto"/>
          <w:lang w:val="es-ES"/>
        </w:rPr>
        <w:t>La Comisión decide además, notificar esta decisión a las partes, publicarla e incluirla en su Informe Anual para la Asamblea General de la O</w:t>
      </w:r>
      <w:r w:rsidR="00657D47" w:rsidRPr="00A32A43">
        <w:rPr>
          <w:rFonts w:asciiTheme="majorHAnsi" w:eastAsia="Batang" w:hAnsiTheme="majorHAnsi"/>
          <w:bCs/>
          <w:sz w:val="20"/>
          <w:szCs w:val="20"/>
          <w:bdr w:val="none" w:sz="0" w:space="0" w:color="auto"/>
          <w:lang w:val="es-ES"/>
        </w:rPr>
        <w:t xml:space="preserve">rganización de </w:t>
      </w:r>
      <w:r w:rsidR="00205B6C" w:rsidRPr="00A32A43">
        <w:rPr>
          <w:rFonts w:asciiTheme="majorHAnsi" w:eastAsia="Batang" w:hAnsiTheme="majorHAnsi"/>
          <w:bCs/>
          <w:sz w:val="20"/>
          <w:szCs w:val="20"/>
          <w:bdr w:val="none" w:sz="0" w:space="0" w:color="auto"/>
          <w:lang w:val="es-ES"/>
        </w:rPr>
        <w:t xml:space="preserve">los </w:t>
      </w:r>
      <w:r w:rsidR="00657D47" w:rsidRPr="00A32A43">
        <w:rPr>
          <w:rFonts w:asciiTheme="majorHAnsi" w:eastAsia="Batang" w:hAnsiTheme="majorHAnsi"/>
          <w:bCs/>
          <w:sz w:val="20"/>
          <w:szCs w:val="20"/>
          <w:bdr w:val="none" w:sz="0" w:space="0" w:color="auto"/>
          <w:lang w:val="es-ES"/>
        </w:rPr>
        <w:t>Estados Americanos</w:t>
      </w:r>
      <w:r w:rsidRPr="00A32A43">
        <w:rPr>
          <w:rFonts w:asciiTheme="majorHAnsi" w:eastAsia="Batang" w:hAnsiTheme="majorHAnsi"/>
          <w:bCs/>
          <w:sz w:val="20"/>
          <w:szCs w:val="20"/>
          <w:bdr w:val="none" w:sz="0" w:space="0" w:color="auto"/>
          <w:lang w:val="es-ES"/>
        </w:rPr>
        <w:t>.</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color w:val="FF0000"/>
          <w:sz w:val="20"/>
          <w:szCs w:val="20"/>
          <w:bdr w:val="none" w:sz="0" w:space="0" w:color="auto"/>
          <w:lang w:val="es-ES"/>
        </w:rPr>
      </w:pPr>
    </w:p>
    <w:p w:rsidR="00426469" w:rsidRPr="00A32A43" w:rsidRDefault="00426469" w:rsidP="00A32A43">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520"/>
          <w:tab w:val="num" w:pos="1440"/>
        </w:tabs>
        <w:ind w:left="1440"/>
        <w:jc w:val="both"/>
        <w:outlineLvl w:val="1"/>
        <w:rPr>
          <w:rFonts w:asciiTheme="majorHAnsi" w:eastAsia="Batang" w:hAnsiTheme="majorHAnsi"/>
          <w:b/>
          <w:bCs/>
          <w:sz w:val="20"/>
          <w:szCs w:val="20"/>
          <w:bdr w:val="none" w:sz="0" w:space="0" w:color="auto"/>
          <w:lang w:val="es-ES"/>
        </w:rPr>
      </w:pPr>
      <w:r w:rsidRPr="00A32A43">
        <w:rPr>
          <w:rFonts w:asciiTheme="majorHAnsi" w:eastAsia="Batang" w:hAnsiTheme="majorHAnsi"/>
          <w:b/>
          <w:bCs/>
          <w:sz w:val="20"/>
          <w:szCs w:val="20"/>
          <w:bdr w:val="none" w:sz="0" w:space="0" w:color="auto"/>
          <w:lang w:val="es-ES"/>
        </w:rPr>
        <w:t>TRÁMITE ANTE LA COMISIÓN</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sz w:val="20"/>
          <w:szCs w:val="20"/>
          <w:bdr w:val="none" w:sz="0" w:space="0" w:color="auto"/>
          <w:lang w:val="es-ES"/>
        </w:rPr>
      </w:pPr>
    </w:p>
    <w:p w:rsidR="00426469" w:rsidRPr="00A32A43" w:rsidRDefault="00554464"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sz w:val="20"/>
          <w:szCs w:val="20"/>
          <w:bdr w:val="none" w:sz="0" w:space="0" w:color="auto"/>
          <w:lang w:val="es-ES"/>
        </w:rPr>
        <w:t>La petición fue recibida por la CIDH el</w:t>
      </w:r>
      <w:r w:rsidR="00426469" w:rsidRPr="00A32A43">
        <w:rPr>
          <w:rFonts w:asciiTheme="majorHAnsi" w:eastAsia="Batang" w:hAnsiTheme="majorHAnsi"/>
          <w:sz w:val="20"/>
          <w:szCs w:val="20"/>
          <w:bdr w:val="none" w:sz="0" w:space="0" w:color="auto"/>
          <w:lang w:val="es-ES"/>
        </w:rPr>
        <w:t xml:space="preserve"> 24 de junio de 1998</w:t>
      </w:r>
      <w:r w:rsidR="00222822" w:rsidRPr="00A32A43">
        <w:rPr>
          <w:rFonts w:asciiTheme="majorHAnsi" w:eastAsia="Batang" w:hAnsiTheme="majorHAnsi"/>
          <w:sz w:val="20"/>
          <w:szCs w:val="20"/>
          <w:bdr w:val="none" w:sz="0" w:space="0" w:color="auto"/>
          <w:lang w:val="es-ES"/>
        </w:rPr>
        <w:t xml:space="preserve">. Tras el estudio inicial de la petición, la CIDH solicitó información adicional a los peticionarios el </w:t>
      </w:r>
      <w:r w:rsidR="00AD46E6" w:rsidRPr="00A32A43">
        <w:rPr>
          <w:rFonts w:asciiTheme="majorHAnsi" w:eastAsia="Batang" w:hAnsiTheme="majorHAnsi"/>
          <w:sz w:val="20"/>
          <w:szCs w:val="20"/>
          <w:bdr w:val="none" w:sz="0" w:space="0" w:color="auto"/>
          <w:lang w:val="es-ES"/>
        </w:rPr>
        <w:t>5 de noviembre de 1998</w:t>
      </w:r>
      <w:r w:rsidR="00222822" w:rsidRPr="00A32A43">
        <w:rPr>
          <w:rFonts w:asciiTheme="majorHAnsi" w:eastAsia="Batang" w:hAnsiTheme="majorHAnsi"/>
          <w:sz w:val="20"/>
          <w:szCs w:val="20"/>
          <w:bdr w:val="none" w:sz="0" w:space="0" w:color="auto"/>
          <w:lang w:val="es-ES"/>
        </w:rPr>
        <w:t>. L</w:t>
      </w:r>
      <w:r w:rsidR="006C5AC3" w:rsidRPr="00A32A43">
        <w:rPr>
          <w:rFonts w:asciiTheme="majorHAnsi" w:eastAsia="Times New Roman" w:hAnsiTheme="majorHAnsi"/>
          <w:sz w:val="20"/>
          <w:szCs w:val="20"/>
          <w:bdr w:val="none" w:sz="0" w:space="0" w:color="auto"/>
          <w:lang w:val="es-ES"/>
        </w:rPr>
        <w:t>os peticionarios presentaron información adicional</w:t>
      </w:r>
      <w:r w:rsidR="00AD46E6" w:rsidRPr="00A32A43">
        <w:rPr>
          <w:rFonts w:asciiTheme="majorHAnsi" w:eastAsia="Times New Roman" w:hAnsiTheme="majorHAnsi"/>
          <w:sz w:val="20"/>
          <w:szCs w:val="20"/>
          <w:bdr w:val="none" w:sz="0" w:space="0" w:color="auto"/>
          <w:lang w:val="es-ES"/>
        </w:rPr>
        <w:t xml:space="preserve"> mediante comunicaciones de fechas</w:t>
      </w:r>
      <w:r w:rsidR="006C5AC3" w:rsidRPr="00A32A43">
        <w:rPr>
          <w:rFonts w:asciiTheme="majorHAnsi" w:eastAsia="Times New Roman" w:hAnsiTheme="majorHAnsi"/>
          <w:sz w:val="20"/>
          <w:szCs w:val="20"/>
          <w:bdr w:val="none" w:sz="0" w:space="0" w:color="auto"/>
          <w:lang w:val="es-ES"/>
        </w:rPr>
        <w:t xml:space="preserve"> </w:t>
      </w:r>
      <w:r w:rsidR="006C5AC3" w:rsidRPr="00A32A43">
        <w:rPr>
          <w:rFonts w:asciiTheme="majorHAnsi" w:eastAsia="Times New Roman" w:hAnsiTheme="majorHAnsi"/>
          <w:spacing w:val="-2"/>
          <w:sz w:val="20"/>
          <w:szCs w:val="20"/>
          <w:bdr w:val="none" w:sz="0" w:space="0" w:color="auto"/>
          <w:lang w:val="es-ES"/>
        </w:rPr>
        <w:t xml:space="preserve">9 </w:t>
      </w:r>
      <w:r w:rsidR="00AD46E6" w:rsidRPr="00A32A43">
        <w:rPr>
          <w:rFonts w:asciiTheme="majorHAnsi" w:eastAsia="Times New Roman" w:hAnsiTheme="majorHAnsi"/>
          <w:spacing w:val="-2"/>
          <w:sz w:val="20"/>
          <w:szCs w:val="20"/>
          <w:bdr w:val="none" w:sz="0" w:space="0" w:color="auto"/>
          <w:lang w:val="es-ES"/>
        </w:rPr>
        <w:t>y</w:t>
      </w:r>
      <w:r w:rsidR="006C5AC3" w:rsidRPr="00A32A43">
        <w:rPr>
          <w:rFonts w:asciiTheme="majorHAnsi" w:eastAsia="Times New Roman" w:hAnsiTheme="majorHAnsi"/>
          <w:spacing w:val="-2"/>
          <w:sz w:val="20"/>
          <w:szCs w:val="20"/>
          <w:bdr w:val="none" w:sz="0" w:space="0" w:color="auto"/>
          <w:lang w:val="es-ES"/>
        </w:rPr>
        <w:t xml:space="preserve"> 30 de agosto de 1999, </w:t>
      </w:r>
      <w:r w:rsidR="00AD46E6" w:rsidRPr="00A32A43">
        <w:rPr>
          <w:rFonts w:asciiTheme="majorHAnsi" w:eastAsia="Times New Roman" w:hAnsiTheme="majorHAnsi"/>
          <w:spacing w:val="-2"/>
          <w:sz w:val="20"/>
          <w:szCs w:val="20"/>
          <w:bdr w:val="none" w:sz="0" w:space="0" w:color="auto"/>
          <w:lang w:val="es-ES"/>
        </w:rPr>
        <w:t xml:space="preserve">24 de octubre de 2001, </w:t>
      </w:r>
      <w:r w:rsidR="006C5AC3" w:rsidRPr="00A32A43">
        <w:rPr>
          <w:rFonts w:asciiTheme="majorHAnsi" w:eastAsia="Times New Roman" w:hAnsiTheme="majorHAnsi"/>
          <w:spacing w:val="-2"/>
          <w:sz w:val="20"/>
          <w:szCs w:val="20"/>
          <w:bdr w:val="none" w:sz="0" w:space="0" w:color="auto"/>
          <w:lang w:val="es-ES"/>
        </w:rPr>
        <w:t>26 de marzo de 2003 y 16 de marzo de 2005</w:t>
      </w:r>
      <w:r w:rsidR="006C5AC3" w:rsidRPr="00A32A43">
        <w:rPr>
          <w:rFonts w:asciiTheme="majorHAnsi" w:eastAsia="Times New Roman" w:hAnsiTheme="majorHAnsi"/>
          <w:sz w:val="20"/>
          <w:szCs w:val="20"/>
          <w:bdr w:val="none" w:sz="0" w:space="0" w:color="auto"/>
          <w:lang w:val="es-ES"/>
        </w:rPr>
        <w:t>.</w:t>
      </w:r>
      <w:r w:rsidR="006C5AC3" w:rsidRPr="00A32A43">
        <w:rPr>
          <w:rFonts w:asciiTheme="majorHAnsi" w:eastAsia="Batang" w:hAnsiTheme="majorHAnsi"/>
          <w:bCs/>
          <w:sz w:val="20"/>
          <w:szCs w:val="20"/>
          <w:bdr w:val="none" w:sz="0" w:space="0" w:color="auto"/>
          <w:lang w:val="es-ES"/>
        </w:rPr>
        <w:t xml:space="preserve"> </w:t>
      </w:r>
      <w:r w:rsidR="00222822" w:rsidRPr="00A32A43">
        <w:rPr>
          <w:rFonts w:asciiTheme="majorHAnsi" w:eastAsia="Batang" w:hAnsiTheme="majorHAnsi"/>
          <w:bCs/>
          <w:sz w:val="20"/>
          <w:szCs w:val="20"/>
          <w:bdr w:val="none" w:sz="0" w:space="0" w:color="auto"/>
          <w:lang w:val="es-ES"/>
        </w:rPr>
        <w:t>El 16 de agosto de 2005 l</w:t>
      </w:r>
      <w:r w:rsidR="006C5AC3" w:rsidRPr="00A32A43">
        <w:rPr>
          <w:rFonts w:asciiTheme="majorHAnsi" w:eastAsia="Batang" w:hAnsiTheme="majorHAnsi"/>
          <w:bCs/>
          <w:sz w:val="20"/>
          <w:szCs w:val="20"/>
          <w:bdr w:val="none" w:sz="0" w:space="0" w:color="auto"/>
          <w:lang w:val="es-ES"/>
        </w:rPr>
        <w:t>a CIDH</w:t>
      </w:r>
      <w:r w:rsidR="00222822" w:rsidRPr="00A32A43">
        <w:rPr>
          <w:rFonts w:asciiTheme="majorHAnsi" w:eastAsia="Batang" w:hAnsiTheme="majorHAnsi"/>
          <w:bCs/>
          <w:sz w:val="20"/>
          <w:szCs w:val="20"/>
          <w:bdr w:val="none" w:sz="0" w:space="0" w:color="auto"/>
          <w:lang w:val="es-ES"/>
        </w:rPr>
        <w:t xml:space="preserve"> registró la petición bajo el número 282-05 y</w:t>
      </w:r>
      <w:r w:rsidR="006C5AC3" w:rsidRPr="00A32A43">
        <w:rPr>
          <w:rFonts w:asciiTheme="majorHAnsi" w:eastAsia="Batang" w:hAnsiTheme="majorHAnsi"/>
          <w:bCs/>
          <w:sz w:val="20"/>
          <w:szCs w:val="20"/>
          <w:bdr w:val="none" w:sz="0" w:space="0" w:color="auto"/>
          <w:lang w:val="es-ES"/>
        </w:rPr>
        <w:t xml:space="preserve"> traslad</w:t>
      </w:r>
      <w:r w:rsidR="00576C68" w:rsidRPr="00A32A43">
        <w:rPr>
          <w:rFonts w:asciiTheme="majorHAnsi" w:eastAsia="Batang" w:hAnsiTheme="majorHAnsi"/>
          <w:bCs/>
          <w:sz w:val="20"/>
          <w:szCs w:val="20"/>
          <w:bdr w:val="none" w:sz="0" w:space="0" w:color="auto"/>
          <w:lang w:val="es-ES"/>
        </w:rPr>
        <w:t>ó</w:t>
      </w:r>
      <w:r w:rsidR="006C5AC3" w:rsidRPr="00A32A43">
        <w:rPr>
          <w:rFonts w:asciiTheme="majorHAnsi" w:eastAsia="Batang" w:hAnsiTheme="majorHAnsi"/>
          <w:bCs/>
          <w:sz w:val="20"/>
          <w:szCs w:val="20"/>
          <w:bdr w:val="none" w:sz="0" w:space="0" w:color="auto"/>
          <w:lang w:val="es-ES"/>
        </w:rPr>
        <w:t xml:space="preserve"> las partes </w:t>
      </w:r>
      <w:r w:rsidR="00576C68" w:rsidRPr="00A32A43">
        <w:rPr>
          <w:rFonts w:asciiTheme="majorHAnsi" w:eastAsia="Batang" w:hAnsiTheme="majorHAnsi"/>
          <w:bCs/>
          <w:sz w:val="20"/>
          <w:szCs w:val="20"/>
          <w:bdr w:val="none" w:sz="0" w:space="0" w:color="auto"/>
          <w:lang w:val="es-ES"/>
        </w:rPr>
        <w:t>pertinentes</w:t>
      </w:r>
      <w:r w:rsidR="006C5AC3" w:rsidRPr="00A32A43">
        <w:rPr>
          <w:rFonts w:asciiTheme="majorHAnsi" w:eastAsia="Batang" w:hAnsiTheme="majorHAnsi"/>
          <w:bCs/>
          <w:sz w:val="20"/>
          <w:szCs w:val="20"/>
          <w:bdr w:val="none" w:sz="0" w:space="0" w:color="auto"/>
          <w:lang w:val="es-ES"/>
        </w:rPr>
        <w:t xml:space="preserve"> al Estado</w:t>
      </w:r>
      <w:r w:rsidR="00426469" w:rsidRPr="00A32A43">
        <w:rPr>
          <w:rFonts w:asciiTheme="majorHAnsi" w:eastAsia="Batang" w:hAnsiTheme="majorHAnsi"/>
          <w:bCs/>
          <w:sz w:val="20"/>
          <w:szCs w:val="20"/>
          <w:bdr w:val="none" w:sz="0" w:space="0" w:color="auto"/>
          <w:lang w:val="es-ES"/>
        </w:rPr>
        <w:t>, solicitándole qu</w:t>
      </w:r>
      <w:r w:rsidR="00576C68" w:rsidRPr="00A32A43">
        <w:rPr>
          <w:rFonts w:asciiTheme="majorHAnsi" w:eastAsia="Batang" w:hAnsiTheme="majorHAnsi"/>
          <w:bCs/>
          <w:sz w:val="20"/>
          <w:szCs w:val="20"/>
          <w:bdr w:val="none" w:sz="0" w:space="0" w:color="auto"/>
          <w:lang w:val="es-ES"/>
        </w:rPr>
        <w:t>e dentro del plazo de dos meses</w:t>
      </w:r>
      <w:r w:rsidR="00426469" w:rsidRPr="00A32A43">
        <w:rPr>
          <w:rFonts w:asciiTheme="majorHAnsi" w:eastAsia="Batang" w:hAnsiTheme="majorHAnsi"/>
          <w:bCs/>
          <w:sz w:val="20"/>
          <w:szCs w:val="20"/>
          <w:bdr w:val="none" w:sz="0" w:space="0" w:color="auto"/>
          <w:lang w:val="es-ES"/>
        </w:rPr>
        <w:t xml:space="preserve"> presentara su respuesta, de conformidad con lo establecido en el artículo 30.2 del Reglamento </w:t>
      </w:r>
      <w:r w:rsidR="00576C68" w:rsidRPr="00A32A43">
        <w:rPr>
          <w:rFonts w:asciiTheme="majorHAnsi" w:eastAsia="Batang" w:hAnsiTheme="majorHAnsi"/>
          <w:bCs/>
          <w:sz w:val="20"/>
          <w:szCs w:val="20"/>
          <w:bdr w:val="none" w:sz="0" w:space="0" w:color="auto"/>
          <w:lang w:val="es-ES"/>
        </w:rPr>
        <w:t>entonces en vigor</w:t>
      </w:r>
      <w:r w:rsidR="00426469" w:rsidRPr="00A32A43">
        <w:rPr>
          <w:rFonts w:asciiTheme="majorHAnsi" w:eastAsia="Batang" w:hAnsiTheme="majorHAnsi"/>
          <w:bCs/>
          <w:sz w:val="20"/>
          <w:szCs w:val="20"/>
          <w:bdr w:val="none" w:sz="0" w:space="0" w:color="auto"/>
          <w:lang w:val="es-ES"/>
        </w:rPr>
        <w:t xml:space="preserve">. La respuesta del Estado fue recibida el 25 de octubre de 2005. </w:t>
      </w:r>
      <w:r w:rsidR="00426469" w:rsidRPr="00A32A43">
        <w:rPr>
          <w:rFonts w:asciiTheme="majorHAnsi" w:eastAsia="Times New Roman" w:hAnsiTheme="majorHAnsi"/>
          <w:bCs/>
          <w:sz w:val="20"/>
          <w:szCs w:val="20"/>
          <w:bdr w:val="none" w:sz="0" w:space="0" w:color="auto"/>
          <w:lang w:val="es-ES"/>
        </w:rPr>
        <w:t>Dicha comunicación fue debidamente trasladada a los peticionarios.</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pacing w:val="-2"/>
          <w:sz w:val="20"/>
          <w:szCs w:val="20"/>
          <w:bdr w:val="none" w:sz="0" w:space="0" w:color="auto"/>
          <w:lang w:val="es-ES"/>
        </w:rPr>
      </w:pPr>
    </w:p>
    <w:p w:rsidR="00892762" w:rsidRPr="00F355D1" w:rsidRDefault="00CA013F" w:rsidP="00F355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A32A43">
        <w:rPr>
          <w:rFonts w:asciiTheme="majorHAnsi" w:eastAsia="Times New Roman" w:hAnsiTheme="majorHAnsi"/>
          <w:spacing w:val="-2"/>
          <w:sz w:val="20"/>
          <w:szCs w:val="20"/>
          <w:bdr w:val="none" w:sz="0" w:space="0" w:color="auto"/>
          <w:lang w:val="es-ES"/>
        </w:rPr>
        <w:t>L</w:t>
      </w:r>
      <w:r w:rsidR="00426469" w:rsidRPr="00A32A43">
        <w:rPr>
          <w:rFonts w:asciiTheme="majorHAnsi" w:eastAsia="Times New Roman" w:hAnsiTheme="majorHAnsi"/>
          <w:spacing w:val="-2"/>
          <w:sz w:val="20"/>
          <w:szCs w:val="20"/>
          <w:bdr w:val="none" w:sz="0" w:space="0" w:color="auto"/>
          <w:lang w:val="es-ES"/>
        </w:rPr>
        <w:t>a CIDH recibió información</w:t>
      </w:r>
      <w:r w:rsidRPr="00A32A43">
        <w:rPr>
          <w:rFonts w:asciiTheme="majorHAnsi" w:eastAsia="Times New Roman" w:hAnsiTheme="majorHAnsi"/>
          <w:spacing w:val="-2"/>
          <w:sz w:val="20"/>
          <w:szCs w:val="20"/>
          <w:bdr w:val="none" w:sz="0" w:space="0" w:color="auto"/>
          <w:lang w:val="es-ES"/>
        </w:rPr>
        <w:t xml:space="preserve"> adicional</w:t>
      </w:r>
      <w:r w:rsidR="00426469" w:rsidRPr="00A32A43">
        <w:rPr>
          <w:rFonts w:asciiTheme="majorHAnsi" w:eastAsia="Times New Roman" w:hAnsiTheme="majorHAnsi"/>
          <w:spacing w:val="-2"/>
          <w:sz w:val="20"/>
          <w:szCs w:val="20"/>
          <w:bdr w:val="none" w:sz="0" w:space="0" w:color="auto"/>
          <w:lang w:val="es-ES"/>
        </w:rPr>
        <w:t xml:space="preserve"> de los peticionarios mediante comunicaciones de fechas</w:t>
      </w:r>
      <w:r w:rsidR="00554464" w:rsidRPr="00A32A43">
        <w:rPr>
          <w:rFonts w:asciiTheme="majorHAnsi" w:eastAsia="Times New Roman" w:hAnsiTheme="majorHAnsi"/>
          <w:spacing w:val="-2"/>
          <w:sz w:val="20"/>
          <w:szCs w:val="20"/>
          <w:bdr w:val="none" w:sz="0" w:space="0" w:color="auto"/>
          <w:lang w:val="es-ES"/>
        </w:rPr>
        <w:t xml:space="preserve"> 3 de febrero de 2006 y</w:t>
      </w:r>
      <w:r w:rsidR="00EE7A52" w:rsidRPr="00A32A43">
        <w:rPr>
          <w:rFonts w:asciiTheme="majorHAnsi" w:eastAsia="Times New Roman" w:hAnsiTheme="majorHAnsi"/>
          <w:spacing w:val="-2"/>
          <w:sz w:val="20"/>
          <w:szCs w:val="20"/>
          <w:bdr w:val="none" w:sz="0" w:space="0" w:color="auto"/>
          <w:lang w:val="es-ES"/>
        </w:rPr>
        <w:t xml:space="preserve"> 12 de octubre de 2007</w:t>
      </w:r>
      <w:r w:rsidR="00426469" w:rsidRPr="00A32A43">
        <w:rPr>
          <w:rFonts w:asciiTheme="majorHAnsi" w:eastAsia="Times New Roman" w:hAnsiTheme="majorHAnsi"/>
          <w:spacing w:val="-2"/>
          <w:sz w:val="20"/>
          <w:szCs w:val="20"/>
          <w:bdr w:val="none" w:sz="0" w:space="0" w:color="auto"/>
          <w:lang w:val="es-ES"/>
        </w:rPr>
        <w:t xml:space="preserve">. </w:t>
      </w:r>
      <w:r w:rsidR="00426469" w:rsidRPr="00A32A43">
        <w:rPr>
          <w:rFonts w:asciiTheme="majorHAnsi" w:eastAsia="Times New Roman" w:hAnsiTheme="majorHAnsi"/>
          <w:sz w:val="20"/>
          <w:szCs w:val="20"/>
          <w:bdr w:val="none" w:sz="0" w:space="0" w:color="auto"/>
          <w:lang w:val="es-ES"/>
        </w:rPr>
        <w:t xml:space="preserve">Asimismo, recibió información del Estado </w:t>
      </w:r>
      <w:r w:rsidR="00D00E3E" w:rsidRPr="00A32A43">
        <w:rPr>
          <w:rFonts w:asciiTheme="majorHAnsi" w:eastAsia="Times New Roman" w:hAnsiTheme="majorHAnsi"/>
          <w:sz w:val="20"/>
          <w:szCs w:val="20"/>
          <w:bdr w:val="none" w:sz="0" w:space="0" w:color="auto"/>
          <w:lang w:val="es-ES"/>
        </w:rPr>
        <w:t>el</w:t>
      </w:r>
      <w:r w:rsidR="00426469" w:rsidRPr="00A32A43">
        <w:rPr>
          <w:rFonts w:asciiTheme="majorHAnsi" w:eastAsia="Times New Roman" w:hAnsiTheme="majorHAnsi"/>
          <w:sz w:val="20"/>
          <w:szCs w:val="20"/>
          <w:bdr w:val="none" w:sz="0" w:space="0" w:color="auto"/>
          <w:lang w:val="es-ES"/>
        </w:rPr>
        <w:t xml:space="preserve"> </w:t>
      </w:r>
      <w:r w:rsidR="00F96EE0" w:rsidRPr="00A32A43">
        <w:rPr>
          <w:rFonts w:asciiTheme="majorHAnsi" w:eastAsia="Times New Roman" w:hAnsiTheme="majorHAnsi"/>
          <w:sz w:val="20"/>
          <w:szCs w:val="20"/>
          <w:bdr w:val="none" w:sz="0" w:space="0" w:color="auto"/>
          <w:lang w:val="es-ES"/>
        </w:rPr>
        <w:t xml:space="preserve">1 de diciembre de 2005, </w:t>
      </w:r>
      <w:r w:rsidR="00426469" w:rsidRPr="00A32A43">
        <w:rPr>
          <w:rFonts w:asciiTheme="majorHAnsi" w:eastAsia="Times New Roman" w:hAnsiTheme="majorHAnsi"/>
          <w:sz w:val="20"/>
          <w:szCs w:val="20"/>
          <w:bdr w:val="none" w:sz="0" w:space="0" w:color="auto"/>
          <w:lang w:val="es-ES"/>
        </w:rPr>
        <w:t>22 de marzo de 2006</w:t>
      </w:r>
      <w:r w:rsidR="00D00E3E" w:rsidRPr="00A32A43">
        <w:rPr>
          <w:rFonts w:asciiTheme="majorHAnsi" w:eastAsia="Times New Roman" w:hAnsiTheme="majorHAnsi"/>
          <w:sz w:val="20"/>
          <w:szCs w:val="20"/>
          <w:bdr w:val="none" w:sz="0" w:space="0" w:color="auto"/>
          <w:lang w:val="es-ES"/>
        </w:rPr>
        <w:t xml:space="preserve"> y</w:t>
      </w:r>
      <w:r w:rsidR="001C7147" w:rsidRPr="00A32A43">
        <w:rPr>
          <w:rFonts w:asciiTheme="majorHAnsi" w:eastAsia="Times New Roman" w:hAnsiTheme="majorHAnsi"/>
          <w:sz w:val="20"/>
          <w:szCs w:val="20"/>
          <w:bdr w:val="none" w:sz="0" w:space="0" w:color="auto"/>
          <w:lang w:val="es-ES"/>
        </w:rPr>
        <w:t xml:space="preserve"> 21</w:t>
      </w:r>
      <w:r w:rsidR="00D00E3E" w:rsidRPr="00A32A43">
        <w:rPr>
          <w:rFonts w:asciiTheme="majorHAnsi" w:eastAsia="Times New Roman" w:hAnsiTheme="majorHAnsi"/>
          <w:sz w:val="20"/>
          <w:szCs w:val="20"/>
          <w:bdr w:val="none" w:sz="0" w:space="0" w:color="auto"/>
          <w:lang w:val="es-ES"/>
        </w:rPr>
        <w:t xml:space="preserve"> de diciembre de 2007. Dichas comunicaciones</w:t>
      </w:r>
      <w:r w:rsidR="00426469" w:rsidRPr="00A32A43">
        <w:rPr>
          <w:rFonts w:asciiTheme="majorHAnsi" w:eastAsia="Times New Roman" w:hAnsiTheme="majorHAnsi"/>
          <w:sz w:val="20"/>
          <w:szCs w:val="20"/>
          <w:bdr w:val="none" w:sz="0" w:space="0" w:color="auto"/>
          <w:lang w:val="es-ES"/>
        </w:rPr>
        <w:t xml:space="preserve"> </w:t>
      </w:r>
      <w:r w:rsidR="00D00E3E" w:rsidRPr="00A32A43">
        <w:rPr>
          <w:rFonts w:asciiTheme="majorHAnsi" w:eastAsia="Times New Roman" w:hAnsiTheme="majorHAnsi"/>
          <w:sz w:val="20"/>
          <w:szCs w:val="20"/>
          <w:bdr w:val="none" w:sz="0" w:space="0" w:color="auto"/>
          <w:lang w:val="es-ES"/>
        </w:rPr>
        <w:t xml:space="preserve">fueron </w:t>
      </w:r>
      <w:r w:rsidR="00426469" w:rsidRPr="00A32A43">
        <w:rPr>
          <w:rFonts w:asciiTheme="majorHAnsi" w:eastAsia="Times New Roman" w:hAnsiTheme="majorHAnsi"/>
          <w:sz w:val="20"/>
          <w:szCs w:val="20"/>
          <w:bdr w:val="none" w:sz="0" w:space="0" w:color="auto"/>
          <w:lang w:val="es-ES"/>
        </w:rPr>
        <w:t xml:space="preserve">debidamente trasladadas a </w:t>
      </w:r>
      <w:r w:rsidR="000039DC" w:rsidRPr="00A32A43">
        <w:rPr>
          <w:rFonts w:asciiTheme="majorHAnsi" w:eastAsia="Times New Roman" w:hAnsiTheme="majorHAnsi"/>
          <w:sz w:val="20"/>
          <w:szCs w:val="20"/>
          <w:bdr w:val="none" w:sz="0" w:space="0" w:color="auto"/>
          <w:lang w:val="es-ES"/>
        </w:rPr>
        <w:t>la parte contraria</w:t>
      </w:r>
      <w:r w:rsidR="00426469" w:rsidRPr="00A32A43">
        <w:rPr>
          <w:rFonts w:asciiTheme="majorHAnsi" w:eastAsia="Times New Roman" w:hAnsiTheme="majorHAnsi"/>
          <w:sz w:val="20"/>
          <w:szCs w:val="20"/>
          <w:bdr w:val="none" w:sz="0" w:space="0" w:color="auto"/>
          <w:lang w:val="es-ES"/>
        </w:rPr>
        <w:t>.</w:t>
      </w:r>
      <w:r w:rsidR="000039DC" w:rsidRPr="00A32A43">
        <w:rPr>
          <w:rFonts w:asciiTheme="majorHAnsi" w:eastAsia="Times New Roman" w:hAnsiTheme="majorHAnsi"/>
          <w:sz w:val="20"/>
          <w:szCs w:val="20"/>
          <w:bdr w:val="none" w:sz="0" w:space="0" w:color="auto"/>
          <w:lang w:val="es-ES"/>
        </w:rPr>
        <w:t xml:space="preserve"> </w:t>
      </w:r>
      <w:r w:rsidRPr="00A32A43">
        <w:rPr>
          <w:rFonts w:asciiTheme="majorHAnsi" w:eastAsia="Times New Roman" w:hAnsiTheme="majorHAnsi"/>
          <w:sz w:val="20"/>
          <w:szCs w:val="20"/>
          <w:bdr w:val="none" w:sz="0" w:space="0" w:color="auto"/>
          <w:lang w:val="es-ES"/>
        </w:rPr>
        <w:t>L</w:t>
      </w:r>
      <w:r w:rsidR="000039DC" w:rsidRPr="00A32A43">
        <w:rPr>
          <w:rFonts w:asciiTheme="majorHAnsi" w:eastAsia="Times New Roman" w:hAnsiTheme="majorHAnsi"/>
          <w:sz w:val="20"/>
          <w:szCs w:val="20"/>
          <w:bdr w:val="none" w:sz="0" w:space="0" w:color="auto"/>
          <w:lang w:val="es-ES"/>
        </w:rPr>
        <w:t>os peticionarios solicitaron información sobre el estado de la pe</w:t>
      </w:r>
      <w:r w:rsidR="00B438A4" w:rsidRPr="00A32A43">
        <w:rPr>
          <w:rFonts w:asciiTheme="majorHAnsi" w:eastAsia="Times New Roman" w:hAnsiTheme="majorHAnsi"/>
          <w:sz w:val="20"/>
          <w:szCs w:val="20"/>
          <w:bdr w:val="none" w:sz="0" w:space="0" w:color="auto"/>
          <w:lang w:val="es-ES"/>
        </w:rPr>
        <w:t>tición el 30 de agosto de 2013,</w:t>
      </w:r>
      <w:r w:rsidR="000039DC" w:rsidRPr="00A32A43">
        <w:rPr>
          <w:rFonts w:asciiTheme="majorHAnsi" w:eastAsia="Times New Roman" w:hAnsiTheme="majorHAnsi"/>
          <w:sz w:val="20"/>
          <w:szCs w:val="20"/>
          <w:bdr w:val="none" w:sz="0" w:space="0" w:color="auto"/>
          <w:lang w:val="es-ES"/>
        </w:rPr>
        <w:t xml:space="preserve"> 10 de septiembre de 2014</w:t>
      </w:r>
      <w:r w:rsidR="00B438A4" w:rsidRPr="00A32A43">
        <w:rPr>
          <w:rFonts w:asciiTheme="majorHAnsi" w:eastAsia="Times New Roman" w:hAnsiTheme="majorHAnsi"/>
          <w:sz w:val="20"/>
          <w:szCs w:val="20"/>
          <w:bdr w:val="none" w:sz="0" w:space="0" w:color="auto"/>
          <w:lang w:val="es-ES"/>
        </w:rPr>
        <w:t xml:space="preserve"> y 15 de junio de 2016</w:t>
      </w:r>
      <w:r w:rsidR="000039DC" w:rsidRPr="00A32A43">
        <w:rPr>
          <w:rFonts w:asciiTheme="majorHAnsi" w:eastAsia="Times New Roman" w:hAnsiTheme="majorHAnsi"/>
          <w:sz w:val="20"/>
          <w:szCs w:val="20"/>
          <w:bdr w:val="none" w:sz="0" w:space="0" w:color="auto"/>
          <w:lang w:val="es-ES"/>
        </w:rPr>
        <w:t xml:space="preserve">, solicitudes que fueron contestadas por la CIDH. </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sz w:val="20"/>
          <w:szCs w:val="20"/>
          <w:bdr w:val="none" w:sz="0" w:space="0" w:color="auto"/>
          <w:lang w:val="es-ES"/>
        </w:rPr>
      </w:pPr>
      <w:r w:rsidRPr="00A32A43">
        <w:rPr>
          <w:rFonts w:asciiTheme="majorHAnsi" w:eastAsia="MS Mincho" w:hAnsiTheme="majorHAnsi"/>
          <w:b/>
          <w:sz w:val="20"/>
          <w:szCs w:val="20"/>
          <w:bdr w:val="none" w:sz="0" w:space="0" w:color="auto"/>
          <w:lang w:val="es-ES"/>
        </w:rPr>
        <w:lastRenderedPageBreak/>
        <w:t>III.</w:t>
      </w:r>
      <w:r w:rsidRPr="00A32A43">
        <w:rPr>
          <w:rFonts w:asciiTheme="majorHAnsi" w:eastAsia="MS Mincho" w:hAnsiTheme="majorHAnsi"/>
          <w:b/>
          <w:sz w:val="20"/>
          <w:szCs w:val="20"/>
          <w:bdr w:val="none" w:sz="0" w:space="0" w:color="auto"/>
          <w:lang w:val="es-ES"/>
        </w:rPr>
        <w:tab/>
        <w:t>POSICIÓN DE LAS PARTES</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lang w:val="es-ES"/>
        </w:rPr>
      </w:pP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bCs/>
          <w:sz w:val="20"/>
          <w:szCs w:val="20"/>
          <w:bdr w:val="none" w:sz="0" w:space="0" w:color="auto"/>
          <w:lang w:val="es-ES"/>
        </w:rPr>
      </w:pPr>
      <w:r w:rsidRPr="00A32A43">
        <w:rPr>
          <w:rFonts w:asciiTheme="majorHAnsi" w:eastAsia="MS Mincho" w:hAnsiTheme="majorHAnsi"/>
          <w:b/>
          <w:bCs/>
          <w:sz w:val="20"/>
          <w:szCs w:val="20"/>
          <w:bdr w:val="none" w:sz="0" w:space="0" w:color="auto"/>
          <w:lang w:val="es-ES"/>
        </w:rPr>
        <w:t>A.</w:t>
      </w:r>
      <w:r w:rsidRPr="00A32A43">
        <w:rPr>
          <w:rFonts w:asciiTheme="majorHAnsi" w:eastAsia="MS Mincho" w:hAnsiTheme="majorHAnsi"/>
          <w:b/>
          <w:bCs/>
          <w:sz w:val="20"/>
          <w:szCs w:val="20"/>
          <w:bdr w:val="none" w:sz="0" w:space="0" w:color="auto"/>
          <w:lang w:val="es-ES"/>
        </w:rPr>
        <w:tab/>
      </w:r>
      <w:r w:rsidR="00C774C3" w:rsidRPr="00A32A43">
        <w:rPr>
          <w:rFonts w:asciiTheme="majorHAnsi" w:eastAsia="MS Mincho" w:hAnsiTheme="majorHAnsi"/>
          <w:b/>
          <w:bCs/>
          <w:sz w:val="20"/>
          <w:szCs w:val="20"/>
          <w:bdr w:val="none" w:sz="0" w:space="0" w:color="auto"/>
          <w:lang w:val="es-UY"/>
        </w:rPr>
        <w:t>Posición de l</w:t>
      </w:r>
      <w:r w:rsidRPr="00A32A43">
        <w:rPr>
          <w:rFonts w:asciiTheme="majorHAnsi" w:eastAsia="MS Mincho" w:hAnsiTheme="majorHAnsi"/>
          <w:b/>
          <w:bCs/>
          <w:sz w:val="20"/>
          <w:szCs w:val="20"/>
          <w:bdr w:val="none" w:sz="0" w:space="0" w:color="auto"/>
          <w:lang w:val="es-ES"/>
        </w:rPr>
        <w:t>os peticionarios</w:t>
      </w:r>
    </w:p>
    <w:p w:rsidR="00927D13" w:rsidRPr="00A32A43" w:rsidRDefault="00927D13" w:rsidP="00A32A43">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p>
    <w:p w:rsidR="00426469" w:rsidRPr="00A32A43" w:rsidRDefault="004A0AA2"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cs="Arial"/>
          <w:bCs/>
          <w:sz w:val="20"/>
          <w:szCs w:val="20"/>
          <w:bdr w:val="none" w:sz="0" w:space="0" w:color="auto"/>
          <w:lang w:val="es-ES"/>
        </w:rPr>
        <w:t>L</w:t>
      </w:r>
      <w:r w:rsidR="00E53FC2" w:rsidRPr="00A32A43">
        <w:rPr>
          <w:rFonts w:asciiTheme="majorHAnsi" w:eastAsia="Batang" w:hAnsiTheme="majorHAnsi" w:cs="Arial"/>
          <w:bCs/>
          <w:sz w:val="20"/>
          <w:szCs w:val="20"/>
          <w:bdr w:val="none" w:sz="0" w:space="0" w:color="auto"/>
          <w:lang w:val="es-ES"/>
        </w:rPr>
        <w:t xml:space="preserve">os peticionarios indican que </w:t>
      </w:r>
      <w:r w:rsidR="00D87220" w:rsidRPr="00A32A43">
        <w:rPr>
          <w:rFonts w:asciiTheme="majorHAnsi" w:eastAsia="Batang" w:hAnsiTheme="majorHAnsi"/>
          <w:bCs/>
          <w:sz w:val="20"/>
          <w:szCs w:val="20"/>
          <w:bdr w:val="none" w:sz="0" w:space="0" w:color="auto"/>
          <w:lang w:val="es-ES"/>
        </w:rPr>
        <w:t>las siete pr</w:t>
      </w:r>
      <w:r w:rsidRPr="00A32A43">
        <w:rPr>
          <w:rFonts w:asciiTheme="majorHAnsi" w:eastAsia="Batang" w:hAnsiTheme="majorHAnsi"/>
          <w:bCs/>
          <w:sz w:val="20"/>
          <w:szCs w:val="20"/>
          <w:bdr w:val="none" w:sz="0" w:space="0" w:color="auto"/>
          <w:lang w:val="es-ES"/>
        </w:rPr>
        <w:t>esuntas víctimas fueron empleada</w:t>
      </w:r>
      <w:r w:rsidR="00D87220" w:rsidRPr="00A32A43">
        <w:rPr>
          <w:rFonts w:asciiTheme="majorHAnsi" w:eastAsia="Batang" w:hAnsiTheme="majorHAnsi"/>
          <w:bCs/>
          <w:sz w:val="20"/>
          <w:szCs w:val="20"/>
          <w:bdr w:val="none" w:sz="0" w:space="0" w:color="auto"/>
          <w:lang w:val="es-ES"/>
        </w:rPr>
        <w:t>s del Instituto Gu</w:t>
      </w:r>
      <w:r w:rsidR="00A96F78" w:rsidRPr="00A32A43">
        <w:rPr>
          <w:rFonts w:asciiTheme="majorHAnsi" w:eastAsia="Batang" w:hAnsiTheme="majorHAnsi"/>
          <w:bCs/>
          <w:sz w:val="20"/>
          <w:szCs w:val="20"/>
          <w:bdr w:val="none" w:sz="0" w:space="0" w:color="auto"/>
          <w:lang w:val="es-ES"/>
        </w:rPr>
        <w:t>atemalteco de Seguridad Social</w:t>
      </w:r>
      <w:r w:rsidR="00D87220" w:rsidRPr="00A32A43">
        <w:rPr>
          <w:rFonts w:asciiTheme="majorHAnsi" w:eastAsia="Batang" w:hAnsiTheme="majorHAnsi"/>
          <w:bCs/>
          <w:sz w:val="20"/>
          <w:szCs w:val="20"/>
          <w:bdr w:val="none" w:sz="0" w:space="0" w:color="auto"/>
          <w:lang w:val="es-ES"/>
        </w:rPr>
        <w:t xml:space="preserve">. </w:t>
      </w:r>
      <w:r w:rsidR="00426469" w:rsidRPr="00A32A43">
        <w:rPr>
          <w:rFonts w:asciiTheme="majorHAnsi" w:eastAsia="Batang" w:hAnsiTheme="majorHAnsi"/>
          <w:bCs/>
          <w:sz w:val="20"/>
          <w:szCs w:val="20"/>
          <w:bdr w:val="none" w:sz="0" w:space="0" w:color="auto"/>
          <w:lang w:val="es-ES"/>
        </w:rPr>
        <w:t>Reina Isabel Herrarte Molina de Chajón, operadora de máquinas IBM, inició su relación laboral el 1 de julio de 1976; Imperio Marisol Flores Suárez de Rodas, oficial administrativo III del Departamento de Invalidez, Vejez y Vivencia, inició su relación laboral el 4 de mayo de 1989; Reyna Judith Rodríguez Peña d</w:t>
      </w:r>
      <w:r w:rsidRPr="00A32A43">
        <w:rPr>
          <w:rFonts w:asciiTheme="majorHAnsi" w:eastAsia="Batang" w:hAnsiTheme="majorHAnsi"/>
          <w:bCs/>
          <w:sz w:val="20"/>
          <w:szCs w:val="20"/>
          <w:bdr w:val="none" w:sz="0" w:space="0" w:color="auto"/>
          <w:lang w:val="es-ES"/>
        </w:rPr>
        <w:t>e Jerez, auxiliar administrativa</w:t>
      </w:r>
      <w:r w:rsidR="00426469" w:rsidRPr="00A32A43">
        <w:rPr>
          <w:rFonts w:asciiTheme="majorHAnsi" w:eastAsia="Batang" w:hAnsiTheme="majorHAnsi"/>
          <w:bCs/>
          <w:sz w:val="20"/>
          <w:szCs w:val="20"/>
          <w:bdr w:val="none" w:sz="0" w:space="0" w:color="auto"/>
          <w:lang w:val="es-ES"/>
        </w:rPr>
        <w:t xml:space="preserve"> I de la Policlínica en la sección de correspondencia, archivo y microfilm, inició su relación laboral el 1 de julio de 1976; Francisco de Jesús Morales Carranza, inspector patronal clase II de la sección de incidencias y revisiones, inició su relación laboral el 18 de septiembre de 1972; José Luis Enrique Pinzón de León, médico general de la unidad de asistencia de Amatitlán, inició su relación laboral el 29 de mayo de 1978; María Elsa Fernández Porras, auxiliar administrativa I de la policlínica, inició su relación laboral el 1 de julio de 1970</w:t>
      </w:r>
      <w:r w:rsidR="007B237A" w:rsidRPr="00A32A43">
        <w:rPr>
          <w:rFonts w:asciiTheme="majorHAnsi" w:eastAsia="Batang" w:hAnsiTheme="majorHAnsi"/>
          <w:bCs/>
          <w:sz w:val="20"/>
          <w:szCs w:val="20"/>
          <w:bdr w:val="none" w:sz="0" w:space="0" w:color="auto"/>
          <w:lang w:val="es-ES"/>
        </w:rPr>
        <w:t>;</w:t>
      </w:r>
      <w:r w:rsidR="00426469" w:rsidRPr="00A32A43">
        <w:rPr>
          <w:rFonts w:asciiTheme="majorHAnsi" w:eastAsia="Batang" w:hAnsiTheme="majorHAnsi"/>
          <w:bCs/>
          <w:sz w:val="20"/>
          <w:szCs w:val="20"/>
          <w:bdr w:val="none" w:sz="0" w:space="0" w:color="auto"/>
          <w:lang w:val="es-ES"/>
        </w:rPr>
        <w:t xml:space="preserve"> y María de los Ángeles Coronado Villatoro, asistente administrativa, encargada de la nómina de pensionados de invalidez, vejez y sobrevivencia, inició su relación laboral el 11 de diciembre de 1978. </w:t>
      </w:r>
    </w:p>
    <w:p w:rsidR="004B05E3" w:rsidRPr="00A32A43" w:rsidRDefault="004B05E3" w:rsidP="00A32A43">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p>
    <w:p w:rsidR="00426469" w:rsidRPr="00A32A43" w:rsidRDefault="00EE7A52"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cs="Arial"/>
          <w:bCs/>
          <w:sz w:val="20"/>
          <w:szCs w:val="20"/>
          <w:bdr w:val="none" w:sz="0" w:space="0" w:color="auto"/>
          <w:lang w:val="es-ES"/>
        </w:rPr>
        <w:t>I</w:t>
      </w:r>
      <w:r w:rsidR="00426469" w:rsidRPr="00A32A43">
        <w:rPr>
          <w:rFonts w:asciiTheme="majorHAnsi" w:eastAsia="Batang" w:hAnsiTheme="majorHAnsi" w:cs="Arial"/>
          <w:bCs/>
          <w:sz w:val="20"/>
          <w:szCs w:val="20"/>
          <w:bdr w:val="none" w:sz="0" w:space="0" w:color="auto"/>
          <w:lang w:val="es-ES"/>
        </w:rPr>
        <w:t xml:space="preserve">nforman que </w:t>
      </w:r>
      <w:r w:rsidR="00A96F78" w:rsidRPr="00A32A43">
        <w:rPr>
          <w:rFonts w:asciiTheme="majorHAnsi" w:eastAsia="Batang" w:hAnsiTheme="majorHAnsi" w:cs="Arial"/>
          <w:bCs/>
          <w:sz w:val="20"/>
          <w:szCs w:val="20"/>
          <w:bdr w:val="none" w:sz="0" w:space="0" w:color="auto"/>
          <w:lang w:val="es-ES"/>
        </w:rPr>
        <w:t>hacia finales</w:t>
      </w:r>
      <w:r w:rsidR="00426469" w:rsidRPr="00A32A43">
        <w:rPr>
          <w:rFonts w:asciiTheme="majorHAnsi" w:eastAsia="Batang" w:hAnsiTheme="majorHAnsi" w:cs="Arial"/>
          <w:bCs/>
          <w:sz w:val="20"/>
          <w:szCs w:val="20"/>
          <w:bdr w:val="none" w:sz="0" w:space="0" w:color="auto"/>
          <w:lang w:val="es-ES"/>
        </w:rPr>
        <w:t xml:space="preserve"> de enero de 1991 </w:t>
      </w:r>
      <w:r w:rsidR="00DD5A0E" w:rsidRPr="00A32A43">
        <w:rPr>
          <w:rFonts w:asciiTheme="majorHAnsi" w:hAnsiTheme="majorHAnsi" w:cs="Arial"/>
          <w:sz w:val="20"/>
          <w:szCs w:val="20"/>
          <w:lang w:val="es-ES" w:eastAsia="es-ES"/>
        </w:rPr>
        <w:t>un número indeterminado de trabajadores del IGSS decidió formar un grupo autodenomi</w:t>
      </w:r>
      <w:r w:rsidR="00D778A8" w:rsidRPr="00A32A43">
        <w:rPr>
          <w:rFonts w:asciiTheme="majorHAnsi" w:hAnsiTheme="majorHAnsi" w:cs="Arial"/>
          <w:sz w:val="20"/>
          <w:szCs w:val="20"/>
          <w:lang w:val="es-ES" w:eastAsia="es-ES"/>
        </w:rPr>
        <w:t xml:space="preserve">nado "Comité de Emergencia" </w:t>
      </w:r>
      <w:r w:rsidR="00DD5A0E" w:rsidRPr="00A32A43">
        <w:rPr>
          <w:rFonts w:asciiTheme="majorHAnsi" w:hAnsiTheme="majorHAnsi" w:cs="Arial"/>
          <w:sz w:val="20"/>
          <w:szCs w:val="20"/>
          <w:lang w:val="es-ES" w:eastAsia="es-ES"/>
        </w:rPr>
        <w:t xml:space="preserve">con el </w:t>
      </w:r>
      <w:r w:rsidR="00334976" w:rsidRPr="00A32A43">
        <w:rPr>
          <w:rFonts w:asciiTheme="majorHAnsi" w:hAnsiTheme="majorHAnsi" w:cs="Arial"/>
          <w:sz w:val="20"/>
          <w:szCs w:val="20"/>
          <w:lang w:val="es-ES" w:eastAsia="es-ES"/>
        </w:rPr>
        <w:t>propósito</w:t>
      </w:r>
      <w:r w:rsidR="00DD5A0E" w:rsidRPr="00A32A43">
        <w:rPr>
          <w:rFonts w:asciiTheme="majorHAnsi" w:hAnsiTheme="majorHAnsi" w:cs="Arial"/>
          <w:sz w:val="20"/>
          <w:szCs w:val="20"/>
          <w:lang w:val="es-ES" w:eastAsia="es-ES"/>
        </w:rPr>
        <w:t xml:space="preserve"> </w:t>
      </w:r>
      <w:r w:rsidR="00DD5A0E" w:rsidRPr="00A32A43">
        <w:rPr>
          <w:rFonts w:asciiTheme="majorHAnsi" w:eastAsia="Batang" w:hAnsiTheme="majorHAnsi"/>
          <w:bCs/>
          <w:sz w:val="20"/>
          <w:szCs w:val="20"/>
          <w:bdr w:val="none" w:sz="0" w:space="0" w:color="auto"/>
          <w:lang w:val="es-ES"/>
        </w:rPr>
        <w:t>de</w:t>
      </w:r>
      <w:r w:rsidR="00DD5A0E" w:rsidRPr="00A32A43">
        <w:rPr>
          <w:rFonts w:asciiTheme="majorHAnsi" w:hAnsiTheme="majorHAnsi" w:cs="Arial"/>
          <w:sz w:val="20"/>
          <w:szCs w:val="20"/>
          <w:lang w:val="es-ES" w:eastAsia="es-ES"/>
        </w:rPr>
        <w:t xml:space="preserve"> </w:t>
      </w:r>
      <w:r w:rsidR="00A96F78" w:rsidRPr="00A32A43">
        <w:rPr>
          <w:rFonts w:asciiTheme="majorHAnsi" w:hAnsiTheme="majorHAnsi" w:cs="Arial"/>
          <w:sz w:val="20"/>
          <w:szCs w:val="20"/>
          <w:lang w:val="es-ES" w:eastAsia="es-ES"/>
        </w:rPr>
        <w:t>solicitar mejoras salariales. Ante el fracaso de las negociaciones</w:t>
      </w:r>
      <w:r w:rsidR="00DD5A0E" w:rsidRPr="00A32A43">
        <w:rPr>
          <w:rFonts w:asciiTheme="majorHAnsi" w:hAnsiTheme="majorHAnsi" w:cs="Arial"/>
          <w:sz w:val="20"/>
          <w:szCs w:val="20"/>
          <w:lang w:val="es-ES" w:eastAsia="es-ES"/>
        </w:rPr>
        <w:t xml:space="preserve"> dicho grupo de trabajadores</w:t>
      </w:r>
      <w:r w:rsidR="00D87220" w:rsidRPr="00A32A43">
        <w:rPr>
          <w:rFonts w:asciiTheme="majorHAnsi" w:hAnsiTheme="majorHAnsi" w:cs="Arial"/>
          <w:sz w:val="20"/>
          <w:szCs w:val="20"/>
          <w:lang w:val="es-ES" w:eastAsia="es-ES"/>
        </w:rPr>
        <w:t xml:space="preserve"> </w:t>
      </w:r>
      <w:r w:rsidR="00DD5A0E" w:rsidRPr="00A32A43">
        <w:rPr>
          <w:rFonts w:asciiTheme="majorHAnsi" w:hAnsiTheme="majorHAnsi" w:cs="Arial"/>
          <w:sz w:val="20"/>
          <w:szCs w:val="20"/>
          <w:lang w:val="es-ES" w:eastAsia="es-ES"/>
        </w:rPr>
        <w:t>decidió abandonar en forma colectiva sus labores desde el 31 de enero de 1991.</w:t>
      </w:r>
      <w:r w:rsidR="00D87220" w:rsidRPr="00A32A43">
        <w:rPr>
          <w:rFonts w:asciiTheme="majorHAnsi" w:eastAsia="Batang" w:hAnsiTheme="majorHAnsi"/>
          <w:bCs/>
          <w:sz w:val="20"/>
          <w:szCs w:val="20"/>
          <w:bdr w:val="none" w:sz="0" w:space="0" w:color="auto"/>
          <w:lang w:val="es-ES"/>
        </w:rPr>
        <w:t xml:space="preserve"> </w:t>
      </w:r>
      <w:r w:rsidR="00DB62A1" w:rsidRPr="00A32A43">
        <w:rPr>
          <w:rFonts w:asciiTheme="majorHAnsi" w:eastAsia="Batang" w:hAnsiTheme="majorHAnsi"/>
          <w:bCs/>
          <w:sz w:val="20"/>
          <w:szCs w:val="20"/>
          <w:bdr w:val="none" w:sz="0" w:space="0" w:color="auto"/>
          <w:lang w:val="es-ES"/>
        </w:rPr>
        <w:t xml:space="preserve">Alegan que los trabajadores involucrados en la huelga cerraron </w:t>
      </w:r>
      <w:r w:rsidR="00426469" w:rsidRPr="00A32A43">
        <w:rPr>
          <w:rFonts w:asciiTheme="majorHAnsi" w:eastAsia="Batang" w:hAnsiTheme="majorHAnsi" w:cs="Arial"/>
          <w:bCs/>
          <w:sz w:val="20"/>
          <w:szCs w:val="20"/>
          <w:bdr w:val="none" w:sz="0" w:space="0" w:color="auto"/>
          <w:lang w:val="es-ES"/>
        </w:rPr>
        <w:t>las puertas de acceso de todas las unidades del IGSS</w:t>
      </w:r>
      <w:r w:rsidR="00C562AE" w:rsidRPr="00A32A43">
        <w:rPr>
          <w:rFonts w:asciiTheme="majorHAnsi" w:eastAsia="Batang" w:hAnsiTheme="majorHAnsi" w:cs="Arial"/>
          <w:bCs/>
          <w:sz w:val="20"/>
          <w:szCs w:val="20"/>
          <w:bdr w:val="none" w:sz="0" w:space="0" w:color="auto"/>
          <w:lang w:val="es-ES"/>
        </w:rPr>
        <w:t>,</w:t>
      </w:r>
      <w:r w:rsidR="00426469" w:rsidRPr="00A32A43">
        <w:rPr>
          <w:rFonts w:asciiTheme="majorHAnsi" w:eastAsia="Batang" w:hAnsiTheme="majorHAnsi" w:cs="Arial"/>
          <w:bCs/>
          <w:sz w:val="20"/>
          <w:szCs w:val="20"/>
          <w:bdr w:val="none" w:sz="0" w:space="0" w:color="auto"/>
          <w:lang w:val="es-ES"/>
        </w:rPr>
        <w:t xml:space="preserve"> sin embargo </w:t>
      </w:r>
      <w:r w:rsidR="001E7707" w:rsidRPr="00A32A43">
        <w:rPr>
          <w:rFonts w:asciiTheme="majorHAnsi" w:eastAsia="Batang" w:hAnsiTheme="majorHAnsi" w:cs="Arial"/>
          <w:bCs/>
          <w:sz w:val="20"/>
          <w:szCs w:val="20"/>
          <w:bdr w:val="none" w:sz="0" w:space="0" w:color="auto"/>
          <w:lang w:val="es-ES"/>
        </w:rPr>
        <w:t xml:space="preserve">muchos </w:t>
      </w:r>
      <w:r w:rsidR="00A96F78" w:rsidRPr="00A32A43">
        <w:rPr>
          <w:rFonts w:asciiTheme="majorHAnsi" w:eastAsia="Batang" w:hAnsiTheme="majorHAnsi" w:cs="Arial"/>
          <w:bCs/>
          <w:sz w:val="20"/>
          <w:szCs w:val="20"/>
          <w:bdr w:val="none" w:sz="0" w:space="0" w:color="auto"/>
          <w:lang w:val="es-ES"/>
        </w:rPr>
        <w:t xml:space="preserve">otros </w:t>
      </w:r>
      <w:r w:rsidR="001E7707" w:rsidRPr="00A32A43">
        <w:rPr>
          <w:rFonts w:asciiTheme="majorHAnsi" w:eastAsia="Batang" w:hAnsiTheme="majorHAnsi" w:cs="Arial"/>
          <w:bCs/>
          <w:sz w:val="20"/>
          <w:szCs w:val="20"/>
          <w:bdr w:val="none" w:sz="0" w:space="0" w:color="auto"/>
          <w:lang w:val="es-ES"/>
        </w:rPr>
        <w:t xml:space="preserve">trabajadores lograron ingresar </w:t>
      </w:r>
      <w:r w:rsidR="00DF7AD3" w:rsidRPr="00A32A43">
        <w:rPr>
          <w:rFonts w:asciiTheme="majorHAnsi" w:eastAsia="Batang" w:hAnsiTheme="majorHAnsi" w:cs="Arial"/>
          <w:bCs/>
          <w:sz w:val="20"/>
          <w:szCs w:val="20"/>
          <w:bdr w:val="none" w:sz="0" w:space="0" w:color="auto"/>
          <w:lang w:val="es-ES"/>
        </w:rPr>
        <w:t>a las</w:t>
      </w:r>
      <w:r w:rsidR="001E7707" w:rsidRPr="00A32A43">
        <w:rPr>
          <w:rFonts w:asciiTheme="majorHAnsi" w:eastAsia="Batang" w:hAnsiTheme="majorHAnsi" w:cs="Arial"/>
          <w:bCs/>
          <w:sz w:val="20"/>
          <w:szCs w:val="20"/>
          <w:bdr w:val="none" w:sz="0" w:space="0" w:color="auto"/>
          <w:lang w:val="es-ES"/>
        </w:rPr>
        <w:t xml:space="preserve"> oficinas para desempeñar sus actividades laborales</w:t>
      </w:r>
      <w:r w:rsidR="00426469" w:rsidRPr="00A32A43">
        <w:rPr>
          <w:rFonts w:asciiTheme="majorHAnsi" w:eastAsia="Batang" w:hAnsiTheme="majorHAnsi" w:cs="Arial"/>
          <w:bCs/>
          <w:sz w:val="20"/>
          <w:szCs w:val="20"/>
          <w:bdr w:val="none" w:sz="0" w:space="0" w:color="auto"/>
          <w:lang w:val="es-ES"/>
        </w:rPr>
        <w:t xml:space="preserve">, conforme fue establecido posteriormente en el Acta de Reconocimiento Judicial. </w:t>
      </w:r>
      <w:r w:rsidR="00B438A4" w:rsidRPr="00A32A43">
        <w:rPr>
          <w:rFonts w:asciiTheme="majorHAnsi" w:eastAsia="Batang" w:hAnsiTheme="majorHAnsi" w:cs="Arial"/>
          <w:bCs/>
          <w:sz w:val="20"/>
          <w:szCs w:val="20"/>
          <w:bdr w:val="none" w:sz="0" w:space="0" w:color="auto"/>
          <w:lang w:val="es-ES"/>
        </w:rPr>
        <w:t>Sostienen</w:t>
      </w:r>
      <w:r w:rsidR="00426469" w:rsidRPr="00A32A43">
        <w:rPr>
          <w:rFonts w:asciiTheme="majorHAnsi" w:eastAsia="Batang" w:hAnsiTheme="majorHAnsi" w:cs="Arial"/>
          <w:bCs/>
          <w:sz w:val="20"/>
          <w:szCs w:val="20"/>
          <w:bdr w:val="none" w:sz="0" w:space="0" w:color="auto"/>
          <w:lang w:val="es-ES"/>
        </w:rPr>
        <w:t xml:space="preserve"> que </w:t>
      </w:r>
      <w:r w:rsidR="00DB62A1" w:rsidRPr="00A32A43">
        <w:rPr>
          <w:rFonts w:asciiTheme="majorHAnsi" w:eastAsia="Batang" w:hAnsiTheme="majorHAnsi" w:cs="Arial"/>
          <w:bCs/>
          <w:sz w:val="20"/>
          <w:szCs w:val="20"/>
          <w:bdr w:val="none" w:sz="0" w:space="0" w:color="auto"/>
          <w:lang w:val="es-ES"/>
        </w:rPr>
        <w:t xml:space="preserve">en ningún momento </w:t>
      </w:r>
      <w:r w:rsidR="00426469" w:rsidRPr="00A32A43">
        <w:rPr>
          <w:rFonts w:asciiTheme="majorHAnsi" w:eastAsia="Batang" w:hAnsiTheme="majorHAnsi" w:cs="Arial"/>
          <w:bCs/>
          <w:sz w:val="20"/>
          <w:szCs w:val="20"/>
          <w:bdr w:val="none" w:sz="0" w:space="0" w:color="auto"/>
          <w:lang w:val="es-ES"/>
        </w:rPr>
        <w:t xml:space="preserve">las presuntas víctimas </w:t>
      </w:r>
      <w:r w:rsidR="00DB62A1" w:rsidRPr="00A32A43">
        <w:rPr>
          <w:rFonts w:asciiTheme="majorHAnsi" w:eastAsia="Batang" w:hAnsiTheme="majorHAnsi" w:cs="Arial"/>
          <w:bCs/>
          <w:sz w:val="20"/>
          <w:szCs w:val="20"/>
          <w:bdr w:val="none" w:sz="0" w:space="0" w:color="auto"/>
          <w:lang w:val="es-ES"/>
        </w:rPr>
        <w:t>partic</w:t>
      </w:r>
      <w:r w:rsidR="00975CEE" w:rsidRPr="00A32A43">
        <w:rPr>
          <w:rFonts w:asciiTheme="majorHAnsi" w:eastAsia="Batang" w:hAnsiTheme="majorHAnsi" w:cs="Arial"/>
          <w:bCs/>
          <w:sz w:val="20"/>
          <w:szCs w:val="20"/>
          <w:bdr w:val="none" w:sz="0" w:space="0" w:color="auto"/>
          <w:lang w:val="es-ES"/>
        </w:rPr>
        <w:t xml:space="preserve">iparon de </w:t>
      </w:r>
      <w:r w:rsidR="00A96F78" w:rsidRPr="00A32A43">
        <w:rPr>
          <w:rFonts w:asciiTheme="majorHAnsi" w:eastAsia="Batang" w:hAnsiTheme="majorHAnsi" w:cs="Arial"/>
          <w:bCs/>
          <w:sz w:val="20"/>
          <w:szCs w:val="20"/>
          <w:bdr w:val="none" w:sz="0" w:space="0" w:color="auto"/>
          <w:lang w:val="es-ES"/>
        </w:rPr>
        <w:t xml:space="preserve">la huelga, e </w:t>
      </w:r>
      <w:r w:rsidR="00426469" w:rsidRPr="00A32A43">
        <w:rPr>
          <w:rFonts w:asciiTheme="majorHAnsi" w:eastAsia="Batang" w:hAnsiTheme="majorHAnsi"/>
          <w:bCs/>
          <w:sz w:val="20"/>
          <w:szCs w:val="20"/>
          <w:bdr w:val="none" w:sz="0" w:space="0" w:color="auto"/>
          <w:lang w:val="es-ES"/>
        </w:rPr>
        <w:t>indican que no cuestionan la ilegalidad o no de la huelga, sino que las presuntas víctimas no participaron en ella.</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9A491A"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Afirman que el 4 de febrero de 1991, el IGSS promovió un incidente de declaratoria de ilegalidad de huelga (en adelante “incidente de ilegalidad” o “incidente”), ante </w:t>
      </w:r>
      <w:r w:rsidR="00DD5A0E" w:rsidRPr="00A32A43">
        <w:rPr>
          <w:rFonts w:asciiTheme="majorHAnsi" w:eastAsia="Batang" w:hAnsiTheme="majorHAnsi"/>
          <w:bCs/>
          <w:sz w:val="20"/>
          <w:szCs w:val="20"/>
          <w:bdr w:val="none" w:sz="0" w:space="0" w:color="auto"/>
          <w:lang w:val="es-ES"/>
        </w:rPr>
        <w:t>el</w:t>
      </w:r>
      <w:r w:rsidRPr="00A32A43">
        <w:rPr>
          <w:rFonts w:asciiTheme="majorHAnsi" w:eastAsia="Batang" w:hAnsiTheme="majorHAnsi"/>
          <w:bCs/>
          <w:sz w:val="20"/>
          <w:szCs w:val="20"/>
          <w:bdr w:val="none" w:sz="0" w:space="0" w:color="auto"/>
          <w:lang w:val="es-ES"/>
        </w:rPr>
        <w:t xml:space="preserve"> Juzgado</w:t>
      </w:r>
      <w:r w:rsidR="00DD5A0E" w:rsidRPr="00A32A43">
        <w:rPr>
          <w:rFonts w:asciiTheme="majorHAnsi" w:eastAsia="Batang" w:hAnsiTheme="majorHAnsi"/>
          <w:bCs/>
          <w:sz w:val="20"/>
          <w:szCs w:val="20"/>
          <w:bdr w:val="none" w:sz="0" w:space="0" w:color="auto"/>
          <w:lang w:val="es-ES"/>
        </w:rPr>
        <w:t xml:space="preserve"> Tercer</w:t>
      </w:r>
      <w:r w:rsidR="00D87220" w:rsidRPr="00A32A43">
        <w:rPr>
          <w:rFonts w:asciiTheme="majorHAnsi" w:eastAsia="Batang" w:hAnsiTheme="majorHAnsi"/>
          <w:bCs/>
          <w:sz w:val="20"/>
          <w:szCs w:val="20"/>
          <w:bdr w:val="none" w:sz="0" w:space="0" w:color="auto"/>
          <w:lang w:val="es-ES"/>
        </w:rPr>
        <w:t>o</w:t>
      </w:r>
      <w:r w:rsidRPr="00A32A43">
        <w:rPr>
          <w:rFonts w:asciiTheme="majorHAnsi" w:eastAsia="Batang" w:hAnsiTheme="majorHAnsi"/>
          <w:bCs/>
          <w:sz w:val="20"/>
          <w:szCs w:val="20"/>
          <w:bdr w:val="none" w:sz="0" w:space="0" w:color="auto"/>
          <w:lang w:val="es-ES"/>
        </w:rPr>
        <w:t xml:space="preserve"> del Trabajo y Previsión Social por la huelga de un “grupo de trabajadores”, sin individualizar a los presuntos huelguistas. Informan que el incidente de ilegalidad prosiguió con la apertura a prueba por un plazo de 5 días y el 8 de abril de 1991, el Juzgado Cuarto de Trabajo y Previsión Social declaró con lugar el incidente</w:t>
      </w:r>
      <w:r w:rsidR="009A491A" w:rsidRPr="00A32A43">
        <w:rPr>
          <w:rFonts w:asciiTheme="majorHAnsi" w:eastAsia="Batang" w:hAnsiTheme="majorHAnsi"/>
          <w:bCs/>
          <w:sz w:val="20"/>
          <w:szCs w:val="20"/>
          <w:bdr w:val="none" w:sz="0" w:space="0" w:color="auto"/>
          <w:lang w:val="es-ES"/>
        </w:rPr>
        <w:t xml:space="preserve">. La </w:t>
      </w:r>
      <w:r w:rsidR="00BA0554" w:rsidRPr="00A32A43">
        <w:rPr>
          <w:rFonts w:asciiTheme="majorHAnsi" w:eastAsia="Batang" w:hAnsiTheme="majorHAnsi"/>
          <w:bCs/>
          <w:sz w:val="20"/>
          <w:szCs w:val="20"/>
          <w:bdr w:val="none" w:sz="0" w:space="0" w:color="auto"/>
          <w:lang w:val="es-ES"/>
        </w:rPr>
        <w:t xml:space="preserve"> resolución fue confirmada por la Sala Primera de la Corte de Apelaciones de Trabajo y Previsión Social, en sentencia de 11 de abril de 1991, fijando</w:t>
      </w:r>
      <w:r w:rsidRPr="00A32A43">
        <w:rPr>
          <w:rFonts w:asciiTheme="majorHAnsi" w:eastAsia="Batang" w:hAnsiTheme="majorHAnsi"/>
          <w:bCs/>
          <w:sz w:val="20"/>
          <w:szCs w:val="20"/>
          <w:bdr w:val="none" w:sz="0" w:space="0" w:color="auto"/>
          <w:lang w:val="es-ES"/>
        </w:rPr>
        <w:t xml:space="preserve"> un plazo de 20 días para que el empleador terminara los contratos de los trabajadores que </w:t>
      </w:r>
      <w:r w:rsidR="00091977" w:rsidRPr="00A32A43">
        <w:rPr>
          <w:rFonts w:asciiTheme="majorHAnsi" w:eastAsia="Batang" w:hAnsiTheme="majorHAnsi"/>
          <w:bCs/>
          <w:sz w:val="20"/>
          <w:szCs w:val="20"/>
          <w:bdr w:val="none" w:sz="0" w:space="0" w:color="auto"/>
          <w:lang w:val="es-ES"/>
        </w:rPr>
        <w:t>holga</w:t>
      </w:r>
      <w:r w:rsidR="00BA0554" w:rsidRPr="00A32A43">
        <w:rPr>
          <w:rFonts w:asciiTheme="majorHAnsi" w:eastAsia="Batang" w:hAnsiTheme="majorHAnsi"/>
          <w:bCs/>
          <w:sz w:val="20"/>
          <w:szCs w:val="20"/>
          <w:bdr w:val="none" w:sz="0" w:space="0" w:color="auto"/>
          <w:lang w:val="es-ES"/>
        </w:rPr>
        <w:t>ron</w:t>
      </w:r>
      <w:r w:rsidR="00091977" w:rsidRPr="00A32A43">
        <w:rPr>
          <w:rFonts w:asciiTheme="majorHAnsi" w:eastAsia="Batang" w:hAnsiTheme="majorHAnsi"/>
          <w:bCs/>
          <w:sz w:val="20"/>
          <w:szCs w:val="20"/>
          <w:bdr w:val="none" w:sz="0" w:space="0" w:color="auto"/>
          <w:lang w:val="es-ES"/>
        </w:rPr>
        <w:t xml:space="preserve">, </w:t>
      </w:r>
      <w:r w:rsidR="00C562AE" w:rsidRPr="00A32A43">
        <w:rPr>
          <w:rFonts w:asciiTheme="majorHAnsi" w:eastAsia="Batang" w:hAnsiTheme="majorHAnsi"/>
          <w:bCs/>
          <w:sz w:val="20"/>
          <w:szCs w:val="20"/>
          <w:bdr w:val="none" w:sz="0" w:space="0" w:color="auto"/>
          <w:lang w:val="es-ES"/>
        </w:rPr>
        <w:t>de acuerdo con el art</w:t>
      </w:r>
      <w:r w:rsidR="00B438A4" w:rsidRPr="00A32A43">
        <w:rPr>
          <w:rFonts w:asciiTheme="majorHAnsi" w:eastAsia="Batang" w:hAnsiTheme="majorHAnsi"/>
          <w:bCs/>
          <w:sz w:val="20"/>
          <w:szCs w:val="20"/>
          <w:bdr w:val="none" w:sz="0" w:space="0" w:color="auto"/>
          <w:lang w:val="es-ES"/>
        </w:rPr>
        <w:t>ículo 244 del Código del Trabajo</w:t>
      </w:r>
      <w:r w:rsidR="00C562AE" w:rsidRPr="00A32A43">
        <w:rPr>
          <w:rFonts w:asciiTheme="majorHAnsi" w:eastAsia="Batang" w:hAnsiTheme="majorHAnsi"/>
          <w:bCs/>
          <w:sz w:val="20"/>
          <w:szCs w:val="20"/>
          <w:bdr w:val="none" w:sz="0" w:space="0" w:color="auto"/>
          <w:lang w:val="es-ES"/>
        </w:rPr>
        <w:t>.</w:t>
      </w:r>
      <w:r w:rsidR="00091977" w:rsidRPr="00A32A43">
        <w:rPr>
          <w:rFonts w:asciiTheme="majorHAnsi" w:eastAsia="Batang" w:hAnsiTheme="majorHAnsi"/>
          <w:bCs/>
          <w:sz w:val="20"/>
          <w:szCs w:val="20"/>
          <w:bdr w:val="none" w:sz="0" w:space="0" w:color="auto"/>
          <w:lang w:val="es-ES"/>
        </w:rPr>
        <w:t xml:space="preserve"> </w:t>
      </w:r>
    </w:p>
    <w:p w:rsidR="009A491A" w:rsidRPr="00A32A43" w:rsidRDefault="009A491A" w:rsidP="00A32A43">
      <w:pPr>
        <w:pStyle w:val="ListParagraph"/>
        <w:ind w:left="0" w:firstLine="720"/>
        <w:jc w:val="both"/>
        <w:rPr>
          <w:rFonts w:asciiTheme="majorHAnsi" w:eastAsia="Batang" w:hAnsiTheme="majorHAnsi"/>
          <w:bCs/>
          <w:sz w:val="20"/>
          <w:szCs w:val="20"/>
          <w:bdr w:val="none" w:sz="0" w:space="0" w:color="auto"/>
          <w:lang w:val="es-ES"/>
        </w:rPr>
      </w:pPr>
    </w:p>
    <w:p w:rsidR="00334976" w:rsidRPr="00A32A43" w:rsidRDefault="00681EAA"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I</w:t>
      </w:r>
      <w:r w:rsidR="009A491A" w:rsidRPr="00A32A43">
        <w:rPr>
          <w:rFonts w:asciiTheme="majorHAnsi" w:eastAsia="Batang" w:hAnsiTheme="majorHAnsi"/>
          <w:bCs/>
          <w:sz w:val="20"/>
          <w:szCs w:val="20"/>
          <w:bdr w:val="none" w:sz="0" w:space="0" w:color="auto"/>
          <w:lang w:val="es-ES"/>
        </w:rPr>
        <w:t>nfo</w:t>
      </w:r>
      <w:r w:rsidR="00A96F78" w:rsidRPr="00A32A43">
        <w:rPr>
          <w:rFonts w:asciiTheme="majorHAnsi" w:eastAsia="Batang" w:hAnsiTheme="majorHAnsi"/>
          <w:bCs/>
          <w:sz w:val="20"/>
          <w:szCs w:val="20"/>
          <w:bdr w:val="none" w:sz="0" w:space="0" w:color="auto"/>
          <w:lang w:val="es-ES"/>
        </w:rPr>
        <w:t>rman que a lo largo del proceso</w:t>
      </w:r>
      <w:r w:rsidR="009A491A" w:rsidRPr="00A32A43">
        <w:rPr>
          <w:rFonts w:asciiTheme="majorHAnsi" w:eastAsia="Batang" w:hAnsiTheme="majorHAnsi"/>
          <w:bCs/>
          <w:sz w:val="20"/>
          <w:szCs w:val="20"/>
          <w:bdr w:val="none" w:sz="0" w:space="0" w:color="auto"/>
          <w:lang w:val="es-ES"/>
        </w:rPr>
        <w:t xml:space="preserve"> no se establecieron los nombres de los trabajadores que participaron en la huelga, sino que fueron identificados como “grupo de trabajadores”. Según los peticionarios, como no fueron identificad</w:t>
      </w:r>
      <w:r w:rsidR="00B438A4" w:rsidRPr="00A32A43">
        <w:rPr>
          <w:rFonts w:asciiTheme="majorHAnsi" w:eastAsia="Batang" w:hAnsiTheme="majorHAnsi"/>
          <w:bCs/>
          <w:sz w:val="20"/>
          <w:szCs w:val="20"/>
          <w:bdr w:val="none" w:sz="0" w:space="0" w:color="auto"/>
          <w:lang w:val="es-ES"/>
        </w:rPr>
        <w:t>o</w:t>
      </w:r>
      <w:r w:rsidR="009A491A" w:rsidRPr="00A32A43">
        <w:rPr>
          <w:rFonts w:asciiTheme="majorHAnsi" w:eastAsia="Batang" w:hAnsiTheme="majorHAnsi"/>
          <w:bCs/>
          <w:sz w:val="20"/>
          <w:szCs w:val="20"/>
          <w:bdr w:val="none" w:sz="0" w:space="0" w:color="auto"/>
          <w:lang w:val="es-ES"/>
        </w:rPr>
        <w:t>s</w:t>
      </w:r>
      <w:r w:rsidR="00A96F78" w:rsidRPr="00A32A43">
        <w:rPr>
          <w:rFonts w:asciiTheme="majorHAnsi" w:eastAsia="Batang" w:hAnsiTheme="majorHAnsi"/>
          <w:bCs/>
          <w:sz w:val="20"/>
          <w:szCs w:val="20"/>
          <w:bdr w:val="none" w:sz="0" w:space="0" w:color="auto"/>
          <w:lang w:val="es-ES"/>
        </w:rPr>
        <w:t>,</w:t>
      </w:r>
      <w:r w:rsidR="009A491A" w:rsidRPr="00A32A43">
        <w:rPr>
          <w:rFonts w:asciiTheme="majorHAnsi" w:eastAsia="Batang" w:hAnsiTheme="majorHAnsi"/>
          <w:bCs/>
          <w:sz w:val="20"/>
          <w:szCs w:val="20"/>
          <w:bdr w:val="none" w:sz="0" w:space="0" w:color="auto"/>
          <w:lang w:val="es-ES"/>
        </w:rPr>
        <w:t xml:space="preserve"> y por lo tanto no fueron emplazados, nunca supieron del proceso y no tuvieron la oportunidad de defenderse y aport</w:t>
      </w:r>
      <w:r w:rsidRPr="00A32A43">
        <w:rPr>
          <w:rFonts w:asciiTheme="majorHAnsi" w:eastAsia="Batang" w:hAnsiTheme="majorHAnsi"/>
          <w:bCs/>
          <w:sz w:val="20"/>
          <w:szCs w:val="20"/>
          <w:bdr w:val="none" w:sz="0" w:space="0" w:color="auto"/>
          <w:lang w:val="es-ES"/>
        </w:rPr>
        <w:t>ar pruebas durante el incidente</w:t>
      </w:r>
      <w:r w:rsidR="002C49C8" w:rsidRPr="00A32A43">
        <w:rPr>
          <w:rFonts w:asciiTheme="majorHAnsi" w:eastAsia="Batang" w:hAnsiTheme="majorHAnsi"/>
          <w:bCs/>
          <w:sz w:val="20"/>
          <w:szCs w:val="20"/>
          <w:bdr w:val="none" w:sz="0" w:space="0" w:color="auto"/>
          <w:lang w:val="es-ES"/>
        </w:rPr>
        <w:t>. Indican además que la</w:t>
      </w:r>
      <w:r w:rsidRPr="00A32A43">
        <w:rPr>
          <w:rFonts w:asciiTheme="majorHAnsi" w:eastAsia="Batang" w:hAnsiTheme="majorHAnsi"/>
          <w:bCs/>
          <w:sz w:val="20"/>
          <w:szCs w:val="20"/>
          <w:bdr w:val="none" w:sz="0" w:space="0" w:color="auto"/>
          <w:lang w:val="es-ES"/>
        </w:rPr>
        <w:t xml:space="preserve"> resolución de 11 de abril de 1991 no </w:t>
      </w:r>
      <w:r w:rsidR="002C49C8" w:rsidRPr="00A32A43">
        <w:rPr>
          <w:rFonts w:asciiTheme="majorHAnsi" w:eastAsia="Batang" w:hAnsiTheme="majorHAnsi"/>
          <w:bCs/>
          <w:sz w:val="20"/>
          <w:szCs w:val="20"/>
          <w:bdr w:val="none" w:sz="0" w:space="0" w:color="auto"/>
          <w:lang w:val="es-ES"/>
        </w:rPr>
        <w:t>individualizó</w:t>
      </w:r>
      <w:r w:rsidRPr="00A32A43">
        <w:rPr>
          <w:rFonts w:asciiTheme="majorHAnsi" w:eastAsia="Batang" w:hAnsiTheme="majorHAnsi"/>
          <w:bCs/>
          <w:sz w:val="20"/>
          <w:szCs w:val="20"/>
          <w:bdr w:val="none" w:sz="0" w:space="0" w:color="auto"/>
          <w:lang w:val="es-ES"/>
        </w:rPr>
        <w:t xml:space="preserve"> a los empleados cuyos contratos de trabajo se autorizaba terminar.</w:t>
      </w:r>
    </w:p>
    <w:p w:rsidR="00C774C3" w:rsidRPr="00A32A43" w:rsidRDefault="00C774C3" w:rsidP="00A32A43">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p>
    <w:p w:rsidR="00334976" w:rsidRPr="00A32A43" w:rsidRDefault="00334976"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Manifiestan que el IGSS señaló ante el Juzgado de Trabajo a dos personas, Víctor Alvarado y René Ovalle, como pertenecientes </w:t>
      </w:r>
      <w:r w:rsidR="002C49C8" w:rsidRPr="00A32A43">
        <w:rPr>
          <w:rFonts w:asciiTheme="majorHAnsi" w:eastAsia="Batang" w:hAnsiTheme="majorHAnsi"/>
          <w:bCs/>
          <w:sz w:val="20"/>
          <w:szCs w:val="20"/>
          <w:bdr w:val="none" w:sz="0" w:space="0" w:color="auto"/>
          <w:lang w:val="es-ES"/>
        </w:rPr>
        <w:t>a</w:t>
      </w:r>
      <w:r w:rsidRPr="00A32A43">
        <w:rPr>
          <w:rFonts w:asciiTheme="majorHAnsi" w:eastAsia="Batang" w:hAnsiTheme="majorHAnsi"/>
          <w:bCs/>
          <w:sz w:val="20"/>
          <w:szCs w:val="20"/>
          <w:bdr w:val="none" w:sz="0" w:space="0" w:color="auto"/>
          <w:lang w:val="es-ES"/>
        </w:rPr>
        <w:t xml:space="preserve">l grupo que participó en la huelga adjuntando como prueba una nota de prensa que mencionaba sólo a una de éstas. Sostienen que el Juzgado tomó estos hechos como ciertos, emplazó a estas personas respecto del </w:t>
      </w:r>
      <w:r w:rsidR="004D45C9" w:rsidRPr="00A32A43">
        <w:rPr>
          <w:rFonts w:asciiTheme="majorHAnsi" w:eastAsia="Batang" w:hAnsiTheme="majorHAnsi"/>
          <w:bCs/>
          <w:sz w:val="20"/>
          <w:szCs w:val="20"/>
          <w:bdr w:val="none" w:sz="0" w:space="0" w:color="auto"/>
          <w:lang w:val="es-ES"/>
        </w:rPr>
        <w:t>i</w:t>
      </w:r>
      <w:r w:rsidRPr="00A32A43">
        <w:rPr>
          <w:rFonts w:asciiTheme="majorHAnsi" w:eastAsia="Batang" w:hAnsiTheme="majorHAnsi"/>
          <w:bCs/>
          <w:sz w:val="20"/>
          <w:szCs w:val="20"/>
          <w:bdr w:val="none" w:sz="0" w:space="0" w:color="auto"/>
          <w:lang w:val="es-ES"/>
        </w:rPr>
        <w:t>ncidente, y éstas presentaron recursos a título personal rechazando los cargos imputados. Sostienen ad</w:t>
      </w:r>
      <w:r w:rsidR="00205B6C" w:rsidRPr="00A32A43">
        <w:rPr>
          <w:rFonts w:asciiTheme="majorHAnsi" w:eastAsia="Batang" w:hAnsiTheme="majorHAnsi"/>
          <w:bCs/>
          <w:sz w:val="20"/>
          <w:szCs w:val="20"/>
          <w:bdr w:val="none" w:sz="0" w:space="0" w:color="auto"/>
          <w:lang w:val="es-ES"/>
        </w:rPr>
        <w:t>emás que en ningún momento del i</w:t>
      </w:r>
      <w:r w:rsidRPr="00A32A43">
        <w:rPr>
          <w:rFonts w:asciiTheme="majorHAnsi" w:eastAsia="Batang" w:hAnsiTheme="majorHAnsi"/>
          <w:bCs/>
          <w:sz w:val="20"/>
          <w:szCs w:val="20"/>
          <w:bdr w:val="none" w:sz="0" w:space="0" w:color="auto"/>
          <w:lang w:val="es-ES"/>
        </w:rPr>
        <w:t>ncidente se determinó que estas personas fueran representantes del grupo que participó en la huelga.</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Alegan que en</w:t>
      </w:r>
      <w:r w:rsidR="004D45C9" w:rsidRPr="00A32A43">
        <w:rPr>
          <w:rFonts w:asciiTheme="majorHAnsi" w:eastAsia="Batang" w:hAnsiTheme="majorHAnsi"/>
          <w:bCs/>
          <w:sz w:val="20"/>
          <w:szCs w:val="20"/>
          <w:bdr w:val="none" w:sz="0" w:space="0" w:color="auto"/>
          <w:lang w:val="es-ES"/>
        </w:rPr>
        <w:t>tre el 25 y 29 de abril de 1991</w:t>
      </w:r>
      <w:r w:rsidRPr="00A32A43">
        <w:rPr>
          <w:rFonts w:asciiTheme="majorHAnsi" w:eastAsia="Batang" w:hAnsiTheme="majorHAnsi"/>
          <w:bCs/>
          <w:sz w:val="20"/>
          <w:szCs w:val="20"/>
          <w:bdr w:val="none" w:sz="0" w:space="0" w:color="auto"/>
          <w:lang w:val="es-ES"/>
        </w:rPr>
        <w:t xml:space="preserve"> la gerencia del IGSS despidió a las presuntas víctimas mediante “Acue</w:t>
      </w:r>
      <w:r w:rsidR="00364BB4" w:rsidRPr="00A32A43">
        <w:rPr>
          <w:rFonts w:asciiTheme="majorHAnsi" w:eastAsia="Batang" w:hAnsiTheme="majorHAnsi"/>
          <w:bCs/>
          <w:sz w:val="20"/>
          <w:szCs w:val="20"/>
          <w:bdr w:val="none" w:sz="0" w:space="0" w:color="auto"/>
          <w:lang w:val="es-ES"/>
        </w:rPr>
        <w:t>rdos de Terminación de Labores”</w:t>
      </w:r>
      <w:r w:rsidR="004D45C9" w:rsidRPr="00A32A43">
        <w:rPr>
          <w:rFonts w:asciiTheme="majorHAnsi" w:eastAsia="Batang" w:hAnsiTheme="majorHAnsi"/>
          <w:bCs/>
          <w:sz w:val="20"/>
          <w:szCs w:val="20"/>
          <w:bdr w:val="none" w:sz="0" w:space="0" w:color="auto"/>
          <w:lang w:val="es-ES"/>
        </w:rPr>
        <w:t>. Informan que contra esto</w:t>
      </w:r>
      <w:r w:rsidRPr="00A32A43">
        <w:rPr>
          <w:rFonts w:asciiTheme="majorHAnsi" w:eastAsia="Batang" w:hAnsiTheme="majorHAnsi"/>
          <w:bCs/>
          <w:sz w:val="20"/>
          <w:szCs w:val="20"/>
          <w:bdr w:val="none" w:sz="0" w:space="0" w:color="auto"/>
          <w:lang w:val="es-ES"/>
        </w:rPr>
        <w:t xml:space="preserve">s despidos interpusieron </w:t>
      </w:r>
      <w:r w:rsidR="004D45C9" w:rsidRPr="00A32A43">
        <w:rPr>
          <w:rFonts w:asciiTheme="majorHAnsi" w:eastAsia="Batang" w:hAnsiTheme="majorHAnsi"/>
          <w:bCs/>
          <w:sz w:val="20"/>
          <w:szCs w:val="20"/>
          <w:bdr w:val="none" w:sz="0" w:space="0" w:color="auto"/>
          <w:lang w:val="es-ES"/>
        </w:rPr>
        <w:t xml:space="preserve">una serie de </w:t>
      </w:r>
      <w:r w:rsidRPr="00A32A43">
        <w:rPr>
          <w:rFonts w:asciiTheme="majorHAnsi" w:eastAsia="Batang" w:hAnsiTheme="majorHAnsi"/>
          <w:bCs/>
          <w:sz w:val="20"/>
          <w:szCs w:val="20"/>
          <w:bdr w:val="none" w:sz="0" w:space="0" w:color="auto"/>
          <w:lang w:val="es-ES"/>
        </w:rPr>
        <w:t>recursos de amparo que fueron acumulados y</w:t>
      </w:r>
      <w:r w:rsidR="004B05E3" w:rsidRPr="00A32A43">
        <w:rPr>
          <w:rFonts w:asciiTheme="majorHAnsi" w:eastAsia="Batang" w:hAnsiTheme="majorHAnsi"/>
          <w:bCs/>
          <w:sz w:val="20"/>
          <w:szCs w:val="20"/>
          <w:bdr w:val="none" w:sz="0" w:space="0" w:color="auto"/>
          <w:lang w:val="es-ES"/>
        </w:rPr>
        <w:t xml:space="preserve"> </w:t>
      </w:r>
      <w:r w:rsidR="004D45C9" w:rsidRPr="00A32A43">
        <w:rPr>
          <w:rFonts w:asciiTheme="majorHAnsi" w:eastAsia="Batang" w:hAnsiTheme="majorHAnsi"/>
          <w:bCs/>
          <w:sz w:val="20"/>
          <w:szCs w:val="20"/>
          <w:bdr w:val="none" w:sz="0" w:space="0" w:color="auto"/>
          <w:lang w:val="es-ES"/>
        </w:rPr>
        <w:t xml:space="preserve">que </w:t>
      </w:r>
      <w:r w:rsidR="004B05E3" w:rsidRPr="00A32A43">
        <w:rPr>
          <w:rFonts w:asciiTheme="majorHAnsi" w:eastAsia="Batang" w:hAnsiTheme="majorHAnsi"/>
          <w:bCs/>
          <w:sz w:val="20"/>
          <w:szCs w:val="20"/>
          <w:bdr w:val="none" w:sz="0" w:space="0" w:color="auto"/>
          <w:lang w:val="es-ES"/>
        </w:rPr>
        <w:t>el 27 de julio de 1991</w:t>
      </w:r>
      <w:r w:rsidRPr="00A32A43">
        <w:rPr>
          <w:rFonts w:asciiTheme="majorHAnsi" w:eastAsia="Batang" w:hAnsiTheme="majorHAnsi"/>
          <w:bCs/>
          <w:sz w:val="20"/>
          <w:szCs w:val="20"/>
          <w:bdr w:val="none" w:sz="0" w:space="0" w:color="auto"/>
          <w:lang w:val="es-ES"/>
        </w:rPr>
        <w:t xml:space="preserve"> la Sala Segunda de la Corte de Apelaciones declaró sin lugar</w:t>
      </w:r>
      <w:r w:rsidR="00593097" w:rsidRPr="00A32A43">
        <w:rPr>
          <w:rFonts w:asciiTheme="majorHAnsi" w:eastAsia="Batang" w:hAnsiTheme="majorHAnsi"/>
          <w:bCs/>
          <w:sz w:val="20"/>
          <w:szCs w:val="20"/>
          <w:bdr w:val="none" w:sz="0" w:space="0" w:color="auto"/>
          <w:lang w:val="es-ES"/>
        </w:rPr>
        <w:t xml:space="preserve"> por haber sido dictados con base en la resolución dictada por el Juez de Trabajo y Previsión Social en el incidente de ilegalidad</w:t>
      </w:r>
      <w:r w:rsidR="004D45C9" w:rsidRPr="00A32A43">
        <w:rPr>
          <w:rFonts w:asciiTheme="majorHAnsi" w:eastAsia="Batang" w:hAnsiTheme="majorHAnsi"/>
          <w:bCs/>
          <w:sz w:val="20"/>
          <w:szCs w:val="20"/>
          <w:bdr w:val="none" w:sz="0" w:space="0" w:color="auto"/>
          <w:lang w:val="es-ES"/>
        </w:rPr>
        <w:t>. Esta</w:t>
      </w:r>
      <w:r w:rsidRPr="00A32A43">
        <w:rPr>
          <w:rFonts w:asciiTheme="majorHAnsi" w:eastAsia="Batang" w:hAnsiTheme="majorHAnsi"/>
          <w:bCs/>
          <w:sz w:val="20"/>
          <w:szCs w:val="20"/>
          <w:bdr w:val="none" w:sz="0" w:space="0" w:color="auto"/>
          <w:lang w:val="es-ES"/>
        </w:rPr>
        <w:t xml:space="preserve"> sentencia fue confirmada por la Corte de </w:t>
      </w:r>
      <w:r w:rsidRPr="00A32A43">
        <w:rPr>
          <w:rFonts w:asciiTheme="majorHAnsi" w:eastAsia="Batang" w:hAnsiTheme="majorHAnsi"/>
          <w:bCs/>
          <w:sz w:val="20"/>
          <w:szCs w:val="20"/>
          <w:bdr w:val="none" w:sz="0" w:space="0" w:color="auto"/>
          <w:lang w:val="es-ES"/>
        </w:rPr>
        <w:lastRenderedPageBreak/>
        <w:t xml:space="preserve">Constitucionalidad el 11 de diciembre de 1991. Según los peticionarios, la Corte de Constitucionalidad no </w:t>
      </w:r>
      <w:r w:rsidR="00205B6C" w:rsidRPr="00A32A43">
        <w:rPr>
          <w:rFonts w:asciiTheme="majorHAnsi" w:eastAsia="Batang" w:hAnsiTheme="majorHAnsi"/>
          <w:bCs/>
          <w:sz w:val="20"/>
          <w:szCs w:val="20"/>
          <w:bdr w:val="none" w:sz="0" w:space="0" w:color="auto"/>
          <w:lang w:val="es-ES"/>
        </w:rPr>
        <w:t>revisó</w:t>
      </w:r>
      <w:r w:rsidRPr="00A32A43">
        <w:rPr>
          <w:rFonts w:asciiTheme="majorHAnsi" w:eastAsia="Batang" w:hAnsiTheme="majorHAnsi"/>
          <w:bCs/>
          <w:sz w:val="20"/>
          <w:szCs w:val="20"/>
          <w:bdr w:val="none" w:sz="0" w:space="0" w:color="auto"/>
          <w:lang w:val="es-ES"/>
        </w:rPr>
        <w:t xml:space="preserve"> la prueba para determinar si las presuntas víctimas habían participado o no en la huelga, sino que se </w:t>
      </w:r>
      <w:r w:rsidR="00205B6C" w:rsidRPr="00A32A43">
        <w:rPr>
          <w:rFonts w:asciiTheme="majorHAnsi" w:eastAsia="Batang" w:hAnsiTheme="majorHAnsi"/>
          <w:bCs/>
          <w:sz w:val="20"/>
          <w:szCs w:val="20"/>
          <w:bdr w:val="none" w:sz="0" w:space="0" w:color="auto"/>
          <w:lang w:val="es-ES"/>
        </w:rPr>
        <w:t>limitó</w:t>
      </w:r>
      <w:r w:rsidRPr="00A32A43">
        <w:rPr>
          <w:rFonts w:asciiTheme="majorHAnsi" w:eastAsia="Batang" w:hAnsiTheme="majorHAnsi"/>
          <w:bCs/>
          <w:sz w:val="20"/>
          <w:szCs w:val="20"/>
          <w:bdr w:val="none" w:sz="0" w:space="0" w:color="auto"/>
          <w:lang w:val="es-ES"/>
        </w:rPr>
        <w:t xml:space="preserve"> a dictar que los acuerdos de destitución fueron hechos de </w:t>
      </w:r>
      <w:r w:rsidR="004D45C9" w:rsidRPr="00A32A43">
        <w:rPr>
          <w:rFonts w:asciiTheme="majorHAnsi" w:eastAsia="Batang" w:hAnsiTheme="majorHAnsi"/>
          <w:bCs/>
          <w:sz w:val="20"/>
          <w:szCs w:val="20"/>
          <w:bdr w:val="none" w:sz="0" w:space="0" w:color="auto"/>
          <w:lang w:val="es-ES"/>
        </w:rPr>
        <w:t>conformidad</w:t>
      </w:r>
      <w:r w:rsidRPr="00A32A43">
        <w:rPr>
          <w:rFonts w:asciiTheme="majorHAnsi" w:eastAsia="Batang" w:hAnsiTheme="majorHAnsi"/>
          <w:bCs/>
          <w:sz w:val="20"/>
          <w:szCs w:val="20"/>
          <w:bdr w:val="none" w:sz="0" w:space="0" w:color="auto"/>
          <w:lang w:val="es-ES"/>
        </w:rPr>
        <w:t xml:space="preserve"> con la resolución </w:t>
      </w:r>
      <w:r w:rsidR="00593097" w:rsidRPr="00A32A43">
        <w:rPr>
          <w:rFonts w:asciiTheme="majorHAnsi" w:eastAsia="Batang" w:hAnsiTheme="majorHAnsi"/>
          <w:bCs/>
          <w:sz w:val="20"/>
          <w:szCs w:val="20"/>
          <w:bdr w:val="none" w:sz="0" w:space="0" w:color="auto"/>
          <w:lang w:val="es-ES"/>
        </w:rPr>
        <w:t>del incidente</w:t>
      </w:r>
      <w:r w:rsidRPr="00A32A43">
        <w:rPr>
          <w:rFonts w:asciiTheme="majorHAnsi" w:eastAsia="Batang" w:hAnsiTheme="majorHAnsi"/>
          <w:bCs/>
          <w:sz w:val="20"/>
          <w:szCs w:val="20"/>
          <w:bdr w:val="none" w:sz="0" w:space="0" w:color="auto"/>
          <w:lang w:val="es-ES"/>
        </w:rPr>
        <w:t xml:space="preserve">, a pesar de que el Instituto Guatemalteco de Seguridad Social habría reconocido que hubo </w:t>
      </w:r>
      <w:r w:rsidR="00205B6C" w:rsidRPr="00A32A43">
        <w:rPr>
          <w:rFonts w:asciiTheme="majorHAnsi" w:eastAsia="Batang" w:hAnsiTheme="majorHAnsi"/>
          <w:bCs/>
          <w:sz w:val="20"/>
          <w:szCs w:val="20"/>
          <w:bdr w:val="none" w:sz="0" w:space="0" w:color="auto"/>
          <w:lang w:val="es-ES"/>
        </w:rPr>
        <w:t>personas que trabajaron</w:t>
      </w:r>
      <w:r w:rsidRPr="00A32A43">
        <w:rPr>
          <w:rFonts w:asciiTheme="majorHAnsi" w:eastAsia="Batang" w:hAnsiTheme="majorHAnsi"/>
          <w:bCs/>
          <w:sz w:val="20"/>
          <w:szCs w:val="20"/>
          <w:bdr w:val="none" w:sz="0" w:space="0" w:color="auto"/>
          <w:lang w:val="es-ES"/>
        </w:rPr>
        <w:t xml:space="preserve"> durante la huelga.</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Afirman que</w:t>
      </w:r>
      <w:r w:rsidR="00050AC8" w:rsidRPr="00A32A43">
        <w:rPr>
          <w:rFonts w:asciiTheme="majorHAnsi" w:eastAsia="Batang" w:hAnsiTheme="majorHAnsi"/>
          <w:bCs/>
          <w:sz w:val="20"/>
          <w:szCs w:val="20"/>
          <w:bdr w:val="none" w:sz="0" w:space="0" w:color="auto"/>
          <w:lang w:val="es-ES"/>
        </w:rPr>
        <w:t xml:space="preserve"> </w:t>
      </w:r>
      <w:r w:rsidR="00E00A24" w:rsidRPr="00A32A43">
        <w:rPr>
          <w:rFonts w:asciiTheme="majorHAnsi" w:eastAsia="Batang" w:hAnsiTheme="majorHAnsi"/>
          <w:bCs/>
          <w:sz w:val="20"/>
          <w:szCs w:val="20"/>
          <w:bdr w:val="none" w:sz="0" w:space="0" w:color="auto"/>
          <w:lang w:val="es-ES"/>
        </w:rPr>
        <w:t xml:space="preserve">el 12 de agosto </w:t>
      </w:r>
      <w:r w:rsidR="004D45C9" w:rsidRPr="00A32A43">
        <w:rPr>
          <w:rFonts w:asciiTheme="majorHAnsi" w:eastAsia="Batang" w:hAnsiTheme="majorHAnsi"/>
          <w:bCs/>
          <w:sz w:val="20"/>
          <w:szCs w:val="20"/>
          <w:bdr w:val="none" w:sz="0" w:space="0" w:color="auto"/>
          <w:lang w:val="es-ES"/>
        </w:rPr>
        <w:t>de 1993</w:t>
      </w:r>
      <w:r w:rsidRPr="00A32A43">
        <w:rPr>
          <w:rFonts w:asciiTheme="majorHAnsi" w:eastAsia="Batang" w:hAnsiTheme="majorHAnsi"/>
          <w:bCs/>
          <w:sz w:val="20"/>
          <w:szCs w:val="20"/>
          <w:bdr w:val="none" w:sz="0" w:space="0" w:color="auto"/>
          <w:lang w:val="es-ES"/>
        </w:rPr>
        <w:t xml:space="preserve"> las presuntas víctimas presentaron un</w:t>
      </w:r>
      <w:r w:rsidR="00050AC8" w:rsidRPr="00A32A43">
        <w:rPr>
          <w:rFonts w:asciiTheme="majorHAnsi" w:eastAsia="Batang" w:hAnsiTheme="majorHAnsi"/>
          <w:bCs/>
          <w:sz w:val="20"/>
          <w:szCs w:val="20"/>
          <w:bdr w:val="none" w:sz="0" w:space="0" w:color="auto"/>
          <w:lang w:val="es-ES"/>
        </w:rPr>
        <w:t xml:space="preserve"> juicio ordinario laboral</w:t>
      </w:r>
      <w:r w:rsidRPr="00A32A43">
        <w:rPr>
          <w:rFonts w:asciiTheme="majorHAnsi" w:eastAsia="Batang" w:hAnsiTheme="majorHAnsi"/>
          <w:bCs/>
          <w:sz w:val="20"/>
          <w:szCs w:val="20"/>
          <w:bdr w:val="none" w:sz="0" w:space="0" w:color="auto"/>
          <w:lang w:val="es-ES"/>
        </w:rPr>
        <w:t xml:space="preserve"> de </w:t>
      </w:r>
      <w:r w:rsidR="00C00F1B" w:rsidRPr="00A32A43">
        <w:rPr>
          <w:rFonts w:asciiTheme="majorHAnsi" w:eastAsia="Batang" w:hAnsiTheme="majorHAnsi"/>
          <w:bCs/>
          <w:sz w:val="20"/>
          <w:szCs w:val="20"/>
          <w:bdr w:val="none" w:sz="0" w:space="0" w:color="auto"/>
          <w:lang w:val="es-ES"/>
        </w:rPr>
        <w:t>revisión de despido</w:t>
      </w:r>
      <w:r w:rsidRPr="00A32A43">
        <w:rPr>
          <w:rFonts w:asciiTheme="majorHAnsi" w:eastAsia="Batang" w:hAnsiTheme="majorHAnsi"/>
          <w:bCs/>
          <w:sz w:val="20"/>
          <w:szCs w:val="20"/>
          <w:bdr w:val="none" w:sz="0" w:space="0" w:color="auto"/>
          <w:lang w:val="es-ES"/>
        </w:rPr>
        <w:t xml:space="preserve"> y </w:t>
      </w:r>
      <w:r w:rsidR="004D45C9" w:rsidRPr="00A32A43">
        <w:rPr>
          <w:rFonts w:asciiTheme="majorHAnsi" w:eastAsia="Batang" w:hAnsiTheme="majorHAnsi"/>
          <w:bCs/>
          <w:sz w:val="20"/>
          <w:szCs w:val="20"/>
          <w:bdr w:val="none" w:sz="0" w:space="0" w:color="auto"/>
          <w:lang w:val="es-ES"/>
        </w:rPr>
        <w:t xml:space="preserve">que </w:t>
      </w:r>
      <w:r w:rsidRPr="00A32A43">
        <w:rPr>
          <w:rFonts w:asciiTheme="majorHAnsi" w:eastAsia="Batang" w:hAnsiTheme="majorHAnsi"/>
          <w:bCs/>
          <w:sz w:val="20"/>
          <w:szCs w:val="20"/>
          <w:bdr w:val="none" w:sz="0" w:space="0" w:color="auto"/>
          <w:lang w:val="es-ES"/>
        </w:rPr>
        <w:t xml:space="preserve">el 14 de junio de 1996 el Juzgado Primero de Trabajo y Previsión Social examinó el asunto y declaró sin lugar la demanda. Según los peticionarios, el tribunal no </w:t>
      </w:r>
      <w:r w:rsidR="00205B6C" w:rsidRPr="00A32A43">
        <w:rPr>
          <w:rFonts w:asciiTheme="majorHAnsi" w:eastAsia="Batang" w:hAnsiTheme="majorHAnsi"/>
          <w:bCs/>
          <w:sz w:val="20"/>
          <w:szCs w:val="20"/>
          <w:bdr w:val="none" w:sz="0" w:space="0" w:color="auto"/>
          <w:lang w:val="es-ES"/>
        </w:rPr>
        <w:t>analizó</w:t>
      </w:r>
      <w:r w:rsidRPr="00A32A43">
        <w:rPr>
          <w:rFonts w:asciiTheme="majorHAnsi" w:eastAsia="Batang" w:hAnsiTheme="majorHAnsi"/>
          <w:bCs/>
          <w:sz w:val="20"/>
          <w:szCs w:val="20"/>
          <w:bdr w:val="none" w:sz="0" w:space="0" w:color="auto"/>
          <w:lang w:val="es-ES"/>
        </w:rPr>
        <w:t xml:space="preserve"> las pruebas aportadas por las presuntas víctimas </w:t>
      </w:r>
      <w:r w:rsidR="00C25EB3" w:rsidRPr="00A32A43">
        <w:rPr>
          <w:rFonts w:asciiTheme="majorHAnsi" w:eastAsia="Batang" w:hAnsiTheme="majorHAnsi"/>
          <w:bCs/>
          <w:sz w:val="20"/>
          <w:szCs w:val="20"/>
          <w:bdr w:val="none" w:sz="0" w:space="0" w:color="auto"/>
          <w:lang w:val="es-ES"/>
        </w:rPr>
        <w:t>para demostrar</w:t>
      </w:r>
      <w:r w:rsidRPr="00A32A43">
        <w:rPr>
          <w:rFonts w:asciiTheme="majorHAnsi" w:eastAsia="Batang" w:hAnsiTheme="majorHAnsi"/>
          <w:bCs/>
          <w:sz w:val="20"/>
          <w:szCs w:val="20"/>
          <w:bdr w:val="none" w:sz="0" w:space="0" w:color="auto"/>
          <w:lang w:val="es-ES"/>
        </w:rPr>
        <w:t xml:space="preserve"> que estaban traba</w:t>
      </w:r>
      <w:r w:rsidR="004D45C9" w:rsidRPr="00A32A43">
        <w:rPr>
          <w:rFonts w:asciiTheme="majorHAnsi" w:eastAsia="Batang" w:hAnsiTheme="majorHAnsi"/>
          <w:bCs/>
          <w:sz w:val="20"/>
          <w:szCs w:val="20"/>
          <w:bdr w:val="none" w:sz="0" w:space="0" w:color="auto"/>
          <w:lang w:val="es-ES"/>
        </w:rPr>
        <w:t>jando al momento de la huelga. Indican que e</w:t>
      </w:r>
      <w:r w:rsidRPr="00A32A43">
        <w:rPr>
          <w:rFonts w:asciiTheme="majorHAnsi" w:eastAsia="Batang" w:hAnsiTheme="majorHAnsi"/>
          <w:bCs/>
          <w:sz w:val="20"/>
          <w:szCs w:val="20"/>
          <w:bdr w:val="none" w:sz="0" w:space="0" w:color="auto"/>
          <w:lang w:val="es-ES"/>
        </w:rPr>
        <w:t xml:space="preserve">l 26 de mayo de 1997 la Sala Segunda de la Corte de Apelaciones </w:t>
      </w:r>
      <w:r w:rsidR="00205B6C" w:rsidRPr="00A32A43">
        <w:rPr>
          <w:rFonts w:asciiTheme="majorHAnsi" w:eastAsia="Batang" w:hAnsiTheme="majorHAnsi"/>
          <w:bCs/>
          <w:sz w:val="20"/>
          <w:szCs w:val="20"/>
          <w:bdr w:val="none" w:sz="0" w:space="0" w:color="auto"/>
          <w:lang w:val="es-ES"/>
        </w:rPr>
        <w:t>confirmó</w:t>
      </w:r>
      <w:r w:rsidRPr="00A32A43">
        <w:rPr>
          <w:rFonts w:asciiTheme="majorHAnsi" w:eastAsia="Batang" w:hAnsiTheme="majorHAnsi"/>
          <w:bCs/>
          <w:sz w:val="20"/>
          <w:szCs w:val="20"/>
          <w:bdr w:val="none" w:sz="0" w:space="0" w:color="auto"/>
          <w:lang w:val="es-ES"/>
        </w:rPr>
        <w:t xml:space="preserve"> la decisión sin analizar prueba. Frente a </w:t>
      </w:r>
      <w:r w:rsidR="004D45C9" w:rsidRPr="00A32A43">
        <w:rPr>
          <w:rFonts w:asciiTheme="majorHAnsi" w:eastAsia="Batang" w:hAnsiTheme="majorHAnsi"/>
          <w:bCs/>
          <w:sz w:val="20"/>
          <w:szCs w:val="20"/>
          <w:bdr w:val="none" w:sz="0" w:space="0" w:color="auto"/>
          <w:lang w:val="es-ES"/>
        </w:rPr>
        <w:t>esta denegatoria</w:t>
      </w:r>
      <w:r w:rsidRPr="00A32A43">
        <w:rPr>
          <w:rFonts w:asciiTheme="majorHAnsi" w:eastAsia="Batang" w:hAnsiTheme="majorHAnsi"/>
          <w:bCs/>
          <w:sz w:val="20"/>
          <w:szCs w:val="20"/>
          <w:bdr w:val="none" w:sz="0" w:space="0" w:color="auto"/>
          <w:lang w:val="es-ES"/>
        </w:rPr>
        <w:t xml:space="preserve"> las presuntas víctimas presentaron recurso de amparo</w:t>
      </w:r>
      <w:r w:rsidR="004D45C9" w:rsidRPr="00A32A43">
        <w:rPr>
          <w:rFonts w:asciiTheme="majorHAnsi" w:eastAsia="Batang" w:hAnsiTheme="majorHAnsi"/>
          <w:bCs/>
          <w:sz w:val="20"/>
          <w:szCs w:val="20"/>
          <w:bdr w:val="none" w:sz="0" w:space="0" w:color="auto"/>
          <w:lang w:val="es-ES"/>
        </w:rPr>
        <w:t>, el cual fue rechazado por</w:t>
      </w:r>
      <w:r w:rsidRPr="00A32A43">
        <w:rPr>
          <w:rFonts w:asciiTheme="majorHAnsi" w:eastAsia="Batang" w:hAnsiTheme="majorHAnsi"/>
          <w:bCs/>
          <w:sz w:val="20"/>
          <w:szCs w:val="20"/>
          <w:bdr w:val="none" w:sz="0" w:space="0" w:color="auto"/>
          <w:lang w:val="es-ES"/>
        </w:rPr>
        <w:t xml:space="preserve"> la Corte Suprema el 12 de octubre de 1997</w:t>
      </w:r>
      <w:r w:rsidR="00F155F8" w:rsidRPr="00A32A43">
        <w:rPr>
          <w:rFonts w:asciiTheme="majorHAnsi" w:eastAsia="Batang" w:hAnsiTheme="majorHAnsi"/>
          <w:bCs/>
          <w:sz w:val="20"/>
          <w:szCs w:val="20"/>
          <w:bdr w:val="none" w:sz="0" w:space="0" w:color="auto"/>
          <w:lang w:val="es-ES"/>
        </w:rPr>
        <w:t xml:space="preserve">. Interpusieron un recurso de apelación en contra de dicha sentencia, que fue rechazado por </w:t>
      </w:r>
      <w:r w:rsidR="0025154D" w:rsidRPr="00A32A43">
        <w:rPr>
          <w:rFonts w:asciiTheme="majorHAnsi" w:eastAsia="Batang" w:hAnsiTheme="majorHAnsi"/>
          <w:bCs/>
          <w:sz w:val="20"/>
          <w:szCs w:val="20"/>
          <w:bdr w:val="none" w:sz="0" w:space="0" w:color="auto"/>
          <w:lang w:val="es-ES"/>
        </w:rPr>
        <w:t>extemporaneidad</w:t>
      </w:r>
      <w:r w:rsidR="00F155F8" w:rsidRPr="00A32A43">
        <w:rPr>
          <w:rFonts w:asciiTheme="majorHAnsi" w:eastAsia="Batang" w:hAnsiTheme="majorHAnsi"/>
          <w:bCs/>
          <w:sz w:val="20"/>
          <w:szCs w:val="20"/>
          <w:bdr w:val="none" w:sz="0" w:space="0" w:color="auto"/>
          <w:lang w:val="es-ES"/>
        </w:rPr>
        <w:t xml:space="preserve"> el 7 de noviembre de 1997</w:t>
      </w:r>
      <w:r w:rsidR="00D73DA7" w:rsidRPr="00A32A43">
        <w:rPr>
          <w:rFonts w:asciiTheme="majorHAnsi" w:eastAsia="Batang" w:hAnsiTheme="majorHAnsi"/>
          <w:bCs/>
          <w:sz w:val="20"/>
          <w:szCs w:val="20"/>
          <w:bdr w:val="none" w:sz="0" w:space="0" w:color="auto"/>
          <w:lang w:val="es-ES"/>
        </w:rPr>
        <w:t>,</w:t>
      </w:r>
      <w:r w:rsidR="002F01D7" w:rsidRPr="00A32A43">
        <w:rPr>
          <w:rFonts w:asciiTheme="majorHAnsi" w:eastAsia="Batang" w:hAnsiTheme="majorHAnsi"/>
          <w:bCs/>
          <w:sz w:val="20"/>
          <w:szCs w:val="20"/>
          <w:bdr w:val="none" w:sz="0" w:space="0" w:color="auto"/>
          <w:lang w:val="es-ES"/>
        </w:rPr>
        <w:t xml:space="preserve"> </w:t>
      </w:r>
      <w:r w:rsidR="00D73DA7" w:rsidRPr="00A32A43">
        <w:rPr>
          <w:rFonts w:asciiTheme="majorHAnsi" w:eastAsia="Batang" w:hAnsiTheme="majorHAnsi"/>
          <w:bCs/>
          <w:sz w:val="20"/>
          <w:szCs w:val="20"/>
          <w:bdr w:val="none" w:sz="0" w:space="0" w:color="auto"/>
          <w:lang w:val="es-ES"/>
        </w:rPr>
        <w:t xml:space="preserve">por lo que presentaron un </w:t>
      </w:r>
      <w:r w:rsidR="00B92FCD" w:rsidRPr="00A32A43">
        <w:rPr>
          <w:rFonts w:asciiTheme="majorHAnsi" w:eastAsia="Batang" w:hAnsiTheme="majorHAnsi"/>
          <w:bCs/>
          <w:sz w:val="20"/>
          <w:szCs w:val="20"/>
          <w:bdr w:val="none" w:sz="0" w:space="0" w:color="auto"/>
          <w:lang w:val="es-ES"/>
        </w:rPr>
        <w:t>o</w:t>
      </w:r>
      <w:r w:rsidRPr="00A32A43">
        <w:rPr>
          <w:rFonts w:asciiTheme="majorHAnsi" w:eastAsia="Batang" w:hAnsiTheme="majorHAnsi"/>
          <w:bCs/>
          <w:sz w:val="20"/>
          <w:szCs w:val="20"/>
          <w:bdr w:val="none" w:sz="0" w:space="0" w:color="auto"/>
          <w:lang w:val="es-ES"/>
        </w:rPr>
        <w:t>curso de hecho ante la Corte de Constitucionalidad</w:t>
      </w:r>
      <w:r w:rsidR="00C25611" w:rsidRPr="00A32A43">
        <w:rPr>
          <w:rFonts w:asciiTheme="majorHAnsi" w:eastAsia="Batang" w:hAnsiTheme="majorHAnsi"/>
          <w:bCs/>
          <w:sz w:val="20"/>
          <w:szCs w:val="20"/>
          <w:bdr w:val="none" w:sz="0" w:space="0" w:color="auto"/>
          <w:lang w:val="es-ES"/>
        </w:rPr>
        <w:t>,</w:t>
      </w:r>
      <w:r w:rsidRPr="00A32A43">
        <w:rPr>
          <w:rFonts w:asciiTheme="majorHAnsi" w:eastAsia="Batang" w:hAnsiTheme="majorHAnsi"/>
          <w:bCs/>
          <w:sz w:val="20"/>
          <w:szCs w:val="20"/>
          <w:bdr w:val="none" w:sz="0" w:space="0" w:color="auto"/>
          <w:lang w:val="es-ES"/>
        </w:rPr>
        <w:t xml:space="preserve"> </w:t>
      </w:r>
      <w:r w:rsidR="00DB537B" w:rsidRPr="00A32A43">
        <w:rPr>
          <w:rFonts w:asciiTheme="majorHAnsi" w:eastAsia="Batang" w:hAnsiTheme="majorHAnsi"/>
          <w:bCs/>
          <w:sz w:val="20"/>
          <w:szCs w:val="20"/>
          <w:bdr w:val="none" w:sz="0" w:space="0" w:color="auto"/>
          <w:lang w:val="es-ES"/>
        </w:rPr>
        <w:t>el cual</w:t>
      </w:r>
      <w:r w:rsidRPr="00A32A43">
        <w:rPr>
          <w:rFonts w:asciiTheme="majorHAnsi" w:eastAsia="Batang" w:hAnsiTheme="majorHAnsi"/>
          <w:bCs/>
          <w:sz w:val="20"/>
          <w:szCs w:val="20"/>
          <w:bdr w:val="none" w:sz="0" w:space="0" w:color="auto"/>
          <w:lang w:val="es-ES"/>
        </w:rPr>
        <w:t xml:space="preserve"> fue rechazado el 19 de diciembre de 1997 y </w:t>
      </w:r>
      <w:r w:rsidR="00DB537B" w:rsidRPr="00A32A43">
        <w:rPr>
          <w:rFonts w:asciiTheme="majorHAnsi" w:eastAsia="Batang" w:hAnsiTheme="majorHAnsi"/>
          <w:bCs/>
          <w:sz w:val="20"/>
          <w:szCs w:val="20"/>
          <w:bdr w:val="none" w:sz="0" w:space="0" w:color="auto"/>
          <w:lang w:val="es-ES"/>
        </w:rPr>
        <w:t>notificado</w:t>
      </w:r>
      <w:r w:rsidRPr="00A32A43">
        <w:rPr>
          <w:rFonts w:asciiTheme="majorHAnsi" w:eastAsia="Batang" w:hAnsiTheme="majorHAnsi"/>
          <w:bCs/>
          <w:sz w:val="20"/>
          <w:szCs w:val="20"/>
          <w:bdr w:val="none" w:sz="0" w:space="0" w:color="auto"/>
          <w:lang w:val="es-ES"/>
        </w:rPr>
        <w:t xml:space="preserve"> el 29 de diciembre de 1997.</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Según los peticionarios, los tribunales interpretaron el artículo 244 del Código de Trabajo </w:t>
      </w:r>
      <w:r w:rsidR="00DB537B" w:rsidRPr="00A32A43">
        <w:rPr>
          <w:rFonts w:asciiTheme="majorHAnsi" w:eastAsia="Batang" w:hAnsiTheme="majorHAnsi"/>
          <w:bCs/>
          <w:sz w:val="20"/>
          <w:szCs w:val="20"/>
          <w:bdr w:val="none" w:sz="0" w:space="0" w:color="auto"/>
          <w:lang w:val="es-ES"/>
        </w:rPr>
        <w:t xml:space="preserve">en el sentido </w:t>
      </w:r>
      <w:r w:rsidRPr="00A32A43">
        <w:rPr>
          <w:rFonts w:asciiTheme="majorHAnsi" w:eastAsia="Batang" w:hAnsiTheme="majorHAnsi"/>
          <w:bCs/>
          <w:sz w:val="20"/>
          <w:szCs w:val="20"/>
          <w:bdr w:val="none" w:sz="0" w:space="0" w:color="auto"/>
          <w:lang w:val="es-ES"/>
        </w:rPr>
        <w:t>que el patrono no necesitaba, antes de despedirlos, probar que las presuntas víctimas participaron en la huelga ni era necesario darles una audiencia para determinar su participación. Según los peticionarios, en opinión de</w:t>
      </w:r>
      <w:r w:rsidR="000B697C" w:rsidRPr="00A32A43">
        <w:rPr>
          <w:rFonts w:asciiTheme="majorHAnsi" w:eastAsia="Batang" w:hAnsiTheme="majorHAnsi"/>
          <w:bCs/>
          <w:sz w:val="20"/>
          <w:szCs w:val="20"/>
          <w:bdr w:val="none" w:sz="0" w:space="0" w:color="auto"/>
          <w:lang w:val="es-ES"/>
        </w:rPr>
        <w:t xml:space="preserve"> </w:t>
      </w:r>
      <w:r w:rsidRPr="00A32A43">
        <w:rPr>
          <w:rFonts w:asciiTheme="majorHAnsi" w:eastAsia="Batang" w:hAnsiTheme="majorHAnsi"/>
          <w:bCs/>
          <w:sz w:val="20"/>
          <w:szCs w:val="20"/>
          <w:bdr w:val="none" w:sz="0" w:space="0" w:color="auto"/>
          <w:lang w:val="es-ES"/>
        </w:rPr>
        <w:t>l</w:t>
      </w:r>
      <w:r w:rsidR="000B697C" w:rsidRPr="00A32A43">
        <w:rPr>
          <w:rFonts w:asciiTheme="majorHAnsi" w:eastAsia="Batang" w:hAnsiTheme="majorHAnsi"/>
          <w:bCs/>
          <w:sz w:val="20"/>
          <w:szCs w:val="20"/>
          <w:bdr w:val="none" w:sz="0" w:space="0" w:color="auto"/>
          <w:lang w:val="es-ES"/>
        </w:rPr>
        <w:t>os tribunales</w:t>
      </w:r>
      <w:r w:rsidRPr="00A32A43">
        <w:rPr>
          <w:rFonts w:asciiTheme="majorHAnsi" w:eastAsia="Batang" w:hAnsiTheme="majorHAnsi"/>
          <w:bCs/>
          <w:sz w:val="20"/>
          <w:szCs w:val="20"/>
          <w:bdr w:val="none" w:sz="0" w:space="0" w:color="auto"/>
          <w:lang w:val="es-ES"/>
        </w:rPr>
        <w:t xml:space="preserve">, el patrono </w:t>
      </w:r>
      <w:r w:rsidR="00DB537B" w:rsidRPr="00A32A43">
        <w:rPr>
          <w:rFonts w:asciiTheme="majorHAnsi" w:eastAsia="Batang" w:hAnsiTheme="majorHAnsi"/>
          <w:bCs/>
          <w:sz w:val="20"/>
          <w:szCs w:val="20"/>
          <w:bdr w:val="none" w:sz="0" w:space="0" w:color="auto"/>
          <w:lang w:val="es-ES"/>
        </w:rPr>
        <w:t>tendría el</w:t>
      </w:r>
      <w:r w:rsidRPr="00A32A43">
        <w:rPr>
          <w:rFonts w:asciiTheme="majorHAnsi" w:eastAsia="Batang" w:hAnsiTheme="majorHAnsi"/>
          <w:bCs/>
          <w:sz w:val="20"/>
          <w:szCs w:val="20"/>
          <w:bdr w:val="none" w:sz="0" w:space="0" w:color="auto"/>
          <w:lang w:val="es-ES"/>
        </w:rPr>
        <w:t xml:space="preserve"> derecho absoluto </w:t>
      </w:r>
      <w:r w:rsidR="00DB537B" w:rsidRPr="00A32A43">
        <w:rPr>
          <w:rFonts w:asciiTheme="majorHAnsi" w:eastAsia="Batang" w:hAnsiTheme="majorHAnsi"/>
          <w:bCs/>
          <w:sz w:val="20"/>
          <w:szCs w:val="20"/>
          <w:bdr w:val="none" w:sz="0" w:space="0" w:color="auto"/>
          <w:lang w:val="es-ES"/>
        </w:rPr>
        <w:t>de</w:t>
      </w:r>
      <w:r w:rsidRPr="00A32A43">
        <w:rPr>
          <w:rFonts w:asciiTheme="majorHAnsi" w:eastAsia="Batang" w:hAnsiTheme="majorHAnsi"/>
          <w:bCs/>
          <w:sz w:val="20"/>
          <w:szCs w:val="20"/>
          <w:bdr w:val="none" w:sz="0" w:space="0" w:color="auto"/>
          <w:lang w:val="es-ES"/>
        </w:rPr>
        <w:t xml:space="preserve"> despedir</w:t>
      </w:r>
      <w:r w:rsidR="00DB537B" w:rsidRPr="00A32A43">
        <w:rPr>
          <w:rFonts w:asciiTheme="majorHAnsi" w:eastAsia="Batang" w:hAnsiTheme="majorHAnsi"/>
          <w:bCs/>
          <w:sz w:val="20"/>
          <w:szCs w:val="20"/>
          <w:bdr w:val="none" w:sz="0" w:space="0" w:color="auto"/>
          <w:lang w:val="es-ES"/>
        </w:rPr>
        <w:t xml:space="preserve"> a</w:t>
      </w:r>
      <w:r w:rsidRPr="00A32A43">
        <w:rPr>
          <w:rFonts w:asciiTheme="majorHAnsi" w:eastAsia="Batang" w:hAnsiTheme="majorHAnsi"/>
          <w:bCs/>
          <w:sz w:val="20"/>
          <w:szCs w:val="20"/>
          <w:bdr w:val="none" w:sz="0" w:space="0" w:color="auto"/>
          <w:lang w:val="es-ES"/>
        </w:rPr>
        <w:t xml:space="preserve"> cualquier persona que él opine forma parte de una huelga. Alegan que no hay ningún mecanismo o requisito en la ley que establezca la necesidad de probar el involucramiento de los trabajadores en la huelga. Asimismo señalan que el Código de Trabajo no contiene recursos que permitan a las presuntas víctimas apelar sus despidos.</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Indican que por lo anterior, el Estado violó los artículos 8 y 25 de la Convención Americana, en relación con los artículos 1.1 y 2 de dicho instrumento, por la denegación del debido proceso durante los recursos internos ya que </w:t>
      </w:r>
      <w:r w:rsidR="00C25EB3" w:rsidRPr="00A32A43">
        <w:rPr>
          <w:rFonts w:asciiTheme="majorHAnsi" w:eastAsia="Batang" w:hAnsiTheme="majorHAnsi"/>
          <w:bCs/>
          <w:sz w:val="20"/>
          <w:szCs w:val="20"/>
          <w:bdr w:val="none" w:sz="0" w:space="0" w:color="auto"/>
          <w:lang w:val="es-ES"/>
        </w:rPr>
        <w:t>nunca fueron oídos ni se revisaron</w:t>
      </w:r>
      <w:r w:rsidRPr="00A32A43">
        <w:rPr>
          <w:rFonts w:asciiTheme="majorHAnsi" w:eastAsia="Batang" w:hAnsiTheme="majorHAnsi"/>
          <w:bCs/>
          <w:sz w:val="20"/>
          <w:szCs w:val="20"/>
          <w:bdr w:val="none" w:sz="0" w:space="0" w:color="auto"/>
          <w:lang w:val="es-ES"/>
        </w:rPr>
        <w:t xml:space="preserve"> las pruebas presentadas respecto de su </w:t>
      </w:r>
      <w:r w:rsidR="00364BB4" w:rsidRPr="00A32A43">
        <w:rPr>
          <w:rFonts w:asciiTheme="majorHAnsi" w:eastAsia="Batang" w:hAnsiTheme="majorHAnsi"/>
          <w:bCs/>
          <w:sz w:val="20"/>
          <w:szCs w:val="20"/>
          <w:bdr w:val="none" w:sz="0" w:space="0" w:color="auto"/>
          <w:lang w:val="es-ES"/>
        </w:rPr>
        <w:t>no participación en la huelga.</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Respecto al agotamiento de recursos internos, indican que las presuntas víctimas no produjeron pruebas durante el incidente de declaratoria de ilegalidad porque como no participaron en la huelga, n</w:t>
      </w:r>
      <w:r w:rsidR="00C25EB3" w:rsidRPr="00A32A43">
        <w:rPr>
          <w:rFonts w:asciiTheme="majorHAnsi" w:eastAsia="Batang" w:hAnsiTheme="majorHAnsi"/>
          <w:bCs/>
          <w:sz w:val="20"/>
          <w:szCs w:val="20"/>
          <w:bdr w:val="none" w:sz="0" w:space="0" w:color="auto"/>
          <w:lang w:val="es-ES"/>
        </w:rPr>
        <w:t>o sabían que les era aplicable.</w:t>
      </w:r>
      <w:r w:rsidRPr="00A32A43">
        <w:rPr>
          <w:rFonts w:asciiTheme="majorHAnsi" w:eastAsia="Batang" w:hAnsiTheme="majorHAnsi"/>
          <w:bCs/>
          <w:sz w:val="20"/>
          <w:szCs w:val="20"/>
          <w:bdr w:val="none" w:sz="0" w:space="0" w:color="auto"/>
          <w:lang w:val="es-ES"/>
        </w:rPr>
        <w:t xml:space="preserve"> Asimismo, no fueron notificad</w:t>
      </w:r>
      <w:r w:rsidR="002C49C8" w:rsidRPr="00A32A43">
        <w:rPr>
          <w:rFonts w:asciiTheme="majorHAnsi" w:eastAsia="Batang" w:hAnsiTheme="majorHAnsi"/>
          <w:bCs/>
          <w:sz w:val="20"/>
          <w:szCs w:val="20"/>
          <w:bdr w:val="none" w:sz="0" w:space="0" w:color="auto"/>
          <w:lang w:val="es-ES"/>
        </w:rPr>
        <w:t>a</w:t>
      </w:r>
      <w:r w:rsidRPr="00A32A43">
        <w:rPr>
          <w:rFonts w:asciiTheme="majorHAnsi" w:eastAsia="Batang" w:hAnsiTheme="majorHAnsi"/>
          <w:bCs/>
          <w:sz w:val="20"/>
          <w:szCs w:val="20"/>
          <w:bdr w:val="none" w:sz="0" w:space="0" w:color="auto"/>
          <w:lang w:val="es-ES"/>
        </w:rPr>
        <w:t xml:space="preserve">s de las resoluciones dictadas por la Corte de Apelaciones en el trámite de dicho incidente, y sólo tomaron conocimiento que dicho incidente les afectaba cuando recibieron los Acuerdos de Terminación de labores a fines de abril de 1991. </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Los peticionarios indican además que desde que interpusieron la petición realizaron diversas gestiones para obtener copia de los expedientes judiciales y encontraron múltiples dificultades por parte de las autoridades para acceder a los mismos. Indican que recién en el </w:t>
      </w:r>
      <w:r w:rsidR="00205B6C" w:rsidRPr="00A32A43">
        <w:rPr>
          <w:rFonts w:asciiTheme="majorHAnsi" w:eastAsia="Batang" w:hAnsiTheme="majorHAnsi"/>
          <w:bCs/>
          <w:sz w:val="20"/>
          <w:szCs w:val="20"/>
          <w:bdr w:val="none" w:sz="0" w:space="0" w:color="auto"/>
          <w:lang w:val="es-ES"/>
        </w:rPr>
        <w:t xml:space="preserve">año </w:t>
      </w:r>
      <w:r w:rsidRPr="00A32A43">
        <w:rPr>
          <w:rFonts w:asciiTheme="majorHAnsi" w:eastAsia="Batang" w:hAnsiTheme="majorHAnsi"/>
          <w:bCs/>
          <w:sz w:val="20"/>
          <w:szCs w:val="20"/>
          <w:bdr w:val="none" w:sz="0" w:space="0" w:color="auto"/>
          <w:lang w:val="es-ES"/>
        </w:rPr>
        <w:t>2007 accedieron al expediente del incidente de ilegalidad.</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Asimismo, los peticionarios alegan que cuando las presuntas víctimas buscaron otros empleos, tanto en el ámbito público como privado, </w:t>
      </w:r>
      <w:r w:rsidR="00205B6C" w:rsidRPr="00A32A43">
        <w:rPr>
          <w:rFonts w:asciiTheme="majorHAnsi" w:eastAsia="Batang" w:hAnsiTheme="majorHAnsi"/>
          <w:bCs/>
          <w:sz w:val="20"/>
          <w:szCs w:val="20"/>
          <w:bdr w:val="none" w:sz="0" w:space="0" w:color="auto"/>
          <w:lang w:val="es-ES"/>
        </w:rPr>
        <w:t>recibieron</w:t>
      </w:r>
      <w:r w:rsidRPr="00A32A43">
        <w:rPr>
          <w:rFonts w:asciiTheme="majorHAnsi" w:eastAsia="Batang" w:hAnsiTheme="majorHAnsi"/>
          <w:bCs/>
          <w:sz w:val="20"/>
          <w:szCs w:val="20"/>
          <w:bdr w:val="none" w:sz="0" w:space="0" w:color="auto"/>
          <w:lang w:val="es-ES"/>
        </w:rPr>
        <w:t xml:space="preserve"> referencias </w:t>
      </w:r>
      <w:r w:rsidR="00205B6C" w:rsidRPr="00A32A43">
        <w:rPr>
          <w:rFonts w:asciiTheme="majorHAnsi" w:eastAsia="Batang" w:hAnsiTheme="majorHAnsi"/>
          <w:bCs/>
          <w:sz w:val="20"/>
          <w:szCs w:val="20"/>
          <w:bdr w:val="none" w:sz="0" w:space="0" w:color="auto"/>
          <w:lang w:val="es-ES"/>
        </w:rPr>
        <w:t>negativas</w:t>
      </w:r>
      <w:r w:rsidRPr="00A32A43">
        <w:rPr>
          <w:rFonts w:asciiTheme="majorHAnsi" w:eastAsia="Batang" w:hAnsiTheme="majorHAnsi"/>
          <w:bCs/>
          <w:sz w:val="20"/>
          <w:szCs w:val="20"/>
          <w:bdr w:val="none" w:sz="0" w:space="0" w:color="auto"/>
          <w:lang w:val="es-ES"/>
        </w:rPr>
        <w:t xml:space="preserve"> por parte del IGSS que les impidió trabajar</w:t>
      </w:r>
      <w:r w:rsidR="00DB537B" w:rsidRPr="00A32A43">
        <w:rPr>
          <w:rFonts w:asciiTheme="majorHAnsi" w:eastAsia="Batang" w:hAnsiTheme="majorHAnsi"/>
          <w:bCs/>
          <w:sz w:val="20"/>
          <w:szCs w:val="20"/>
          <w:bdr w:val="none" w:sz="0" w:space="0" w:color="auto"/>
          <w:lang w:val="es-ES"/>
        </w:rPr>
        <w:t xml:space="preserve">, lo que habría afectado nuevamente </w:t>
      </w:r>
      <w:r w:rsidRPr="00A32A43">
        <w:rPr>
          <w:rFonts w:asciiTheme="majorHAnsi" w:eastAsia="Batang" w:hAnsiTheme="majorHAnsi"/>
          <w:bCs/>
          <w:sz w:val="20"/>
          <w:szCs w:val="20"/>
          <w:bdr w:val="none" w:sz="0" w:space="0" w:color="auto"/>
          <w:lang w:val="es-ES"/>
        </w:rPr>
        <w:t>su derecho al trabajo.</w:t>
      </w:r>
    </w:p>
    <w:p w:rsidR="00C25EB3" w:rsidRPr="00A32A43" w:rsidRDefault="00C25EB3" w:rsidP="00A32A43">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p>
    <w:p w:rsidR="00426469" w:rsidRPr="00A32A43" w:rsidRDefault="00426469" w:rsidP="00A32A4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lang w:val="es-ES"/>
        </w:rPr>
      </w:pPr>
      <w:r w:rsidRPr="00A32A43">
        <w:rPr>
          <w:rFonts w:asciiTheme="majorHAnsi" w:eastAsia="Batang" w:hAnsiTheme="majorHAnsi"/>
          <w:b/>
          <w:bCs/>
          <w:sz w:val="20"/>
          <w:szCs w:val="20"/>
          <w:bdr w:val="none" w:sz="0" w:space="0" w:color="auto"/>
          <w:lang w:val="es-ES"/>
        </w:rPr>
        <w:t xml:space="preserve">B. </w:t>
      </w:r>
      <w:r w:rsidRPr="00A32A43">
        <w:rPr>
          <w:rFonts w:asciiTheme="majorHAnsi" w:eastAsia="Batang" w:hAnsiTheme="majorHAnsi"/>
          <w:b/>
          <w:bCs/>
          <w:sz w:val="20"/>
          <w:szCs w:val="20"/>
          <w:bdr w:val="none" w:sz="0" w:space="0" w:color="auto"/>
          <w:lang w:val="es-ES"/>
        </w:rPr>
        <w:tab/>
      </w:r>
      <w:r w:rsidR="00C774C3" w:rsidRPr="00A32A43">
        <w:rPr>
          <w:rFonts w:asciiTheme="majorHAnsi" w:eastAsia="Batang" w:hAnsiTheme="majorHAnsi"/>
          <w:b/>
          <w:bCs/>
          <w:sz w:val="20"/>
          <w:szCs w:val="20"/>
          <w:bdr w:val="none" w:sz="0" w:space="0" w:color="auto"/>
          <w:lang w:val="es-UY"/>
        </w:rPr>
        <w:t>Posición del Estado</w:t>
      </w:r>
      <w:r w:rsidRPr="00A32A43">
        <w:rPr>
          <w:rFonts w:asciiTheme="majorHAnsi" w:eastAsia="Batang" w:hAnsiTheme="majorHAnsi"/>
          <w:b/>
          <w:bCs/>
          <w:sz w:val="20"/>
          <w:szCs w:val="20"/>
          <w:bdr w:val="none" w:sz="0" w:space="0" w:color="auto"/>
          <w:lang w:val="es-ES"/>
        </w:rPr>
        <w:t xml:space="preserve"> </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El Estado solicita que la petición sea declarada inadmisible porque </w:t>
      </w:r>
      <w:r w:rsidR="00DB537B" w:rsidRPr="00A32A43">
        <w:rPr>
          <w:rFonts w:asciiTheme="majorHAnsi" w:eastAsia="Batang" w:hAnsiTheme="majorHAnsi"/>
          <w:bCs/>
          <w:sz w:val="20"/>
          <w:szCs w:val="20"/>
          <w:bdr w:val="none" w:sz="0" w:space="0" w:color="auto"/>
          <w:lang w:val="es-ES"/>
        </w:rPr>
        <w:t>a su juicio la misma no expone</w:t>
      </w:r>
      <w:r w:rsidRPr="00A32A43">
        <w:rPr>
          <w:rFonts w:asciiTheme="majorHAnsi" w:eastAsia="Batang" w:hAnsiTheme="majorHAnsi"/>
          <w:bCs/>
          <w:sz w:val="20"/>
          <w:szCs w:val="20"/>
          <w:bdr w:val="none" w:sz="0" w:space="0" w:color="auto"/>
          <w:lang w:val="es-ES"/>
        </w:rPr>
        <w:t xml:space="preserve"> hechos que </w:t>
      </w:r>
      <w:r w:rsidR="00DB537B" w:rsidRPr="00A32A43">
        <w:rPr>
          <w:rFonts w:asciiTheme="majorHAnsi" w:eastAsia="Batang" w:hAnsiTheme="majorHAnsi"/>
          <w:bCs/>
          <w:sz w:val="20"/>
          <w:szCs w:val="20"/>
          <w:bdr w:val="none" w:sz="0" w:space="0" w:color="auto"/>
          <w:lang w:val="es-ES"/>
        </w:rPr>
        <w:t>constituyan l</w:t>
      </w:r>
      <w:r w:rsidRPr="00A32A43">
        <w:rPr>
          <w:rFonts w:asciiTheme="majorHAnsi" w:eastAsia="Batang" w:hAnsiTheme="majorHAnsi"/>
          <w:bCs/>
          <w:sz w:val="20"/>
          <w:szCs w:val="20"/>
          <w:bdr w:val="none" w:sz="0" w:space="0" w:color="auto"/>
          <w:lang w:val="es-ES"/>
        </w:rPr>
        <w:t>a violación de derechos garantizados en la Convención Americana.</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1D7BB0" w:rsidRPr="00A32A43" w:rsidRDefault="00DB537B"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A</w:t>
      </w:r>
      <w:r w:rsidR="00426469" w:rsidRPr="00A32A43">
        <w:rPr>
          <w:rFonts w:asciiTheme="majorHAnsi" w:eastAsia="Batang" w:hAnsiTheme="majorHAnsi"/>
          <w:bCs/>
          <w:sz w:val="20"/>
          <w:szCs w:val="20"/>
          <w:bdr w:val="none" w:sz="0" w:space="0" w:color="auto"/>
          <w:lang w:val="es-ES"/>
        </w:rPr>
        <w:t xml:space="preserve">lega que el IGSS </w:t>
      </w:r>
      <w:r w:rsidR="00205B6C" w:rsidRPr="00A32A43">
        <w:rPr>
          <w:rFonts w:asciiTheme="majorHAnsi" w:eastAsia="Batang" w:hAnsiTheme="majorHAnsi"/>
          <w:bCs/>
          <w:sz w:val="20"/>
          <w:szCs w:val="20"/>
          <w:bdr w:val="none" w:sz="0" w:space="0" w:color="auto"/>
          <w:lang w:val="es-ES"/>
        </w:rPr>
        <w:t>cumplió con</w:t>
      </w:r>
      <w:r w:rsidR="00426469" w:rsidRPr="00A32A43">
        <w:rPr>
          <w:rFonts w:asciiTheme="majorHAnsi" w:eastAsia="Batang" w:hAnsiTheme="majorHAnsi"/>
          <w:bCs/>
          <w:sz w:val="20"/>
          <w:szCs w:val="20"/>
          <w:bdr w:val="none" w:sz="0" w:space="0" w:color="auto"/>
          <w:lang w:val="es-ES"/>
        </w:rPr>
        <w:t xml:space="preserve"> </w:t>
      </w:r>
      <w:r w:rsidRPr="00A32A43">
        <w:rPr>
          <w:rFonts w:asciiTheme="majorHAnsi" w:eastAsia="Batang" w:hAnsiTheme="majorHAnsi"/>
          <w:bCs/>
          <w:sz w:val="20"/>
          <w:szCs w:val="20"/>
          <w:bdr w:val="none" w:sz="0" w:space="0" w:color="auto"/>
          <w:lang w:val="es-ES"/>
        </w:rPr>
        <w:t>el</w:t>
      </w:r>
      <w:r w:rsidR="00426469" w:rsidRPr="00A32A43">
        <w:rPr>
          <w:rFonts w:asciiTheme="majorHAnsi" w:eastAsia="Batang" w:hAnsiTheme="majorHAnsi"/>
          <w:bCs/>
          <w:sz w:val="20"/>
          <w:szCs w:val="20"/>
          <w:bdr w:val="none" w:sz="0" w:space="0" w:color="auto"/>
          <w:lang w:val="es-ES"/>
        </w:rPr>
        <w:t xml:space="preserve"> debido proceso para proceder al despido de las presuntas víctimas que participaron en </w:t>
      </w:r>
      <w:r w:rsidR="003B2800" w:rsidRPr="00A32A43">
        <w:rPr>
          <w:rFonts w:asciiTheme="majorHAnsi" w:eastAsia="Batang" w:hAnsiTheme="majorHAnsi"/>
          <w:bCs/>
          <w:sz w:val="20"/>
          <w:szCs w:val="20"/>
          <w:bdr w:val="none" w:sz="0" w:space="0" w:color="auto"/>
          <w:lang w:val="es-ES"/>
        </w:rPr>
        <w:t>una</w:t>
      </w:r>
      <w:r w:rsidR="00426469" w:rsidRPr="00A32A43">
        <w:rPr>
          <w:rFonts w:asciiTheme="majorHAnsi" w:eastAsia="Batang" w:hAnsiTheme="majorHAnsi"/>
          <w:bCs/>
          <w:sz w:val="20"/>
          <w:szCs w:val="20"/>
          <w:bdr w:val="none" w:sz="0" w:space="0" w:color="auto"/>
          <w:lang w:val="es-ES"/>
        </w:rPr>
        <w:t xml:space="preserve"> huelga que fue declarada judicialmente ilegal. Afirma que </w:t>
      </w:r>
      <w:r w:rsidR="003B2800" w:rsidRPr="00A32A43">
        <w:rPr>
          <w:rFonts w:asciiTheme="majorHAnsi" w:eastAsia="Batang" w:hAnsiTheme="majorHAnsi"/>
          <w:bCs/>
          <w:sz w:val="20"/>
          <w:szCs w:val="20"/>
          <w:bdr w:val="none" w:sz="0" w:space="0" w:color="auto"/>
          <w:lang w:val="es-ES"/>
        </w:rPr>
        <w:t>la</w:t>
      </w:r>
      <w:r w:rsidR="00426469" w:rsidRPr="00A32A43">
        <w:rPr>
          <w:rFonts w:asciiTheme="majorHAnsi" w:eastAsia="Batang" w:hAnsiTheme="majorHAnsi"/>
          <w:bCs/>
          <w:sz w:val="20"/>
          <w:szCs w:val="20"/>
          <w:bdr w:val="none" w:sz="0" w:space="0" w:color="auto"/>
          <w:lang w:val="es-ES"/>
        </w:rPr>
        <w:t xml:space="preserve"> participación </w:t>
      </w:r>
      <w:r w:rsidR="003B2800" w:rsidRPr="00A32A43">
        <w:rPr>
          <w:rFonts w:asciiTheme="majorHAnsi" w:eastAsia="Batang" w:hAnsiTheme="majorHAnsi"/>
          <w:bCs/>
          <w:sz w:val="20"/>
          <w:szCs w:val="20"/>
          <w:bdr w:val="none" w:sz="0" w:space="0" w:color="auto"/>
          <w:lang w:val="es-ES"/>
        </w:rPr>
        <w:t xml:space="preserve">de las presuntas </w:t>
      </w:r>
      <w:r w:rsidR="001D7BB0" w:rsidRPr="00A32A43">
        <w:rPr>
          <w:rFonts w:asciiTheme="majorHAnsi" w:eastAsia="Batang" w:hAnsiTheme="majorHAnsi"/>
          <w:bCs/>
          <w:sz w:val="20"/>
          <w:szCs w:val="20"/>
          <w:bdr w:val="none" w:sz="0" w:space="0" w:color="auto"/>
          <w:lang w:val="es-ES"/>
        </w:rPr>
        <w:t>víctimas</w:t>
      </w:r>
      <w:r w:rsidR="003B2800" w:rsidRPr="00A32A43">
        <w:rPr>
          <w:rFonts w:asciiTheme="majorHAnsi" w:eastAsia="Batang" w:hAnsiTheme="majorHAnsi"/>
          <w:bCs/>
          <w:sz w:val="20"/>
          <w:szCs w:val="20"/>
          <w:bdr w:val="none" w:sz="0" w:space="0" w:color="auto"/>
          <w:lang w:val="es-ES"/>
        </w:rPr>
        <w:t xml:space="preserve"> </w:t>
      </w:r>
      <w:r w:rsidR="00426469" w:rsidRPr="00A32A43">
        <w:rPr>
          <w:rFonts w:asciiTheme="majorHAnsi" w:eastAsia="Batang" w:hAnsiTheme="majorHAnsi"/>
          <w:bCs/>
          <w:sz w:val="20"/>
          <w:szCs w:val="20"/>
          <w:bdr w:val="none" w:sz="0" w:space="0" w:color="auto"/>
          <w:lang w:val="es-ES"/>
        </w:rPr>
        <w:t xml:space="preserve">en la huelga quedó demostrada en las actas administrativas incorporadas al proceso y el reconocimiento judicial efectuado por el Juez Tercero de Trabajo y Previsión Social, que mediante un recorrido en las diferentes zonas laborales del IGSS, </w:t>
      </w:r>
      <w:r w:rsidR="00205B6C" w:rsidRPr="00A32A43">
        <w:rPr>
          <w:rFonts w:asciiTheme="majorHAnsi" w:eastAsia="Batang" w:hAnsiTheme="majorHAnsi"/>
          <w:bCs/>
          <w:sz w:val="20"/>
          <w:szCs w:val="20"/>
          <w:bdr w:val="none" w:sz="0" w:space="0" w:color="auto"/>
          <w:lang w:val="es-ES"/>
        </w:rPr>
        <w:t>estableció</w:t>
      </w:r>
      <w:r w:rsidR="00426469" w:rsidRPr="00A32A43">
        <w:rPr>
          <w:rFonts w:asciiTheme="majorHAnsi" w:eastAsia="Batang" w:hAnsiTheme="majorHAnsi"/>
          <w:bCs/>
          <w:sz w:val="20"/>
          <w:szCs w:val="20"/>
          <w:bdr w:val="none" w:sz="0" w:space="0" w:color="auto"/>
          <w:lang w:val="es-ES"/>
        </w:rPr>
        <w:t xml:space="preserve"> la ausencia de personal en sus labores, y </w:t>
      </w:r>
      <w:r w:rsidR="00426469" w:rsidRPr="00A32A43">
        <w:rPr>
          <w:rFonts w:asciiTheme="majorHAnsi" w:eastAsia="Batang" w:hAnsiTheme="majorHAnsi"/>
          <w:bCs/>
          <w:sz w:val="20"/>
          <w:szCs w:val="20"/>
          <w:bdr w:val="none" w:sz="0" w:space="0" w:color="auto"/>
          <w:lang w:val="es-ES"/>
        </w:rPr>
        <w:lastRenderedPageBreak/>
        <w:t>observ</w:t>
      </w:r>
      <w:r w:rsidR="00205B6C" w:rsidRPr="00A32A43">
        <w:rPr>
          <w:rFonts w:asciiTheme="majorHAnsi" w:eastAsia="Batang" w:hAnsiTheme="majorHAnsi"/>
          <w:bCs/>
          <w:sz w:val="20"/>
          <w:szCs w:val="20"/>
          <w:bdr w:val="none" w:sz="0" w:space="0" w:color="auto"/>
          <w:lang w:val="es-ES"/>
        </w:rPr>
        <w:t>ó</w:t>
      </w:r>
      <w:r w:rsidR="00426469" w:rsidRPr="00A32A43">
        <w:rPr>
          <w:rFonts w:asciiTheme="majorHAnsi" w:eastAsia="Batang" w:hAnsiTheme="majorHAnsi"/>
          <w:bCs/>
          <w:sz w:val="20"/>
          <w:szCs w:val="20"/>
          <w:bdr w:val="none" w:sz="0" w:space="0" w:color="auto"/>
          <w:lang w:val="es-ES"/>
        </w:rPr>
        <w:t xml:space="preserve"> a trabajadores sentados sobre los escritorios sin trabajar. Asimismo, afirma que el IGSS elaboró actas y listados del personal </w:t>
      </w:r>
      <w:r w:rsidR="001E3939" w:rsidRPr="00A32A43">
        <w:rPr>
          <w:rFonts w:asciiTheme="majorHAnsi" w:eastAsia="Batang" w:hAnsiTheme="majorHAnsi"/>
          <w:bCs/>
          <w:sz w:val="20"/>
          <w:szCs w:val="20"/>
          <w:bdr w:val="none" w:sz="0" w:space="0" w:color="auto"/>
          <w:lang w:val="es-ES"/>
        </w:rPr>
        <w:t xml:space="preserve">que sí se encontraba laborando, no figurando en ellas los nombres de </w:t>
      </w:r>
      <w:r w:rsidR="002F4C63" w:rsidRPr="00A32A43">
        <w:rPr>
          <w:rFonts w:asciiTheme="majorHAnsi" w:eastAsia="Batang" w:hAnsiTheme="majorHAnsi"/>
          <w:bCs/>
          <w:sz w:val="20"/>
          <w:szCs w:val="20"/>
          <w:bdr w:val="none" w:sz="0" w:space="0" w:color="auto"/>
          <w:lang w:val="es-ES"/>
        </w:rPr>
        <w:t>las presuntas víctimas</w:t>
      </w:r>
      <w:r w:rsidR="001E3939" w:rsidRPr="00A32A43">
        <w:rPr>
          <w:rFonts w:asciiTheme="majorHAnsi" w:eastAsia="Batang" w:hAnsiTheme="majorHAnsi"/>
          <w:bCs/>
          <w:sz w:val="20"/>
          <w:szCs w:val="20"/>
          <w:bdr w:val="none" w:sz="0" w:space="0" w:color="auto"/>
          <w:lang w:val="es-ES"/>
        </w:rPr>
        <w:t xml:space="preserve"> del presente caso.</w:t>
      </w:r>
      <w:r w:rsidR="001D7BB0" w:rsidRPr="00A32A43">
        <w:rPr>
          <w:rFonts w:asciiTheme="majorHAnsi" w:eastAsia="Batang" w:hAnsiTheme="majorHAnsi"/>
          <w:bCs/>
          <w:sz w:val="20"/>
          <w:szCs w:val="20"/>
          <w:bdr w:val="none" w:sz="0" w:space="0" w:color="auto"/>
          <w:lang w:val="es-ES"/>
        </w:rPr>
        <w:t xml:space="preserve"> En consecuencia,</w:t>
      </w:r>
      <w:r w:rsidR="00426469" w:rsidRPr="00A32A43">
        <w:rPr>
          <w:rFonts w:asciiTheme="majorHAnsi" w:eastAsia="Batang" w:hAnsiTheme="majorHAnsi"/>
          <w:bCs/>
          <w:sz w:val="20"/>
          <w:szCs w:val="20"/>
          <w:bdr w:val="none" w:sz="0" w:space="0" w:color="auto"/>
          <w:lang w:val="es-ES"/>
        </w:rPr>
        <w:t xml:space="preserve"> el IGSS procedió a cancelar la relación laboral de las personas que participaron en la huelga. </w:t>
      </w:r>
    </w:p>
    <w:p w:rsidR="001D7BB0" w:rsidRPr="00A32A43" w:rsidRDefault="001D7BB0" w:rsidP="00A32A43">
      <w:pPr>
        <w:pStyle w:val="ListParagraph"/>
        <w:rPr>
          <w:rFonts w:asciiTheme="majorHAnsi" w:eastAsia="Batang" w:hAnsiTheme="majorHAnsi"/>
          <w:bCs/>
          <w:sz w:val="20"/>
          <w:szCs w:val="20"/>
          <w:bdr w:val="none" w:sz="0" w:space="0" w:color="auto"/>
          <w:lang w:val="es-ES"/>
        </w:rPr>
      </w:pPr>
    </w:p>
    <w:p w:rsidR="00426469" w:rsidRPr="00A32A43" w:rsidRDefault="001D7BB0"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El Estado </w:t>
      </w:r>
      <w:r w:rsidR="00205B6C" w:rsidRPr="00A32A43">
        <w:rPr>
          <w:rFonts w:asciiTheme="majorHAnsi" w:eastAsia="Batang" w:hAnsiTheme="majorHAnsi"/>
          <w:bCs/>
          <w:sz w:val="20"/>
          <w:szCs w:val="20"/>
          <w:bdr w:val="none" w:sz="0" w:space="0" w:color="auto"/>
          <w:lang w:val="es-ES"/>
        </w:rPr>
        <w:t>afirma</w:t>
      </w:r>
      <w:r w:rsidR="00426469" w:rsidRPr="00A32A43">
        <w:rPr>
          <w:rFonts w:asciiTheme="majorHAnsi" w:eastAsia="Batang" w:hAnsiTheme="majorHAnsi"/>
          <w:bCs/>
          <w:sz w:val="20"/>
          <w:szCs w:val="20"/>
          <w:bdr w:val="none" w:sz="0" w:space="0" w:color="auto"/>
          <w:lang w:val="es-ES"/>
        </w:rPr>
        <w:t xml:space="preserve"> que, tanto el IGSS co</w:t>
      </w:r>
      <w:r w:rsidRPr="00A32A43">
        <w:rPr>
          <w:rFonts w:asciiTheme="majorHAnsi" w:eastAsia="Batang" w:hAnsiTheme="majorHAnsi"/>
          <w:bCs/>
          <w:sz w:val="20"/>
          <w:szCs w:val="20"/>
          <w:bdr w:val="none" w:sz="0" w:space="0" w:color="auto"/>
          <w:lang w:val="es-ES"/>
        </w:rPr>
        <w:t>mo los órganos jurisdiccionales</w:t>
      </w:r>
      <w:r w:rsidR="00426469" w:rsidRPr="00A32A43">
        <w:rPr>
          <w:rFonts w:asciiTheme="majorHAnsi" w:eastAsia="Batang" w:hAnsiTheme="majorHAnsi"/>
          <w:bCs/>
          <w:sz w:val="20"/>
          <w:szCs w:val="20"/>
          <w:bdr w:val="none" w:sz="0" w:space="0" w:color="auto"/>
          <w:lang w:val="es-ES"/>
        </w:rPr>
        <w:t xml:space="preserve"> actuaron de conformidad con el ordenamiento jurídico interno.</w:t>
      </w:r>
      <w:r w:rsidR="0025154D" w:rsidRPr="00A32A43">
        <w:rPr>
          <w:rFonts w:asciiTheme="majorHAnsi" w:eastAsia="Batang" w:hAnsiTheme="majorHAnsi"/>
          <w:bCs/>
          <w:sz w:val="20"/>
          <w:szCs w:val="20"/>
          <w:bdr w:val="none" w:sz="0" w:space="0" w:color="auto"/>
          <w:lang w:val="es-ES"/>
        </w:rPr>
        <w:t xml:space="preserve"> Agrega que el IGSS demostr</w:t>
      </w:r>
      <w:r w:rsidR="00205B6C" w:rsidRPr="00A32A43">
        <w:rPr>
          <w:rFonts w:asciiTheme="majorHAnsi" w:eastAsia="Batang" w:hAnsiTheme="majorHAnsi"/>
          <w:bCs/>
          <w:sz w:val="20"/>
          <w:szCs w:val="20"/>
          <w:bdr w:val="none" w:sz="0" w:space="0" w:color="auto"/>
          <w:lang w:val="es-ES"/>
        </w:rPr>
        <w:t>ó</w:t>
      </w:r>
      <w:r w:rsidR="0025154D" w:rsidRPr="00A32A43">
        <w:rPr>
          <w:rFonts w:asciiTheme="majorHAnsi" w:eastAsia="Batang" w:hAnsiTheme="majorHAnsi"/>
          <w:bCs/>
          <w:sz w:val="20"/>
          <w:szCs w:val="20"/>
          <w:bdr w:val="none" w:sz="0" w:space="0" w:color="auto"/>
          <w:lang w:val="es-ES"/>
        </w:rPr>
        <w:t xml:space="preserve"> actuar en buena fe, al conceder a los trabajadores despedidos la totalidad de sus prestaciones</w:t>
      </w:r>
      <w:r w:rsidR="00281CE6" w:rsidRPr="00A32A43">
        <w:rPr>
          <w:rFonts w:asciiTheme="majorHAnsi" w:eastAsia="Batang" w:hAnsiTheme="majorHAnsi"/>
          <w:bCs/>
          <w:sz w:val="20"/>
          <w:szCs w:val="20"/>
          <w:bdr w:val="none" w:sz="0" w:space="0" w:color="auto"/>
          <w:lang w:val="es-ES"/>
        </w:rPr>
        <w:t xml:space="preserve"> e indemnizaciones</w:t>
      </w:r>
      <w:r w:rsidR="0025154D" w:rsidRPr="00A32A43">
        <w:rPr>
          <w:rFonts w:asciiTheme="majorHAnsi" w:eastAsia="Batang" w:hAnsiTheme="majorHAnsi"/>
          <w:bCs/>
          <w:sz w:val="20"/>
          <w:szCs w:val="20"/>
          <w:bdr w:val="none" w:sz="0" w:space="0" w:color="auto"/>
          <w:lang w:val="es-ES"/>
        </w:rPr>
        <w:t>, aun cuando el despido fue por causa justificada.</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En cuanto al agotamiento de los recursos de la jurisdicción interna, </w:t>
      </w:r>
      <w:r w:rsidR="001D7BB0" w:rsidRPr="00A32A43">
        <w:rPr>
          <w:rFonts w:asciiTheme="majorHAnsi" w:eastAsia="Batang" w:hAnsiTheme="majorHAnsi"/>
          <w:bCs/>
          <w:sz w:val="20"/>
          <w:szCs w:val="20"/>
          <w:bdr w:val="none" w:sz="0" w:space="0" w:color="auto"/>
          <w:lang w:val="es-ES"/>
        </w:rPr>
        <w:t xml:space="preserve">los datos que aporta el Estado </w:t>
      </w:r>
      <w:r w:rsidRPr="00A32A43">
        <w:rPr>
          <w:rFonts w:asciiTheme="majorHAnsi" w:eastAsia="Batang" w:hAnsiTheme="majorHAnsi"/>
          <w:bCs/>
          <w:sz w:val="20"/>
          <w:szCs w:val="20"/>
          <w:bdr w:val="none" w:sz="0" w:space="0" w:color="auto"/>
          <w:lang w:val="es-ES"/>
        </w:rPr>
        <w:t>coincide</w:t>
      </w:r>
      <w:r w:rsidR="001D7BB0" w:rsidRPr="00A32A43">
        <w:rPr>
          <w:rFonts w:asciiTheme="majorHAnsi" w:eastAsia="Batang" w:hAnsiTheme="majorHAnsi"/>
          <w:bCs/>
          <w:sz w:val="20"/>
          <w:szCs w:val="20"/>
          <w:bdr w:val="none" w:sz="0" w:space="0" w:color="auto"/>
          <w:lang w:val="es-ES"/>
        </w:rPr>
        <w:t>n</w:t>
      </w:r>
      <w:r w:rsidRPr="00A32A43">
        <w:rPr>
          <w:rFonts w:asciiTheme="majorHAnsi" w:eastAsia="Batang" w:hAnsiTheme="majorHAnsi"/>
          <w:bCs/>
          <w:sz w:val="20"/>
          <w:szCs w:val="20"/>
          <w:bdr w:val="none" w:sz="0" w:space="0" w:color="auto"/>
          <w:lang w:val="es-ES"/>
        </w:rPr>
        <w:t xml:space="preserve"> con la información aportada por los peticionarios respecto de los recursos interpuestos por las presuntas víctimas a nivel interno, pero controvierte el alegato que las presuntas víctimas no pudieron aportar prueba en el proceso. Indica que las presuntas víctimas tuvieron acceso al derecho a </w:t>
      </w:r>
      <w:r w:rsidR="00205B6C" w:rsidRPr="00A32A43">
        <w:rPr>
          <w:rFonts w:asciiTheme="majorHAnsi" w:eastAsia="Batang" w:hAnsiTheme="majorHAnsi"/>
          <w:bCs/>
          <w:sz w:val="20"/>
          <w:szCs w:val="20"/>
          <w:bdr w:val="none" w:sz="0" w:space="0" w:color="auto"/>
          <w:lang w:val="es-ES"/>
        </w:rPr>
        <w:t xml:space="preserve">la </w:t>
      </w:r>
      <w:r w:rsidRPr="00A32A43">
        <w:rPr>
          <w:rFonts w:asciiTheme="majorHAnsi" w:eastAsia="Batang" w:hAnsiTheme="majorHAnsi"/>
          <w:bCs/>
          <w:sz w:val="20"/>
          <w:szCs w:val="20"/>
          <w:bdr w:val="none" w:sz="0" w:space="0" w:color="auto"/>
          <w:lang w:val="es-ES"/>
        </w:rPr>
        <w:t>defensa y la oportunidad de aportar prueba y refutar los argumentos de la parte patronal durante el incidente de declaratoria de ileg</w:t>
      </w:r>
      <w:r w:rsidR="001D7BB0" w:rsidRPr="00A32A43">
        <w:rPr>
          <w:rFonts w:asciiTheme="majorHAnsi" w:eastAsia="Batang" w:hAnsiTheme="majorHAnsi"/>
          <w:bCs/>
          <w:sz w:val="20"/>
          <w:szCs w:val="20"/>
          <w:bdr w:val="none" w:sz="0" w:space="0" w:color="auto"/>
          <w:lang w:val="es-ES"/>
        </w:rPr>
        <w:t xml:space="preserve">alidad de la huelga. Asimismo, sostiene que </w:t>
      </w:r>
      <w:r w:rsidR="00205B6C" w:rsidRPr="00A32A43">
        <w:rPr>
          <w:rFonts w:asciiTheme="majorHAnsi" w:eastAsia="Batang" w:hAnsiTheme="majorHAnsi"/>
          <w:bCs/>
          <w:sz w:val="20"/>
          <w:szCs w:val="20"/>
          <w:bdr w:val="none" w:sz="0" w:space="0" w:color="auto"/>
          <w:lang w:val="es-ES"/>
        </w:rPr>
        <w:t>tuvieron</w:t>
      </w:r>
      <w:r w:rsidRPr="00A32A43">
        <w:rPr>
          <w:rFonts w:asciiTheme="majorHAnsi" w:eastAsia="Batang" w:hAnsiTheme="majorHAnsi"/>
          <w:bCs/>
          <w:sz w:val="20"/>
          <w:szCs w:val="20"/>
          <w:bdr w:val="none" w:sz="0" w:space="0" w:color="auto"/>
          <w:lang w:val="es-ES"/>
        </w:rPr>
        <w:t xml:space="preserve"> acceso a todos los recursos internos que las leyes guatemaltecas </w:t>
      </w:r>
      <w:r w:rsidR="001D7BB0" w:rsidRPr="00A32A43">
        <w:rPr>
          <w:rFonts w:asciiTheme="majorHAnsi" w:eastAsia="Batang" w:hAnsiTheme="majorHAnsi"/>
          <w:bCs/>
          <w:sz w:val="20"/>
          <w:szCs w:val="20"/>
          <w:bdr w:val="none" w:sz="0" w:space="0" w:color="auto"/>
          <w:lang w:val="es-ES"/>
        </w:rPr>
        <w:t>establecen</w:t>
      </w:r>
      <w:r w:rsidRPr="00A32A43">
        <w:rPr>
          <w:rFonts w:asciiTheme="majorHAnsi" w:eastAsia="Batang" w:hAnsiTheme="majorHAnsi"/>
          <w:bCs/>
          <w:sz w:val="20"/>
          <w:szCs w:val="20"/>
          <w:bdr w:val="none" w:sz="0" w:space="0" w:color="auto"/>
          <w:lang w:val="es-ES"/>
        </w:rPr>
        <w:t>, tanto ordinarios como extraordinarios. Según el Estado, el hecho que</w:t>
      </w:r>
      <w:r w:rsidR="00787E43" w:rsidRPr="00A32A43">
        <w:rPr>
          <w:rFonts w:asciiTheme="majorHAnsi" w:eastAsia="Batang" w:hAnsiTheme="majorHAnsi"/>
          <w:bCs/>
          <w:sz w:val="20"/>
          <w:szCs w:val="20"/>
          <w:bdr w:val="none" w:sz="0" w:space="0" w:color="auto"/>
          <w:lang w:val="es-ES"/>
        </w:rPr>
        <w:t xml:space="preserve"> el resultado de</w:t>
      </w:r>
      <w:r w:rsidRPr="00A32A43">
        <w:rPr>
          <w:rFonts w:asciiTheme="majorHAnsi" w:eastAsia="Batang" w:hAnsiTheme="majorHAnsi"/>
          <w:bCs/>
          <w:sz w:val="20"/>
          <w:szCs w:val="20"/>
          <w:bdr w:val="none" w:sz="0" w:space="0" w:color="auto"/>
          <w:lang w:val="es-ES"/>
        </w:rPr>
        <w:t xml:space="preserve"> los recursos judiciales pre</w:t>
      </w:r>
      <w:r w:rsidR="00203214" w:rsidRPr="00A32A43">
        <w:rPr>
          <w:rFonts w:asciiTheme="majorHAnsi" w:eastAsia="Batang" w:hAnsiTheme="majorHAnsi"/>
          <w:bCs/>
          <w:sz w:val="20"/>
          <w:szCs w:val="20"/>
          <w:bdr w:val="none" w:sz="0" w:space="0" w:color="auto"/>
          <w:lang w:val="es-ES"/>
        </w:rPr>
        <w:t>sentados les fuera desfavorable</w:t>
      </w:r>
      <w:r w:rsidRPr="00A32A43">
        <w:rPr>
          <w:rFonts w:asciiTheme="majorHAnsi" w:eastAsia="Batang" w:hAnsiTheme="majorHAnsi"/>
          <w:bCs/>
          <w:sz w:val="20"/>
          <w:szCs w:val="20"/>
          <w:bdr w:val="none" w:sz="0" w:space="0" w:color="auto"/>
          <w:lang w:val="es-ES"/>
        </w:rPr>
        <w:t xml:space="preserve">, no significa que no se haya </w:t>
      </w:r>
      <w:r w:rsidR="001D7BB0" w:rsidRPr="00A32A43">
        <w:rPr>
          <w:rFonts w:asciiTheme="majorHAnsi" w:eastAsia="Batang" w:hAnsiTheme="majorHAnsi"/>
          <w:bCs/>
          <w:sz w:val="20"/>
          <w:szCs w:val="20"/>
          <w:bdr w:val="none" w:sz="0" w:space="0" w:color="auto"/>
          <w:lang w:val="es-ES"/>
        </w:rPr>
        <w:t>respetado el</w:t>
      </w:r>
      <w:r w:rsidRPr="00A32A43">
        <w:rPr>
          <w:rFonts w:asciiTheme="majorHAnsi" w:eastAsia="Batang" w:hAnsiTheme="majorHAnsi"/>
          <w:bCs/>
          <w:sz w:val="20"/>
          <w:szCs w:val="20"/>
          <w:bdr w:val="none" w:sz="0" w:space="0" w:color="auto"/>
          <w:lang w:val="es-ES"/>
        </w:rPr>
        <w:t xml:space="preserve"> debido proceso. Por ello, afirma que </w:t>
      </w:r>
      <w:r w:rsidR="002C49C8" w:rsidRPr="00A32A43">
        <w:rPr>
          <w:rFonts w:asciiTheme="majorHAnsi" w:eastAsia="Batang" w:hAnsiTheme="majorHAnsi"/>
          <w:bCs/>
          <w:sz w:val="20"/>
          <w:szCs w:val="20"/>
          <w:bdr w:val="none" w:sz="0" w:space="0" w:color="auto"/>
          <w:lang w:val="es-ES"/>
        </w:rPr>
        <w:t xml:space="preserve">los hechos alegados </w:t>
      </w:r>
      <w:r w:rsidRPr="00A32A43">
        <w:rPr>
          <w:rFonts w:asciiTheme="majorHAnsi" w:eastAsia="Batang" w:hAnsiTheme="majorHAnsi"/>
          <w:bCs/>
          <w:sz w:val="20"/>
          <w:szCs w:val="20"/>
          <w:bdr w:val="none" w:sz="0" w:space="0" w:color="auto"/>
          <w:lang w:val="es-ES"/>
        </w:rPr>
        <w:t>no constituye</w:t>
      </w:r>
      <w:r w:rsidR="002C49C8" w:rsidRPr="00A32A43">
        <w:rPr>
          <w:rFonts w:asciiTheme="majorHAnsi" w:eastAsia="Batang" w:hAnsiTheme="majorHAnsi"/>
          <w:bCs/>
          <w:sz w:val="20"/>
          <w:szCs w:val="20"/>
          <w:bdr w:val="none" w:sz="0" w:space="0" w:color="auto"/>
          <w:lang w:val="es-ES"/>
        </w:rPr>
        <w:t>n</w:t>
      </w:r>
      <w:r w:rsidRPr="00A32A43">
        <w:rPr>
          <w:rFonts w:asciiTheme="majorHAnsi" w:eastAsia="Batang" w:hAnsiTheme="majorHAnsi"/>
          <w:bCs/>
          <w:sz w:val="20"/>
          <w:szCs w:val="20"/>
          <w:bdr w:val="none" w:sz="0" w:space="0" w:color="auto"/>
          <w:lang w:val="es-ES"/>
        </w:rPr>
        <w:t xml:space="preserve"> una violación a sus derechos constitucionales de audiencia y de acceso a recursos efectivos.</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lang w:val="es-ES"/>
        </w:rPr>
      </w:pPr>
      <w:r w:rsidRPr="00A32A43">
        <w:rPr>
          <w:rFonts w:asciiTheme="majorHAnsi" w:eastAsia="Batang" w:hAnsiTheme="majorHAnsi"/>
          <w:b/>
          <w:bCs/>
          <w:sz w:val="20"/>
          <w:szCs w:val="20"/>
          <w:bdr w:val="none" w:sz="0" w:space="0" w:color="auto"/>
          <w:lang w:val="es-ES"/>
        </w:rPr>
        <w:t>IV.</w:t>
      </w:r>
      <w:r w:rsidRPr="00A32A43">
        <w:rPr>
          <w:rFonts w:asciiTheme="majorHAnsi" w:eastAsia="Batang" w:hAnsiTheme="majorHAnsi"/>
          <w:b/>
          <w:bCs/>
          <w:sz w:val="20"/>
          <w:szCs w:val="20"/>
          <w:bdr w:val="none" w:sz="0" w:space="0" w:color="auto"/>
          <w:lang w:val="es-ES"/>
        </w:rPr>
        <w:tab/>
        <w:t>ANÁLISIS SOBRE COMPETENCIA Y ADMISIBILIDAD</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sz w:val="20"/>
          <w:szCs w:val="20"/>
          <w:bdr w:val="none" w:sz="0" w:space="0" w:color="auto"/>
          <w:lang w:val="es-ES"/>
        </w:rPr>
      </w:pPr>
    </w:p>
    <w:p w:rsidR="00426469" w:rsidRPr="00A32A43" w:rsidRDefault="00426469" w:rsidP="00A32A43">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 w:val="num" w:pos="1440"/>
        </w:tabs>
        <w:ind w:left="0" w:firstLine="720"/>
        <w:jc w:val="both"/>
        <w:rPr>
          <w:rFonts w:asciiTheme="majorHAnsi" w:eastAsia="Batang" w:hAnsiTheme="majorHAnsi" w:cs="Arial"/>
          <w:b/>
          <w:bCs/>
          <w:sz w:val="20"/>
          <w:szCs w:val="20"/>
          <w:bdr w:val="none" w:sz="0" w:space="0" w:color="auto"/>
          <w:lang w:val="es-ES"/>
        </w:rPr>
      </w:pPr>
      <w:r w:rsidRPr="00A32A43">
        <w:rPr>
          <w:rFonts w:asciiTheme="majorHAnsi" w:eastAsia="Batang" w:hAnsiTheme="majorHAnsi"/>
          <w:b/>
          <w:bCs/>
          <w:sz w:val="20"/>
          <w:szCs w:val="20"/>
          <w:bdr w:val="none" w:sz="0" w:space="0" w:color="auto"/>
          <w:lang w:val="es-ES"/>
        </w:rPr>
        <w:t xml:space="preserve">Competencia </w:t>
      </w:r>
    </w:p>
    <w:p w:rsidR="00426469" w:rsidRPr="00A32A43" w:rsidRDefault="00426469" w:rsidP="00A32A4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cs="Arial"/>
          <w:b/>
          <w:bCs/>
          <w:sz w:val="20"/>
          <w:szCs w:val="20"/>
          <w:bdr w:val="none" w:sz="0" w:space="0" w:color="auto"/>
          <w:lang w:val="es-ES"/>
        </w:rPr>
      </w:pPr>
    </w:p>
    <w:p w:rsidR="00426469" w:rsidRPr="00A32A43" w:rsidRDefault="00B044FB"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Lo</w:t>
      </w:r>
      <w:r w:rsidR="00426469" w:rsidRPr="00A32A43">
        <w:rPr>
          <w:rFonts w:asciiTheme="majorHAnsi" w:eastAsia="Batang" w:hAnsiTheme="majorHAnsi"/>
          <w:bCs/>
          <w:sz w:val="20"/>
          <w:szCs w:val="20"/>
          <w:bdr w:val="none" w:sz="0" w:space="0" w:color="auto"/>
          <w:lang w:val="es-ES"/>
        </w:rPr>
        <w:t>s petic</w:t>
      </w:r>
      <w:r w:rsidRPr="00A32A43">
        <w:rPr>
          <w:rFonts w:asciiTheme="majorHAnsi" w:eastAsia="Batang" w:hAnsiTheme="majorHAnsi"/>
          <w:bCs/>
          <w:sz w:val="20"/>
          <w:szCs w:val="20"/>
          <w:bdr w:val="none" w:sz="0" w:space="0" w:color="auto"/>
          <w:lang w:val="es-ES"/>
        </w:rPr>
        <w:t>ionarios se encuentran facultado</w:t>
      </w:r>
      <w:r w:rsidR="00426469" w:rsidRPr="00A32A43">
        <w:rPr>
          <w:rFonts w:asciiTheme="majorHAnsi" w:eastAsia="Batang" w:hAnsiTheme="majorHAnsi"/>
          <w:bCs/>
          <w:sz w:val="20"/>
          <w:szCs w:val="20"/>
          <w:bdr w:val="none" w:sz="0" w:space="0" w:color="auto"/>
          <w:lang w:val="es-ES"/>
        </w:rPr>
        <w:t>s, en principio, por el artículo 44 de la Convención Americana para presentar peticiones ante la Comisión.  La petición señala como presunta</w:t>
      </w:r>
      <w:r w:rsidRPr="00A32A43">
        <w:rPr>
          <w:rFonts w:asciiTheme="majorHAnsi" w:eastAsia="Batang" w:hAnsiTheme="majorHAnsi"/>
          <w:bCs/>
          <w:sz w:val="20"/>
          <w:szCs w:val="20"/>
          <w:bdr w:val="none" w:sz="0" w:space="0" w:color="auto"/>
          <w:lang w:val="es-ES"/>
        </w:rPr>
        <w:t>s</w:t>
      </w:r>
      <w:r w:rsidR="00426469" w:rsidRPr="00A32A43">
        <w:rPr>
          <w:rFonts w:asciiTheme="majorHAnsi" w:eastAsia="Batang" w:hAnsiTheme="majorHAnsi"/>
          <w:bCs/>
          <w:sz w:val="20"/>
          <w:szCs w:val="20"/>
          <w:bdr w:val="none" w:sz="0" w:space="0" w:color="auto"/>
          <w:lang w:val="es-ES"/>
        </w:rPr>
        <w:t xml:space="preserve"> víctima</w:t>
      </w:r>
      <w:r w:rsidRPr="00A32A43">
        <w:rPr>
          <w:rFonts w:asciiTheme="majorHAnsi" w:eastAsia="Batang" w:hAnsiTheme="majorHAnsi"/>
          <w:bCs/>
          <w:sz w:val="20"/>
          <w:szCs w:val="20"/>
          <w:bdr w:val="none" w:sz="0" w:space="0" w:color="auto"/>
          <w:lang w:val="es-ES"/>
        </w:rPr>
        <w:t>s</w:t>
      </w:r>
      <w:r w:rsidR="00426469" w:rsidRPr="00A32A43">
        <w:rPr>
          <w:rFonts w:asciiTheme="majorHAnsi" w:eastAsia="Batang" w:hAnsiTheme="majorHAnsi"/>
          <w:bCs/>
          <w:sz w:val="20"/>
          <w:szCs w:val="20"/>
          <w:bdr w:val="none" w:sz="0" w:space="0" w:color="auto"/>
          <w:lang w:val="es-ES"/>
        </w:rPr>
        <w:t xml:space="preserve"> a personas individuales, respecto de quienes el Estado de Guatemala se comprometió a respetar y garantizar los derechos consagrados en la Convención Americana. En lo concerniente al Estado, la Comisión señala que Guatemala es un Estado parte en la Convención Americana desde el 25 de mayo de 1978, fecha en la que depositó su instrumento de ratificación. Por lo tanto, la Comisión tiene competencia </w:t>
      </w:r>
      <w:r w:rsidR="00426469" w:rsidRPr="00A32A43">
        <w:rPr>
          <w:rFonts w:asciiTheme="majorHAnsi" w:eastAsia="Batang" w:hAnsiTheme="majorHAnsi"/>
          <w:bCs/>
          <w:i/>
          <w:iCs/>
          <w:sz w:val="20"/>
          <w:szCs w:val="20"/>
          <w:bdr w:val="none" w:sz="0" w:space="0" w:color="auto"/>
          <w:lang w:val="es-ES"/>
        </w:rPr>
        <w:t>ratione personae</w:t>
      </w:r>
      <w:r w:rsidR="00911AF7" w:rsidRPr="00A32A43">
        <w:rPr>
          <w:rFonts w:asciiTheme="majorHAnsi" w:eastAsia="Batang" w:hAnsiTheme="majorHAnsi"/>
          <w:bCs/>
          <w:sz w:val="20"/>
          <w:szCs w:val="20"/>
          <w:bdr w:val="none" w:sz="0" w:space="0" w:color="auto"/>
          <w:lang w:val="es-ES"/>
        </w:rPr>
        <w:t xml:space="preserve"> para examinar la petición.</w:t>
      </w:r>
      <w:r w:rsidR="00426469" w:rsidRPr="00A32A43">
        <w:rPr>
          <w:rFonts w:asciiTheme="majorHAnsi" w:eastAsia="Batang" w:hAnsiTheme="majorHAnsi"/>
          <w:bCs/>
          <w:sz w:val="20"/>
          <w:szCs w:val="20"/>
          <w:bdr w:val="none" w:sz="0" w:space="0" w:color="auto"/>
          <w:lang w:val="es-ES"/>
        </w:rPr>
        <w:t xml:space="preserve"> Asimismo, la Comisión tiene competencia </w:t>
      </w:r>
      <w:r w:rsidR="00426469" w:rsidRPr="00A32A43">
        <w:rPr>
          <w:rFonts w:asciiTheme="majorHAnsi" w:eastAsia="Batang" w:hAnsiTheme="majorHAnsi"/>
          <w:bCs/>
          <w:i/>
          <w:iCs/>
          <w:sz w:val="20"/>
          <w:szCs w:val="20"/>
          <w:bdr w:val="none" w:sz="0" w:space="0" w:color="auto"/>
          <w:lang w:val="es-ES"/>
        </w:rPr>
        <w:t>ratione loci</w:t>
      </w:r>
      <w:r w:rsidR="00426469" w:rsidRPr="00A32A43">
        <w:rPr>
          <w:rFonts w:asciiTheme="majorHAnsi" w:eastAsia="Batang" w:hAnsiTheme="majorHAnsi"/>
          <w:bCs/>
          <w:sz w:val="20"/>
          <w:szCs w:val="20"/>
          <w:bdr w:val="none" w:sz="0" w:space="0" w:color="auto"/>
          <w:lang w:val="es-ES"/>
        </w:rPr>
        <w:t xml:space="preserve"> para conocer la petición, por cuanto en ella se alegan violaciones de derechos protegidos en la Convención Americana que habrían tenido lugar dentro del territorio de Guatemala, </w:t>
      </w:r>
      <w:r w:rsidR="00911AF7" w:rsidRPr="00A32A43">
        <w:rPr>
          <w:rFonts w:asciiTheme="majorHAnsi" w:eastAsia="Batang" w:hAnsiTheme="majorHAnsi"/>
          <w:bCs/>
          <w:sz w:val="20"/>
          <w:szCs w:val="20"/>
          <w:bdr w:val="none" w:sz="0" w:space="0" w:color="auto"/>
          <w:lang w:val="es-ES"/>
        </w:rPr>
        <w:t xml:space="preserve">Estado Parte en dicho tratado. </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La Comisión tiene competencia </w:t>
      </w:r>
      <w:r w:rsidRPr="00A32A43">
        <w:rPr>
          <w:rFonts w:asciiTheme="majorHAnsi" w:eastAsia="Batang" w:hAnsiTheme="majorHAnsi"/>
          <w:bCs/>
          <w:i/>
          <w:iCs/>
          <w:sz w:val="20"/>
          <w:szCs w:val="20"/>
          <w:bdr w:val="none" w:sz="0" w:space="0" w:color="auto"/>
          <w:lang w:val="es-ES"/>
        </w:rPr>
        <w:t>ratione temporis</w:t>
      </w:r>
      <w:r w:rsidRPr="00A32A43">
        <w:rPr>
          <w:rFonts w:asciiTheme="majorHAnsi" w:eastAsia="Batang" w:hAnsiTheme="majorHAnsi"/>
          <w:bCs/>
          <w:sz w:val="20"/>
          <w:szCs w:val="20"/>
          <w:bdr w:val="none" w:sz="0" w:space="0" w:color="auto"/>
          <w:lang w:val="es-ES"/>
        </w:rPr>
        <w:t xml:space="preserve"> por cuanto la obligación de respetar y garantizar los derechos protegidos en la Convención Americana ya se encontraba en vigor para el Estado en la fecha en que habrían ocurrido los </w:t>
      </w:r>
      <w:r w:rsidR="00911AF7" w:rsidRPr="00A32A43">
        <w:rPr>
          <w:rFonts w:asciiTheme="majorHAnsi" w:eastAsia="Batang" w:hAnsiTheme="majorHAnsi"/>
          <w:bCs/>
          <w:sz w:val="20"/>
          <w:szCs w:val="20"/>
          <w:bdr w:val="none" w:sz="0" w:space="0" w:color="auto"/>
          <w:lang w:val="es-ES"/>
        </w:rPr>
        <w:t>hechos alegados en la petición.</w:t>
      </w:r>
      <w:r w:rsidRPr="00A32A43">
        <w:rPr>
          <w:rFonts w:asciiTheme="majorHAnsi" w:eastAsia="Batang" w:hAnsiTheme="majorHAnsi"/>
          <w:bCs/>
          <w:sz w:val="20"/>
          <w:szCs w:val="20"/>
          <w:bdr w:val="none" w:sz="0" w:space="0" w:color="auto"/>
          <w:lang w:val="es-ES"/>
        </w:rPr>
        <w:t xml:space="preserve"> Finalmente, la Comisión tiene competencia </w:t>
      </w:r>
      <w:r w:rsidRPr="00A32A43">
        <w:rPr>
          <w:rFonts w:asciiTheme="majorHAnsi" w:eastAsia="Batang" w:hAnsiTheme="majorHAnsi"/>
          <w:bCs/>
          <w:i/>
          <w:iCs/>
          <w:sz w:val="20"/>
          <w:szCs w:val="20"/>
          <w:bdr w:val="none" w:sz="0" w:space="0" w:color="auto"/>
          <w:lang w:val="es-ES"/>
        </w:rPr>
        <w:t>ratione materiae</w:t>
      </w:r>
      <w:r w:rsidRPr="00A32A43">
        <w:rPr>
          <w:rFonts w:asciiTheme="majorHAnsi" w:eastAsia="Batang" w:hAnsiTheme="majorHAnsi"/>
          <w:bCs/>
          <w:sz w:val="20"/>
          <w:szCs w:val="20"/>
          <w:bdr w:val="none" w:sz="0" w:space="0" w:color="auto"/>
          <w:lang w:val="es-ES"/>
        </w:rPr>
        <w:t>, porque en la petición se denuncian posibles violaciones a derechos humanos protegidos por la Convención Americana. </w:t>
      </w:r>
    </w:p>
    <w:p w:rsidR="00C25611" w:rsidRPr="00A32A43" w:rsidRDefault="00C25611" w:rsidP="00A32A43">
      <w:pPr>
        <w:pStyle w:val="ListParagraph"/>
        <w:ind w:left="0" w:firstLine="720"/>
        <w:jc w:val="both"/>
        <w:rPr>
          <w:rFonts w:asciiTheme="majorHAnsi" w:eastAsia="Batang" w:hAnsiTheme="majorHAnsi"/>
          <w:bCs/>
          <w:sz w:val="20"/>
          <w:szCs w:val="20"/>
          <w:bdr w:val="none" w:sz="0" w:space="0" w:color="auto"/>
          <w:lang w:val="es-ES"/>
        </w:rPr>
      </w:pPr>
    </w:p>
    <w:p w:rsidR="00426469" w:rsidRPr="00A32A43" w:rsidRDefault="00426469" w:rsidP="00A32A43">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 w:val="num" w:pos="1440"/>
        </w:tabs>
        <w:ind w:left="0" w:firstLine="720"/>
        <w:jc w:val="both"/>
        <w:outlineLvl w:val="1"/>
        <w:rPr>
          <w:rFonts w:asciiTheme="majorHAnsi" w:eastAsia="Batang" w:hAnsiTheme="majorHAnsi"/>
          <w:b/>
          <w:bCs/>
          <w:sz w:val="20"/>
          <w:szCs w:val="20"/>
          <w:bdr w:val="none" w:sz="0" w:space="0" w:color="auto"/>
          <w:lang w:val="es-ES"/>
        </w:rPr>
      </w:pPr>
      <w:r w:rsidRPr="00A32A43">
        <w:rPr>
          <w:rFonts w:asciiTheme="majorHAnsi" w:eastAsia="Batang" w:hAnsiTheme="majorHAnsi"/>
          <w:b/>
          <w:bCs/>
          <w:sz w:val="20"/>
          <w:szCs w:val="20"/>
          <w:bdr w:val="none" w:sz="0" w:space="0" w:color="auto"/>
          <w:lang w:val="es-ES"/>
        </w:rPr>
        <w:t>Requisitos de Admisibilidad</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sz w:val="20"/>
          <w:szCs w:val="20"/>
          <w:bdr w:val="none" w:sz="0" w:space="0" w:color="auto"/>
          <w:lang w:val="es-ES"/>
        </w:rPr>
      </w:pPr>
    </w:p>
    <w:p w:rsidR="00426469" w:rsidRPr="00A32A43" w:rsidRDefault="00426469" w:rsidP="00A32A43">
      <w:pPr>
        <w:pStyle w:val="ListParagraph"/>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510"/>
          <w:tab w:val="num" w:pos="1440"/>
        </w:tabs>
        <w:ind w:left="0" w:firstLine="720"/>
        <w:jc w:val="both"/>
        <w:rPr>
          <w:rFonts w:asciiTheme="majorHAnsi" w:eastAsia="Batang" w:hAnsiTheme="majorHAnsi"/>
          <w:b/>
          <w:sz w:val="20"/>
          <w:szCs w:val="20"/>
          <w:bdr w:val="none" w:sz="0" w:space="0" w:color="auto"/>
          <w:lang w:val="es-ES"/>
        </w:rPr>
      </w:pPr>
      <w:r w:rsidRPr="00A32A43">
        <w:rPr>
          <w:rFonts w:asciiTheme="majorHAnsi" w:eastAsia="Batang" w:hAnsiTheme="majorHAnsi"/>
          <w:b/>
          <w:sz w:val="20"/>
          <w:szCs w:val="20"/>
          <w:bdr w:val="none" w:sz="0" w:space="0" w:color="auto"/>
          <w:lang w:val="es-ES"/>
        </w:rPr>
        <w:t>Agotamiento de los recursos internos</w:t>
      </w:r>
    </w:p>
    <w:p w:rsidR="00C25611" w:rsidRPr="00A32A43" w:rsidRDefault="00C25611" w:rsidP="00A32A4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Batang" w:hAnsiTheme="majorHAnsi"/>
          <w:b/>
          <w:sz w:val="20"/>
          <w:szCs w:val="20"/>
          <w:bdr w:val="none" w:sz="0" w:space="0" w:color="auto"/>
          <w:lang w:val="es-ES"/>
        </w:rPr>
      </w:pPr>
    </w:p>
    <w:p w:rsidR="001C7BBC" w:rsidRPr="00A32A43" w:rsidRDefault="00E2218F"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PE"/>
        </w:rPr>
        <w:t>El artículo 46.1.a</w:t>
      </w:r>
      <w:r w:rsidR="001C7BBC" w:rsidRPr="00A32A43">
        <w:rPr>
          <w:rFonts w:asciiTheme="majorHAnsi" w:eastAsia="Batang" w:hAnsiTheme="majorHAnsi"/>
          <w:bCs/>
          <w:sz w:val="20"/>
          <w:szCs w:val="20"/>
          <w:bdr w:val="none" w:sz="0" w:space="0" w:color="auto"/>
          <w:lang w:val="es-PE"/>
        </w:rPr>
        <w:t xml:space="preserve">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001C7BBC" w:rsidRPr="00A32A43">
        <w:rPr>
          <w:rFonts w:asciiTheme="majorHAnsi" w:eastAsia="Batang" w:hAnsiTheme="majorHAnsi"/>
          <w:bCs/>
          <w:sz w:val="20"/>
          <w:szCs w:val="20"/>
          <w:bdr w:val="none" w:sz="0" w:space="0" w:color="auto"/>
          <w:lang w:val="es-UY"/>
        </w:rPr>
        <w:t xml:space="preserve">Este requisito tiene como objeto permitir que las autoridades nacionales conozcan sobre la supuesta violación de un derecho protegido y, de ser apropiado, solucionen la situación antes de que sea conocida por una instancia internacional. </w:t>
      </w:r>
    </w:p>
    <w:p w:rsidR="001C7BBC" w:rsidRPr="00A32A43" w:rsidRDefault="001C7BBC"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En el presente caso, no hay controversia respecto del agotamiento de los recursos </w:t>
      </w:r>
      <w:r w:rsidR="002C49C8" w:rsidRPr="00A32A43">
        <w:rPr>
          <w:rFonts w:asciiTheme="majorHAnsi" w:eastAsia="Batang" w:hAnsiTheme="majorHAnsi"/>
          <w:bCs/>
          <w:sz w:val="20"/>
          <w:szCs w:val="20"/>
          <w:bdr w:val="none" w:sz="0" w:space="0" w:color="auto"/>
          <w:lang w:val="es-ES"/>
        </w:rPr>
        <w:t>internos</w:t>
      </w:r>
      <w:r w:rsidRPr="00A32A43">
        <w:rPr>
          <w:rFonts w:asciiTheme="majorHAnsi" w:eastAsia="Batang" w:hAnsiTheme="majorHAnsi"/>
          <w:bCs/>
          <w:sz w:val="20"/>
          <w:szCs w:val="20"/>
          <w:bdr w:val="none" w:sz="0" w:space="0" w:color="auto"/>
          <w:lang w:val="es-ES"/>
        </w:rPr>
        <w:t xml:space="preserve">. Los peticionarios sostienen que agotaron todos los recursos mientras que el Estado afirma que las presuntas </w:t>
      </w:r>
      <w:r w:rsidRPr="00A32A43">
        <w:rPr>
          <w:rFonts w:asciiTheme="majorHAnsi" w:eastAsia="Batang" w:hAnsiTheme="majorHAnsi"/>
          <w:bCs/>
          <w:sz w:val="20"/>
          <w:szCs w:val="20"/>
          <w:bdr w:val="none" w:sz="0" w:space="0" w:color="auto"/>
          <w:lang w:val="es-ES"/>
        </w:rPr>
        <w:lastRenderedPageBreak/>
        <w:t>víctimas tuvieron acceso a todos los recursos previstos en la ley interna, tanto ordinarios como extraordinarios.</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bCs/>
          <w:sz w:val="20"/>
          <w:szCs w:val="20"/>
          <w:bdr w:val="none" w:sz="0" w:space="0" w:color="auto"/>
          <w:lang w:val="es-ES"/>
        </w:rPr>
      </w:pPr>
    </w:p>
    <w:p w:rsidR="001C7BBC"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En efecto, la CIDH observa que en abril de 1991, el IGSS promovió contra un grupo de trabajadores un incidente de ilegalidad de huelga. El 8 de abril de 1991 el Juzgado Cuarto de Trabajo declaró con lugar el incidente y el 11 de abril de 1991 la Sala Primera de la Corte de Apelaciones confirmó el fallo.</w:t>
      </w:r>
      <w:r w:rsidR="001C7BBC" w:rsidRPr="00A32A43">
        <w:rPr>
          <w:rFonts w:asciiTheme="majorHAnsi" w:eastAsia="Batang" w:hAnsiTheme="majorHAnsi"/>
          <w:bCs/>
          <w:sz w:val="20"/>
          <w:szCs w:val="20"/>
          <w:bdr w:val="none" w:sz="0" w:space="0" w:color="auto"/>
          <w:lang w:val="es-ES"/>
        </w:rPr>
        <w:t xml:space="preserve"> </w:t>
      </w:r>
      <w:r w:rsidRPr="00A32A43">
        <w:rPr>
          <w:rFonts w:asciiTheme="majorHAnsi" w:eastAsia="Batang" w:hAnsiTheme="majorHAnsi"/>
          <w:bCs/>
          <w:sz w:val="20"/>
          <w:szCs w:val="20"/>
          <w:bdr w:val="none" w:sz="0" w:space="0" w:color="auto"/>
          <w:lang w:val="es-ES"/>
        </w:rPr>
        <w:t xml:space="preserve">Las presuntas víctimas fueron despedidas por el IGSS y contra tales decisiones presentaron recursos de amparo que fueron acumulados y declarados sin lugar el 27 de julio de 1991 por la Sala Segunda de la Corte de Apelaciones. Esta decisión fue posteriormente confirmada por la Corte de Constitucionalidad el 11 de diciembre de 1991. </w:t>
      </w:r>
    </w:p>
    <w:p w:rsidR="001C7BBC" w:rsidRPr="00A32A43" w:rsidRDefault="001C7BBC" w:rsidP="00A32A43">
      <w:pPr>
        <w:pStyle w:val="ListParagraph"/>
        <w:ind w:left="0" w:firstLine="720"/>
        <w:jc w:val="both"/>
        <w:rPr>
          <w:rFonts w:asciiTheme="majorHAnsi" w:eastAsia="Batang" w:hAnsiTheme="majorHAnsi"/>
          <w:bCs/>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 xml:space="preserve">Asimismo, las presuntas víctimas promovieron juicio ordinario laboral de revisión de despido ante el Juzgado Primer de Trabajo y Previsión Social, </w:t>
      </w:r>
      <w:r w:rsidR="00203214" w:rsidRPr="00A32A43">
        <w:rPr>
          <w:rFonts w:asciiTheme="majorHAnsi" w:eastAsia="Batang" w:hAnsiTheme="majorHAnsi"/>
          <w:bCs/>
          <w:sz w:val="20"/>
          <w:szCs w:val="20"/>
          <w:bdr w:val="none" w:sz="0" w:space="0" w:color="auto"/>
          <w:lang w:val="es-ES"/>
        </w:rPr>
        <w:t>el cual mediante decisión del</w:t>
      </w:r>
      <w:r w:rsidRPr="00A32A43">
        <w:rPr>
          <w:rFonts w:asciiTheme="majorHAnsi" w:eastAsia="Batang" w:hAnsiTheme="majorHAnsi"/>
          <w:bCs/>
          <w:sz w:val="20"/>
          <w:szCs w:val="20"/>
          <w:bdr w:val="none" w:sz="0" w:space="0" w:color="auto"/>
          <w:lang w:val="es-ES"/>
        </w:rPr>
        <w:t xml:space="preserve"> 14 de junio de 1996 determinó sin lugar </w:t>
      </w:r>
      <w:r w:rsidR="00203214" w:rsidRPr="00A32A43">
        <w:rPr>
          <w:rFonts w:asciiTheme="majorHAnsi" w:eastAsia="Batang" w:hAnsiTheme="majorHAnsi"/>
          <w:bCs/>
          <w:sz w:val="20"/>
          <w:szCs w:val="20"/>
          <w:bdr w:val="none" w:sz="0" w:space="0" w:color="auto"/>
          <w:lang w:val="es-ES"/>
        </w:rPr>
        <w:t>dicha</w:t>
      </w:r>
      <w:r w:rsidRPr="00A32A43">
        <w:rPr>
          <w:rFonts w:asciiTheme="majorHAnsi" w:eastAsia="Batang" w:hAnsiTheme="majorHAnsi"/>
          <w:bCs/>
          <w:sz w:val="20"/>
          <w:szCs w:val="20"/>
          <w:bdr w:val="none" w:sz="0" w:space="0" w:color="auto"/>
          <w:lang w:val="es-ES"/>
        </w:rPr>
        <w:t xml:space="preserve"> demanda. </w:t>
      </w:r>
      <w:r w:rsidR="00203214" w:rsidRPr="00A32A43">
        <w:rPr>
          <w:rFonts w:asciiTheme="majorHAnsi" w:eastAsia="Batang" w:hAnsiTheme="majorHAnsi"/>
          <w:bCs/>
          <w:sz w:val="20"/>
          <w:szCs w:val="20"/>
          <w:bdr w:val="none" w:sz="0" w:space="0" w:color="auto"/>
          <w:lang w:val="es-ES"/>
        </w:rPr>
        <w:t>Esta</w:t>
      </w:r>
      <w:r w:rsidRPr="00A32A43">
        <w:rPr>
          <w:rFonts w:asciiTheme="majorHAnsi" w:eastAsia="Batang" w:hAnsiTheme="majorHAnsi"/>
          <w:bCs/>
          <w:sz w:val="20"/>
          <w:szCs w:val="20"/>
          <w:bdr w:val="none" w:sz="0" w:space="0" w:color="auto"/>
          <w:lang w:val="es-ES"/>
        </w:rPr>
        <w:t xml:space="preserve"> decisión fue confirmada el 26 de mayo de 1997 por la Sala Segunda de la Corte de Apelaciones</w:t>
      </w:r>
      <w:r w:rsidR="00C25EB3" w:rsidRPr="00A32A43">
        <w:rPr>
          <w:rFonts w:asciiTheme="majorHAnsi" w:eastAsia="Batang" w:hAnsiTheme="majorHAnsi"/>
          <w:bCs/>
          <w:sz w:val="20"/>
          <w:szCs w:val="20"/>
          <w:bdr w:val="none" w:sz="0" w:space="0" w:color="auto"/>
          <w:lang w:val="es-ES"/>
        </w:rPr>
        <w:t xml:space="preserve"> de Trabajo y Previsión Social</w:t>
      </w:r>
      <w:r w:rsidR="00203214" w:rsidRPr="00A32A43">
        <w:rPr>
          <w:rFonts w:asciiTheme="majorHAnsi" w:eastAsia="Batang" w:hAnsiTheme="majorHAnsi"/>
          <w:bCs/>
          <w:sz w:val="20"/>
          <w:szCs w:val="20"/>
          <w:bdr w:val="none" w:sz="0" w:space="0" w:color="auto"/>
          <w:lang w:val="es-ES"/>
        </w:rPr>
        <w:t>; ante lo cual</w:t>
      </w:r>
      <w:r w:rsidRPr="00A32A43">
        <w:rPr>
          <w:rFonts w:asciiTheme="majorHAnsi" w:eastAsia="Batang" w:hAnsiTheme="majorHAnsi"/>
          <w:bCs/>
          <w:sz w:val="20"/>
          <w:szCs w:val="20"/>
          <w:bdr w:val="none" w:sz="0" w:space="0" w:color="auto"/>
          <w:lang w:val="es-ES"/>
        </w:rPr>
        <w:t xml:space="preserve"> las presuntas víctimas presentaron un recurso de amparo</w:t>
      </w:r>
      <w:r w:rsidR="00324710" w:rsidRPr="00A32A43">
        <w:rPr>
          <w:rFonts w:asciiTheme="majorHAnsi" w:eastAsia="Batang" w:hAnsiTheme="majorHAnsi"/>
          <w:bCs/>
          <w:sz w:val="20"/>
          <w:szCs w:val="20"/>
          <w:bdr w:val="none" w:sz="0" w:space="0" w:color="auto"/>
          <w:lang w:val="es-ES"/>
        </w:rPr>
        <w:t>,</w:t>
      </w:r>
      <w:r w:rsidRPr="00A32A43">
        <w:rPr>
          <w:rFonts w:asciiTheme="majorHAnsi" w:eastAsia="Batang" w:hAnsiTheme="majorHAnsi"/>
          <w:bCs/>
          <w:sz w:val="20"/>
          <w:szCs w:val="20"/>
          <w:bdr w:val="none" w:sz="0" w:space="0" w:color="auto"/>
          <w:lang w:val="es-ES"/>
        </w:rPr>
        <w:t xml:space="preserve"> que les fue denegado por la Corte Suprema</w:t>
      </w:r>
      <w:r w:rsidR="00324710" w:rsidRPr="00A32A43">
        <w:rPr>
          <w:rFonts w:asciiTheme="majorHAnsi" w:eastAsia="Batang" w:hAnsiTheme="majorHAnsi"/>
          <w:bCs/>
          <w:sz w:val="20"/>
          <w:szCs w:val="20"/>
          <w:bdr w:val="none" w:sz="0" w:space="0" w:color="auto"/>
          <w:lang w:val="es-ES"/>
        </w:rPr>
        <w:t xml:space="preserve"> de Justicia</w:t>
      </w:r>
      <w:r w:rsidRPr="00A32A43">
        <w:rPr>
          <w:rFonts w:asciiTheme="majorHAnsi" w:eastAsia="Batang" w:hAnsiTheme="majorHAnsi"/>
          <w:bCs/>
          <w:sz w:val="20"/>
          <w:szCs w:val="20"/>
          <w:bdr w:val="none" w:sz="0" w:space="0" w:color="auto"/>
          <w:lang w:val="es-ES"/>
        </w:rPr>
        <w:t xml:space="preserve"> el 12 de octubre de 1</w:t>
      </w:r>
      <w:r w:rsidR="00203214" w:rsidRPr="00A32A43">
        <w:rPr>
          <w:rFonts w:asciiTheme="majorHAnsi" w:eastAsia="Batang" w:hAnsiTheme="majorHAnsi"/>
          <w:bCs/>
          <w:sz w:val="20"/>
          <w:szCs w:val="20"/>
          <w:bdr w:val="none" w:sz="0" w:space="0" w:color="auto"/>
          <w:lang w:val="es-ES"/>
        </w:rPr>
        <w:t>997</w:t>
      </w:r>
      <w:r w:rsidR="009C05F0" w:rsidRPr="00A32A43">
        <w:rPr>
          <w:rFonts w:asciiTheme="majorHAnsi" w:eastAsia="Batang" w:hAnsiTheme="majorHAnsi"/>
          <w:bCs/>
          <w:sz w:val="20"/>
          <w:szCs w:val="20"/>
          <w:bdr w:val="none" w:sz="0" w:space="0" w:color="auto"/>
          <w:lang w:val="es-ES"/>
        </w:rPr>
        <w:t>. A</w:t>
      </w:r>
      <w:r w:rsidR="00690465" w:rsidRPr="00A32A43">
        <w:rPr>
          <w:rFonts w:asciiTheme="majorHAnsi" w:eastAsia="Batang" w:hAnsiTheme="majorHAnsi"/>
          <w:bCs/>
          <w:sz w:val="20"/>
          <w:szCs w:val="20"/>
          <w:bdr w:val="none" w:sz="0" w:space="0" w:color="auto"/>
          <w:lang w:val="es-ES"/>
        </w:rPr>
        <w:t xml:space="preserve">simismo, </w:t>
      </w:r>
      <w:r w:rsidR="00324710" w:rsidRPr="00A32A43">
        <w:rPr>
          <w:rFonts w:asciiTheme="majorHAnsi" w:eastAsia="Batang" w:hAnsiTheme="majorHAnsi"/>
          <w:bCs/>
          <w:sz w:val="20"/>
          <w:szCs w:val="20"/>
          <w:bdr w:val="none" w:sz="0" w:space="0" w:color="auto"/>
          <w:lang w:val="es-ES"/>
        </w:rPr>
        <w:t xml:space="preserve">interpusieron un recurso de apelación </w:t>
      </w:r>
      <w:r w:rsidR="00203214" w:rsidRPr="00A32A43">
        <w:rPr>
          <w:rFonts w:asciiTheme="majorHAnsi" w:eastAsia="Batang" w:hAnsiTheme="majorHAnsi"/>
          <w:bCs/>
          <w:sz w:val="20"/>
          <w:szCs w:val="20"/>
          <w:bdr w:val="none" w:sz="0" w:space="0" w:color="auto"/>
          <w:lang w:val="es-ES"/>
        </w:rPr>
        <w:t>contr</w:t>
      </w:r>
      <w:r w:rsidR="00324710" w:rsidRPr="00A32A43">
        <w:rPr>
          <w:rFonts w:asciiTheme="majorHAnsi" w:eastAsia="Batang" w:hAnsiTheme="majorHAnsi"/>
          <w:bCs/>
          <w:sz w:val="20"/>
          <w:szCs w:val="20"/>
          <w:bdr w:val="none" w:sz="0" w:space="0" w:color="auto"/>
          <w:lang w:val="es-ES"/>
        </w:rPr>
        <w:t>a</w:t>
      </w:r>
      <w:r w:rsidR="00D414C6" w:rsidRPr="00A32A43">
        <w:rPr>
          <w:rFonts w:asciiTheme="majorHAnsi" w:eastAsia="Batang" w:hAnsiTheme="majorHAnsi"/>
          <w:bCs/>
          <w:sz w:val="20"/>
          <w:szCs w:val="20"/>
          <w:bdr w:val="none" w:sz="0" w:space="0" w:color="auto"/>
          <w:lang w:val="es-ES"/>
        </w:rPr>
        <w:t xml:space="preserve"> dicha sentencia</w:t>
      </w:r>
      <w:r w:rsidR="00324710" w:rsidRPr="00A32A43">
        <w:rPr>
          <w:rFonts w:asciiTheme="majorHAnsi" w:eastAsia="Batang" w:hAnsiTheme="majorHAnsi"/>
          <w:bCs/>
          <w:sz w:val="20"/>
          <w:szCs w:val="20"/>
          <w:bdr w:val="none" w:sz="0" w:space="0" w:color="auto"/>
          <w:lang w:val="es-ES"/>
        </w:rPr>
        <w:t>, que fue</w:t>
      </w:r>
      <w:r w:rsidR="00D414C6" w:rsidRPr="00A32A43">
        <w:rPr>
          <w:rFonts w:asciiTheme="majorHAnsi" w:eastAsia="Batang" w:hAnsiTheme="majorHAnsi"/>
          <w:bCs/>
          <w:sz w:val="20"/>
          <w:szCs w:val="20"/>
          <w:bdr w:val="none" w:sz="0" w:space="0" w:color="auto"/>
          <w:lang w:val="es-ES"/>
        </w:rPr>
        <w:t xml:space="preserve"> rechazad</w:t>
      </w:r>
      <w:r w:rsidR="00324710" w:rsidRPr="00A32A43">
        <w:rPr>
          <w:rFonts w:asciiTheme="majorHAnsi" w:eastAsia="Batang" w:hAnsiTheme="majorHAnsi"/>
          <w:bCs/>
          <w:sz w:val="20"/>
          <w:szCs w:val="20"/>
          <w:bdr w:val="none" w:sz="0" w:space="0" w:color="auto"/>
          <w:lang w:val="es-ES"/>
        </w:rPr>
        <w:t>o</w:t>
      </w:r>
      <w:r w:rsidR="00D414C6" w:rsidRPr="00A32A43">
        <w:rPr>
          <w:rFonts w:asciiTheme="majorHAnsi" w:eastAsia="Batang" w:hAnsiTheme="majorHAnsi"/>
          <w:bCs/>
          <w:sz w:val="20"/>
          <w:szCs w:val="20"/>
          <w:bdr w:val="none" w:sz="0" w:space="0" w:color="auto"/>
          <w:lang w:val="es-ES"/>
        </w:rPr>
        <w:t xml:space="preserve"> el 7 de noviembre de 1997</w:t>
      </w:r>
      <w:r w:rsidR="0084263B" w:rsidRPr="00A32A43">
        <w:rPr>
          <w:rFonts w:asciiTheme="majorHAnsi" w:eastAsia="Batang" w:hAnsiTheme="majorHAnsi"/>
          <w:bCs/>
          <w:sz w:val="20"/>
          <w:szCs w:val="20"/>
          <w:bdr w:val="none" w:sz="0" w:space="0" w:color="auto"/>
          <w:lang w:val="es-ES"/>
        </w:rPr>
        <w:t xml:space="preserve"> por</w:t>
      </w:r>
      <w:r w:rsidR="000B697C" w:rsidRPr="00A32A43">
        <w:rPr>
          <w:rFonts w:asciiTheme="majorHAnsi" w:eastAsia="Batang" w:hAnsiTheme="majorHAnsi"/>
          <w:bCs/>
          <w:sz w:val="20"/>
          <w:szCs w:val="20"/>
          <w:bdr w:val="none" w:sz="0" w:space="0" w:color="auto"/>
          <w:lang w:val="es-ES"/>
        </w:rPr>
        <w:t xml:space="preserve"> la Corte Suprema de Justicia,</w:t>
      </w:r>
      <w:r w:rsidR="00D414C6" w:rsidRPr="00A32A43">
        <w:rPr>
          <w:rFonts w:asciiTheme="majorHAnsi" w:eastAsia="Batang" w:hAnsiTheme="majorHAnsi"/>
          <w:bCs/>
          <w:sz w:val="20"/>
          <w:szCs w:val="20"/>
          <w:bdr w:val="none" w:sz="0" w:space="0" w:color="auto"/>
          <w:lang w:val="es-ES"/>
        </w:rPr>
        <w:t xml:space="preserve"> por lo que presentaron un</w:t>
      </w:r>
      <w:r w:rsidR="009C05F0" w:rsidRPr="00A32A43">
        <w:rPr>
          <w:rFonts w:asciiTheme="majorHAnsi" w:eastAsia="Batang" w:hAnsiTheme="majorHAnsi"/>
          <w:bCs/>
          <w:sz w:val="20"/>
          <w:szCs w:val="20"/>
          <w:bdr w:val="none" w:sz="0" w:space="0" w:color="auto"/>
          <w:lang w:val="es-ES"/>
        </w:rPr>
        <w:t xml:space="preserve"> </w:t>
      </w:r>
      <w:r w:rsidR="00B92FCD" w:rsidRPr="00A32A43">
        <w:rPr>
          <w:rFonts w:asciiTheme="majorHAnsi" w:eastAsia="Batang" w:hAnsiTheme="majorHAnsi"/>
          <w:bCs/>
          <w:sz w:val="20"/>
          <w:szCs w:val="20"/>
          <w:bdr w:val="none" w:sz="0" w:space="0" w:color="auto"/>
          <w:lang w:val="es-ES"/>
        </w:rPr>
        <w:t>o</w:t>
      </w:r>
      <w:r w:rsidRPr="00A32A43">
        <w:rPr>
          <w:rFonts w:asciiTheme="majorHAnsi" w:eastAsia="Batang" w:hAnsiTheme="majorHAnsi"/>
          <w:bCs/>
          <w:sz w:val="20"/>
          <w:szCs w:val="20"/>
          <w:bdr w:val="none" w:sz="0" w:space="0" w:color="auto"/>
          <w:lang w:val="es-ES"/>
        </w:rPr>
        <w:t>curso de hecho ante la Corte de Constitucionalidad, entidad que el 19 de diciembre de 1997 lo rechazó.</w:t>
      </w:r>
      <w:r w:rsidR="00A32A43">
        <w:rPr>
          <w:rFonts w:asciiTheme="majorHAnsi" w:eastAsia="Batang" w:hAnsiTheme="majorHAnsi"/>
          <w:bCs/>
          <w:sz w:val="20"/>
          <w:szCs w:val="20"/>
          <w:bdr w:val="none" w:sz="0" w:space="0" w:color="auto"/>
          <w:lang w:val="es-ES"/>
        </w:rPr>
        <w:t xml:space="preserve"> </w:t>
      </w:r>
      <w:r w:rsidR="00003F4B" w:rsidRPr="00003F4B">
        <w:rPr>
          <w:rFonts w:asciiTheme="majorHAnsi" w:eastAsia="Batang" w:hAnsiTheme="majorHAnsi"/>
          <w:bCs/>
          <w:sz w:val="20"/>
          <w:szCs w:val="20"/>
          <w:bdr w:val="none" w:sz="0" w:space="0" w:color="auto"/>
          <w:lang w:val="es-ES"/>
        </w:rPr>
        <w:t>La Comisión observa que el recurso de apelación fue rechazado por la Corte Suprema por haber excedido el plazo de presentación por unas horas y que los peticionarios cuestionaron el conteo por haber sido inconsistente con lo establecido en la ley, lo cual, de ser pertinente, es una cuestión que la Comisión podría tomar en cuenta en la etapa de fondo.</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Cs/>
          <w:sz w:val="20"/>
          <w:szCs w:val="20"/>
          <w:bdr w:val="none" w:sz="0" w:space="0" w:color="auto"/>
          <w:lang w:val="es-ES"/>
        </w:rPr>
      </w:pPr>
    </w:p>
    <w:p w:rsidR="00426469" w:rsidRPr="00A32A43" w:rsidRDefault="00D414C6"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Batang" w:hAnsiTheme="majorHAnsi"/>
          <w:bCs/>
          <w:sz w:val="20"/>
          <w:szCs w:val="20"/>
          <w:bdr w:val="none" w:sz="0" w:space="0" w:color="auto"/>
          <w:lang w:val="es-ES"/>
        </w:rPr>
      </w:pPr>
      <w:r w:rsidRPr="00A32A43">
        <w:rPr>
          <w:rFonts w:asciiTheme="majorHAnsi" w:hAnsiTheme="majorHAnsi"/>
          <w:sz w:val="20"/>
          <w:szCs w:val="20"/>
          <w:lang w:val="es-UY"/>
        </w:rPr>
        <w:t xml:space="preserve">Por lo tanto, la Comisión concluye que en el presente caso se han interpuesto y agotado los recursos de la jurisdicción interna de conformidad con el artículo </w:t>
      </w:r>
      <w:r w:rsidRPr="00A32A43">
        <w:rPr>
          <w:rFonts w:asciiTheme="majorHAnsi" w:hAnsiTheme="majorHAnsi" w:cs="Arial"/>
          <w:sz w:val="20"/>
          <w:szCs w:val="20"/>
          <w:lang w:val="es-PE"/>
        </w:rPr>
        <w:t>46</w:t>
      </w:r>
      <w:r w:rsidR="00E2218F" w:rsidRPr="00A32A43">
        <w:rPr>
          <w:rFonts w:asciiTheme="majorHAnsi" w:hAnsiTheme="majorHAnsi" w:cs="Arial"/>
          <w:sz w:val="20"/>
          <w:szCs w:val="20"/>
          <w:lang w:val="es-PE"/>
        </w:rPr>
        <w:t>.</w:t>
      </w:r>
      <w:r w:rsidRPr="00A32A43">
        <w:rPr>
          <w:rFonts w:asciiTheme="majorHAnsi" w:hAnsiTheme="majorHAnsi" w:cs="Arial"/>
          <w:sz w:val="20"/>
          <w:szCs w:val="20"/>
          <w:lang w:val="es-PE"/>
        </w:rPr>
        <w:t>1</w:t>
      </w:r>
      <w:r w:rsidR="00E2218F" w:rsidRPr="00A32A43">
        <w:rPr>
          <w:rFonts w:asciiTheme="majorHAnsi" w:hAnsiTheme="majorHAnsi" w:cs="Arial"/>
          <w:sz w:val="20"/>
          <w:szCs w:val="20"/>
          <w:lang w:val="es-PE"/>
        </w:rPr>
        <w:t xml:space="preserve">.a </w:t>
      </w:r>
      <w:r w:rsidRPr="00A32A43">
        <w:rPr>
          <w:rFonts w:asciiTheme="majorHAnsi" w:hAnsiTheme="majorHAnsi" w:cs="Arial"/>
          <w:sz w:val="20"/>
          <w:szCs w:val="20"/>
          <w:lang w:val="es-PE"/>
        </w:rPr>
        <w:t>de la Convención Americana</w:t>
      </w:r>
      <w:r w:rsidR="00426469" w:rsidRPr="00A32A43">
        <w:rPr>
          <w:rFonts w:asciiTheme="majorHAnsi" w:eastAsia="Batang" w:hAnsiTheme="majorHAnsi"/>
          <w:bCs/>
          <w:sz w:val="20"/>
          <w:szCs w:val="20"/>
          <w:bdr w:val="none" w:sz="0" w:space="0" w:color="auto"/>
          <w:lang w:val="es-ES"/>
        </w:rPr>
        <w:t>.</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bCs/>
          <w:sz w:val="20"/>
          <w:szCs w:val="20"/>
          <w:bdr w:val="none" w:sz="0" w:space="0" w:color="auto"/>
          <w:lang w:val="es-ES"/>
        </w:rPr>
      </w:pPr>
    </w:p>
    <w:p w:rsidR="00426469" w:rsidRPr="00A32A43" w:rsidRDefault="00426469" w:rsidP="00A32A4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sz w:val="20"/>
          <w:szCs w:val="20"/>
          <w:bdr w:val="none" w:sz="0" w:space="0" w:color="auto"/>
          <w:lang w:val="es-ES"/>
        </w:rPr>
      </w:pPr>
      <w:r w:rsidRPr="00A32A43">
        <w:rPr>
          <w:rFonts w:asciiTheme="majorHAnsi" w:eastAsia="Batang" w:hAnsiTheme="majorHAnsi"/>
          <w:b/>
          <w:sz w:val="20"/>
          <w:szCs w:val="20"/>
          <w:bdr w:val="none" w:sz="0" w:space="0" w:color="auto"/>
          <w:lang w:val="es-ES"/>
        </w:rPr>
        <w:t>2.</w:t>
      </w:r>
      <w:r w:rsidRPr="00A32A43">
        <w:rPr>
          <w:rFonts w:asciiTheme="majorHAnsi" w:eastAsia="Batang" w:hAnsiTheme="majorHAnsi"/>
          <w:b/>
          <w:sz w:val="20"/>
          <w:szCs w:val="20"/>
          <w:bdr w:val="none" w:sz="0" w:space="0" w:color="auto"/>
          <w:lang w:val="es-ES"/>
        </w:rPr>
        <w:tab/>
        <w:t>Plazo de presentación de la petición</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Cs/>
          <w:sz w:val="20"/>
          <w:szCs w:val="20"/>
          <w:bdr w:val="none" w:sz="0" w:space="0" w:color="auto"/>
          <w:lang w:val="es-ES"/>
        </w:rPr>
      </w:pPr>
    </w:p>
    <w:p w:rsidR="008E6310" w:rsidRPr="00A32A43" w:rsidRDefault="00E2218F"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Cs/>
          <w:sz w:val="20"/>
          <w:szCs w:val="20"/>
          <w:bdr w:val="none" w:sz="0" w:space="0" w:color="auto"/>
          <w:lang w:val="es-ES"/>
        </w:rPr>
      </w:pPr>
      <w:r w:rsidRPr="00A32A43">
        <w:rPr>
          <w:rFonts w:asciiTheme="majorHAnsi" w:eastAsia="Times New Roman" w:hAnsiTheme="majorHAnsi"/>
          <w:bCs/>
          <w:sz w:val="20"/>
          <w:szCs w:val="20"/>
          <w:bdr w:val="none" w:sz="0" w:space="0" w:color="auto"/>
          <w:lang w:val="es-PE"/>
        </w:rPr>
        <w:t>El artículo 46.</w:t>
      </w:r>
      <w:r w:rsidR="008E6310" w:rsidRPr="00A32A43">
        <w:rPr>
          <w:rFonts w:asciiTheme="majorHAnsi" w:eastAsia="Times New Roman" w:hAnsiTheme="majorHAnsi"/>
          <w:bCs/>
          <w:sz w:val="20"/>
          <w:szCs w:val="20"/>
          <w:bdr w:val="none" w:sz="0" w:space="0" w:color="auto"/>
          <w:lang w:val="es-PE"/>
        </w:rPr>
        <w:t>1</w:t>
      </w:r>
      <w:r w:rsidRPr="00A32A43">
        <w:rPr>
          <w:rFonts w:asciiTheme="majorHAnsi" w:eastAsia="Times New Roman" w:hAnsiTheme="majorHAnsi"/>
          <w:bCs/>
          <w:sz w:val="20"/>
          <w:szCs w:val="20"/>
          <w:bdr w:val="none" w:sz="0" w:space="0" w:color="auto"/>
          <w:lang w:val="es-PE"/>
        </w:rPr>
        <w:t>.b</w:t>
      </w:r>
      <w:r w:rsidR="008E6310" w:rsidRPr="00A32A43">
        <w:rPr>
          <w:rFonts w:asciiTheme="majorHAnsi" w:eastAsia="Times New Roman" w:hAnsiTheme="majorHAnsi"/>
          <w:bCs/>
          <w:sz w:val="20"/>
          <w:szCs w:val="20"/>
          <w:bdr w:val="none" w:sz="0" w:space="0" w:color="auto"/>
          <w:lang w:val="es-PE"/>
        </w:rPr>
        <w:t xml:space="preserve"> de l</w:t>
      </w:r>
      <w:r w:rsidR="008E6310" w:rsidRPr="00A32A43">
        <w:rPr>
          <w:rFonts w:asciiTheme="majorHAnsi" w:eastAsia="Times New Roman" w:hAnsiTheme="majorHAnsi"/>
          <w:bCs/>
          <w:sz w:val="20"/>
          <w:szCs w:val="20"/>
          <w:bdr w:val="none" w:sz="0" w:space="0" w:color="auto"/>
          <w:lang w:val="es-ES_tradnl"/>
        </w:rPr>
        <w:t>a Convención Americana establece que para que una petición resulte admisible por la Comisión se requerirá que sea presentada dentro del plazo de seis meses a partir de la fecha en que el presunto lesionado haya sido notificado de la decisión definitiva.</w:t>
      </w:r>
    </w:p>
    <w:p w:rsidR="008E6310" w:rsidRPr="00A32A43" w:rsidRDefault="008E6310"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Times New Roman" w:hAnsiTheme="majorHAnsi"/>
          <w:bCs/>
          <w:sz w:val="20"/>
          <w:szCs w:val="20"/>
          <w:bdr w:val="none" w:sz="0" w:space="0" w:color="auto"/>
          <w:lang w:val="es-ES"/>
        </w:rPr>
      </w:pPr>
    </w:p>
    <w:p w:rsidR="00426469" w:rsidRPr="00A32A43" w:rsidRDefault="008E6310"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A32A43">
        <w:rPr>
          <w:rFonts w:asciiTheme="majorHAnsi" w:hAnsiTheme="majorHAnsi"/>
          <w:sz w:val="20"/>
          <w:szCs w:val="20"/>
          <w:lang w:val="es-UY"/>
        </w:rPr>
        <w:t xml:space="preserve">En el reclamo bajo análisis, la decisión de la Corte de Constitucionalidad fue notificada el </w:t>
      </w:r>
      <w:r w:rsidRPr="00A32A43">
        <w:rPr>
          <w:rFonts w:asciiTheme="majorHAnsi" w:eastAsia="Batang" w:hAnsiTheme="majorHAnsi"/>
          <w:sz w:val="20"/>
          <w:szCs w:val="20"/>
          <w:bdr w:val="none" w:sz="0" w:space="0" w:color="auto"/>
          <w:lang w:val="es-ES"/>
        </w:rPr>
        <w:t xml:space="preserve">29 de diciembre de 1997 </w:t>
      </w:r>
      <w:r w:rsidRPr="00A32A43">
        <w:rPr>
          <w:rFonts w:asciiTheme="majorHAnsi" w:hAnsiTheme="majorHAnsi"/>
          <w:sz w:val="20"/>
          <w:szCs w:val="20"/>
          <w:lang w:val="es-UY"/>
        </w:rPr>
        <w:t xml:space="preserve">y la petición ante la CIDH fue presentada el </w:t>
      </w:r>
      <w:r w:rsidRPr="00A32A43">
        <w:rPr>
          <w:rFonts w:asciiTheme="majorHAnsi" w:eastAsia="Batang" w:hAnsiTheme="majorHAnsi"/>
          <w:bCs/>
          <w:sz w:val="20"/>
          <w:szCs w:val="20"/>
          <w:bdr w:val="none" w:sz="0" w:space="0" w:color="auto"/>
          <w:lang w:val="es-ES"/>
        </w:rPr>
        <w:t>24 de junio de 1998</w:t>
      </w:r>
      <w:r w:rsidRPr="00A32A43">
        <w:rPr>
          <w:rFonts w:asciiTheme="majorHAnsi" w:hAnsiTheme="majorHAnsi"/>
          <w:sz w:val="20"/>
          <w:szCs w:val="20"/>
          <w:lang w:val="es-UY"/>
        </w:rPr>
        <w:t>. Por lo tanto, la Comisión concluye que la presente petición cumple el requisito establecido en el artículo 46</w:t>
      </w:r>
      <w:r w:rsidR="00E2218F" w:rsidRPr="00A32A43">
        <w:rPr>
          <w:rFonts w:asciiTheme="majorHAnsi" w:hAnsiTheme="majorHAnsi"/>
          <w:sz w:val="20"/>
          <w:szCs w:val="20"/>
          <w:lang w:val="es-UY"/>
        </w:rPr>
        <w:t>.</w:t>
      </w:r>
      <w:r w:rsidRPr="00A32A43">
        <w:rPr>
          <w:rFonts w:asciiTheme="majorHAnsi" w:hAnsiTheme="majorHAnsi"/>
          <w:sz w:val="20"/>
          <w:szCs w:val="20"/>
          <w:lang w:val="es-UY"/>
        </w:rPr>
        <w:t>1</w:t>
      </w:r>
      <w:r w:rsidR="00E2218F" w:rsidRPr="00A32A43">
        <w:rPr>
          <w:rFonts w:asciiTheme="majorHAnsi" w:hAnsiTheme="majorHAnsi"/>
          <w:sz w:val="20"/>
          <w:szCs w:val="20"/>
          <w:lang w:val="es-UY"/>
        </w:rPr>
        <w:t>.</w:t>
      </w:r>
      <w:r w:rsidRPr="00A32A43">
        <w:rPr>
          <w:rFonts w:asciiTheme="majorHAnsi" w:hAnsiTheme="majorHAnsi"/>
          <w:sz w:val="20"/>
          <w:szCs w:val="20"/>
          <w:lang w:val="es-UY"/>
        </w:rPr>
        <w:t>b de la Convención Americana.</w:t>
      </w:r>
    </w:p>
    <w:p w:rsidR="00C774C3" w:rsidRPr="00A32A43" w:rsidRDefault="00C774C3" w:rsidP="00A32A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426469" w:rsidRPr="00A32A43" w:rsidRDefault="00426469" w:rsidP="00A32A4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lang w:val="es-ES"/>
        </w:rPr>
      </w:pPr>
      <w:r w:rsidRPr="00A32A43">
        <w:rPr>
          <w:rFonts w:asciiTheme="majorHAnsi" w:eastAsia="MS Mincho" w:hAnsiTheme="majorHAnsi"/>
          <w:b/>
          <w:sz w:val="20"/>
          <w:szCs w:val="20"/>
          <w:bdr w:val="none" w:sz="0" w:space="0" w:color="auto"/>
          <w:lang w:val="es-ES"/>
        </w:rPr>
        <w:t xml:space="preserve">3. </w:t>
      </w:r>
      <w:r w:rsidRPr="00A32A43">
        <w:rPr>
          <w:rFonts w:asciiTheme="majorHAnsi" w:eastAsia="MS Mincho" w:hAnsiTheme="majorHAnsi"/>
          <w:b/>
          <w:sz w:val="20"/>
          <w:szCs w:val="20"/>
          <w:bdr w:val="none" w:sz="0" w:space="0" w:color="auto"/>
          <w:lang w:val="es-ES"/>
        </w:rPr>
        <w:tab/>
      </w:r>
      <w:r w:rsidRPr="00A32A43">
        <w:rPr>
          <w:rFonts w:asciiTheme="majorHAnsi" w:eastAsia="Batang" w:hAnsiTheme="majorHAnsi"/>
          <w:b/>
          <w:sz w:val="20"/>
          <w:szCs w:val="20"/>
          <w:bdr w:val="none" w:sz="0" w:space="0" w:color="auto"/>
          <w:lang w:val="es-ES"/>
        </w:rPr>
        <w:t>Duplicación de procedimientos y cosa juzgada internacional</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MS Mincho" w:hAnsiTheme="majorHAnsi"/>
          <w:b/>
          <w:sz w:val="20"/>
          <w:szCs w:val="20"/>
          <w:bdr w:val="none" w:sz="0" w:space="0" w:color="auto"/>
          <w:lang w:val="es-ES"/>
        </w:rPr>
      </w:pPr>
    </w:p>
    <w:p w:rsidR="00426469" w:rsidRPr="00A32A43" w:rsidRDefault="00426469"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A32A43">
        <w:rPr>
          <w:rFonts w:asciiTheme="majorHAnsi" w:hAnsiTheme="majorHAnsi"/>
          <w:sz w:val="20"/>
          <w:szCs w:val="20"/>
          <w:lang w:val="es-UY"/>
        </w:rPr>
        <w:t xml:space="preserve">No surge del expediente que la materia de la petición se encuentre pendiente de otro procedimiento de arreglo internacional, ni que reproduzca una petición ya examinada por éste u otro órgano internacional. Por lo tanto, </w:t>
      </w:r>
      <w:r w:rsidR="002D6B2B" w:rsidRPr="00A32A43">
        <w:rPr>
          <w:rFonts w:asciiTheme="majorHAnsi" w:hAnsiTheme="majorHAnsi"/>
          <w:sz w:val="20"/>
          <w:szCs w:val="20"/>
          <w:lang w:val="es-UY"/>
        </w:rPr>
        <w:t>no son aplicables las causales de inadmisibilidad establecidas en los artículos 46.1.c y 47.d de la Convención.</w:t>
      </w:r>
    </w:p>
    <w:p w:rsidR="00426469" w:rsidRPr="00A32A43" w:rsidRDefault="00426469" w:rsidP="00A32A4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sz w:val="20"/>
          <w:szCs w:val="20"/>
          <w:bdr w:val="none" w:sz="0" w:space="0" w:color="auto"/>
          <w:lang w:val="es-ES"/>
        </w:rPr>
      </w:pPr>
    </w:p>
    <w:p w:rsidR="00426469" w:rsidRPr="00A32A43" w:rsidRDefault="00426469" w:rsidP="00A32A4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b/>
          <w:bCs/>
          <w:sz w:val="20"/>
          <w:szCs w:val="20"/>
          <w:bdr w:val="none" w:sz="0" w:space="0" w:color="auto"/>
          <w:lang w:val="es-ES"/>
        </w:rPr>
      </w:pPr>
      <w:r w:rsidRPr="00A32A43">
        <w:rPr>
          <w:rFonts w:asciiTheme="majorHAnsi" w:eastAsia="Batang" w:hAnsiTheme="majorHAnsi"/>
          <w:b/>
          <w:sz w:val="20"/>
          <w:szCs w:val="20"/>
          <w:bdr w:val="none" w:sz="0" w:space="0" w:color="auto"/>
          <w:lang w:val="es-ES"/>
        </w:rPr>
        <w:t xml:space="preserve">4. </w:t>
      </w:r>
      <w:r w:rsidRPr="00A32A43">
        <w:rPr>
          <w:rFonts w:asciiTheme="majorHAnsi" w:eastAsia="Batang" w:hAnsiTheme="majorHAnsi"/>
          <w:b/>
          <w:sz w:val="20"/>
          <w:szCs w:val="20"/>
          <w:bdr w:val="none" w:sz="0" w:space="0" w:color="auto"/>
          <w:lang w:val="es-ES"/>
        </w:rPr>
        <w:tab/>
        <w:t>Caracterización de los hechos alegados</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lang w:val="es-ES"/>
        </w:rPr>
      </w:pPr>
    </w:p>
    <w:p w:rsidR="006A0996" w:rsidRPr="00A32A43" w:rsidRDefault="006A0996"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hAnsiTheme="majorHAnsi"/>
          <w:sz w:val="20"/>
          <w:szCs w:val="20"/>
          <w:lang w:val="es-UY"/>
        </w:rPr>
      </w:pPr>
      <w:r w:rsidRPr="00A32A43">
        <w:rPr>
          <w:rFonts w:asciiTheme="majorHAnsi" w:hAnsiTheme="majorHAnsi"/>
          <w:sz w:val="20"/>
          <w:szCs w:val="20"/>
          <w:lang w:val="es-UY"/>
        </w:rPr>
        <w:t xml:space="preserve">A los efectos de la admisibilidad, la Comisión debe decidir si los hechos alegados pueden caracterizar una violación de derechos, según </w:t>
      </w:r>
      <w:r w:rsidR="00E2218F" w:rsidRPr="00A32A43">
        <w:rPr>
          <w:rFonts w:asciiTheme="majorHAnsi" w:hAnsiTheme="majorHAnsi"/>
          <w:sz w:val="20"/>
          <w:szCs w:val="20"/>
          <w:lang w:val="es-UY"/>
        </w:rPr>
        <w:t>lo estipulado en el artículo 47.</w:t>
      </w:r>
      <w:r w:rsidRPr="00A32A43">
        <w:rPr>
          <w:rFonts w:asciiTheme="majorHAnsi" w:hAnsiTheme="majorHAnsi"/>
          <w:sz w:val="20"/>
          <w:szCs w:val="20"/>
          <w:lang w:val="es-UY"/>
        </w:rPr>
        <w:t xml:space="preserve">b de la Convención Americana, o si la petición es "manifiestamente infundada" o es "evidente su total improcedencia", conforme al inciso (c) de dicho artículo. El criterio para analizar la admisibilidad difiere del utilizado para el análisis del fondo de la petición dado que la Comisión sólo realiza un análisis </w:t>
      </w:r>
      <w:r w:rsidRPr="00A32A43">
        <w:rPr>
          <w:rFonts w:asciiTheme="majorHAnsi" w:hAnsiTheme="majorHAnsi"/>
          <w:i/>
          <w:sz w:val="20"/>
          <w:szCs w:val="20"/>
          <w:lang w:val="es-UY"/>
        </w:rPr>
        <w:t>prima facie</w:t>
      </w:r>
      <w:r w:rsidRPr="00A32A43">
        <w:rPr>
          <w:rFonts w:asciiTheme="majorHAnsi" w:hAnsiTheme="majorHAnsi"/>
          <w:sz w:val="20"/>
          <w:szCs w:val="20"/>
          <w:lang w:val="es-UY"/>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6A0996" w:rsidRPr="00A32A43" w:rsidRDefault="006A0996" w:rsidP="00A32A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UY"/>
        </w:rPr>
      </w:pPr>
    </w:p>
    <w:p w:rsidR="002C49C8" w:rsidRPr="00A32A43" w:rsidRDefault="006A0996"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hAnsiTheme="majorHAnsi"/>
          <w:sz w:val="20"/>
          <w:szCs w:val="20"/>
          <w:lang w:val="es-UY"/>
        </w:rPr>
      </w:pPr>
      <w:r w:rsidRPr="00A32A43">
        <w:rPr>
          <w:rFonts w:asciiTheme="majorHAnsi" w:hAnsiTheme="majorHAnsi"/>
          <w:sz w:val="20"/>
          <w:szCs w:val="20"/>
          <w:lang w:val="es-UY"/>
        </w:rPr>
        <w:lastRenderedPageBreak/>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2C49C8" w:rsidRPr="00A32A43" w:rsidRDefault="002C49C8" w:rsidP="00A32A43">
      <w:pPr>
        <w:pStyle w:val="ListParagraph"/>
        <w:rPr>
          <w:rFonts w:asciiTheme="majorHAnsi" w:eastAsia="Batang" w:hAnsiTheme="majorHAnsi"/>
          <w:bCs/>
          <w:sz w:val="20"/>
          <w:szCs w:val="20"/>
          <w:bdr w:val="none" w:sz="0" w:space="0" w:color="auto"/>
          <w:lang w:val="es-ES"/>
        </w:rPr>
      </w:pPr>
    </w:p>
    <w:p w:rsidR="00923CF2" w:rsidRPr="00A32A43" w:rsidRDefault="002C49C8"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hAnsiTheme="majorHAnsi"/>
          <w:sz w:val="20"/>
          <w:szCs w:val="20"/>
          <w:lang w:val="es-UY"/>
        </w:rPr>
      </w:pPr>
      <w:r w:rsidRPr="00A32A43">
        <w:rPr>
          <w:rFonts w:asciiTheme="majorHAnsi" w:eastAsia="Batang" w:hAnsiTheme="majorHAnsi"/>
          <w:bCs/>
          <w:sz w:val="20"/>
          <w:szCs w:val="20"/>
          <w:bdr w:val="none" w:sz="0" w:space="0" w:color="auto"/>
          <w:lang w:val="es-ES"/>
        </w:rPr>
        <w:t>L</w:t>
      </w:r>
      <w:r w:rsidR="00426469" w:rsidRPr="00A32A43">
        <w:rPr>
          <w:rFonts w:asciiTheme="majorHAnsi" w:eastAsia="Batang" w:hAnsiTheme="majorHAnsi"/>
          <w:bCs/>
          <w:sz w:val="20"/>
          <w:szCs w:val="20"/>
          <w:bdr w:val="none" w:sz="0" w:space="0" w:color="auto"/>
          <w:lang w:val="es-ES"/>
        </w:rPr>
        <w:t>os peticionarios sostienen que el Estado violó los derechos a las garantías judiciales y protección judicial de las presuntas víctimas al impedirles la oportunidad de defens</w:t>
      </w:r>
      <w:r w:rsidR="00650758" w:rsidRPr="00A32A43">
        <w:rPr>
          <w:rFonts w:asciiTheme="majorHAnsi" w:eastAsia="Batang" w:hAnsiTheme="majorHAnsi"/>
          <w:bCs/>
          <w:sz w:val="20"/>
          <w:szCs w:val="20"/>
          <w:bdr w:val="none" w:sz="0" w:space="0" w:color="auto"/>
          <w:lang w:val="es-ES"/>
        </w:rPr>
        <w:t>a en el incidente de ilegalidad</w:t>
      </w:r>
      <w:r w:rsidR="00426469" w:rsidRPr="00A32A43">
        <w:rPr>
          <w:rFonts w:asciiTheme="majorHAnsi" w:eastAsia="Batang" w:hAnsiTheme="majorHAnsi"/>
          <w:bCs/>
          <w:sz w:val="20"/>
          <w:szCs w:val="20"/>
          <w:bdr w:val="none" w:sz="0" w:space="0" w:color="auto"/>
          <w:lang w:val="es-ES"/>
        </w:rPr>
        <w:t xml:space="preserve"> que ocasionó su despido ilegal y posteriormente por la falta de normativa</w:t>
      </w:r>
      <w:r w:rsidR="002F4C63" w:rsidRPr="00A32A43">
        <w:rPr>
          <w:rFonts w:asciiTheme="majorHAnsi" w:eastAsia="Batang" w:hAnsiTheme="majorHAnsi"/>
          <w:bCs/>
          <w:sz w:val="20"/>
          <w:szCs w:val="20"/>
          <w:bdr w:val="none" w:sz="0" w:space="0" w:color="auto"/>
          <w:lang w:val="es-ES"/>
        </w:rPr>
        <w:t>s</w:t>
      </w:r>
      <w:r w:rsidR="00426469" w:rsidRPr="00A32A43">
        <w:rPr>
          <w:rFonts w:asciiTheme="majorHAnsi" w:eastAsia="Batang" w:hAnsiTheme="majorHAnsi"/>
          <w:bCs/>
          <w:sz w:val="20"/>
          <w:szCs w:val="20"/>
          <w:bdr w:val="none" w:sz="0" w:space="0" w:color="auto"/>
          <w:lang w:val="es-ES"/>
        </w:rPr>
        <w:t xml:space="preserve"> y procedimientos legales para poder defenderse. El Estado</w:t>
      </w:r>
      <w:r w:rsidR="00D25E00" w:rsidRPr="00A32A43">
        <w:rPr>
          <w:rFonts w:asciiTheme="majorHAnsi" w:eastAsia="Batang" w:hAnsiTheme="majorHAnsi"/>
          <w:bCs/>
          <w:sz w:val="20"/>
          <w:szCs w:val="20"/>
          <w:bdr w:val="none" w:sz="0" w:space="0" w:color="auto"/>
          <w:lang w:val="es-ES"/>
        </w:rPr>
        <w:t>,</w:t>
      </w:r>
      <w:r w:rsidR="00426469" w:rsidRPr="00A32A43">
        <w:rPr>
          <w:rFonts w:asciiTheme="majorHAnsi" w:eastAsia="Batang" w:hAnsiTheme="majorHAnsi"/>
          <w:bCs/>
          <w:sz w:val="20"/>
          <w:szCs w:val="20"/>
          <w:bdr w:val="none" w:sz="0" w:space="0" w:color="auto"/>
          <w:lang w:val="es-ES"/>
        </w:rPr>
        <w:t xml:space="preserve"> por su parte</w:t>
      </w:r>
      <w:r w:rsidR="00D25E00" w:rsidRPr="00A32A43">
        <w:rPr>
          <w:rFonts w:asciiTheme="majorHAnsi" w:eastAsia="Batang" w:hAnsiTheme="majorHAnsi"/>
          <w:bCs/>
          <w:sz w:val="20"/>
          <w:szCs w:val="20"/>
          <w:bdr w:val="none" w:sz="0" w:space="0" w:color="auto"/>
          <w:lang w:val="es-ES"/>
        </w:rPr>
        <w:t>,</w:t>
      </w:r>
      <w:r w:rsidR="00426469" w:rsidRPr="00A32A43">
        <w:rPr>
          <w:rFonts w:asciiTheme="majorHAnsi" w:eastAsia="Batang" w:hAnsiTheme="majorHAnsi"/>
          <w:bCs/>
          <w:sz w:val="20"/>
          <w:szCs w:val="20"/>
          <w:bdr w:val="none" w:sz="0" w:space="0" w:color="auto"/>
          <w:lang w:val="es-ES"/>
        </w:rPr>
        <w:t xml:space="preserve"> alega que </w:t>
      </w:r>
      <w:r w:rsidR="00556C6D" w:rsidRPr="00A32A43">
        <w:rPr>
          <w:rFonts w:asciiTheme="majorHAnsi" w:eastAsia="Batang" w:hAnsiTheme="majorHAnsi"/>
          <w:bCs/>
          <w:sz w:val="20"/>
          <w:szCs w:val="20"/>
          <w:bdr w:val="none" w:sz="0" w:space="0" w:color="auto"/>
          <w:lang w:val="es-ES"/>
        </w:rPr>
        <w:t xml:space="preserve">la participación de las presuntas víctimas en la huelga quedó demostrada y que </w:t>
      </w:r>
      <w:r w:rsidR="00426469" w:rsidRPr="00A32A43">
        <w:rPr>
          <w:rFonts w:asciiTheme="majorHAnsi" w:eastAsia="Batang" w:hAnsiTheme="majorHAnsi"/>
          <w:bCs/>
          <w:sz w:val="20"/>
          <w:szCs w:val="20"/>
          <w:bdr w:val="none" w:sz="0" w:space="0" w:color="auto"/>
          <w:lang w:val="es-ES"/>
        </w:rPr>
        <w:t xml:space="preserve">la petición </w:t>
      </w:r>
      <w:r w:rsidR="006A0996" w:rsidRPr="00A32A43">
        <w:rPr>
          <w:rFonts w:asciiTheme="majorHAnsi" w:eastAsia="Batang" w:hAnsiTheme="majorHAnsi"/>
          <w:bCs/>
          <w:sz w:val="20"/>
          <w:szCs w:val="20"/>
          <w:bdr w:val="none" w:sz="0" w:space="0" w:color="auto"/>
          <w:lang w:val="es-ES"/>
        </w:rPr>
        <w:t>es</w:t>
      </w:r>
      <w:r w:rsidR="00426469" w:rsidRPr="00A32A43">
        <w:rPr>
          <w:rFonts w:asciiTheme="majorHAnsi" w:eastAsia="Batang" w:hAnsiTheme="majorHAnsi"/>
          <w:bCs/>
          <w:sz w:val="20"/>
          <w:szCs w:val="20"/>
          <w:bdr w:val="none" w:sz="0" w:space="0" w:color="auto"/>
          <w:lang w:val="es-ES"/>
        </w:rPr>
        <w:t xml:space="preserve"> inadmisible porque no se exponen hechos que caractericen una violación de derechos garantizados en la Convención Americana.</w:t>
      </w:r>
    </w:p>
    <w:p w:rsidR="00923CF2" w:rsidRPr="00A32A43" w:rsidRDefault="00923CF2" w:rsidP="00A32A43">
      <w:pPr>
        <w:pStyle w:val="ListParagraph"/>
        <w:jc w:val="both"/>
        <w:rPr>
          <w:rFonts w:asciiTheme="majorHAnsi" w:eastAsia="Batang" w:hAnsiTheme="majorHAnsi"/>
          <w:bCs/>
          <w:sz w:val="20"/>
          <w:szCs w:val="20"/>
          <w:bdr w:val="none" w:sz="0" w:space="0" w:color="auto"/>
          <w:lang w:val="es-ES"/>
        </w:rPr>
      </w:pPr>
    </w:p>
    <w:p w:rsidR="00556C6D" w:rsidRPr="00A32A43" w:rsidRDefault="002F4C63" w:rsidP="00A32A43">
      <w:pPr>
        <w:pStyle w:val="ListParagraph"/>
        <w:numPr>
          <w:ilvl w:val="0"/>
          <w:numId w:val="55"/>
        </w:numPr>
        <w:jc w:val="both"/>
        <w:rPr>
          <w:rFonts w:asciiTheme="majorHAnsi" w:eastAsia="Batang" w:hAnsiTheme="majorHAnsi" w:cs="Times New Roman"/>
          <w:bCs/>
          <w:color w:val="auto"/>
          <w:sz w:val="20"/>
          <w:szCs w:val="20"/>
          <w:bdr w:val="none" w:sz="0" w:space="0" w:color="auto"/>
          <w:lang w:val="es-ES" w:eastAsia="en-US"/>
        </w:rPr>
      </w:pPr>
      <w:r w:rsidRPr="00A32A43">
        <w:rPr>
          <w:rFonts w:asciiTheme="majorHAnsi" w:eastAsia="Batang" w:hAnsiTheme="majorHAnsi"/>
          <w:bCs/>
          <w:sz w:val="20"/>
          <w:szCs w:val="20"/>
          <w:bdr w:val="none" w:sz="0" w:space="0" w:color="auto"/>
          <w:lang w:val="es-ES"/>
        </w:rPr>
        <w:t>Al respecto</w:t>
      </w:r>
      <w:r w:rsidR="006D7C98" w:rsidRPr="00A32A43">
        <w:rPr>
          <w:rFonts w:asciiTheme="majorHAnsi" w:eastAsia="Batang" w:hAnsiTheme="majorHAnsi"/>
          <w:bCs/>
          <w:sz w:val="20"/>
          <w:szCs w:val="20"/>
          <w:bdr w:val="none" w:sz="0" w:space="0" w:color="auto"/>
          <w:lang w:val="es-ES"/>
        </w:rPr>
        <w:t xml:space="preserve"> la CIDH observa </w:t>
      </w:r>
      <w:r w:rsidR="005D3019" w:rsidRPr="00A32A43">
        <w:rPr>
          <w:rFonts w:asciiTheme="majorHAnsi" w:eastAsia="Batang" w:hAnsiTheme="majorHAnsi"/>
          <w:bCs/>
          <w:sz w:val="20"/>
          <w:szCs w:val="20"/>
          <w:bdr w:val="none" w:sz="0" w:space="0" w:color="auto"/>
          <w:lang w:val="es-ES"/>
        </w:rPr>
        <w:t>que</w:t>
      </w:r>
      <w:r w:rsidR="006D7C98" w:rsidRPr="00A32A43">
        <w:rPr>
          <w:rFonts w:asciiTheme="majorHAnsi" w:eastAsia="Batang" w:hAnsiTheme="majorHAnsi"/>
          <w:bCs/>
          <w:sz w:val="20"/>
          <w:szCs w:val="20"/>
          <w:bdr w:val="none" w:sz="0" w:space="0" w:color="auto"/>
          <w:lang w:val="es-ES"/>
        </w:rPr>
        <w:t>,</w:t>
      </w:r>
      <w:r w:rsidR="005D3019" w:rsidRPr="00A32A43">
        <w:rPr>
          <w:rFonts w:asciiTheme="majorHAnsi" w:eastAsia="Batang" w:hAnsiTheme="majorHAnsi"/>
          <w:bCs/>
          <w:sz w:val="20"/>
          <w:szCs w:val="20"/>
          <w:bdr w:val="none" w:sz="0" w:space="0" w:color="auto"/>
          <w:lang w:val="es-ES"/>
        </w:rPr>
        <w:t xml:space="preserve"> </w:t>
      </w:r>
      <w:r w:rsidR="00FE0683" w:rsidRPr="00A32A43">
        <w:rPr>
          <w:rFonts w:asciiTheme="majorHAnsi" w:eastAsia="Batang" w:hAnsiTheme="majorHAnsi"/>
          <w:bCs/>
          <w:sz w:val="20"/>
          <w:szCs w:val="20"/>
          <w:bdr w:val="none" w:sz="0" w:space="0" w:color="auto"/>
          <w:lang w:val="es-ES"/>
        </w:rPr>
        <w:t xml:space="preserve">según consta en el expediente, </w:t>
      </w:r>
      <w:r w:rsidR="00911AF7" w:rsidRPr="00A32A43">
        <w:rPr>
          <w:rFonts w:asciiTheme="majorHAnsi" w:eastAsia="Batang" w:hAnsiTheme="majorHAnsi"/>
          <w:bCs/>
          <w:sz w:val="20"/>
          <w:szCs w:val="20"/>
          <w:bdr w:val="none" w:sz="0" w:space="0" w:color="auto"/>
          <w:lang w:val="es-ES"/>
        </w:rPr>
        <w:t>la Corte Suprema de J</w:t>
      </w:r>
      <w:r w:rsidR="007B0F74" w:rsidRPr="00A32A43">
        <w:rPr>
          <w:rFonts w:asciiTheme="majorHAnsi" w:eastAsia="Batang" w:hAnsiTheme="majorHAnsi"/>
          <w:bCs/>
          <w:sz w:val="20"/>
          <w:szCs w:val="20"/>
          <w:bdr w:val="none" w:sz="0" w:space="0" w:color="auto"/>
          <w:lang w:val="es-ES"/>
        </w:rPr>
        <w:t xml:space="preserve">usticia </w:t>
      </w:r>
      <w:r w:rsidR="006A0996" w:rsidRPr="00A32A43">
        <w:rPr>
          <w:rFonts w:asciiTheme="majorHAnsi" w:eastAsia="Batang" w:hAnsiTheme="majorHAnsi"/>
          <w:bCs/>
          <w:sz w:val="20"/>
          <w:szCs w:val="20"/>
          <w:bdr w:val="none" w:sz="0" w:space="0" w:color="auto"/>
          <w:lang w:val="es-ES"/>
        </w:rPr>
        <w:t>en</w:t>
      </w:r>
      <w:r w:rsidR="007B0F74" w:rsidRPr="00A32A43">
        <w:rPr>
          <w:rFonts w:asciiTheme="majorHAnsi" w:eastAsia="Batang" w:hAnsiTheme="majorHAnsi"/>
          <w:bCs/>
          <w:sz w:val="20"/>
          <w:szCs w:val="20"/>
          <w:bdr w:val="none" w:sz="0" w:space="0" w:color="auto"/>
          <w:lang w:val="es-ES"/>
        </w:rPr>
        <w:t xml:space="preserve"> su decisión de</w:t>
      </w:r>
      <w:r w:rsidR="00D25E00" w:rsidRPr="00A32A43">
        <w:rPr>
          <w:rFonts w:asciiTheme="majorHAnsi" w:eastAsia="Batang" w:hAnsiTheme="majorHAnsi"/>
          <w:bCs/>
          <w:sz w:val="20"/>
          <w:szCs w:val="20"/>
          <w:bdr w:val="none" w:sz="0" w:space="0" w:color="auto"/>
          <w:lang w:val="es-ES"/>
        </w:rPr>
        <w:t xml:space="preserve"> 12 de octubre de</w:t>
      </w:r>
      <w:r w:rsidR="007B0F74" w:rsidRPr="00A32A43">
        <w:rPr>
          <w:rFonts w:asciiTheme="majorHAnsi" w:eastAsia="Batang" w:hAnsiTheme="majorHAnsi"/>
          <w:bCs/>
          <w:sz w:val="20"/>
          <w:szCs w:val="20"/>
          <w:bdr w:val="none" w:sz="0" w:space="0" w:color="auto"/>
          <w:lang w:val="es-ES"/>
        </w:rPr>
        <w:t xml:space="preserve"> 1997 indic</w:t>
      </w:r>
      <w:r w:rsidR="006D7C98" w:rsidRPr="00A32A43">
        <w:rPr>
          <w:rFonts w:asciiTheme="majorHAnsi" w:eastAsia="Batang" w:hAnsiTheme="majorHAnsi"/>
          <w:bCs/>
          <w:sz w:val="20"/>
          <w:szCs w:val="20"/>
          <w:bdr w:val="none" w:sz="0" w:space="0" w:color="auto"/>
          <w:lang w:val="es-ES"/>
        </w:rPr>
        <w:t>ó</w:t>
      </w:r>
      <w:r w:rsidR="007B0F74" w:rsidRPr="00A32A43">
        <w:rPr>
          <w:rFonts w:asciiTheme="majorHAnsi" w:eastAsia="Batang" w:hAnsiTheme="majorHAnsi"/>
          <w:bCs/>
          <w:sz w:val="20"/>
          <w:szCs w:val="20"/>
          <w:bdr w:val="none" w:sz="0" w:space="0" w:color="auto"/>
          <w:lang w:val="es-ES"/>
        </w:rPr>
        <w:t xml:space="preserve"> que los </w:t>
      </w:r>
      <w:r w:rsidR="00454B86" w:rsidRPr="00A32A43">
        <w:rPr>
          <w:rFonts w:asciiTheme="majorHAnsi" w:eastAsia="Batang" w:hAnsiTheme="majorHAnsi"/>
          <w:bCs/>
          <w:sz w:val="20"/>
          <w:szCs w:val="20"/>
          <w:bdr w:val="none" w:sz="0" w:space="0" w:color="auto"/>
          <w:lang w:val="es-ES"/>
        </w:rPr>
        <w:t>trabajadores</w:t>
      </w:r>
      <w:r w:rsidR="007B0F74" w:rsidRPr="00A32A43">
        <w:rPr>
          <w:rFonts w:asciiTheme="majorHAnsi" w:eastAsia="Batang" w:hAnsiTheme="majorHAnsi"/>
          <w:bCs/>
          <w:sz w:val="20"/>
          <w:szCs w:val="20"/>
          <w:bdr w:val="none" w:sz="0" w:space="0" w:color="auto"/>
          <w:lang w:val="es-ES"/>
        </w:rPr>
        <w:t xml:space="preserve"> deberían haber presentado la prueba</w:t>
      </w:r>
      <w:r w:rsidR="00556C6D" w:rsidRPr="00A32A43">
        <w:rPr>
          <w:rFonts w:asciiTheme="majorHAnsi" w:eastAsia="Batang" w:hAnsiTheme="majorHAnsi"/>
          <w:bCs/>
          <w:sz w:val="20"/>
          <w:szCs w:val="20"/>
          <w:bdr w:val="none" w:sz="0" w:space="0" w:color="auto"/>
          <w:lang w:val="es-ES"/>
        </w:rPr>
        <w:t xml:space="preserve"> de su no participación en</w:t>
      </w:r>
      <w:r w:rsidR="00D25E00" w:rsidRPr="00A32A43">
        <w:rPr>
          <w:rFonts w:asciiTheme="majorHAnsi" w:eastAsia="Batang" w:hAnsiTheme="majorHAnsi"/>
          <w:bCs/>
          <w:sz w:val="20"/>
          <w:szCs w:val="20"/>
          <w:bdr w:val="none" w:sz="0" w:space="0" w:color="auto"/>
          <w:lang w:val="es-ES"/>
        </w:rPr>
        <w:t xml:space="preserve"> la huelga</w:t>
      </w:r>
      <w:r w:rsidR="007B0F74" w:rsidRPr="00A32A43">
        <w:rPr>
          <w:rFonts w:asciiTheme="majorHAnsi" w:eastAsia="Batang" w:hAnsiTheme="majorHAnsi"/>
          <w:bCs/>
          <w:sz w:val="20"/>
          <w:szCs w:val="20"/>
          <w:bdr w:val="none" w:sz="0" w:space="0" w:color="auto"/>
          <w:lang w:val="es-ES"/>
        </w:rPr>
        <w:t xml:space="preserve"> durante el proceso que se </w:t>
      </w:r>
      <w:r w:rsidR="00454B86" w:rsidRPr="00A32A43">
        <w:rPr>
          <w:rFonts w:asciiTheme="majorHAnsi" w:eastAsia="Batang" w:hAnsiTheme="majorHAnsi"/>
          <w:bCs/>
          <w:sz w:val="20"/>
          <w:szCs w:val="20"/>
          <w:bdr w:val="none" w:sz="0" w:space="0" w:color="auto"/>
          <w:lang w:val="es-ES"/>
        </w:rPr>
        <w:t>llevó</w:t>
      </w:r>
      <w:r w:rsidR="007B0F74" w:rsidRPr="00A32A43">
        <w:rPr>
          <w:rFonts w:asciiTheme="majorHAnsi" w:eastAsia="Batang" w:hAnsiTheme="majorHAnsi"/>
          <w:bCs/>
          <w:sz w:val="20"/>
          <w:szCs w:val="20"/>
          <w:bdr w:val="none" w:sz="0" w:space="0" w:color="auto"/>
          <w:lang w:val="es-ES"/>
        </w:rPr>
        <w:t xml:space="preserve"> a cabo </w:t>
      </w:r>
      <w:r w:rsidR="00454B86" w:rsidRPr="00A32A43">
        <w:rPr>
          <w:rFonts w:asciiTheme="majorHAnsi" w:eastAsia="Batang" w:hAnsiTheme="majorHAnsi"/>
          <w:bCs/>
          <w:sz w:val="20"/>
          <w:szCs w:val="20"/>
          <w:bdr w:val="none" w:sz="0" w:space="0" w:color="auto"/>
          <w:lang w:val="es-ES"/>
        </w:rPr>
        <w:t xml:space="preserve">en el </w:t>
      </w:r>
      <w:r w:rsidR="0084263B" w:rsidRPr="00A32A43">
        <w:rPr>
          <w:rFonts w:asciiTheme="majorHAnsi" w:eastAsia="Batang" w:hAnsiTheme="majorHAnsi"/>
          <w:bCs/>
          <w:sz w:val="20"/>
          <w:szCs w:val="20"/>
          <w:bdr w:val="none" w:sz="0" w:space="0" w:color="auto"/>
          <w:lang w:val="es-ES"/>
        </w:rPr>
        <w:t>i</w:t>
      </w:r>
      <w:r w:rsidR="006D7C98" w:rsidRPr="00A32A43">
        <w:rPr>
          <w:rFonts w:asciiTheme="majorHAnsi" w:eastAsia="Batang" w:hAnsiTheme="majorHAnsi"/>
          <w:bCs/>
          <w:sz w:val="20"/>
          <w:szCs w:val="20"/>
          <w:bdr w:val="none" w:sz="0" w:space="0" w:color="auto"/>
          <w:lang w:val="es-ES"/>
        </w:rPr>
        <w:t>ncidente de declaratoria de ilegalidad de huelga</w:t>
      </w:r>
      <w:r w:rsidR="006A0996" w:rsidRPr="00A32A43">
        <w:rPr>
          <w:rFonts w:asciiTheme="majorHAnsi" w:eastAsia="Batang" w:hAnsiTheme="majorHAnsi"/>
          <w:bCs/>
          <w:sz w:val="20"/>
          <w:szCs w:val="20"/>
          <w:bdr w:val="none" w:sz="0" w:space="0" w:color="auto"/>
          <w:lang w:val="es-ES"/>
        </w:rPr>
        <w:t>. S</w:t>
      </w:r>
      <w:r w:rsidR="006D7C98" w:rsidRPr="00A32A43">
        <w:rPr>
          <w:rFonts w:asciiTheme="majorHAnsi" w:eastAsia="Batang" w:hAnsiTheme="majorHAnsi"/>
          <w:bCs/>
          <w:sz w:val="20"/>
          <w:szCs w:val="20"/>
          <w:bdr w:val="none" w:sz="0" w:space="0" w:color="auto"/>
          <w:lang w:val="es-ES"/>
        </w:rPr>
        <w:t>in embargo</w:t>
      </w:r>
      <w:r w:rsidR="006A0996" w:rsidRPr="00A32A43">
        <w:rPr>
          <w:rFonts w:asciiTheme="majorHAnsi" w:eastAsia="Batang" w:hAnsiTheme="majorHAnsi"/>
          <w:bCs/>
          <w:sz w:val="20"/>
          <w:szCs w:val="20"/>
          <w:bdr w:val="none" w:sz="0" w:space="0" w:color="auto"/>
          <w:lang w:val="es-ES"/>
        </w:rPr>
        <w:t>,</w:t>
      </w:r>
      <w:r w:rsidR="006D7C98" w:rsidRPr="00A32A43">
        <w:rPr>
          <w:rFonts w:asciiTheme="majorHAnsi" w:eastAsia="Batang" w:hAnsiTheme="majorHAnsi"/>
          <w:bCs/>
          <w:sz w:val="20"/>
          <w:szCs w:val="20"/>
          <w:bdr w:val="none" w:sz="0" w:space="0" w:color="auto"/>
          <w:lang w:val="es-ES"/>
        </w:rPr>
        <w:t xml:space="preserve"> </w:t>
      </w:r>
      <w:r w:rsidR="00454B86" w:rsidRPr="00A32A43">
        <w:rPr>
          <w:rFonts w:asciiTheme="majorHAnsi" w:eastAsia="Batang" w:hAnsiTheme="majorHAnsi"/>
          <w:bCs/>
          <w:sz w:val="20"/>
          <w:szCs w:val="20"/>
          <w:bdr w:val="none" w:sz="0" w:space="0" w:color="auto"/>
          <w:lang w:val="es-ES"/>
        </w:rPr>
        <w:t xml:space="preserve">los peticionarios han sostenido que las presuntas </w:t>
      </w:r>
      <w:r w:rsidR="006D7C98" w:rsidRPr="00A32A43">
        <w:rPr>
          <w:rFonts w:asciiTheme="majorHAnsi" w:eastAsia="Batang" w:hAnsiTheme="majorHAnsi"/>
          <w:bCs/>
          <w:sz w:val="20"/>
          <w:szCs w:val="20"/>
          <w:bdr w:val="none" w:sz="0" w:space="0" w:color="auto"/>
          <w:lang w:val="es-ES"/>
        </w:rPr>
        <w:t>víctimas</w:t>
      </w:r>
      <w:r w:rsidR="00454B86" w:rsidRPr="00A32A43">
        <w:rPr>
          <w:rFonts w:asciiTheme="majorHAnsi" w:eastAsia="Batang" w:hAnsiTheme="majorHAnsi"/>
          <w:bCs/>
          <w:sz w:val="20"/>
          <w:szCs w:val="20"/>
          <w:bdr w:val="none" w:sz="0" w:space="0" w:color="auto"/>
          <w:lang w:val="es-ES"/>
        </w:rPr>
        <w:t xml:space="preserve"> no </w:t>
      </w:r>
      <w:r w:rsidR="00556C6D" w:rsidRPr="00A32A43">
        <w:rPr>
          <w:rFonts w:asciiTheme="majorHAnsi" w:eastAsia="Batang" w:hAnsiTheme="majorHAnsi"/>
          <w:bCs/>
          <w:sz w:val="20"/>
          <w:szCs w:val="20"/>
          <w:bdr w:val="none" w:sz="0" w:space="0" w:color="auto"/>
          <w:lang w:val="es-ES"/>
        </w:rPr>
        <w:t>tuvieron</w:t>
      </w:r>
      <w:r w:rsidR="006A0996" w:rsidRPr="00A32A43">
        <w:rPr>
          <w:rFonts w:asciiTheme="majorHAnsi" w:eastAsia="Batang" w:hAnsiTheme="majorHAnsi"/>
          <w:bCs/>
          <w:sz w:val="20"/>
          <w:szCs w:val="20"/>
          <w:bdr w:val="none" w:sz="0" w:space="0" w:color="auto"/>
          <w:lang w:val="es-ES"/>
        </w:rPr>
        <w:t xml:space="preserve"> conocimiento de dicho proceso </w:t>
      </w:r>
      <w:r w:rsidR="00454B86" w:rsidRPr="00A32A43">
        <w:rPr>
          <w:rFonts w:asciiTheme="majorHAnsi" w:eastAsia="Batang" w:hAnsiTheme="majorHAnsi"/>
          <w:bCs/>
          <w:sz w:val="20"/>
          <w:szCs w:val="20"/>
          <w:bdr w:val="none" w:sz="0" w:space="0" w:color="auto"/>
          <w:lang w:val="es-ES"/>
        </w:rPr>
        <w:t xml:space="preserve">y no </w:t>
      </w:r>
      <w:r w:rsidR="00556C6D" w:rsidRPr="00A32A43">
        <w:rPr>
          <w:rFonts w:asciiTheme="majorHAnsi" w:eastAsia="Batang" w:hAnsiTheme="majorHAnsi"/>
          <w:bCs/>
          <w:sz w:val="20"/>
          <w:szCs w:val="20"/>
          <w:bdr w:val="none" w:sz="0" w:space="0" w:color="auto"/>
          <w:lang w:val="es-ES"/>
        </w:rPr>
        <w:t>fueron</w:t>
      </w:r>
      <w:r w:rsidR="00F2213B" w:rsidRPr="00A32A43">
        <w:rPr>
          <w:rFonts w:asciiTheme="majorHAnsi" w:eastAsia="Batang" w:hAnsiTheme="majorHAnsi"/>
          <w:bCs/>
          <w:sz w:val="20"/>
          <w:szCs w:val="20"/>
          <w:bdr w:val="none" w:sz="0" w:space="0" w:color="auto"/>
          <w:lang w:val="es-ES"/>
        </w:rPr>
        <w:t xml:space="preserve"> representad</w:t>
      </w:r>
      <w:r w:rsidR="00BA167E" w:rsidRPr="00A32A43">
        <w:rPr>
          <w:rFonts w:asciiTheme="majorHAnsi" w:eastAsia="Batang" w:hAnsiTheme="majorHAnsi"/>
          <w:bCs/>
          <w:sz w:val="20"/>
          <w:szCs w:val="20"/>
          <w:bdr w:val="none" w:sz="0" w:space="0" w:color="auto"/>
          <w:lang w:val="es-ES"/>
        </w:rPr>
        <w:t>a</w:t>
      </w:r>
      <w:r w:rsidR="00F2213B" w:rsidRPr="00A32A43">
        <w:rPr>
          <w:rFonts w:asciiTheme="majorHAnsi" w:eastAsia="Batang" w:hAnsiTheme="majorHAnsi"/>
          <w:bCs/>
          <w:sz w:val="20"/>
          <w:szCs w:val="20"/>
          <w:bdr w:val="none" w:sz="0" w:space="0" w:color="auto"/>
          <w:lang w:val="es-ES"/>
        </w:rPr>
        <w:t>s ni notificad</w:t>
      </w:r>
      <w:r w:rsidR="00BA167E" w:rsidRPr="00A32A43">
        <w:rPr>
          <w:rFonts w:asciiTheme="majorHAnsi" w:eastAsia="Batang" w:hAnsiTheme="majorHAnsi"/>
          <w:bCs/>
          <w:sz w:val="20"/>
          <w:szCs w:val="20"/>
          <w:bdr w:val="none" w:sz="0" w:space="0" w:color="auto"/>
          <w:lang w:val="es-ES"/>
        </w:rPr>
        <w:t>a</w:t>
      </w:r>
      <w:r w:rsidR="00F2213B" w:rsidRPr="00A32A43">
        <w:rPr>
          <w:rFonts w:asciiTheme="majorHAnsi" w:eastAsia="Batang" w:hAnsiTheme="majorHAnsi"/>
          <w:bCs/>
          <w:sz w:val="20"/>
          <w:szCs w:val="20"/>
          <w:bdr w:val="none" w:sz="0" w:space="0" w:color="auto"/>
          <w:lang w:val="es-ES"/>
        </w:rPr>
        <w:t>s de</w:t>
      </w:r>
      <w:r w:rsidR="006A0996" w:rsidRPr="00A32A43">
        <w:rPr>
          <w:rFonts w:asciiTheme="majorHAnsi" w:eastAsia="Batang" w:hAnsiTheme="majorHAnsi"/>
          <w:bCs/>
          <w:sz w:val="20"/>
          <w:szCs w:val="20"/>
          <w:bdr w:val="none" w:sz="0" w:space="0" w:color="auto"/>
          <w:lang w:val="es-ES"/>
        </w:rPr>
        <w:t>l mismo</w:t>
      </w:r>
      <w:r w:rsidRPr="00A32A43">
        <w:rPr>
          <w:rFonts w:asciiTheme="majorHAnsi" w:eastAsia="Batang" w:hAnsiTheme="majorHAnsi"/>
          <w:bCs/>
          <w:sz w:val="20"/>
          <w:szCs w:val="20"/>
          <w:bdr w:val="none" w:sz="0" w:space="0" w:color="auto"/>
          <w:lang w:val="es-ES"/>
        </w:rPr>
        <w:t>,</w:t>
      </w:r>
      <w:r w:rsidR="00F2213B" w:rsidRPr="00A32A43">
        <w:rPr>
          <w:rFonts w:asciiTheme="majorHAnsi" w:eastAsia="Batang" w:hAnsiTheme="majorHAnsi"/>
          <w:bCs/>
          <w:sz w:val="20"/>
          <w:szCs w:val="20"/>
          <w:bdr w:val="none" w:sz="0" w:space="0" w:color="auto"/>
          <w:lang w:val="es-ES"/>
        </w:rPr>
        <w:t xml:space="preserve"> ya que </w:t>
      </w:r>
      <w:r w:rsidRPr="00A32A43">
        <w:rPr>
          <w:rFonts w:asciiTheme="majorHAnsi" w:eastAsia="Batang" w:hAnsiTheme="majorHAnsi"/>
          <w:bCs/>
          <w:sz w:val="20"/>
          <w:szCs w:val="20"/>
          <w:bdr w:val="none" w:sz="0" w:space="0" w:color="auto"/>
          <w:lang w:val="es-ES"/>
        </w:rPr>
        <w:t xml:space="preserve">en ningún momento </w:t>
      </w:r>
      <w:r w:rsidR="00F2213B" w:rsidRPr="00A32A43">
        <w:rPr>
          <w:rFonts w:asciiTheme="majorHAnsi" w:eastAsia="Batang" w:hAnsiTheme="majorHAnsi"/>
          <w:bCs/>
          <w:sz w:val="20"/>
          <w:szCs w:val="20"/>
          <w:bdr w:val="none" w:sz="0" w:space="0" w:color="auto"/>
          <w:lang w:val="es-ES"/>
        </w:rPr>
        <w:t xml:space="preserve">se </w:t>
      </w:r>
      <w:r w:rsidR="00556C6D" w:rsidRPr="00A32A43">
        <w:rPr>
          <w:rFonts w:asciiTheme="majorHAnsi" w:eastAsia="Batang" w:hAnsiTheme="majorHAnsi"/>
          <w:bCs/>
          <w:sz w:val="20"/>
          <w:szCs w:val="20"/>
          <w:bdr w:val="none" w:sz="0" w:space="0" w:color="auto"/>
          <w:lang w:val="es-ES"/>
        </w:rPr>
        <w:t>identificaron</w:t>
      </w:r>
      <w:r w:rsidR="00F2213B" w:rsidRPr="00A32A43">
        <w:rPr>
          <w:rFonts w:asciiTheme="majorHAnsi" w:eastAsia="Batang" w:hAnsiTheme="majorHAnsi"/>
          <w:bCs/>
          <w:sz w:val="20"/>
          <w:szCs w:val="20"/>
          <w:bdr w:val="none" w:sz="0" w:space="0" w:color="auto"/>
          <w:lang w:val="es-ES"/>
        </w:rPr>
        <w:t xml:space="preserve"> individualmente a las personas involucradas</w:t>
      </w:r>
      <w:r w:rsidR="00BA167E" w:rsidRPr="00A32A43">
        <w:rPr>
          <w:rFonts w:asciiTheme="majorHAnsi" w:eastAsia="Batang" w:hAnsiTheme="majorHAnsi"/>
          <w:bCs/>
          <w:sz w:val="20"/>
          <w:szCs w:val="20"/>
          <w:bdr w:val="none" w:sz="0" w:space="0" w:color="auto"/>
          <w:lang w:val="es-ES"/>
        </w:rPr>
        <w:t xml:space="preserve"> en la huelga</w:t>
      </w:r>
      <w:r w:rsidR="00F2213B" w:rsidRPr="00A32A43">
        <w:rPr>
          <w:rFonts w:asciiTheme="majorHAnsi" w:eastAsia="Batang" w:hAnsiTheme="majorHAnsi"/>
          <w:bCs/>
          <w:sz w:val="20"/>
          <w:szCs w:val="20"/>
          <w:bdr w:val="none" w:sz="0" w:space="0" w:color="auto"/>
          <w:lang w:val="es-ES"/>
        </w:rPr>
        <w:t xml:space="preserve">. </w:t>
      </w:r>
      <w:r w:rsidR="008E041A" w:rsidRPr="00A32A43">
        <w:rPr>
          <w:rFonts w:asciiTheme="majorHAnsi" w:eastAsia="Batang" w:hAnsiTheme="majorHAnsi"/>
          <w:bCs/>
          <w:sz w:val="20"/>
          <w:szCs w:val="20"/>
          <w:bdr w:val="none" w:sz="0" w:space="0" w:color="auto"/>
          <w:lang w:val="es-ES"/>
        </w:rPr>
        <w:t>En ese sentido</w:t>
      </w:r>
      <w:r w:rsidR="00BA167E" w:rsidRPr="00A32A43">
        <w:rPr>
          <w:rFonts w:asciiTheme="majorHAnsi" w:eastAsia="Batang" w:hAnsiTheme="majorHAnsi"/>
          <w:bCs/>
          <w:sz w:val="20"/>
          <w:szCs w:val="20"/>
          <w:bdr w:val="none" w:sz="0" w:space="0" w:color="auto"/>
          <w:lang w:val="es-ES"/>
        </w:rPr>
        <w:t>,</w:t>
      </w:r>
      <w:r w:rsidR="008E041A" w:rsidRPr="00A32A43">
        <w:rPr>
          <w:rFonts w:asciiTheme="majorHAnsi" w:eastAsia="Batang" w:hAnsiTheme="majorHAnsi"/>
          <w:bCs/>
          <w:sz w:val="20"/>
          <w:szCs w:val="20"/>
          <w:bdr w:val="none" w:sz="0" w:space="0" w:color="auto"/>
          <w:lang w:val="es-ES"/>
        </w:rPr>
        <w:t xml:space="preserve"> alegan que los acuerdos de terminación </w:t>
      </w:r>
      <w:r w:rsidR="00556C6D" w:rsidRPr="00A32A43">
        <w:rPr>
          <w:rFonts w:asciiTheme="majorHAnsi" w:eastAsia="Batang" w:hAnsiTheme="majorHAnsi"/>
          <w:bCs/>
          <w:sz w:val="20"/>
          <w:szCs w:val="20"/>
          <w:bdr w:val="none" w:sz="0" w:space="0" w:color="auto"/>
          <w:lang w:val="es-ES"/>
        </w:rPr>
        <w:t>fueron</w:t>
      </w:r>
      <w:r w:rsidR="008E041A" w:rsidRPr="00A32A43">
        <w:rPr>
          <w:rFonts w:asciiTheme="majorHAnsi" w:eastAsia="Batang" w:hAnsiTheme="majorHAnsi"/>
          <w:bCs/>
          <w:sz w:val="20"/>
          <w:szCs w:val="20"/>
          <w:bdr w:val="none" w:sz="0" w:space="0" w:color="auto"/>
          <w:lang w:val="es-ES"/>
        </w:rPr>
        <w:t xml:space="preserve"> emitidos de manera arbitraria, presuntamente sin dar a los peticionarios la posibilidad de defenderse.</w:t>
      </w:r>
      <w:r w:rsidR="009336D9" w:rsidRPr="00A32A43">
        <w:rPr>
          <w:rFonts w:asciiTheme="majorHAnsi" w:eastAsia="Batang" w:hAnsiTheme="majorHAnsi"/>
          <w:bCs/>
          <w:sz w:val="20"/>
          <w:szCs w:val="20"/>
          <w:bdr w:val="none" w:sz="0" w:space="0" w:color="auto"/>
          <w:lang w:val="es-ES"/>
        </w:rPr>
        <w:t xml:space="preserve"> </w:t>
      </w:r>
    </w:p>
    <w:p w:rsidR="00556C6D" w:rsidRPr="00A32A43" w:rsidRDefault="00556C6D" w:rsidP="00A32A43">
      <w:pPr>
        <w:pStyle w:val="ListParagraph"/>
        <w:rPr>
          <w:rFonts w:asciiTheme="majorHAnsi" w:eastAsia="Batang" w:hAnsiTheme="majorHAnsi"/>
          <w:bCs/>
          <w:sz w:val="20"/>
          <w:szCs w:val="20"/>
          <w:bdr w:val="none" w:sz="0" w:space="0" w:color="auto"/>
          <w:lang w:val="es-ES"/>
        </w:rPr>
      </w:pPr>
    </w:p>
    <w:p w:rsidR="00645241" w:rsidRPr="00A32A43" w:rsidRDefault="000B697C" w:rsidP="00A32A43">
      <w:pPr>
        <w:pStyle w:val="ListParagraph"/>
        <w:numPr>
          <w:ilvl w:val="0"/>
          <w:numId w:val="55"/>
        </w:numPr>
        <w:jc w:val="both"/>
        <w:rPr>
          <w:rFonts w:asciiTheme="majorHAnsi" w:eastAsia="Batang" w:hAnsiTheme="majorHAnsi" w:cs="Times New Roman"/>
          <w:bCs/>
          <w:color w:val="auto"/>
          <w:sz w:val="20"/>
          <w:szCs w:val="20"/>
          <w:bdr w:val="none" w:sz="0" w:space="0" w:color="auto"/>
          <w:lang w:val="es-ES" w:eastAsia="en-US"/>
        </w:rPr>
      </w:pPr>
      <w:r w:rsidRPr="00A32A43">
        <w:rPr>
          <w:rFonts w:asciiTheme="majorHAnsi" w:eastAsia="Batang" w:hAnsiTheme="majorHAnsi"/>
          <w:bCs/>
          <w:sz w:val="20"/>
          <w:szCs w:val="20"/>
          <w:bdr w:val="none" w:sz="0" w:space="0" w:color="auto"/>
          <w:lang w:val="es-ES"/>
        </w:rPr>
        <w:t xml:space="preserve">Asimismo, </w:t>
      </w:r>
      <w:r w:rsidR="003F2A02" w:rsidRPr="00A32A43">
        <w:rPr>
          <w:rFonts w:asciiTheme="majorHAnsi" w:eastAsia="Batang" w:hAnsiTheme="majorHAnsi"/>
          <w:bCs/>
          <w:sz w:val="20"/>
          <w:szCs w:val="20"/>
          <w:bdr w:val="none" w:sz="0" w:space="0" w:color="auto"/>
          <w:lang w:val="es-ES"/>
        </w:rPr>
        <w:t xml:space="preserve">según se alega, </w:t>
      </w:r>
      <w:r w:rsidR="00041B2E" w:rsidRPr="00A32A43">
        <w:rPr>
          <w:rFonts w:asciiTheme="majorHAnsi" w:eastAsia="Batang" w:hAnsiTheme="majorHAnsi"/>
          <w:bCs/>
          <w:sz w:val="20"/>
          <w:szCs w:val="20"/>
          <w:bdr w:val="none" w:sz="0" w:space="0" w:color="auto"/>
          <w:lang w:val="es-ES"/>
        </w:rPr>
        <w:t xml:space="preserve">los tribunales que examinaron la demanda laboral de revisión </w:t>
      </w:r>
      <w:r w:rsidR="00135056" w:rsidRPr="00A32A43">
        <w:rPr>
          <w:rFonts w:asciiTheme="majorHAnsi" w:eastAsia="Batang" w:hAnsiTheme="majorHAnsi"/>
          <w:bCs/>
          <w:sz w:val="20"/>
          <w:szCs w:val="20"/>
          <w:bdr w:val="none" w:sz="0" w:space="0" w:color="auto"/>
          <w:lang w:val="es-ES"/>
        </w:rPr>
        <w:t>de despido</w:t>
      </w:r>
      <w:r w:rsidR="00041B2E" w:rsidRPr="00A32A43">
        <w:rPr>
          <w:rFonts w:asciiTheme="majorHAnsi" w:eastAsia="Batang" w:hAnsiTheme="majorHAnsi"/>
          <w:bCs/>
          <w:sz w:val="20"/>
          <w:szCs w:val="20"/>
          <w:bdr w:val="none" w:sz="0" w:space="0" w:color="auto"/>
          <w:lang w:val="es-ES"/>
        </w:rPr>
        <w:t xml:space="preserve"> no </w:t>
      </w:r>
      <w:r w:rsidR="00556C6D" w:rsidRPr="00A32A43">
        <w:rPr>
          <w:rFonts w:asciiTheme="majorHAnsi" w:eastAsia="Batang" w:hAnsiTheme="majorHAnsi"/>
          <w:bCs/>
          <w:sz w:val="20"/>
          <w:szCs w:val="20"/>
          <w:bdr w:val="none" w:sz="0" w:space="0" w:color="auto"/>
          <w:lang w:val="es-ES"/>
        </w:rPr>
        <w:t>estudiaron</w:t>
      </w:r>
      <w:r w:rsidR="00041B2E" w:rsidRPr="00A32A43">
        <w:rPr>
          <w:rFonts w:asciiTheme="majorHAnsi" w:eastAsia="Batang" w:hAnsiTheme="majorHAnsi"/>
          <w:bCs/>
          <w:sz w:val="20"/>
          <w:szCs w:val="20"/>
          <w:bdr w:val="none" w:sz="0" w:space="0" w:color="auto"/>
          <w:lang w:val="es-ES"/>
        </w:rPr>
        <w:t xml:space="preserve"> </w:t>
      </w:r>
      <w:r w:rsidR="00390097">
        <w:rPr>
          <w:rFonts w:asciiTheme="majorHAnsi" w:eastAsia="Batang" w:hAnsiTheme="majorHAnsi"/>
          <w:bCs/>
          <w:sz w:val="20"/>
          <w:szCs w:val="20"/>
          <w:bdr w:val="none" w:sz="0" w:space="0" w:color="auto"/>
          <w:lang w:val="es-ES"/>
        </w:rPr>
        <w:t>la sustancia de los reclamos presentados</w:t>
      </w:r>
      <w:r w:rsidR="00041B2E" w:rsidRPr="00A32A43">
        <w:rPr>
          <w:rFonts w:asciiTheme="majorHAnsi" w:eastAsia="Batang" w:hAnsiTheme="majorHAnsi"/>
          <w:bCs/>
          <w:sz w:val="20"/>
          <w:szCs w:val="20"/>
          <w:bdr w:val="none" w:sz="0" w:space="0" w:color="auto"/>
          <w:lang w:val="es-ES"/>
        </w:rPr>
        <w:t xml:space="preserve"> por </w:t>
      </w:r>
      <w:r w:rsidR="00135056" w:rsidRPr="00A32A43">
        <w:rPr>
          <w:rFonts w:asciiTheme="majorHAnsi" w:eastAsia="Batang" w:hAnsiTheme="majorHAnsi"/>
          <w:bCs/>
          <w:sz w:val="20"/>
          <w:szCs w:val="20"/>
          <w:bdr w:val="none" w:sz="0" w:space="0" w:color="auto"/>
          <w:lang w:val="es-ES"/>
        </w:rPr>
        <w:t>las presuntas víctimas</w:t>
      </w:r>
      <w:r w:rsidR="00041B2E" w:rsidRPr="00A32A43">
        <w:rPr>
          <w:rFonts w:asciiTheme="majorHAnsi" w:eastAsia="Batang" w:hAnsiTheme="majorHAnsi"/>
          <w:bCs/>
          <w:sz w:val="20"/>
          <w:szCs w:val="20"/>
          <w:bdr w:val="none" w:sz="0" w:space="0" w:color="auto"/>
          <w:lang w:val="es-ES"/>
        </w:rPr>
        <w:t xml:space="preserve">, </w:t>
      </w:r>
      <w:r w:rsidR="00521B8D" w:rsidRPr="00A32A43">
        <w:rPr>
          <w:rFonts w:asciiTheme="majorHAnsi" w:eastAsia="Batang" w:hAnsiTheme="majorHAnsi"/>
          <w:bCs/>
          <w:sz w:val="20"/>
          <w:szCs w:val="20"/>
          <w:bdr w:val="none" w:sz="0" w:space="0" w:color="auto"/>
          <w:lang w:val="es-ES"/>
        </w:rPr>
        <w:t>limitándose a afirmar que la cancelación de los contratos de trabajo</w:t>
      </w:r>
      <w:r w:rsidR="00135056" w:rsidRPr="00A32A43">
        <w:rPr>
          <w:rFonts w:asciiTheme="majorHAnsi" w:eastAsia="Batang" w:hAnsiTheme="majorHAnsi"/>
          <w:bCs/>
          <w:sz w:val="20"/>
          <w:szCs w:val="20"/>
          <w:bdr w:val="none" w:sz="0" w:space="0" w:color="auto"/>
          <w:lang w:val="es-ES"/>
        </w:rPr>
        <w:t xml:space="preserve"> no habría sido arbitraria ya que</w:t>
      </w:r>
      <w:r w:rsidR="00521B8D" w:rsidRPr="00A32A43">
        <w:rPr>
          <w:rFonts w:asciiTheme="majorHAnsi" w:eastAsia="Batang" w:hAnsiTheme="majorHAnsi"/>
          <w:bCs/>
          <w:sz w:val="20"/>
          <w:szCs w:val="20"/>
          <w:bdr w:val="none" w:sz="0" w:space="0" w:color="auto"/>
          <w:lang w:val="es-ES"/>
        </w:rPr>
        <w:t xml:space="preserve"> se </w:t>
      </w:r>
      <w:r w:rsidR="00556C6D" w:rsidRPr="00A32A43">
        <w:rPr>
          <w:rFonts w:asciiTheme="majorHAnsi" w:eastAsia="Batang" w:hAnsiTheme="majorHAnsi"/>
          <w:bCs/>
          <w:sz w:val="20"/>
          <w:szCs w:val="20"/>
          <w:bdr w:val="none" w:sz="0" w:space="0" w:color="auto"/>
          <w:lang w:val="es-ES"/>
        </w:rPr>
        <w:t>realizó</w:t>
      </w:r>
      <w:r w:rsidR="00521B8D" w:rsidRPr="00A32A43">
        <w:rPr>
          <w:rFonts w:asciiTheme="majorHAnsi" w:eastAsia="Batang" w:hAnsiTheme="majorHAnsi"/>
          <w:bCs/>
          <w:sz w:val="20"/>
          <w:szCs w:val="20"/>
          <w:bdr w:val="none" w:sz="0" w:space="0" w:color="auto"/>
          <w:lang w:val="es-ES"/>
        </w:rPr>
        <w:t xml:space="preserve"> con fundamento en una orden judicial</w:t>
      </w:r>
      <w:r w:rsidR="00135056" w:rsidRPr="00A32A43">
        <w:rPr>
          <w:rFonts w:asciiTheme="majorHAnsi" w:eastAsia="Batang" w:hAnsiTheme="majorHAnsi"/>
          <w:bCs/>
          <w:sz w:val="20"/>
          <w:szCs w:val="20"/>
          <w:bdr w:val="none" w:sz="0" w:space="0" w:color="auto"/>
          <w:lang w:val="es-ES"/>
        </w:rPr>
        <w:t xml:space="preserve"> </w:t>
      </w:r>
      <w:r w:rsidR="003E08E0" w:rsidRPr="00A32A43">
        <w:rPr>
          <w:rFonts w:asciiTheme="majorHAnsi" w:eastAsia="Batang" w:hAnsiTheme="majorHAnsi"/>
          <w:bCs/>
          <w:sz w:val="20"/>
          <w:szCs w:val="20"/>
          <w:bdr w:val="none" w:sz="0" w:space="0" w:color="auto"/>
          <w:lang w:val="es-ES"/>
        </w:rPr>
        <w:t>–</w:t>
      </w:r>
      <w:r w:rsidR="00E2218F" w:rsidRPr="00A32A43">
        <w:rPr>
          <w:rFonts w:asciiTheme="majorHAnsi" w:eastAsia="Batang" w:hAnsiTheme="majorHAnsi"/>
          <w:bCs/>
          <w:sz w:val="20"/>
          <w:szCs w:val="20"/>
          <w:bdr w:val="none" w:sz="0" w:space="0" w:color="auto"/>
          <w:lang w:val="es-ES"/>
        </w:rPr>
        <w:t xml:space="preserve">la </w:t>
      </w:r>
      <w:r w:rsidR="00521B8D" w:rsidRPr="00A32A43">
        <w:rPr>
          <w:rFonts w:asciiTheme="majorHAnsi" w:eastAsia="Batang" w:hAnsiTheme="majorHAnsi"/>
          <w:bCs/>
          <w:sz w:val="20"/>
          <w:szCs w:val="20"/>
          <w:bdr w:val="none" w:sz="0" w:space="0" w:color="auto"/>
          <w:lang w:val="es-ES"/>
        </w:rPr>
        <w:t>de 8 de abril de 1991</w:t>
      </w:r>
      <w:r w:rsidR="002A5BD9" w:rsidRPr="00A32A43">
        <w:rPr>
          <w:rFonts w:asciiTheme="majorHAnsi" w:eastAsia="Batang" w:hAnsiTheme="majorHAnsi"/>
          <w:bCs/>
          <w:sz w:val="20"/>
          <w:szCs w:val="20"/>
          <w:bdr w:val="none" w:sz="0" w:space="0" w:color="auto"/>
          <w:lang w:val="es-ES"/>
        </w:rPr>
        <w:t xml:space="preserve"> por el Juez Cuarto de T</w:t>
      </w:r>
      <w:r w:rsidR="00521B8D" w:rsidRPr="00A32A43">
        <w:rPr>
          <w:rFonts w:asciiTheme="majorHAnsi" w:eastAsia="Batang" w:hAnsiTheme="majorHAnsi"/>
          <w:bCs/>
          <w:sz w:val="20"/>
          <w:szCs w:val="20"/>
          <w:bdr w:val="none" w:sz="0" w:space="0" w:color="auto"/>
          <w:lang w:val="es-ES"/>
        </w:rPr>
        <w:t xml:space="preserve">rabajo y </w:t>
      </w:r>
      <w:r w:rsidR="00135056" w:rsidRPr="00A32A43">
        <w:rPr>
          <w:rFonts w:asciiTheme="majorHAnsi" w:eastAsia="Batang" w:hAnsiTheme="majorHAnsi"/>
          <w:bCs/>
          <w:sz w:val="20"/>
          <w:szCs w:val="20"/>
          <w:bdr w:val="none" w:sz="0" w:space="0" w:color="auto"/>
          <w:lang w:val="es-ES"/>
        </w:rPr>
        <w:t>Previsión Social-</w:t>
      </w:r>
      <w:r w:rsidR="00521B8D" w:rsidRPr="00A32A43">
        <w:rPr>
          <w:rFonts w:asciiTheme="majorHAnsi" w:eastAsia="Batang" w:hAnsiTheme="majorHAnsi"/>
          <w:bCs/>
          <w:sz w:val="20"/>
          <w:szCs w:val="20"/>
          <w:bdr w:val="none" w:sz="0" w:space="0" w:color="auto"/>
          <w:lang w:val="es-ES"/>
        </w:rPr>
        <w:t xml:space="preserve"> </w:t>
      </w:r>
      <w:r w:rsidR="003E08E0" w:rsidRPr="00A32A43">
        <w:rPr>
          <w:rFonts w:asciiTheme="majorHAnsi" w:eastAsia="Batang" w:hAnsiTheme="majorHAnsi"/>
          <w:bCs/>
          <w:sz w:val="20"/>
          <w:szCs w:val="20"/>
          <w:bdr w:val="none" w:sz="0" w:space="0" w:color="auto"/>
          <w:lang w:val="es-ES"/>
        </w:rPr>
        <w:t>la cual</w:t>
      </w:r>
      <w:r w:rsidR="00135056" w:rsidRPr="00A32A43">
        <w:rPr>
          <w:rFonts w:asciiTheme="majorHAnsi" w:eastAsia="Batang" w:hAnsiTheme="majorHAnsi"/>
          <w:bCs/>
          <w:sz w:val="20"/>
          <w:szCs w:val="20"/>
          <w:bdr w:val="none" w:sz="0" w:space="0" w:color="auto"/>
          <w:lang w:val="es-ES"/>
        </w:rPr>
        <w:t xml:space="preserve"> declaró</w:t>
      </w:r>
      <w:r w:rsidR="00521B8D" w:rsidRPr="00A32A43">
        <w:rPr>
          <w:rFonts w:asciiTheme="majorHAnsi" w:eastAsia="Batang" w:hAnsiTheme="majorHAnsi"/>
          <w:bCs/>
          <w:sz w:val="20"/>
          <w:szCs w:val="20"/>
          <w:bdr w:val="none" w:sz="0" w:space="0" w:color="auto"/>
          <w:lang w:val="es-ES"/>
        </w:rPr>
        <w:t xml:space="preserve"> con lugar el incidente de declarato</w:t>
      </w:r>
      <w:r w:rsidR="00923CF2" w:rsidRPr="00A32A43">
        <w:rPr>
          <w:rFonts w:asciiTheme="majorHAnsi" w:eastAsia="Batang" w:hAnsiTheme="majorHAnsi"/>
          <w:bCs/>
          <w:sz w:val="20"/>
          <w:szCs w:val="20"/>
          <w:bdr w:val="none" w:sz="0" w:space="0" w:color="auto"/>
          <w:lang w:val="es-ES"/>
        </w:rPr>
        <w:t>ria de ilegalidad de la huelga.</w:t>
      </w:r>
      <w:r w:rsidR="00F16C80" w:rsidRPr="00A32A43">
        <w:rPr>
          <w:rFonts w:asciiTheme="majorHAnsi" w:eastAsia="Batang" w:hAnsiTheme="majorHAnsi"/>
          <w:bCs/>
          <w:sz w:val="20"/>
          <w:szCs w:val="20"/>
          <w:bdr w:val="none" w:sz="0" w:space="0" w:color="auto"/>
          <w:lang w:val="es-ES"/>
        </w:rPr>
        <w:t xml:space="preserve"> </w:t>
      </w:r>
      <w:r w:rsidR="00645241" w:rsidRPr="00A32A43">
        <w:rPr>
          <w:rFonts w:asciiTheme="majorHAnsi" w:eastAsia="Batang" w:hAnsiTheme="majorHAnsi"/>
          <w:bCs/>
          <w:sz w:val="20"/>
          <w:szCs w:val="20"/>
          <w:bdr w:val="none" w:sz="0" w:space="0" w:color="auto"/>
          <w:lang w:val="es-ES"/>
        </w:rPr>
        <w:t xml:space="preserve">En este sentido, </w:t>
      </w:r>
      <w:r w:rsidR="00645241" w:rsidRPr="00A32A43">
        <w:rPr>
          <w:rFonts w:asciiTheme="majorHAnsi" w:eastAsia="Batang" w:hAnsiTheme="majorHAnsi" w:cs="Times New Roman"/>
          <w:bCs/>
          <w:color w:val="auto"/>
          <w:sz w:val="20"/>
          <w:szCs w:val="20"/>
          <w:bdr w:val="none" w:sz="0" w:space="0" w:color="auto"/>
          <w:lang w:val="es-ES" w:eastAsia="en-US"/>
        </w:rPr>
        <w:t>las presuntas víctimas alegan la falta de una norma legal que prevenga que los trabajadores sean despedidos indiscriminadamente cuando una huelga es declarada ilegal.</w:t>
      </w:r>
    </w:p>
    <w:p w:rsidR="00645241" w:rsidRPr="00A32A43" w:rsidRDefault="00645241" w:rsidP="00A32A43">
      <w:pPr>
        <w:pStyle w:val="ListParagraph"/>
        <w:rPr>
          <w:rFonts w:asciiTheme="majorHAnsi" w:eastAsia="Batang" w:hAnsiTheme="majorHAnsi"/>
          <w:bCs/>
          <w:sz w:val="20"/>
          <w:szCs w:val="20"/>
          <w:bdr w:val="none" w:sz="0" w:space="0" w:color="auto"/>
          <w:lang w:val="es-ES"/>
        </w:rPr>
      </w:pPr>
    </w:p>
    <w:p w:rsidR="00556C6D" w:rsidRPr="00A32A43" w:rsidRDefault="00556C6D" w:rsidP="00A32A43">
      <w:pPr>
        <w:pStyle w:val="ListParagraph"/>
        <w:numPr>
          <w:ilvl w:val="0"/>
          <w:numId w:val="55"/>
        </w:numPr>
        <w:jc w:val="both"/>
        <w:rPr>
          <w:rFonts w:asciiTheme="majorHAnsi" w:eastAsia="Batang" w:hAnsiTheme="majorHAnsi" w:cs="Times New Roman"/>
          <w:bCs/>
          <w:color w:val="auto"/>
          <w:sz w:val="20"/>
          <w:szCs w:val="20"/>
          <w:bdr w:val="none" w:sz="0" w:space="0" w:color="auto"/>
          <w:lang w:val="es-ES" w:eastAsia="en-US"/>
        </w:rPr>
      </w:pPr>
      <w:r w:rsidRPr="00A32A43">
        <w:rPr>
          <w:rFonts w:asciiTheme="majorHAnsi" w:eastAsia="Batang" w:hAnsiTheme="majorHAnsi"/>
          <w:bCs/>
          <w:sz w:val="20"/>
          <w:szCs w:val="20"/>
          <w:bdr w:val="none" w:sz="0" w:space="0" w:color="auto"/>
          <w:lang w:val="es-ES"/>
        </w:rPr>
        <w:t xml:space="preserve">Respecto a la eventual participación de las presuntas víctimas en la huelga, la CIDH no puede sustituirse a los </w:t>
      </w:r>
      <w:r w:rsidR="00D11246" w:rsidRPr="00A32A43">
        <w:rPr>
          <w:rFonts w:asciiTheme="majorHAnsi" w:eastAsia="Batang" w:hAnsiTheme="majorHAnsi"/>
          <w:bCs/>
          <w:sz w:val="20"/>
          <w:szCs w:val="20"/>
          <w:bdr w:val="none" w:sz="0" w:space="0" w:color="auto"/>
          <w:lang w:val="es-ES"/>
        </w:rPr>
        <w:t>jueces</w:t>
      </w:r>
      <w:r w:rsidRPr="00A32A43">
        <w:rPr>
          <w:rFonts w:asciiTheme="majorHAnsi" w:eastAsia="Batang" w:hAnsiTheme="majorHAnsi"/>
          <w:bCs/>
          <w:sz w:val="20"/>
          <w:szCs w:val="20"/>
          <w:bdr w:val="none" w:sz="0" w:space="0" w:color="auto"/>
          <w:lang w:val="es-ES"/>
        </w:rPr>
        <w:t xml:space="preserve"> en la valoración de la prueba. Sin embargo, la alegada falta de participación en el incidente</w:t>
      </w:r>
      <w:r w:rsidR="00645241" w:rsidRPr="00A32A43">
        <w:rPr>
          <w:rFonts w:asciiTheme="majorHAnsi" w:eastAsia="Batang" w:hAnsiTheme="majorHAnsi"/>
          <w:bCs/>
          <w:sz w:val="20"/>
          <w:szCs w:val="20"/>
          <w:bdr w:val="none" w:sz="0" w:space="0" w:color="auto"/>
          <w:lang w:val="es-ES"/>
        </w:rPr>
        <w:t>, la supuesta</w:t>
      </w:r>
      <w:r w:rsidRPr="00A32A43">
        <w:rPr>
          <w:rFonts w:asciiTheme="majorHAnsi" w:eastAsia="Batang" w:hAnsiTheme="majorHAnsi"/>
          <w:bCs/>
          <w:sz w:val="20"/>
          <w:szCs w:val="20"/>
          <w:bdr w:val="none" w:sz="0" w:space="0" w:color="auto"/>
          <w:lang w:val="es-ES"/>
        </w:rPr>
        <w:t xml:space="preserve"> ausencia de </w:t>
      </w:r>
      <w:r w:rsidR="00645241" w:rsidRPr="00A32A43">
        <w:rPr>
          <w:rFonts w:asciiTheme="majorHAnsi" w:eastAsia="Batang" w:hAnsiTheme="majorHAnsi"/>
          <w:bCs/>
          <w:sz w:val="20"/>
          <w:szCs w:val="20"/>
          <w:bdr w:val="none" w:sz="0" w:space="0" w:color="auto"/>
          <w:lang w:val="es-ES"/>
        </w:rPr>
        <w:t>un</w:t>
      </w:r>
      <w:r w:rsidR="003044BD" w:rsidRPr="00A32A43">
        <w:rPr>
          <w:rFonts w:asciiTheme="majorHAnsi" w:eastAsia="Batang" w:hAnsiTheme="majorHAnsi"/>
          <w:bCs/>
          <w:sz w:val="20"/>
          <w:szCs w:val="20"/>
          <w:bdr w:val="none" w:sz="0" w:space="0" w:color="auto"/>
          <w:lang w:val="es-ES"/>
        </w:rPr>
        <w:t xml:space="preserve"> requisito en la ley que establezca la necesidad de probar el involucramiento de los trabajadores en la huelga,</w:t>
      </w:r>
      <w:r w:rsidR="00645241" w:rsidRPr="00A32A43">
        <w:rPr>
          <w:rFonts w:asciiTheme="majorHAnsi" w:eastAsia="Batang" w:hAnsiTheme="majorHAnsi"/>
          <w:bCs/>
          <w:sz w:val="20"/>
          <w:szCs w:val="20"/>
          <w:bdr w:val="none" w:sz="0" w:space="0" w:color="auto"/>
          <w:lang w:val="es-ES"/>
        </w:rPr>
        <w:t xml:space="preserve"> así como</w:t>
      </w:r>
      <w:r w:rsidR="003044BD" w:rsidRPr="00A32A43">
        <w:rPr>
          <w:rFonts w:asciiTheme="majorHAnsi" w:eastAsia="Batang" w:hAnsiTheme="majorHAnsi"/>
          <w:bCs/>
          <w:sz w:val="20"/>
          <w:szCs w:val="20"/>
          <w:bdr w:val="none" w:sz="0" w:space="0" w:color="auto"/>
          <w:lang w:val="es-ES"/>
        </w:rPr>
        <w:t xml:space="preserve"> la </w:t>
      </w:r>
      <w:r w:rsidR="00645241" w:rsidRPr="00A32A43">
        <w:rPr>
          <w:rFonts w:asciiTheme="majorHAnsi" w:eastAsia="Batang" w:hAnsiTheme="majorHAnsi"/>
          <w:bCs/>
          <w:sz w:val="20"/>
          <w:szCs w:val="20"/>
          <w:bdr w:val="none" w:sz="0" w:space="0" w:color="auto"/>
          <w:lang w:val="es-ES"/>
        </w:rPr>
        <w:t>alegada</w:t>
      </w:r>
      <w:r w:rsidR="003044BD" w:rsidRPr="00A32A43">
        <w:rPr>
          <w:rFonts w:asciiTheme="majorHAnsi" w:eastAsia="Batang" w:hAnsiTheme="majorHAnsi"/>
          <w:bCs/>
          <w:sz w:val="20"/>
          <w:szCs w:val="20"/>
          <w:bdr w:val="none" w:sz="0" w:space="0" w:color="auto"/>
          <w:lang w:val="es-ES"/>
        </w:rPr>
        <w:t xml:space="preserve"> falta de recursos judiciales </w:t>
      </w:r>
      <w:r w:rsidR="00F55B8B" w:rsidRPr="00A32A43">
        <w:rPr>
          <w:rFonts w:asciiTheme="majorHAnsi" w:eastAsia="Batang" w:hAnsiTheme="majorHAnsi"/>
          <w:bCs/>
          <w:sz w:val="20"/>
          <w:szCs w:val="20"/>
          <w:bdr w:val="none" w:sz="0" w:space="0" w:color="auto"/>
          <w:lang w:val="es-ES"/>
        </w:rPr>
        <w:t xml:space="preserve">adecuados </w:t>
      </w:r>
      <w:r w:rsidR="003044BD" w:rsidRPr="00A32A43">
        <w:rPr>
          <w:rFonts w:asciiTheme="majorHAnsi" w:eastAsia="Batang" w:hAnsiTheme="majorHAnsi"/>
          <w:bCs/>
          <w:sz w:val="20"/>
          <w:szCs w:val="20"/>
          <w:bdr w:val="none" w:sz="0" w:space="0" w:color="auto"/>
          <w:lang w:val="es-ES"/>
        </w:rPr>
        <w:t xml:space="preserve">para apelar el despido </w:t>
      </w:r>
      <w:r w:rsidR="00645241" w:rsidRPr="00A32A43">
        <w:rPr>
          <w:rFonts w:asciiTheme="majorHAnsi" w:eastAsia="Batang" w:hAnsiTheme="majorHAnsi"/>
          <w:bCs/>
          <w:sz w:val="20"/>
          <w:szCs w:val="20"/>
          <w:bdr w:val="none" w:sz="0" w:space="0" w:color="auto"/>
          <w:lang w:val="es-ES"/>
        </w:rPr>
        <w:t xml:space="preserve">son aspectos que la CIDH podrá analizar en el fondo sin constituir esto un ejercicio de cuarta instancia. </w:t>
      </w:r>
    </w:p>
    <w:p w:rsidR="00F16C80" w:rsidRPr="00A32A43" w:rsidRDefault="00F16C80" w:rsidP="00A32A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Batang" w:hAnsiTheme="majorHAnsi"/>
          <w:bCs/>
          <w:sz w:val="20"/>
          <w:szCs w:val="20"/>
          <w:bdr w:val="none" w:sz="0" w:space="0" w:color="auto"/>
          <w:lang w:val="es-ES"/>
        </w:rPr>
      </w:pPr>
    </w:p>
    <w:p w:rsidR="0024565F" w:rsidRPr="00A32A43" w:rsidRDefault="009165EB"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En vista de los elementos de hecho y de derecho presentados por las partes y la naturaleza del asunto puesto bajo su conocimiento, la CIDH considera que los reclamos de los peticionarios</w:t>
      </w:r>
      <w:r w:rsidR="00426469" w:rsidRPr="00A32A43">
        <w:rPr>
          <w:rFonts w:asciiTheme="majorHAnsi" w:eastAsia="Batang" w:hAnsiTheme="majorHAnsi"/>
          <w:bCs/>
          <w:sz w:val="20"/>
          <w:szCs w:val="20"/>
          <w:bdr w:val="none" w:sz="0" w:space="0" w:color="auto"/>
          <w:lang w:val="es-ES"/>
        </w:rPr>
        <w:t>, en caso de resultar probados, podrían caracterizar presuntas violaciones de los derechos g</w:t>
      </w:r>
      <w:r w:rsidR="006A0996" w:rsidRPr="00A32A43">
        <w:rPr>
          <w:rFonts w:asciiTheme="majorHAnsi" w:eastAsia="Batang" w:hAnsiTheme="majorHAnsi"/>
          <w:bCs/>
          <w:sz w:val="20"/>
          <w:szCs w:val="20"/>
          <w:bdr w:val="none" w:sz="0" w:space="0" w:color="auto"/>
          <w:lang w:val="es-ES"/>
        </w:rPr>
        <w:t>arantizados en los artículos 8</w:t>
      </w:r>
      <w:r w:rsidR="00426469" w:rsidRPr="00A32A43">
        <w:rPr>
          <w:rFonts w:asciiTheme="majorHAnsi" w:eastAsia="Batang" w:hAnsiTheme="majorHAnsi"/>
          <w:bCs/>
          <w:sz w:val="20"/>
          <w:szCs w:val="20"/>
          <w:bdr w:val="none" w:sz="0" w:space="0" w:color="auto"/>
          <w:lang w:val="es-ES"/>
        </w:rPr>
        <w:t xml:space="preserve"> y 25 de la Convención Americana en concordancia con los artículos 1.1 y 2 de dicho tratado respecto de las presuntas víctimas.</w:t>
      </w:r>
    </w:p>
    <w:p w:rsidR="00645241" w:rsidRPr="00A32A43" w:rsidRDefault="00645241" w:rsidP="00A32A43">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Batang" w:hAnsiTheme="majorHAnsi"/>
          <w:bCs/>
          <w:sz w:val="20"/>
          <w:szCs w:val="20"/>
          <w:bdr w:val="none" w:sz="0" w:space="0" w:color="auto"/>
          <w:lang w:val="es-ES"/>
        </w:rPr>
      </w:pPr>
    </w:p>
    <w:p w:rsidR="00426469" w:rsidRPr="00A32A43" w:rsidRDefault="00426469" w:rsidP="00A32A43">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outlineLvl w:val="1"/>
        <w:rPr>
          <w:rFonts w:asciiTheme="majorHAnsi" w:eastAsia="Batang" w:hAnsiTheme="majorHAnsi"/>
          <w:b/>
          <w:bCs/>
          <w:sz w:val="20"/>
          <w:szCs w:val="20"/>
          <w:bdr w:val="none" w:sz="0" w:space="0" w:color="auto"/>
          <w:lang w:val="es-ES"/>
        </w:rPr>
      </w:pPr>
      <w:r w:rsidRPr="00A32A43">
        <w:rPr>
          <w:rFonts w:asciiTheme="majorHAnsi" w:eastAsia="Batang" w:hAnsiTheme="majorHAnsi"/>
          <w:b/>
          <w:bCs/>
          <w:sz w:val="20"/>
          <w:szCs w:val="20"/>
          <w:bdr w:val="none" w:sz="0" w:space="0" w:color="auto"/>
          <w:lang w:val="es-ES"/>
        </w:rPr>
        <w:t>CONCLUSIONES</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Batang" w:hAnsiTheme="majorHAnsi"/>
          <w:bCs/>
          <w:sz w:val="20"/>
          <w:szCs w:val="20"/>
          <w:bdr w:val="none" w:sz="0" w:space="0" w:color="auto"/>
          <w:lang w:val="es-ES"/>
        </w:rPr>
      </w:pPr>
    </w:p>
    <w:p w:rsidR="006905C1" w:rsidRPr="00A32A43" w:rsidRDefault="0024565F" w:rsidP="00A32A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6905C1" w:rsidRPr="00A32A43" w:rsidRDefault="006905C1" w:rsidP="00A32A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p>
    <w:p w:rsidR="00610C95" w:rsidRDefault="00610C95" w:rsidP="00A32A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p>
    <w:p w:rsidR="00003F4B" w:rsidRDefault="00003F4B" w:rsidP="00A32A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p>
    <w:p w:rsidR="00003F4B" w:rsidRDefault="00003F4B" w:rsidP="00A32A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p>
    <w:p w:rsidR="00003F4B" w:rsidRDefault="00003F4B" w:rsidP="00A32A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p>
    <w:p w:rsidR="00003F4B" w:rsidRDefault="00003F4B" w:rsidP="00A32A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sz w:val="20"/>
          <w:szCs w:val="20"/>
          <w:bdr w:val="none" w:sz="0" w:space="0" w:color="auto"/>
          <w:lang w:val="es-ES"/>
        </w:rPr>
      </w:pPr>
      <w:r w:rsidRPr="00A32A43">
        <w:rPr>
          <w:rFonts w:asciiTheme="majorHAnsi" w:eastAsia="MS Mincho" w:hAnsiTheme="majorHAnsi"/>
          <w:b/>
          <w:bCs/>
          <w:sz w:val="20"/>
          <w:szCs w:val="20"/>
          <w:bdr w:val="none" w:sz="0" w:space="0" w:color="auto"/>
          <w:lang w:val="es-ES"/>
        </w:rPr>
        <w:lastRenderedPageBreak/>
        <w:t>LA COMISIÓN INTERAMERICANA DE DERECHOS HUMANOS,</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bdr w:val="none" w:sz="0" w:space="0" w:color="auto"/>
          <w:lang w:val="es-ES"/>
        </w:rPr>
      </w:pP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bCs/>
          <w:sz w:val="20"/>
          <w:szCs w:val="20"/>
          <w:bdr w:val="none" w:sz="0" w:space="0" w:color="auto"/>
          <w:lang w:val="es-ES"/>
        </w:rPr>
      </w:pPr>
      <w:r w:rsidRPr="00A32A43">
        <w:rPr>
          <w:rFonts w:asciiTheme="majorHAnsi" w:eastAsia="MS Mincho" w:hAnsiTheme="majorHAnsi"/>
          <w:b/>
          <w:bCs/>
          <w:sz w:val="20"/>
          <w:szCs w:val="20"/>
          <w:bdr w:val="none" w:sz="0" w:space="0" w:color="auto"/>
          <w:lang w:val="es-ES"/>
        </w:rPr>
        <w:t>DECIDE:</w:t>
      </w:r>
    </w:p>
    <w:p w:rsidR="00426469" w:rsidRPr="00A32A43"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bdr w:val="none" w:sz="0" w:space="0" w:color="auto"/>
          <w:lang w:val="es-ES"/>
        </w:rPr>
      </w:pPr>
    </w:p>
    <w:p w:rsidR="008D35D2" w:rsidRPr="00A32A43" w:rsidRDefault="008D35D2" w:rsidP="00A32A43">
      <w:pPr>
        <w:pStyle w:val="ListParagraph"/>
        <w:numPr>
          <w:ilvl w:val="0"/>
          <w:numId w:val="58"/>
        </w:numPr>
        <w:spacing w:after="240"/>
        <w:ind w:left="0" w:firstLine="720"/>
        <w:jc w:val="both"/>
        <w:outlineLvl w:val="1"/>
        <w:rPr>
          <w:rFonts w:asciiTheme="majorHAnsi" w:eastAsia="Batang" w:hAnsiTheme="majorHAnsi"/>
          <w:bCs/>
          <w:sz w:val="20"/>
          <w:szCs w:val="20"/>
          <w:bdr w:val="none" w:sz="0" w:space="0" w:color="auto"/>
          <w:lang w:val="es-ES"/>
        </w:rPr>
      </w:pPr>
      <w:r w:rsidRPr="00A32A43">
        <w:rPr>
          <w:rFonts w:asciiTheme="majorHAnsi" w:eastAsia="Batang" w:hAnsiTheme="majorHAnsi"/>
          <w:bCs/>
          <w:sz w:val="20"/>
          <w:szCs w:val="20"/>
          <w:bdr w:val="none" w:sz="0" w:space="0" w:color="auto"/>
          <w:lang w:val="es-ES"/>
        </w:rPr>
        <w:t>Declarar admisible la petición con relación a los artículos 8 y 25 en conexión con los artículos 1.1 y 2 de la Convención Americana</w:t>
      </w:r>
      <w:r w:rsidR="002C49C8" w:rsidRPr="00A32A43">
        <w:rPr>
          <w:rFonts w:asciiTheme="majorHAnsi" w:eastAsia="Batang" w:hAnsiTheme="majorHAnsi"/>
          <w:bCs/>
          <w:sz w:val="20"/>
          <w:szCs w:val="20"/>
          <w:bdr w:val="none" w:sz="0" w:space="0" w:color="auto"/>
          <w:lang w:val="es-ES"/>
        </w:rPr>
        <w:t>;</w:t>
      </w:r>
    </w:p>
    <w:p w:rsidR="008D35D2" w:rsidRPr="00A32A43" w:rsidRDefault="008D35D2" w:rsidP="00A32A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rPr>
          <w:rFonts w:asciiTheme="majorHAnsi" w:eastAsia="MS Mincho" w:hAnsiTheme="majorHAnsi"/>
          <w:sz w:val="20"/>
          <w:szCs w:val="20"/>
          <w:bdr w:val="none" w:sz="0" w:space="0" w:color="auto"/>
          <w:lang w:val="es-ES"/>
        </w:rPr>
      </w:pPr>
      <w:r w:rsidRPr="00A32A43">
        <w:rPr>
          <w:rFonts w:asciiTheme="majorHAnsi" w:eastAsia="MS Mincho" w:hAnsiTheme="majorHAnsi"/>
          <w:sz w:val="20"/>
          <w:szCs w:val="20"/>
          <w:bdr w:val="none" w:sz="0" w:space="0" w:color="auto"/>
          <w:lang w:val="es-ES"/>
        </w:rPr>
        <w:t>Notificar a las partes la presente decisión;</w:t>
      </w:r>
    </w:p>
    <w:p w:rsidR="008D35D2" w:rsidRPr="00A32A43" w:rsidRDefault="008D35D2" w:rsidP="00A32A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rPr>
          <w:rFonts w:asciiTheme="majorHAnsi" w:eastAsia="MS Mincho" w:hAnsiTheme="majorHAnsi"/>
          <w:sz w:val="20"/>
          <w:szCs w:val="20"/>
          <w:bdr w:val="none" w:sz="0" w:space="0" w:color="auto"/>
          <w:lang w:val="es-ES"/>
        </w:rPr>
      </w:pPr>
      <w:r w:rsidRPr="00A32A43">
        <w:rPr>
          <w:rFonts w:asciiTheme="majorHAnsi" w:eastAsia="MS Mincho" w:hAnsiTheme="majorHAnsi"/>
          <w:sz w:val="20"/>
          <w:szCs w:val="20"/>
          <w:bdr w:val="none" w:sz="0" w:space="0" w:color="auto"/>
          <w:lang w:val="es-ES"/>
        </w:rPr>
        <w:t>Continuar con el análisis del fondo de la cuestión; y</w:t>
      </w:r>
    </w:p>
    <w:p w:rsidR="008D35D2" w:rsidRPr="00A32A43" w:rsidRDefault="008D35D2" w:rsidP="00A32A4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MS Mincho" w:hAnsiTheme="majorHAnsi"/>
          <w:sz w:val="20"/>
          <w:szCs w:val="20"/>
          <w:bdr w:val="none" w:sz="0" w:space="0" w:color="auto"/>
          <w:lang w:val="es-ES"/>
        </w:rPr>
      </w:pPr>
      <w:r w:rsidRPr="00A32A43">
        <w:rPr>
          <w:rFonts w:asciiTheme="majorHAnsi" w:eastAsia="MS Mincho" w:hAnsiTheme="majorHAnsi"/>
          <w:sz w:val="20"/>
          <w:szCs w:val="20"/>
          <w:bdr w:val="none" w:sz="0" w:space="0" w:color="auto"/>
          <w:lang w:val="es-ES"/>
        </w:rPr>
        <w:t>Publicar esta decisión e incluirla en su Informe Anual a la Asamblea General de la Organización de los Estados Americanos.</w:t>
      </w:r>
    </w:p>
    <w:p w:rsidR="00825309" w:rsidRPr="00A37B82" w:rsidRDefault="00825309" w:rsidP="0082530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825309" w:rsidRPr="00A37B82" w:rsidRDefault="00825309" w:rsidP="00825309">
      <w:pPr>
        <w:suppressAutoHyphens/>
        <w:ind w:firstLine="720"/>
        <w:jc w:val="both"/>
        <w:rPr>
          <w:rFonts w:asciiTheme="majorHAnsi" w:hAnsiTheme="majorHAnsi" w:cs="Arial"/>
          <w:noProof/>
          <w:spacing w:val="-2"/>
          <w:sz w:val="20"/>
          <w:szCs w:val="20"/>
          <w:lang w:val="es-CL"/>
        </w:rPr>
      </w:pPr>
    </w:p>
    <w:p w:rsidR="00426469" w:rsidRPr="000F2060" w:rsidRDefault="00426469" w:rsidP="00A32A4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MS Mincho" w:hAnsiTheme="majorHAnsi"/>
          <w:sz w:val="20"/>
          <w:szCs w:val="20"/>
          <w:bdr w:val="none" w:sz="0" w:space="0" w:color="auto"/>
          <w:lang w:val="es-ES"/>
        </w:rPr>
      </w:pPr>
    </w:p>
    <w:sectPr w:rsidR="00426469" w:rsidRPr="000F206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001" w:rsidRDefault="00786001">
      <w:r>
        <w:separator/>
      </w:r>
    </w:p>
  </w:endnote>
  <w:endnote w:type="continuationSeparator" w:id="0">
    <w:p w:rsidR="00786001" w:rsidRDefault="0078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67" w:rsidRDefault="00945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5367">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001" w:rsidRPr="000F35ED" w:rsidRDefault="0078600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86001" w:rsidRPr="000F35ED" w:rsidRDefault="00786001" w:rsidP="000F35ED">
      <w:pPr>
        <w:rPr>
          <w:rFonts w:asciiTheme="majorHAnsi" w:hAnsiTheme="majorHAnsi"/>
          <w:sz w:val="16"/>
          <w:szCs w:val="16"/>
        </w:rPr>
      </w:pPr>
      <w:r w:rsidRPr="000F35ED">
        <w:rPr>
          <w:rFonts w:asciiTheme="majorHAnsi" w:hAnsiTheme="majorHAnsi"/>
          <w:sz w:val="16"/>
          <w:szCs w:val="16"/>
        </w:rPr>
        <w:separator/>
      </w:r>
    </w:p>
    <w:p w:rsidR="00786001" w:rsidRPr="000F35ED" w:rsidRDefault="0078600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86001" w:rsidRPr="000F35ED" w:rsidRDefault="0078600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0C074EA" wp14:editId="4251E8B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86001"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67" w:rsidRDefault="009453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A52333"/>
    <w:multiLevelType w:val="hybridMultilevel"/>
    <w:tmpl w:val="04022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54B2B3A4"/>
    <w:lvl w:ilvl="0" w:tplc="11044AE4">
      <w:start w:val="1"/>
      <w:numFmt w:val="decimal"/>
      <w:lvlText w:val="%1."/>
      <w:lvlJc w:val="left"/>
      <w:pPr>
        <w:tabs>
          <w:tab w:val="num" w:pos="720"/>
        </w:tabs>
        <w:ind w:firstLine="720"/>
      </w:pPr>
      <w:rPr>
        <w:rFonts w:cs="Times New Roman" w:hint="default"/>
        <w:i w:val="0"/>
        <w:color w:val="auto"/>
      </w:rPr>
    </w:lvl>
    <w:lvl w:ilvl="1" w:tplc="17F68894">
      <w:start w:val="1"/>
      <w:numFmt w:val="upperLetter"/>
      <w:lvlText w:val="%2."/>
      <w:lvlJc w:val="left"/>
      <w:pPr>
        <w:tabs>
          <w:tab w:val="num" w:pos="1800"/>
        </w:tabs>
        <w:ind w:left="1800" w:hanging="720"/>
      </w:pPr>
      <w:rPr>
        <w:rFonts w:cs="Times New Roman" w:hint="default"/>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B3C0152"/>
    <w:multiLevelType w:val="hybridMultilevel"/>
    <w:tmpl w:val="E708B014"/>
    <w:lvl w:ilvl="0" w:tplc="35FA069E">
      <w:start w:val="1"/>
      <w:numFmt w:val="decimal"/>
      <w:lvlText w:val="%1."/>
      <w:lvlJc w:val="left"/>
      <w:pPr>
        <w:tabs>
          <w:tab w:val="num" w:pos="540"/>
        </w:tabs>
        <w:ind w:left="0" w:firstLine="720"/>
      </w:pPr>
      <w:rPr>
        <w:rFonts w:asciiTheme="majorHAnsi" w:hAnsiTheme="majorHAnsi" w:hint="default"/>
        <w:b w:val="0"/>
        <w:i w:val="0"/>
        <w:color w:val="auto"/>
        <w:sz w:val="20"/>
        <w:szCs w:val="20"/>
      </w:rPr>
    </w:lvl>
    <w:lvl w:ilvl="1" w:tplc="68EE0C1E">
      <w:start w:val="2"/>
      <w:numFmt w:val="upperRoman"/>
      <w:lvlText w:val="%2."/>
      <w:lvlJc w:val="left"/>
      <w:pPr>
        <w:tabs>
          <w:tab w:val="num" w:pos="2520"/>
        </w:tabs>
        <w:ind w:left="2520" w:hanging="720"/>
      </w:pPr>
      <w:rPr>
        <w:rFonts w:hint="default"/>
      </w:rPr>
    </w:lvl>
    <w:lvl w:ilvl="2" w:tplc="A510F0CC">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340FCA"/>
    <w:multiLevelType w:val="hybridMultilevel"/>
    <w:tmpl w:val="6DA26768"/>
    <w:lvl w:ilvl="0" w:tplc="6DD63906">
      <w:start w:val="1"/>
      <w:numFmt w:val="decimal"/>
      <w:lvlText w:val="%1."/>
      <w:lvlJc w:val="left"/>
      <w:pPr>
        <w:tabs>
          <w:tab w:val="num" w:pos="2070"/>
        </w:tabs>
        <w:ind w:left="2070" w:hanging="630"/>
      </w:pPr>
      <w:rPr>
        <w:rFonts w:asciiTheme="majorHAnsi" w:hAnsiTheme="majorHAnsi" w:hint="default"/>
        <w:b/>
        <w:sz w:val="20"/>
      </w:rPr>
    </w:lvl>
    <w:lvl w:ilvl="1" w:tplc="78A00DBE">
      <w:start w:val="42"/>
      <w:numFmt w:val="decimal"/>
      <w:lvlText w:val="%2."/>
      <w:lvlJc w:val="left"/>
      <w:pPr>
        <w:tabs>
          <w:tab w:val="num" w:pos="2505"/>
        </w:tabs>
        <w:ind w:left="2505" w:hanging="1425"/>
      </w:pPr>
      <w:rPr>
        <w:rFonts w:hint="default"/>
      </w:rPr>
    </w:lvl>
    <w:lvl w:ilvl="2" w:tplc="6C2AF0B4">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F17303C"/>
    <w:multiLevelType w:val="hybridMultilevel"/>
    <w:tmpl w:val="CBF4E9AC"/>
    <w:lvl w:ilvl="0" w:tplc="3A785E3A">
      <w:start w:val="1"/>
      <w:numFmt w:val="upperRoman"/>
      <w:lvlText w:val="%1."/>
      <w:lvlJc w:val="left"/>
      <w:pPr>
        <w:tabs>
          <w:tab w:val="num" w:pos="1440"/>
        </w:tabs>
        <w:ind w:left="1440" w:hanging="720"/>
      </w:pPr>
      <w:rPr>
        <w:rFonts w:ascii="Univers" w:hAnsi="Univers" w:hint="default"/>
        <w:sz w:val="22"/>
        <w:szCs w:val="22"/>
      </w:rPr>
    </w:lvl>
    <w:lvl w:ilvl="1" w:tplc="7EE80C66">
      <w:start w:val="1"/>
      <w:numFmt w:val="decimal"/>
      <w:lvlText w:val="%2."/>
      <w:lvlJc w:val="left"/>
      <w:pPr>
        <w:tabs>
          <w:tab w:val="num" w:pos="2070"/>
        </w:tabs>
        <w:ind w:left="2070" w:hanging="630"/>
      </w:pPr>
      <w:rPr>
        <w:rFonts w:ascii="Verdana" w:hAnsi="Verdana" w:hint="default"/>
        <w:b/>
        <w:sz w:val="20"/>
      </w:rPr>
    </w:lvl>
    <w:lvl w:ilvl="2" w:tplc="A1DAC9CA">
      <w:start w:val="1"/>
      <w:numFmt w:val="upperLetter"/>
      <w:lvlText w:val="%3."/>
      <w:lvlJc w:val="left"/>
      <w:pPr>
        <w:tabs>
          <w:tab w:val="num" w:pos="2985"/>
        </w:tabs>
        <w:ind w:left="2985" w:hanging="645"/>
      </w:pPr>
      <w:rPr>
        <w:rFonts w:asciiTheme="majorHAnsi" w:hAnsiTheme="majorHAnsi" w:hint="default"/>
        <w:i w:val="0"/>
        <w:sz w:val="20"/>
        <w:szCs w:val="20"/>
      </w:rPr>
    </w:lvl>
    <w:lvl w:ilvl="3" w:tplc="30662468">
      <w:start w:val="1"/>
      <w:numFmt w:val="decimal"/>
      <w:lvlText w:val="%4."/>
      <w:lvlJc w:val="left"/>
      <w:pPr>
        <w:tabs>
          <w:tab w:val="num" w:pos="3510"/>
        </w:tabs>
        <w:ind w:left="3510" w:hanging="630"/>
      </w:pPr>
      <w:rPr>
        <w:rFonts w:asciiTheme="majorHAnsi" w:hAnsiTheme="majorHAnsi" w:hint="default"/>
        <w:b/>
        <w:sz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73873D3"/>
    <w:multiLevelType w:val="hybridMultilevel"/>
    <w:tmpl w:val="E708B014"/>
    <w:lvl w:ilvl="0" w:tplc="35FA069E">
      <w:start w:val="1"/>
      <w:numFmt w:val="decimal"/>
      <w:lvlText w:val="%1."/>
      <w:lvlJc w:val="left"/>
      <w:pPr>
        <w:tabs>
          <w:tab w:val="num" w:pos="540"/>
        </w:tabs>
        <w:ind w:left="0" w:firstLine="720"/>
      </w:pPr>
      <w:rPr>
        <w:rFonts w:asciiTheme="majorHAnsi" w:hAnsiTheme="majorHAnsi" w:hint="default"/>
        <w:b w:val="0"/>
        <w:i w:val="0"/>
        <w:color w:val="auto"/>
        <w:sz w:val="20"/>
        <w:szCs w:val="20"/>
      </w:rPr>
    </w:lvl>
    <w:lvl w:ilvl="1" w:tplc="68EE0C1E">
      <w:start w:val="2"/>
      <w:numFmt w:val="upperRoman"/>
      <w:lvlText w:val="%2."/>
      <w:lvlJc w:val="left"/>
      <w:pPr>
        <w:tabs>
          <w:tab w:val="num" w:pos="2520"/>
        </w:tabs>
        <w:ind w:left="2520" w:hanging="720"/>
      </w:pPr>
      <w:rPr>
        <w:rFonts w:hint="default"/>
      </w:rPr>
    </w:lvl>
    <w:lvl w:ilvl="2" w:tplc="A510F0CC">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8"/>
  </w:num>
  <w:num w:numId="8">
    <w:abstractNumId w:val="18"/>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40"/>
  </w:num>
  <w:num w:numId="41">
    <w:abstractNumId w:val="46"/>
  </w:num>
  <w:num w:numId="42">
    <w:abstractNumId w:val="48"/>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0"/>
  </w:num>
  <w:num w:numId="54">
    <w:abstractNumId w:val="44"/>
  </w:num>
  <w:num w:numId="55">
    <w:abstractNumId w:val="52"/>
  </w:num>
  <w:num w:numId="56">
    <w:abstractNumId w:val="45"/>
  </w:num>
  <w:num w:numId="57">
    <w:abstractNumId w:val="39"/>
  </w:num>
  <w:num w:numId="58">
    <w:abstractNumId w:val="2"/>
  </w:num>
  <w:num w:numId="59">
    <w:abstractNumId w:val="7"/>
  </w:num>
  <w:num w:numId="60">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9DC"/>
    <w:rsid w:val="00003F4B"/>
    <w:rsid w:val="00006E1F"/>
    <w:rsid w:val="000070D7"/>
    <w:rsid w:val="00014725"/>
    <w:rsid w:val="0001788C"/>
    <w:rsid w:val="00025FF7"/>
    <w:rsid w:val="00040C3A"/>
    <w:rsid w:val="00041B2E"/>
    <w:rsid w:val="00050AC8"/>
    <w:rsid w:val="000716C5"/>
    <w:rsid w:val="00075E23"/>
    <w:rsid w:val="00091977"/>
    <w:rsid w:val="0009344A"/>
    <w:rsid w:val="000A392E"/>
    <w:rsid w:val="000A575F"/>
    <w:rsid w:val="000B65BA"/>
    <w:rsid w:val="000B697C"/>
    <w:rsid w:val="000D10DB"/>
    <w:rsid w:val="000E5EB5"/>
    <w:rsid w:val="000F2060"/>
    <w:rsid w:val="000F35ED"/>
    <w:rsid w:val="00107131"/>
    <w:rsid w:val="0010736F"/>
    <w:rsid w:val="001104C7"/>
    <w:rsid w:val="00113F73"/>
    <w:rsid w:val="00121CC2"/>
    <w:rsid w:val="00133C57"/>
    <w:rsid w:val="00133EE5"/>
    <w:rsid w:val="001341DE"/>
    <w:rsid w:val="00135056"/>
    <w:rsid w:val="00140AF0"/>
    <w:rsid w:val="00147B06"/>
    <w:rsid w:val="0015437C"/>
    <w:rsid w:val="00167A34"/>
    <w:rsid w:val="00186B49"/>
    <w:rsid w:val="00194575"/>
    <w:rsid w:val="001A7870"/>
    <w:rsid w:val="001C1B41"/>
    <w:rsid w:val="001C7147"/>
    <w:rsid w:val="001C7BBC"/>
    <w:rsid w:val="001D65EF"/>
    <w:rsid w:val="001D74DB"/>
    <w:rsid w:val="001D7BB0"/>
    <w:rsid w:val="001E3939"/>
    <w:rsid w:val="001E7707"/>
    <w:rsid w:val="001F660C"/>
    <w:rsid w:val="00203214"/>
    <w:rsid w:val="00205B50"/>
    <w:rsid w:val="00205B6C"/>
    <w:rsid w:val="00222822"/>
    <w:rsid w:val="002250A3"/>
    <w:rsid w:val="00235217"/>
    <w:rsid w:val="0024565F"/>
    <w:rsid w:val="00246D1F"/>
    <w:rsid w:val="00247403"/>
    <w:rsid w:val="00247542"/>
    <w:rsid w:val="00250040"/>
    <w:rsid w:val="0025154D"/>
    <w:rsid w:val="00260892"/>
    <w:rsid w:val="00266B61"/>
    <w:rsid w:val="0026712A"/>
    <w:rsid w:val="002704DB"/>
    <w:rsid w:val="00280BEF"/>
    <w:rsid w:val="00281CE6"/>
    <w:rsid w:val="0029130B"/>
    <w:rsid w:val="0029738A"/>
    <w:rsid w:val="002A0AAE"/>
    <w:rsid w:val="002A5820"/>
    <w:rsid w:val="002A5BD9"/>
    <w:rsid w:val="002C49C8"/>
    <w:rsid w:val="002D13FA"/>
    <w:rsid w:val="002D2B26"/>
    <w:rsid w:val="002D6B2B"/>
    <w:rsid w:val="002D7EA2"/>
    <w:rsid w:val="002E187C"/>
    <w:rsid w:val="002F01D7"/>
    <w:rsid w:val="002F2CB2"/>
    <w:rsid w:val="002F4C63"/>
    <w:rsid w:val="00302733"/>
    <w:rsid w:val="003044BD"/>
    <w:rsid w:val="00314078"/>
    <w:rsid w:val="0031535D"/>
    <w:rsid w:val="00324710"/>
    <w:rsid w:val="0033169F"/>
    <w:rsid w:val="00334976"/>
    <w:rsid w:val="00334E3B"/>
    <w:rsid w:val="00346C95"/>
    <w:rsid w:val="00350306"/>
    <w:rsid w:val="00350984"/>
    <w:rsid w:val="00356185"/>
    <w:rsid w:val="00360380"/>
    <w:rsid w:val="00364BB4"/>
    <w:rsid w:val="0037519E"/>
    <w:rsid w:val="00386CF0"/>
    <w:rsid w:val="00390097"/>
    <w:rsid w:val="0039084E"/>
    <w:rsid w:val="003949B3"/>
    <w:rsid w:val="003B2800"/>
    <w:rsid w:val="003B44D4"/>
    <w:rsid w:val="003C676B"/>
    <w:rsid w:val="003D0619"/>
    <w:rsid w:val="003D1B1D"/>
    <w:rsid w:val="003D3BC2"/>
    <w:rsid w:val="003E08E0"/>
    <w:rsid w:val="003E6CA1"/>
    <w:rsid w:val="003F2A02"/>
    <w:rsid w:val="003F3760"/>
    <w:rsid w:val="0040151F"/>
    <w:rsid w:val="00406D05"/>
    <w:rsid w:val="004165C2"/>
    <w:rsid w:val="00426469"/>
    <w:rsid w:val="00441ECB"/>
    <w:rsid w:val="0044487D"/>
    <w:rsid w:val="00447E13"/>
    <w:rsid w:val="00454B86"/>
    <w:rsid w:val="00467B7E"/>
    <w:rsid w:val="004759C5"/>
    <w:rsid w:val="00477592"/>
    <w:rsid w:val="00486F1C"/>
    <w:rsid w:val="0049419D"/>
    <w:rsid w:val="004A0AA2"/>
    <w:rsid w:val="004A359D"/>
    <w:rsid w:val="004B05E3"/>
    <w:rsid w:val="004B0F84"/>
    <w:rsid w:val="004C20D2"/>
    <w:rsid w:val="004C28E4"/>
    <w:rsid w:val="004C4B62"/>
    <w:rsid w:val="004C54C9"/>
    <w:rsid w:val="004D45C9"/>
    <w:rsid w:val="004D6025"/>
    <w:rsid w:val="004E2649"/>
    <w:rsid w:val="004E3301"/>
    <w:rsid w:val="004E5B52"/>
    <w:rsid w:val="004F1F57"/>
    <w:rsid w:val="00500E47"/>
    <w:rsid w:val="00501399"/>
    <w:rsid w:val="0050633D"/>
    <w:rsid w:val="00507BC4"/>
    <w:rsid w:val="005128E4"/>
    <w:rsid w:val="005133DB"/>
    <w:rsid w:val="005162DB"/>
    <w:rsid w:val="00521B8D"/>
    <w:rsid w:val="00525560"/>
    <w:rsid w:val="005265CA"/>
    <w:rsid w:val="0053529D"/>
    <w:rsid w:val="00544C49"/>
    <w:rsid w:val="005459BF"/>
    <w:rsid w:val="005516A1"/>
    <w:rsid w:val="00554464"/>
    <w:rsid w:val="00556C6D"/>
    <w:rsid w:val="0057402A"/>
    <w:rsid w:val="005765E3"/>
    <w:rsid w:val="00576C68"/>
    <w:rsid w:val="005771D0"/>
    <w:rsid w:val="005821FF"/>
    <w:rsid w:val="0059191A"/>
    <w:rsid w:val="005921FF"/>
    <w:rsid w:val="00593097"/>
    <w:rsid w:val="005A19C3"/>
    <w:rsid w:val="005A3110"/>
    <w:rsid w:val="005A6D0E"/>
    <w:rsid w:val="005B18A4"/>
    <w:rsid w:val="005B2EEF"/>
    <w:rsid w:val="005B52B0"/>
    <w:rsid w:val="005B6806"/>
    <w:rsid w:val="005C4225"/>
    <w:rsid w:val="005D3019"/>
    <w:rsid w:val="005F0DAD"/>
    <w:rsid w:val="005F0F33"/>
    <w:rsid w:val="00600DEB"/>
    <w:rsid w:val="00610C95"/>
    <w:rsid w:val="006271F9"/>
    <w:rsid w:val="00627C9F"/>
    <w:rsid w:val="006311E9"/>
    <w:rsid w:val="0063193E"/>
    <w:rsid w:val="00632354"/>
    <w:rsid w:val="00642810"/>
    <w:rsid w:val="0064439C"/>
    <w:rsid w:val="00645241"/>
    <w:rsid w:val="00647E7B"/>
    <w:rsid w:val="00650758"/>
    <w:rsid w:val="00650F8C"/>
    <w:rsid w:val="00652333"/>
    <w:rsid w:val="00654B8A"/>
    <w:rsid w:val="006577D9"/>
    <w:rsid w:val="00657D47"/>
    <w:rsid w:val="006766B7"/>
    <w:rsid w:val="0068009E"/>
    <w:rsid w:val="00681EAA"/>
    <w:rsid w:val="00690465"/>
    <w:rsid w:val="006905C1"/>
    <w:rsid w:val="00692219"/>
    <w:rsid w:val="006A0996"/>
    <w:rsid w:val="006A17D2"/>
    <w:rsid w:val="006A73E6"/>
    <w:rsid w:val="006B2D5C"/>
    <w:rsid w:val="006C4EB1"/>
    <w:rsid w:val="006C5AC3"/>
    <w:rsid w:val="006D187C"/>
    <w:rsid w:val="006D4534"/>
    <w:rsid w:val="006D7C98"/>
    <w:rsid w:val="006E0166"/>
    <w:rsid w:val="006E7B34"/>
    <w:rsid w:val="00704282"/>
    <w:rsid w:val="0070697F"/>
    <w:rsid w:val="0072199C"/>
    <w:rsid w:val="00722C9F"/>
    <w:rsid w:val="00723786"/>
    <w:rsid w:val="007253B8"/>
    <w:rsid w:val="0073741F"/>
    <w:rsid w:val="00746128"/>
    <w:rsid w:val="00764B10"/>
    <w:rsid w:val="0076643F"/>
    <w:rsid w:val="00772FC8"/>
    <w:rsid w:val="00773915"/>
    <w:rsid w:val="00777F63"/>
    <w:rsid w:val="00786001"/>
    <w:rsid w:val="00787E43"/>
    <w:rsid w:val="00795A2D"/>
    <w:rsid w:val="007A5817"/>
    <w:rsid w:val="007A779F"/>
    <w:rsid w:val="007B0F74"/>
    <w:rsid w:val="007B1418"/>
    <w:rsid w:val="007B237A"/>
    <w:rsid w:val="007B60E9"/>
    <w:rsid w:val="007B6CC3"/>
    <w:rsid w:val="007C3334"/>
    <w:rsid w:val="007C5BA5"/>
    <w:rsid w:val="007C7662"/>
    <w:rsid w:val="007D2B98"/>
    <w:rsid w:val="007E1B41"/>
    <w:rsid w:val="007E21BC"/>
    <w:rsid w:val="007E2E4E"/>
    <w:rsid w:val="007F4B7B"/>
    <w:rsid w:val="00803F1C"/>
    <w:rsid w:val="0080600E"/>
    <w:rsid w:val="00817612"/>
    <w:rsid w:val="00825309"/>
    <w:rsid w:val="008338A4"/>
    <w:rsid w:val="00837C45"/>
    <w:rsid w:val="0084263B"/>
    <w:rsid w:val="00844730"/>
    <w:rsid w:val="00844D51"/>
    <w:rsid w:val="008457C2"/>
    <w:rsid w:val="00855572"/>
    <w:rsid w:val="00857A82"/>
    <w:rsid w:val="0086679A"/>
    <w:rsid w:val="00873836"/>
    <w:rsid w:val="00882F50"/>
    <w:rsid w:val="008836E2"/>
    <w:rsid w:val="00885737"/>
    <w:rsid w:val="00890650"/>
    <w:rsid w:val="00892762"/>
    <w:rsid w:val="00897E12"/>
    <w:rsid w:val="008A7E0F"/>
    <w:rsid w:val="008B12F5"/>
    <w:rsid w:val="008D35D2"/>
    <w:rsid w:val="008D4928"/>
    <w:rsid w:val="008D768D"/>
    <w:rsid w:val="008E041A"/>
    <w:rsid w:val="008E3759"/>
    <w:rsid w:val="008E6310"/>
    <w:rsid w:val="008F1912"/>
    <w:rsid w:val="008F6DB2"/>
    <w:rsid w:val="009024C1"/>
    <w:rsid w:val="0090270B"/>
    <w:rsid w:val="009041DC"/>
    <w:rsid w:val="00911AF7"/>
    <w:rsid w:val="009165EB"/>
    <w:rsid w:val="00917B5A"/>
    <w:rsid w:val="00920A58"/>
    <w:rsid w:val="00920A8C"/>
    <w:rsid w:val="00923CF2"/>
    <w:rsid w:val="00927D13"/>
    <w:rsid w:val="009336D9"/>
    <w:rsid w:val="00934A2C"/>
    <w:rsid w:val="00945367"/>
    <w:rsid w:val="009563F9"/>
    <w:rsid w:val="00966A9E"/>
    <w:rsid w:val="0096706E"/>
    <w:rsid w:val="00975C4E"/>
    <w:rsid w:val="00975CEE"/>
    <w:rsid w:val="009818DC"/>
    <w:rsid w:val="00981FBA"/>
    <w:rsid w:val="009853CA"/>
    <w:rsid w:val="0099005B"/>
    <w:rsid w:val="009928F6"/>
    <w:rsid w:val="00997BC5"/>
    <w:rsid w:val="009A0DC0"/>
    <w:rsid w:val="009A3064"/>
    <w:rsid w:val="009A491A"/>
    <w:rsid w:val="009A4F41"/>
    <w:rsid w:val="009B381B"/>
    <w:rsid w:val="009B54CC"/>
    <w:rsid w:val="009C05F0"/>
    <w:rsid w:val="009C67E6"/>
    <w:rsid w:val="009D1753"/>
    <w:rsid w:val="009D7611"/>
    <w:rsid w:val="009E0B61"/>
    <w:rsid w:val="009E25BC"/>
    <w:rsid w:val="009E53DE"/>
    <w:rsid w:val="00A13C28"/>
    <w:rsid w:val="00A144E0"/>
    <w:rsid w:val="00A23441"/>
    <w:rsid w:val="00A328B3"/>
    <w:rsid w:val="00A32A43"/>
    <w:rsid w:val="00A50FCF"/>
    <w:rsid w:val="00A528D1"/>
    <w:rsid w:val="00A610CD"/>
    <w:rsid w:val="00A96F78"/>
    <w:rsid w:val="00AA09A2"/>
    <w:rsid w:val="00AA7996"/>
    <w:rsid w:val="00AC19CB"/>
    <w:rsid w:val="00AC26EB"/>
    <w:rsid w:val="00AD1BC3"/>
    <w:rsid w:val="00AD46E6"/>
    <w:rsid w:val="00AE23BC"/>
    <w:rsid w:val="00AE5488"/>
    <w:rsid w:val="00AE6F91"/>
    <w:rsid w:val="00AF5571"/>
    <w:rsid w:val="00B044FB"/>
    <w:rsid w:val="00B0649B"/>
    <w:rsid w:val="00B07341"/>
    <w:rsid w:val="00B30539"/>
    <w:rsid w:val="00B314DB"/>
    <w:rsid w:val="00B361F2"/>
    <w:rsid w:val="00B3718B"/>
    <w:rsid w:val="00B426E5"/>
    <w:rsid w:val="00B42B13"/>
    <w:rsid w:val="00B438A4"/>
    <w:rsid w:val="00B4632A"/>
    <w:rsid w:val="00B530F1"/>
    <w:rsid w:val="00B92FCD"/>
    <w:rsid w:val="00B96059"/>
    <w:rsid w:val="00B96BC2"/>
    <w:rsid w:val="00BA0554"/>
    <w:rsid w:val="00BA167E"/>
    <w:rsid w:val="00BA276C"/>
    <w:rsid w:val="00BB08CE"/>
    <w:rsid w:val="00BB306F"/>
    <w:rsid w:val="00BB4C08"/>
    <w:rsid w:val="00BC285F"/>
    <w:rsid w:val="00BC4C26"/>
    <w:rsid w:val="00BD4B89"/>
    <w:rsid w:val="00BE0BEA"/>
    <w:rsid w:val="00BF6FD8"/>
    <w:rsid w:val="00C00F1B"/>
    <w:rsid w:val="00C03680"/>
    <w:rsid w:val="00C054DF"/>
    <w:rsid w:val="00C17044"/>
    <w:rsid w:val="00C21762"/>
    <w:rsid w:val="00C24543"/>
    <w:rsid w:val="00C25611"/>
    <w:rsid w:val="00C256A2"/>
    <w:rsid w:val="00C25EB3"/>
    <w:rsid w:val="00C35B88"/>
    <w:rsid w:val="00C44CB3"/>
    <w:rsid w:val="00C51515"/>
    <w:rsid w:val="00C562AE"/>
    <w:rsid w:val="00C5660B"/>
    <w:rsid w:val="00C66B72"/>
    <w:rsid w:val="00C74B17"/>
    <w:rsid w:val="00C774C3"/>
    <w:rsid w:val="00C837EA"/>
    <w:rsid w:val="00C9567A"/>
    <w:rsid w:val="00CA013F"/>
    <w:rsid w:val="00CB212D"/>
    <w:rsid w:val="00CB2660"/>
    <w:rsid w:val="00CC5E90"/>
    <w:rsid w:val="00CD046C"/>
    <w:rsid w:val="00CD6C3B"/>
    <w:rsid w:val="00CE076C"/>
    <w:rsid w:val="00CE5199"/>
    <w:rsid w:val="00CE66D5"/>
    <w:rsid w:val="00CF637A"/>
    <w:rsid w:val="00CF7B0F"/>
    <w:rsid w:val="00D00E3E"/>
    <w:rsid w:val="00D0368B"/>
    <w:rsid w:val="00D059DE"/>
    <w:rsid w:val="00D07B46"/>
    <w:rsid w:val="00D11246"/>
    <w:rsid w:val="00D13FCE"/>
    <w:rsid w:val="00D25E00"/>
    <w:rsid w:val="00D306D1"/>
    <w:rsid w:val="00D34786"/>
    <w:rsid w:val="00D37BFC"/>
    <w:rsid w:val="00D4103A"/>
    <w:rsid w:val="00D414BB"/>
    <w:rsid w:val="00D414C6"/>
    <w:rsid w:val="00D4297D"/>
    <w:rsid w:val="00D42EE9"/>
    <w:rsid w:val="00D468D8"/>
    <w:rsid w:val="00D47A8E"/>
    <w:rsid w:val="00D52D14"/>
    <w:rsid w:val="00D55610"/>
    <w:rsid w:val="00D712D3"/>
    <w:rsid w:val="00D71422"/>
    <w:rsid w:val="00D72DC6"/>
    <w:rsid w:val="00D73DA7"/>
    <w:rsid w:val="00D7558D"/>
    <w:rsid w:val="00D778A8"/>
    <w:rsid w:val="00D81D92"/>
    <w:rsid w:val="00D87220"/>
    <w:rsid w:val="00D933E2"/>
    <w:rsid w:val="00D95C1D"/>
    <w:rsid w:val="00DA7B5F"/>
    <w:rsid w:val="00DB537B"/>
    <w:rsid w:val="00DB62A1"/>
    <w:rsid w:val="00DC11E7"/>
    <w:rsid w:val="00DC7023"/>
    <w:rsid w:val="00DC769A"/>
    <w:rsid w:val="00DD3D86"/>
    <w:rsid w:val="00DD5A0E"/>
    <w:rsid w:val="00DF1EC4"/>
    <w:rsid w:val="00DF7AD3"/>
    <w:rsid w:val="00E00A24"/>
    <w:rsid w:val="00E0340B"/>
    <w:rsid w:val="00E04A90"/>
    <w:rsid w:val="00E219C7"/>
    <w:rsid w:val="00E2218F"/>
    <w:rsid w:val="00E43157"/>
    <w:rsid w:val="00E461CE"/>
    <w:rsid w:val="00E53287"/>
    <w:rsid w:val="00E53FC2"/>
    <w:rsid w:val="00E720CA"/>
    <w:rsid w:val="00E84EB5"/>
    <w:rsid w:val="00E85662"/>
    <w:rsid w:val="00E8789F"/>
    <w:rsid w:val="00E97B71"/>
    <w:rsid w:val="00EA3D34"/>
    <w:rsid w:val="00EA5AAB"/>
    <w:rsid w:val="00EB454D"/>
    <w:rsid w:val="00ED76BE"/>
    <w:rsid w:val="00EE7A52"/>
    <w:rsid w:val="00EF619B"/>
    <w:rsid w:val="00F00B55"/>
    <w:rsid w:val="00F02AD1"/>
    <w:rsid w:val="00F03655"/>
    <w:rsid w:val="00F1031B"/>
    <w:rsid w:val="00F13CCA"/>
    <w:rsid w:val="00F155F8"/>
    <w:rsid w:val="00F16C80"/>
    <w:rsid w:val="00F20D0E"/>
    <w:rsid w:val="00F2213B"/>
    <w:rsid w:val="00F253CC"/>
    <w:rsid w:val="00F355D1"/>
    <w:rsid w:val="00F37106"/>
    <w:rsid w:val="00F37AE4"/>
    <w:rsid w:val="00F45161"/>
    <w:rsid w:val="00F519CF"/>
    <w:rsid w:val="00F55B8B"/>
    <w:rsid w:val="00F56BA5"/>
    <w:rsid w:val="00F60E22"/>
    <w:rsid w:val="00F81395"/>
    <w:rsid w:val="00F917D1"/>
    <w:rsid w:val="00F9488D"/>
    <w:rsid w:val="00F9653B"/>
    <w:rsid w:val="00F96EE0"/>
    <w:rsid w:val="00FA2170"/>
    <w:rsid w:val="00FB62CF"/>
    <w:rsid w:val="00FD3848"/>
    <w:rsid w:val="00FD3C3B"/>
    <w:rsid w:val="00FD3E49"/>
    <w:rsid w:val="00FE0683"/>
    <w:rsid w:val="00FE6B45"/>
    <w:rsid w:val="00FF318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81520">
      <w:bodyDiv w:val="1"/>
      <w:marLeft w:val="0"/>
      <w:marRight w:val="0"/>
      <w:marTop w:val="0"/>
      <w:marBottom w:val="0"/>
      <w:divBdr>
        <w:top w:val="none" w:sz="0" w:space="0" w:color="auto"/>
        <w:left w:val="none" w:sz="0" w:space="0" w:color="auto"/>
        <w:bottom w:val="none" w:sz="0" w:space="0" w:color="auto"/>
        <w:right w:val="none" w:sz="0" w:space="0" w:color="auto"/>
      </w:divBdr>
    </w:div>
    <w:div w:id="763839980">
      <w:bodyDiv w:val="1"/>
      <w:marLeft w:val="0"/>
      <w:marRight w:val="0"/>
      <w:marTop w:val="0"/>
      <w:marBottom w:val="0"/>
      <w:divBdr>
        <w:top w:val="none" w:sz="0" w:space="0" w:color="auto"/>
        <w:left w:val="none" w:sz="0" w:space="0" w:color="auto"/>
        <w:bottom w:val="none" w:sz="0" w:space="0" w:color="auto"/>
        <w:right w:val="none" w:sz="0" w:space="0" w:color="auto"/>
      </w:divBdr>
    </w:div>
    <w:div w:id="173238256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913057">
      <w:bodyDiv w:val="1"/>
      <w:marLeft w:val="0"/>
      <w:marRight w:val="0"/>
      <w:marTop w:val="0"/>
      <w:marBottom w:val="0"/>
      <w:divBdr>
        <w:top w:val="none" w:sz="0" w:space="0" w:color="auto"/>
        <w:left w:val="none" w:sz="0" w:space="0" w:color="auto"/>
        <w:bottom w:val="none" w:sz="0" w:space="0" w:color="auto"/>
        <w:right w:val="none" w:sz="0" w:space="0" w:color="auto"/>
      </w:divBdr>
    </w:div>
    <w:div w:id="196511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7944-F854-4736-80A7-02A1C5FD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4109</Words>
  <Characters>21245</Characters>
  <Application>Microsoft Office Word</Application>
  <DocSecurity>0</DocSecurity>
  <Lines>317</Lines>
  <Paragraphs>67</Paragraphs>
  <ScaleCrop>false</ScaleCrop>
  <Company/>
  <LinksUpToDate>false</LinksUpToDate>
  <CharactersWithSpaces>25287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61/17</dc:title>
  <dc:creator/>
  <cp:lastModifiedBy/>
  <cp:revision>1</cp:revision>
  <dcterms:created xsi:type="dcterms:W3CDTF">2017-11-02T16:29:00Z</dcterms:created>
  <dcterms:modified xsi:type="dcterms:W3CDTF">2017-11-02T16:29:00Z</dcterms:modified>
</cp:coreProperties>
</file>