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B00D7" w:rsidRDefault="00D306D1" w:rsidP="00627C9F">
      <w:pPr>
        <w:jc w:val="both"/>
        <w:rPr>
          <w:rFonts w:asciiTheme="majorHAnsi" w:hAnsiTheme="majorHAnsi" w:cs="Univers"/>
          <w:b/>
          <w:bCs/>
          <w:noProof/>
          <w:sz w:val="22"/>
          <w:szCs w:val="22"/>
        </w:rPr>
      </w:pPr>
      <w:bookmarkStart w:id="0" w:name="_GoBack"/>
      <w:bookmarkEnd w:id="0"/>
      <w:r w:rsidRPr="008B00D7">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51A4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B00D7">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B00D7" w:rsidRDefault="00040C3A" w:rsidP="00040C3A">
      <w:pPr>
        <w:tabs>
          <w:tab w:val="center" w:pos="5400"/>
        </w:tabs>
        <w:suppressAutoHyphens/>
        <w:jc w:val="both"/>
        <w:rPr>
          <w:rFonts w:asciiTheme="majorHAnsi" w:hAnsiTheme="majorHAnsi"/>
          <w:noProof/>
          <w:sz w:val="22"/>
          <w:szCs w:val="22"/>
        </w:rPr>
      </w:pPr>
    </w:p>
    <w:p w14:paraId="5A87E141" w14:textId="77777777" w:rsidR="00040C3A" w:rsidRPr="008B00D7" w:rsidRDefault="00040C3A" w:rsidP="00040C3A">
      <w:pPr>
        <w:tabs>
          <w:tab w:val="center" w:pos="5400"/>
        </w:tabs>
        <w:suppressAutoHyphens/>
        <w:jc w:val="both"/>
        <w:rPr>
          <w:rFonts w:asciiTheme="majorHAnsi" w:hAnsiTheme="majorHAnsi"/>
          <w:noProof/>
          <w:sz w:val="22"/>
          <w:szCs w:val="22"/>
        </w:rPr>
      </w:pPr>
    </w:p>
    <w:p w14:paraId="29D95BCC" w14:textId="77777777" w:rsidR="005128E4" w:rsidRPr="008B00D7" w:rsidRDefault="005128E4" w:rsidP="00040C3A">
      <w:pPr>
        <w:tabs>
          <w:tab w:val="center" w:pos="5400"/>
        </w:tabs>
        <w:suppressAutoHyphens/>
        <w:rPr>
          <w:rFonts w:asciiTheme="majorHAnsi" w:hAnsiTheme="majorHAnsi"/>
          <w:noProof/>
          <w:sz w:val="22"/>
          <w:szCs w:val="22"/>
        </w:rPr>
      </w:pPr>
    </w:p>
    <w:p w14:paraId="12A36B24" w14:textId="77777777" w:rsidR="005128E4" w:rsidRPr="008B00D7" w:rsidRDefault="005128E4" w:rsidP="00040C3A">
      <w:pPr>
        <w:tabs>
          <w:tab w:val="center" w:pos="5400"/>
        </w:tabs>
        <w:suppressAutoHyphens/>
        <w:rPr>
          <w:rFonts w:asciiTheme="majorHAnsi" w:hAnsiTheme="majorHAnsi"/>
          <w:noProof/>
          <w:sz w:val="22"/>
          <w:szCs w:val="22"/>
        </w:rPr>
      </w:pPr>
    </w:p>
    <w:p w14:paraId="2252093D" w14:textId="77777777" w:rsidR="005128E4" w:rsidRPr="008B00D7" w:rsidRDefault="005128E4" w:rsidP="00040C3A">
      <w:pPr>
        <w:tabs>
          <w:tab w:val="center" w:pos="5400"/>
        </w:tabs>
        <w:suppressAutoHyphens/>
        <w:rPr>
          <w:rFonts w:asciiTheme="majorHAnsi" w:hAnsiTheme="majorHAnsi"/>
          <w:noProof/>
          <w:sz w:val="22"/>
          <w:szCs w:val="22"/>
        </w:rPr>
      </w:pPr>
    </w:p>
    <w:p w14:paraId="403935BD" w14:textId="77777777" w:rsidR="00040C3A" w:rsidRPr="008B00D7" w:rsidRDefault="00040C3A" w:rsidP="005128E4">
      <w:pPr>
        <w:tabs>
          <w:tab w:val="center" w:pos="5400"/>
        </w:tabs>
        <w:suppressAutoHyphens/>
        <w:jc w:val="center"/>
        <w:rPr>
          <w:rFonts w:asciiTheme="majorHAnsi" w:hAnsiTheme="majorHAnsi"/>
          <w:noProof/>
          <w:sz w:val="22"/>
          <w:szCs w:val="22"/>
        </w:rPr>
      </w:pPr>
    </w:p>
    <w:p w14:paraId="6DCF5F8F" w14:textId="77777777" w:rsidR="00040C3A" w:rsidRPr="008B00D7" w:rsidRDefault="00040C3A" w:rsidP="005128E4">
      <w:pPr>
        <w:tabs>
          <w:tab w:val="center" w:pos="5400"/>
        </w:tabs>
        <w:suppressAutoHyphens/>
        <w:jc w:val="center"/>
        <w:rPr>
          <w:rFonts w:asciiTheme="majorHAnsi" w:hAnsiTheme="majorHAnsi"/>
          <w:noProof/>
          <w:sz w:val="22"/>
          <w:szCs w:val="22"/>
        </w:rPr>
      </w:pPr>
    </w:p>
    <w:p w14:paraId="4791F13A" w14:textId="77777777" w:rsidR="005B52B0" w:rsidRPr="008B00D7" w:rsidRDefault="005B52B0" w:rsidP="005128E4">
      <w:pPr>
        <w:tabs>
          <w:tab w:val="center" w:pos="5400"/>
        </w:tabs>
        <w:suppressAutoHyphens/>
        <w:jc w:val="center"/>
        <w:rPr>
          <w:rFonts w:asciiTheme="majorHAnsi" w:hAnsiTheme="majorHAnsi"/>
          <w:noProof/>
          <w:sz w:val="22"/>
          <w:szCs w:val="22"/>
        </w:rPr>
      </w:pPr>
    </w:p>
    <w:p w14:paraId="44E016B6" w14:textId="77777777" w:rsidR="005B52B0" w:rsidRPr="008B00D7" w:rsidRDefault="005B52B0" w:rsidP="005128E4">
      <w:pPr>
        <w:tabs>
          <w:tab w:val="center" w:pos="5400"/>
        </w:tabs>
        <w:suppressAutoHyphens/>
        <w:jc w:val="center"/>
        <w:rPr>
          <w:rFonts w:asciiTheme="majorHAnsi" w:hAnsiTheme="majorHAnsi"/>
          <w:noProof/>
          <w:sz w:val="22"/>
          <w:szCs w:val="22"/>
        </w:rPr>
      </w:pPr>
    </w:p>
    <w:p w14:paraId="63D41962" w14:textId="77777777" w:rsidR="005B52B0" w:rsidRPr="008B00D7" w:rsidRDefault="005B52B0" w:rsidP="005128E4">
      <w:pPr>
        <w:tabs>
          <w:tab w:val="center" w:pos="5400"/>
        </w:tabs>
        <w:suppressAutoHyphens/>
        <w:jc w:val="center"/>
        <w:rPr>
          <w:rFonts w:asciiTheme="majorHAnsi" w:hAnsiTheme="majorHAnsi"/>
          <w:noProof/>
          <w:sz w:val="22"/>
          <w:szCs w:val="22"/>
        </w:rPr>
      </w:pPr>
    </w:p>
    <w:p w14:paraId="5ADEB990"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2D81B7E8"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64791D04" w14:textId="77777777" w:rsidR="00040C3A" w:rsidRPr="008B00D7" w:rsidRDefault="003D3BC2" w:rsidP="00040C3A">
      <w:pPr>
        <w:tabs>
          <w:tab w:val="center" w:pos="5400"/>
        </w:tabs>
        <w:suppressAutoHyphens/>
        <w:jc w:val="center"/>
        <w:rPr>
          <w:rFonts w:asciiTheme="majorHAnsi" w:hAnsiTheme="majorHAnsi"/>
          <w:noProof/>
          <w:sz w:val="22"/>
          <w:szCs w:val="22"/>
        </w:rPr>
      </w:pPr>
      <w:r w:rsidRPr="008B00D7">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37875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668D">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431EFEE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701C">
                              <w:rPr>
                                <w:rFonts w:asciiTheme="majorHAnsi" w:hAnsiTheme="majorHAnsi" w:cs="Arial"/>
                                <w:b/>
                                <w:color w:val="0D0D0D" w:themeColor="text1" w:themeTint="F2"/>
                                <w:sz w:val="36"/>
                                <w:szCs w:val="22"/>
                                <w:lang w:val="es-ES_tradnl"/>
                              </w:rPr>
                              <w:t>1616</w:t>
                            </w:r>
                            <w:r w:rsidR="00246D1F" w:rsidRPr="004E2649">
                              <w:rPr>
                                <w:rFonts w:asciiTheme="majorHAnsi" w:hAnsiTheme="majorHAnsi" w:cs="Arial"/>
                                <w:b/>
                                <w:color w:val="0D0D0D" w:themeColor="text1" w:themeTint="F2"/>
                                <w:sz w:val="36"/>
                                <w:szCs w:val="22"/>
                                <w:lang w:val="es-ES_tradnl"/>
                              </w:rPr>
                              <w:t>-</w:t>
                            </w:r>
                            <w:r w:rsidR="009B701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726BC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0A361C5" w:rsidR="005B52B0" w:rsidRPr="0010736F" w:rsidRDefault="0027272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A.G.A</w:t>
                            </w:r>
                            <w:r w:rsidR="001F2249">
                              <w:rPr>
                                <w:rFonts w:asciiTheme="majorHAnsi" w:hAnsiTheme="majorHAnsi" w:cs="Arial"/>
                                <w:color w:val="0D0D0D" w:themeColor="text1" w:themeTint="F2"/>
                                <w:szCs w:val="22"/>
                                <w:lang w:val="es-ES_tradnl"/>
                              </w:rPr>
                              <w:t xml:space="preserve"> Y FAMILIARES</w:t>
                            </w:r>
                          </w:p>
                          <w:bookmarkEnd w:id="1"/>
                          <w:p w14:paraId="35068D0D" w14:textId="3E97431D" w:rsidR="005B52B0" w:rsidRPr="0010736F" w:rsidRDefault="009B701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37875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668D">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431EFEE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701C">
                        <w:rPr>
                          <w:rFonts w:asciiTheme="majorHAnsi" w:hAnsiTheme="majorHAnsi" w:cs="Arial"/>
                          <w:b/>
                          <w:color w:val="0D0D0D" w:themeColor="text1" w:themeTint="F2"/>
                          <w:sz w:val="36"/>
                          <w:szCs w:val="22"/>
                          <w:lang w:val="es-ES_tradnl"/>
                        </w:rPr>
                        <w:t>1616</w:t>
                      </w:r>
                      <w:r w:rsidR="00246D1F" w:rsidRPr="004E2649">
                        <w:rPr>
                          <w:rFonts w:asciiTheme="majorHAnsi" w:hAnsiTheme="majorHAnsi" w:cs="Arial"/>
                          <w:b/>
                          <w:color w:val="0D0D0D" w:themeColor="text1" w:themeTint="F2"/>
                          <w:sz w:val="36"/>
                          <w:szCs w:val="22"/>
                          <w:lang w:val="es-ES_tradnl"/>
                        </w:rPr>
                        <w:t>-</w:t>
                      </w:r>
                      <w:r w:rsidR="009B701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726BC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0A361C5" w:rsidR="005B52B0" w:rsidRPr="0010736F" w:rsidRDefault="0027272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A.G.A</w:t>
                      </w:r>
                      <w:r w:rsidR="001F2249">
                        <w:rPr>
                          <w:rFonts w:asciiTheme="majorHAnsi" w:hAnsiTheme="majorHAnsi" w:cs="Arial"/>
                          <w:color w:val="0D0D0D" w:themeColor="text1" w:themeTint="F2"/>
                          <w:szCs w:val="22"/>
                          <w:lang w:val="es-ES_tradnl"/>
                        </w:rPr>
                        <w:t xml:space="preserve"> Y FAMILIARES</w:t>
                      </w:r>
                    </w:p>
                    <w:bookmarkEnd w:id="2"/>
                    <w:p w14:paraId="35068D0D" w14:textId="3E97431D" w:rsidR="005B52B0" w:rsidRPr="0010736F" w:rsidRDefault="009B701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B00D7">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9B200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65B97A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8668D">
                              <w:rPr>
                                <w:rFonts w:asciiTheme="minorHAnsi" w:hAnsiTheme="minorHAnsi"/>
                                <w:color w:val="FFFFFF" w:themeColor="background1"/>
                                <w:sz w:val="22"/>
                                <w:lang w:val="pt-BR"/>
                              </w:rPr>
                              <w:t>205</w:t>
                            </w:r>
                          </w:p>
                          <w:p w14:paraId="69373ED2" w14:textId="1DBE404C" w:rsidR="00627C9F" w:rsidRPr="004E2649" w:rsidRDefault="006866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diciembre</w:t>
                            </w:r>
                            <w:r w:rsidR="00AA48C7">
                              <w:rPr>
                                <w:rFonts w:asciiTheme="minorHAnsi" w:hAnsiTheme="minorHAnsi"/>
                                <w:color w:val="FFFFFF" w:themeColor="background1"/>
                                <w:sz w:val="22"/>
                              </w:rPr>
                              <w:t xml:space="preserve"> </w:t>
                            </w:r>
                            <w:r w:rsidR="00AA48C7" w:rsidRPr="004E2649">
                              <w:rPr>
                                <w:rFonts w:asciiTheme="minorHAnsi" w:hAnsiTheme="minorHAnsi"/>
                                <w:color w:val="FFFFFF" w:themeColor="background1"/>
                                <w:sz w:val="22"/>
                              </w:rPr>
                              <w:t>2018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99B200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65B97A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8668D">
                        <w:rPr>
                          <w:rFonts w:asciiTheme="minorHAnsi" w:hAnsiTheme="minorHAnsi"/>
                          <w:color w:val="FFFFFF" w:themeColor="background1"/>
                          <w:sz w:val="22"/>
                          <w:lang w:val="pt-BR"/>
                        </w:rPr>
                        <w:t>205</w:t>
                      </w:r>
                    </w:p>
                    <w:p w14:paraId="69373ED2" w14:textId="1DBE404C" w:rsidR="00627C9F" w:rsidRPr="004E2649" w:rsidRDefault="006866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diciembre</w:t>
                      </w:r>
                      <w:r w:rsidR="00AA48C7">
                        <w:rPr>
                          <w:rFonts w:asciiTheme="minorHAnsi" w:hAnsiTheme="minorHAnsi"/>
                          <w:color w:val="FFFFFF" w:themeColor="background1"/>
                          <w:sz w:val="22"/>
                        </w:rPr>
                        <w:t xml:space="preserve"> </w:t>
                      </w:r>
                      <w:r w:rsidR="00AA48C7" w:rsidRPr="004E2649">
                        <w:rPr>
                          <w:rFonts w:asciiTheme="minorHAnsi" w:hAnsiTheme="minorHAnsi"/>
                          <w:color w:val="FFFFFF" w:themeColor="background1"/>
                          <w:sz w:val="22"/>
                        </w:rPr>
                        <w:t>2018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55B0536"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5FE3AB87"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3C383BC0" w14:textId="77777777" w:rsidR="00040C3A" w:rsidRPr="008B00D7" w:rsidRDefault="00040C3A" w:rsidP="00040C3A">
      <w:pPr>
        <w:tabs>
          <w:tab w:val="center" w:pos="5400"/>
        </w:tabs>
        <w:suppressAutoHyphens/>
        <w:jc w:val="center"/>
        <w:rPr>
          <w:rFonts w:asciiTheme="majorHAnsi" w:hAnsiTheme="majorHAnsi" w:cs="Arial"/>
          <w:noProof/>
          <w:sz w:val="22"/>
          <w:szCs w:val="22"/>
        </w:rPr>
      </w:pPr>
    </w:p>
    <w:p w14:paraId="54590931"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76C291D6"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2161B44F"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3C4EEE07"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3B0E4647" w14:textId="77777777" w:rsidR="005128E4" w:rsidRPr="008B00D7" w:rsidRDefault="005128E4" w:rsidP="00040C3A">
      <w:pPr>
        <w:tabs>
          <w:tab w:val="center" w:pos="5400"/>
        </w:tabs>
        <w:suppressAutoHyphens/>
        <w:jc w:val="center"/>
        <w:rPr>
          <w:rFonts w:asciiTheme="majorHAnsi" w:hAnsiTheme="majorHAnsi"/>
          <w:noProof/>
          <w:sz w:val="22"/>
          <w:szCs w:val="22"/>
        </w:rPr>
      </w:pPr>
    </w:p>
    <w:p w14:paraId="2DAAF36D"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12496A14" w14:textId="77777777" w:rsidR="005128E4" w:rsidRPr="008B00D7" w:rsidRDefault="005128E4" w:rsidP="00040C3A">
      <w:pPr>
        <w:tabs>
          <w:tab w:val="center" w:pos="5400"/>
        </w:tabs>
        <w:suppressAutoHyphens/>
        <w:jc w:val="center"/>
        <w:rPr>
          <w:rFonts w:asciiTheme="majorHAnsi" w:hAnsiTheme="majorHAnsi"/>
          <w:noProof/>
          <w:sz w:val="22"/>
          <w:szCs w:val="22"/>
        </w:rPr>
      </w:pPr>
    </w:p>
    <w:p w14:paraId="25772DB3" w14:textId="77777777" w:rsidR="005128E4" w:rsidRPr="008B00D7" w:rsidRDefault="005128E4" w:rsidP="00040C3A">
      <w:pPr>
        <w:tabs>
          <w:tab w:val="center" w:pos="5400"/>
        </w:tabs>
        <w:suppressAutoHyphens/>
        <w:jc w:val="center"/>
        <w:rPr>
          <w:rFonts w:asciiTheme="majorHAnsi" w:hAnsiTheme="majorHAnsi"/>
          <w:noProof/>
          <w:sz w:val="22"/>
          <w:szCs w:val="22"/>
        </w:rPr>
      </w:pPr>
    </w:p>
    <w:p w14:paraId="6820FADA" w14:textId="77777777" w:rsidR="005128E4" w:rsidRPr="008B00D7" w:rsidRDefault="005128E4" w:rsidP="00040C3A">
      <w:pPr>
        <w:tabs>
          <w:tab w:val="center" w:pos="5400"/>
        </w:tabs>
        <w:suppressAutoHyphens/>
        <w:jc w:val="center"/>
        <w:rPr>
          <w:rFonts w:asciiTheme="majorHAnsi" w:hAnsiTheme="majorHAnsi"/>
          <w:noProof/>
          <w:sz w:val="22"/>
          <w:szCs w:val="22"/>
        </w:rPr>
      </w:pPr>
    </w:p>
    <w:p w14:paraId="54445A55"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5D4A4040" w14:textId="77777777" w:rsidR="00040C3A" w:rsidRPr="008B00D7" w:rsidRDefault="00040C3A" w:rsidP="00040C3A">
      <w:pPr>
        <w:tabs>
          <w:tab w:val="center" w:pos="5400"/>
        </w:tabs>
        <w:suppressAutoHyphens/>
        <w:jc w:val="center"/>
        <w:rPr>
          <w:rFonts w:asciiTheme="majorHAnsi" w:hAnsiTheme="majorHAnsi"/>
          <w:noProof/>
          <w:sz w:val="22"/>
          <w:szCs w:val="22"/>
        </w:rPr>
      </w:pPr>
    </w:p>
    <w:p w14:paraId="048FBB22"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190ABFB3"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4C690048"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733CA438"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7874DEEB"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3698D0D6"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1F907823"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045D9AC1"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16068EE5"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14A4A430"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0B3B735F"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02C5C441"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7806A2B0"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319C392B"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514A0182" w14:textId="77777777" w:rsidR="00A50FCF" w:rsidRPr="008B00D7" w:rsidRDefault="0090270B" w:rsidP="00040C3A">
      <w:pPr>
        <w:tabs>
          <w:tab w:val="center" w:pos="5400"/>
        </w:tabs>
        <w:suppressAutoHyphens/>
        <w:jc w:val="center"/>
        <w:rPr>
          <w:rFonts w:asciiTheme="majorHAnsi" w:hAnsiTheme="majorHAnsi"/>
          <w:noProof/>
          <w:sz w:val="18"/>
          <w:szCs w:val="22"/>
        </w:rPr>
      </w:pPr>
      <w:r w:rsidRPr="008B00D7">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C1DE3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8668D">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8668D">
                              <w:rPr>
                                <w:rFonts w:asciiTheme="majorHAnsi" w:hAnsiTheme="majorHAnsi"/>
                                <w:color w:val="0D0D0D" w:themeColor="text1" w:themeTint="F2"/>
                                <w:sz w:val="18"/>
                                <w:szCs w:val="22"/>
                                <w:lang w:val="es-ES"/>
                              </w:rPr>
                              <w:t>26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C1DE3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8668D">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68668D">
                        <w:rPr>
                          <w:rFonts w:asciiTheme="majorHAnsi" w:hAnsiTheme="majorHAnsi"/>
                          <w:color w:val="0D0D0D" w:themeColor="text1" w:themeTint="F2"/>
                          <w:sz w:val="18"/>
                          <w:szCs w:val="22"/>
                          <w:lang w:val="es-ES"/>
                        </w:rPr>
                        <w:t>26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7929D1FD"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5469D0BE"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7A79F059"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330672AE" w14:textId="77777777" w:rsidR="00A50FCF" w:rsidRPr="008B00D7" w:rsidRDefault="0090270B" w:rsidP="00040C3A">
      <w:pPr>
        <w:tabs>
          <w:tab w:val="center" w:pos="5400"/>
        </w:tabs>
        <w:suppressAutoHyphens/>
        <w:jc w:val="center"/>
        <w:rPr>
          <w:rFonts w:asciiTheme="majorHAnsi" w:hAnsiTheme="majorHAnsi"/>
          <w:noProof/>
          <w:sz w:val="18"/>
          <w:szCs w:val="22"/>
        </w:rPr>
      </w:pPr>
      <w:r w:rsidRPr="008B00D7">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B6A6E9" w:rsidR="00113F73" w:rsidRPr="007B05C4" w:rsidRDefault="00113F73" w:rsidP="00113F73">
                            <w:pPr>
                              <w:spacing w:line="276" w:lineRule="auto"/>
                              <w:rPr>
                                <w:rFonts w:asciiTheme="majorHAnsi" w:hAnsiTheme="majorHAnsi"/>
                                <w:color w:val="595959" w:themeColor="text1" w:themeTint="A6"/>
                                <w:sz w:val="18"/>
                                <w:szCs w:val="18"/>
                                <w:lang w:val="es-ES"/>
                              </w:rPr>
                            </w:pPr>
                            <w:r w:rsidRPr="00272720">
                              <w:rPr>
                                <w:rFonts w:asciiTheme="majorHAnsi" w:hAnsiTheme="majorHAnsi"/>
                                <w:b/>
                                <w:color w:val="595959" w:themeColor="text1" w:themeTint="A6"/>
                                <w:sz w:val="18"/>
                                <w:szCs w:val="18"/>
                                <w:lang w:val="pt-BR"/>
                              </w:rPr>
                              <w:t>Citar como:</w:t>
                            </w:r>
                            <w:r w:rsidRPr="00272720">
                              <w:rPr>
                                <w:rFonts w:asciiTheme="majorHAnsi" w:hAnsiTheme="majorHAnsi"/>
                                <w:color w:val="595959" w:themeColor="text1" w:themeTint="A6"/>
                                <w:sz w:val="18"/>
                                <w:szCs w:val="18"/>
                                <w:lang w:val="pt-BR"/>
                              </w:rPr>
                              <w:t xml:space="preserve"> CIDH, Informe No. </w:t>
                            </w:r>
                            <w:r w:rsidR="0068668D">
                              <w:rPr>
                                <w:rFonts w:asciiTheme="majorHAnsi" w:hAnsiTheme="majorHAnsi"/>
                                <w:color w:val="595959" w:themeColor="text1" w:themeTint="A6"/>
                                <w:sz w:val="18"/>
                                <w:szCs w:val="18"/>
                                <w:lang w:val="pt-BR"/>
                              </w:rPr>
                              <w:t>180/18</w:t>
                            </w:r>
                            <w:r w:rsidRPr="0068668D">
                              <w:rPr>
                                <w:rFonts w:asciiTheme="majorHAnsi" w:hAnsiTheme="majorHAnsi"/>
                                <w:color w:val="595959" w:themeColor="text1" w:themeTint="A6"/>
                                <w:sz w:val="18"/>
                                <w:szCs w:val="18"/>
                                <w:lang w:val="pt-BR"/>
                              </w:rPr>
                              <w:t xml:space="preserve">. </w:t>
                            </w:r>
                            <w:r w:rsidR="0068668D">
                              <w:rPr>
                                <w:rFonts w:asciiTheme="majorHAnsi" w:hAnsiTheme="majorHAnsi"/>
                                <w:color w:val="595959" w:themeColor="text1" w:themeTint="A6"/>
                                <w:sz w:val="18"/>
                                <w:szCs w:val="18"/>
                                <w:lang w:val="pt-BR"/>
                              </w:rPr>
                              <w:t xml:space="preserve">Petición 1616-07. </w:t>
                            </w:r>
                            <w:r w:rsidRPr="00890650">
                              <w:rPr>
                                <w:rFonts w:asciiTheme="majorHAnsi" w:hAnsiTheme="majorHAnsi"/>
                                <w:color w:val="595959" w:themeColor="text1" w:themeTint="A6"/>
                                <w:sz w:val="18"/>
                                <w:szCs w:val="18"/>
                                <w:lang w:val="es-ES_tradnl"/>
                              </w:rPr>
                              <w:t xml:space="preserve">Admisibilidad. </w:t>
                            </w:r>
                            <w:r w:rsidR="00784FD3">
                              <w:rPr>
                                <w:rFonts w:asciiTheme="majorHAnsi" w:hAnsiTheme="majorHAnsi"/>
                                <w:color w:val="595959" w:themeColor="text1" w:themeTint="A6"/>
                                <w:sz w:val="18"/>
                                <w:szCs w:val="18"/>
                                <w:lang w:val="es-ES_tradnl"/>
                              </w:rPr>
                              <w:t>A.G.A. y familiares. Colombia</w:t>
                            </w:r>
                            <w:r w:rsidRPr="00890650">
                              <w:rPr>
                                <w:rFonts w:asciiTheme="majorHAnsi" w:hAnsiTheme="majorHAnsi"/>
                                <w:color w:val="595959" w:themeColor="text1" w:themeTint="A6"/>
                                <w:sz w:val="18"/>
                                <w:szCs w:val="18"/>
                                <w:lang w:val="es-ES_tradnl"/>
                              </w:rPr>
                              <w:t xml:space="preserve">. </w:t>
                            </w:r>
                            <w:r w:rsidR="0068668D">
                              <w:rPr>
                                <w:rFonts w:asciiTheme="majorHAnsi" w:hAnsiTheme="majorHAnsi"/>
                                <w:color w:val="595959" w:themeColor="text1" w:themeTint="A6"/>
                                <w:sz w:val="18"/>
                                <w:szCs w:val="18"/>
                                <w:lang w:val="es-ES_tradnl"/>
                              </w:rPr>
                              <w:t>26 de diciembre de 2018</w:t>
                            </w:r>
                            <w:r w:rsidRPr="007B05C4">
                              <w:rPr>
                                <w:rFonts w:asciiTheme="majorHAnsi" w:hAnsiTheme="majorHAnsi"/>
                                <w:color w:val="595959" w:themeColor="text1" w:themeTint="A6"/>
                                <w:sz w:val="18"/>
                                <w:szCs w:val="18"/>
                                <w:lang w:val="es-ES"/>
                              </w:rPr>
                              <w:t>.</w:t>
                            </w:r>
                            <w:r w:rsidR="00531724">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FB6A6E9" w:rsidR="00113F73" w:rsidRPr="007B05C4" w:rsidRDefault="00113F73" w:rsidP="00113F73">
                      <w:pPr>
                        <w:spacing w:line="276" w:lineRule="auto"/>
                        <w:rPr>
                          <w:rFonts w:asciiTheme="majorHAnsi" w:hAnsiTheme="majorHAnsi"/>
                          <w:color w:val="595959" w:themeColor="text1" w:themeTint="A6"/>
                          <w:sz w:val="18"/>
                          <w:szCs w:val="18"/>
                          <w:lang w:val="es-ES"/>
                        </w:rPr>
                      </w:pPr>
                      <w:r w:rsidRPr="00272720">
                        <w:rPr>
                          <w:rFonts w:asciiTheme="majorHAnsi" w:hAnsiTheme="majorHAnsi"/>
                          <w:b/>
                          <w:color w:val="595959" w:themeColor="text1" w:themeTint="A6"/>
                          <w:sz w:val="18"/>
                          <w:szCs w:val="18"/>
                          <w:lang w:val="pt-BR"/>
                        </w:rPr>
                        <w:t>Citar como:</w:t>
                      </w:r>
                      <w:r w:rsidRPr="00272720">
                        <w:rPr>
                          <w:rFonts w:asciiTheme="majorHAnsi" w:hAnsiTheme="majorHAnsi"/>
                          <w:color w:val="595959" w:themeColor="text1" w:themeTint="A6"/>
                          <w:sz w:val="18"/>
                          <w:szCs w:val="18"/>
                          <w:lang w:val="pt-BR"/>
                        </w:rPr>
                        <w:t xml:space="preserve"> CIDH, Informe No. </w:t>
                      </w:r>
                      <w:r w:rsidR="0068668D">
                        <w:rPr>
                          <w:rFonts w:asciiTheme="majorHAnsi" w:hAnsiTheme="majorHAnsi"/>
                          <w:color w:val="595959" w:themeColor="text1" w:themeTint="A6"/>
                          <w:sz w:val="18"/>
                          <w:szCs w:val="18"/>
                          <w:lang w:val="pt-BR"/>
                        </w:rPr>
                        <w:t>180/18</w:t>
                      </w:r>
                      <w:r w:rsidRPr="0068668D">
                        <w:rPr>
                          <w:rFonts w:asciiTheme="majorHAnsi" w:hAnsiTheme="majorHAnsi"/>
                          <w:color w:val="595959" w:themeColor="text1" w:themeTint="A6"/>
                          <w:sz w:val="18"/>
                          <w:szCs w:val="18"/>
                          <w:lang w:val="pt-BR"/>
                        </w:rPr>
                        <w:t xml:space="preserve">. </w:t>
                      </w:r>
                      <w:r w:rsidR="0068668D">
                        <w:rPr>
                          <w:rFonts w:asciiTheme="majorHAnsi" w:hAnsiTheme="majorHAnsi"/>
                          <w:color w:val="595959" w:themeColor="text1" w:themeTint="A6"/>
                          <w:sz w:val="18"/>
                          <w:szCs w:val="18"/>
                          <w:lang w:val="pt-BR"/>
                        </w:rPr>
                        <w:t xml:space="preserve">Petición 1616-07. </w:t>
                      </w:r>
                      <w:r w:rsidRPr="00890650">
                        <w:rPr>
                          <w:rFonts w:asciiTheme="majorHAnsi" w:hAnsiTheme="majorHAnsi"/>
                          <w:color w:val="595959" w:themeColor="text1" w:themeTint="A6"/>
                          <w:sz w:val="18"/>
                          <w:szCs w:val="18"/>
                          <w:lang w:val="es-ES_tradnl"/>
                        </w:rPr>
                        <w:t xml:space="preserve">Admisibilidad. </w:t>
                      </w:r>
                      <w:r w:rsidR="00784FD3">
                        <w:rPr>
                          <w:rFonts w:asciiTheme="majorHAnsi" w:hAnsiTheme="majorHAnsi"/>
                          <w:color w:val="595959" w:themeColor="text1" w:themeTint="A6"/>
                          <w:sz w:val="18"/>
                          <w:szCs w:val="18"/>
                          <w:lang w:val="es-ES_tradnl"/>
                        </w:rPr>
                        <w:t>A.G.A. y familiares. Colombia</w:t>
                      </w:r>
                      <w:r w:rsidRPr="00890650">
                        <w:rPr>
                          <w:rFonts w:asciiTheme="majorHAnsi" w:hAnsiTheme="majorHAnsi"/>
                          <w:color w:val="595959" w:themeColor="text1" w:themeTint="A6"/>
                          <w:sz w:val="18"/>
                          <w:szCs w:val="18"/>
                          <w:lang w:val="es-ES_tradnl"/>
                        </w:rPr>
                        <w:t xml:space="preserve">. </w:t>
                      </w:r>
                      <w:r w:rsidR="0068668D">
                        <w:rPr>
                          <w:rFonts w:asciiTheme="majorHAnsi" w:hAnsiTheme="majorHAnsi"/>
                          <w:color w:val="595959" w:themeColor="text1" w:themeTint="A6"/>
                          <w:sz w:val="18"/>
                          <w:szCs w:val="18"/>
                          <w:lang w:val="es-ES_tradnl"/>
                        </w:rPr>
                        <w:t>26 de diciembre de 2018</w:t>
                      </w:r>
                      <w:r w:rsidRPr="007B05C4">
                        <w:rPr>
                          <w:rFonts w:asciiTheme="majorHAnsi" w:hAnsiTheme="majorHAnsi"/>
                          <w:color w:val="595959" w:themeColor="text1" w:themeTint="A6"/>
                          <w:sz w:val="18"/>
                          <w:szCs w:val="18"/>
                          <w:lang w:val="es-ES"/>
                        </w:rPr>
                        <w:t>.</w:t>
                      </w:r>
                      <w:r w:rsidR="00531724">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8B00D7" w:rsidRDefault="00A50FCF" w:rsidP="00040C3A">
      <w:pPr>
        <w:tabs>
          <w:tab w:val="center" w:pos="5400"/>
        </w:tabs>
        <w:suppressAutoHyphens/>
        <w:jc w:val="center"/>
        <w:rPr>
          <w:rFonts w:asciiTheme="majorHAnsi" w:hAnsiTheme="majorHAnsi"/>
          <w:noProof/>
          <w:sz w:val="18"/>
          <w:szCs w:val="22"/>
        </w:rPr>
      </w:pPr>
    </w:p>
    <w:p w14:paraId="1DA07629" w14:textId="77777777" w:rsidR="0090270B" w:rsidRPr="008B00D7" w:rsidRDefault="00D306D1" w:rsidP="005516A1">
      <w:pPr>
        <w:tabs>
          <w:tab w:val="center" w:pos="5400"/>
        </w:tabs>
        <w:suppressAutoHyphens/>
        <w:jc w:val="center"/>
        <w:rPr>
          <w:rFonts w:asciiTheme="majorHAnsi" w:hAnsiTheme="majorHAnsi"/>
          <w:b/>
          <w:noProof/>
          <w:sz w:val="20"/>
        </w:rPr>
      </w:pPr>
      <w:r w:rsidRPr="008B00D7">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B00D7">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B00D7" w:rsidRDefault="004A6A54" w:rsidP="005516A1">
      <w:pPr>
        <w:tabs>
          <w:tab w:val="center" w:pos="5400"/>
        </w:tabs>
        <w:suppressAutoHyphens/>
        <w:jc w:val="center"/>
        <w:rPr>
          <w:rFonts w:asciiTheme="majorHAnsi" w:hAnsiTheme="majorHAnsi"/>
          <w:b/>
          <w:noProof/>
          <w:sz w:val="20"/>
        </w:rPr>
        <w:sectPr w:rsidR="0070697F" w:rsidRPr="008B00D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B00D7">
        <w:rPr>
          <w:rFonts w:asciiTheme="majorHAnsi" w:hAnsiTheme="majorHAnsi"/>
          <w:b/>
          <w:noProof/>
          <w:sz w:val="20"/>
        </w:rPr>
        <w:tab/>
      </w:r>
    </w:p>
    <w:p w14:paraId="376DDC8B" w14:textId="77777777" w:rsidR="003239B8" w:rsidRPr="00E012E0" w:rsidRDefault="003239B8" w:rsidP="004A6A54">
      <w:pPr>
        <w:spacing w:after="240"/>
        <w:ind w:firstLine="720"/>
        <w:jc w:val="both"/>
        <w:rPr>
          <w:rFonts w:asciiTheme="majorHAnsi" w:hAnsiTheme="majorHAnsi"/>
          <w:b/>
          <w:bCs/>
          <w:noProof/>
          <w:sz w:val="19"/>
          <w:szCs w:val="19"/>
        </w:rPr>
      </w:pPr>
      <w:r w:rsidRPr="00E012E0">
        <w:rPr>
          <w:rFonts w:asciiTheme="majorHAnsi" w:hAnsiTheme="majorHAnsi"/>
          <w:b/>
          <w:bCs/>
          <w:noProof/>
          <w:sz w:val="19"/>
          <w:szCs w:val="19"/>
        </w:rPr>
        <w:lastRenderedPageBreak/>
        <w:t>I.</w:t>
      </w:r>
      <w:r w:rsidRPr="00E012E0">
        <w:rPr>
          <w:rFonts w:asciiTheme="majorHAnsi" w:hAnsiTheme="majorHAnsi"/>
          <w:b/>
          <w:bCs/>
          <w:noProof/>
          <w:sz w:val="19"/>
          <w:szCs w:val="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012E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Parte peticionaria:</w:t>
            </w:r>
          </w:p>
        </w:tc>
        <w:tc>
          <w:tcPr>
            <w:tcW w:w="5760" w:type="dxa"/>
            <w:vAlign w:val="center"/>
          </w:tcPr>
          <w:p w14:paraId="3C5315D8" w14:textId="02831067" w:rsidR="003239B8" w:rsidRPr="00E012E0" w:rsidRDefault="006950D6" w:rsidP="008D2290">
            <w:pPr>
              <w:jc w:val="both"/>
              <w:rPr>
                <w:rFonts w:asciiTheme="majorHAnsi" w:hAnsiTheme="majorHAnsi"/>
                <w:bCs/>
                <w:noProof/>
                <w:sz w:val="19"/>
                <w:szCs w:val="19"/>
              </w:rPr>
            </w:pPr>
            <w:r w:rsidRPr="00E012E0">
              <w:rPr>
                <w:rFonts w:asciiTheme="majorHAnsi" w:hAnsiTheme="majorHAnsi"/>
                <w:bCs/>
                <w:noProof/>
                <w:sz w:val="19"/>
                <w:szCs w:val="19"/>
              </w:rPr>
              <w:t>Leonardo Fidel Guerra</w:t>
            </w:r>
            <w:r w:rsidRPr="00E012E0">
              <w:rPr>
                <w:rStyle w:val="FootnoteReference"/>
                <w:rFonts w:asciiTheme="majorHAnsi" w:hAnsiTheme="majorHAnsi"/>
                <w:bCs/>
                <w:noProof/>
                <w:sz w:val="19"/>
                <w:szCs w:val="19"/>
              </w:rPr>
              <w:footnoteReference w:id="2"/>
            </w:r>
          </w:p>
        </w:tc>
      </w:tr>
      <w:tr w:rsidR="003239B8" w:rsidRPr="00E012E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E012E0" w:rsidRDefault="009404D0" w:rsidP="008D2290">
            <w:pPr>
              <w:jc w:val="center"/>
              <w:rPr>
                <w:rFonts w:asciiTheme="majorHAnsi" w:hAnsiTheme="majorHAnsi"/>
                <w:b/>
                <w:bCs/>
                <w:noProof/>
                <w:color w:val="FFFFFF" w:themeColor="background1"/>
                <w:sz w:val="19"/>
                <w:szCs w:val="19"/>
              </w:rPr>
            </w:pPr>
            <w:sdt>
              <w:sdtPr>
                <w:rPr>
                  <w:rFonts w:asciiTheme="majorHAnsi" w:hAnsiTheme="majorHAnsi"/>
                  <w:b/>
                  <w:bCs/>
                  <w:noProof/>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012E0">
                  <w:rPr>
                    <w:rFonts w:asciiTheme="majorHAnsi" w:hAnsiTheme="majorHAnsi"/>
                    <w:b/>
                    <w:bCs/>
                    <w:noProof/>
                    <w:color w:val="FFFFFF" w:themeColor="background1"/>
                    <w:sz w:val="19"/>
                    <w:szCs w:val="19"/>
                  </w:rPr>
                  <w:t>Presunta víctima</w:t>
                </w:r>
              </w:sdtContent>
            </w:sdt>
            <w:r w:rsidR="003239B8" w:rsidRPr="00E012E0">
              <w:rPr>
                <w:rFonts w:asciiTheme="majorHAnsi" w:hAnsiTheme="majorHAnsi"/>
                <w:b/>
                <w:bCs/>
                <w:noProof/>
                <w:color w:val="FFFFFF" w:themeColor="background1"/>
                <w:sz w:val="19"/>
                <w:szCs w:val="19"/>
              </w:rPr>
              <w:t>:</w:t>
            </w:r>
          </w:p>
        </w:tc>
        <w:tc>
          <w:tcPr>
            <w:tcW w:w="5760" w:type="dxa"/>
            <w:vAlign w:val="center"/>
          </w:tcPr>
          <w:p w14:paraId="4AEBF59E" w14:textId="14028B36" w:rsidR="003239B8" w:rsidRPr="00E012E0" w:rsidRDefault="00272720" w:rsidP="008D2290">
            <w:pPr>
              <w:jc w:val="both"/>
              <w:rPr>
                <w:rFonts w:asciiTheme="majorHAnsi" w:hAnsiTheme="majorHAnsi"/>
                <w:bCs/>
                <w:noProof/>
                <w:sz w:val="19"/>
                <w:szCs w:val="19"/>
              </w:rPr>
            </w:pPr>
            <w:r w:rsidRPr="00E012E0">
              <w:rPr>
                <w:rFonts w:asciiTheme="majorHAnsi" w:hAnsiTheme="majorHAnsi"/>
                <w:bCs/>
                <w:noProof/>
                <w:sz w:val="19"/>
                <w:szCs w:val="19"/>
              </w:rPr>
              <w:t>A.G.A.</w:t>
            </w:r>
            <w:r w:rsidR="001F2249" w:rsidRPr="00E012E0">
              <w:rPr>
                <w:rFonts w:asciiTheme="majorHAnsi" w:hAnsiTheme="majorHAnsi"/>
                <w:bCs/>
                <w:noProof/>
                <w:sz w:val="19"/>
                <w:szCs w:val="19"/>
              </w:rPr>
              <w:t xml:space="preserve"> y familiares</w:t>
            </w:r>
          </w:p>
        </w:tc>
      </w:tr>
      <w:tr w:rsidR="003239B8" w:rsidRPr="00E012E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Estado denunciado:</w:t>
            </w:r>
          </w:p>
        </w:tc>
        <w:tc>
          <w:tcPr>
            <w:tcW w:w="5760" w:type="dxa"/>
            <w:vAlign w:val="center"/>
          </w:tcPr>
          <w:p w14:paraId="274C8A50" w14:textId="4B91D60A" w:rsidR="003239B8" w:rsidRPr="00E012E0" w:rsidRDefault="00E30C85" w:rsidP="008D2290">
            <w:pPr>
              <w:jc w:val="both"/>
              <w:rPr>
                <w:rFonts w:asciiTheme="majorHAnsi" w:hAnsiTheme="majorHAnsi"/>
                <w:bCs/>
                <w:noProof/>
                <w:sz w:val="19"/>
                <w:szCs w:val="19"/>
              </w:rPr>
            </w:pPr>
            <w:r w:rsidRPr="00E012E0">
              <w:rPr>
                <w:rFonts w:asciiTheme="majorHAnsi" w:hAnsiTheme="majorHAnsi"/>
                <w:bCs/>
                <w:noProof/>
                <w:sz w:val="19"/>
                <w:szCs w:val="19"/>
              </w:rPr>
              <w:t>Colombia</w:t>
            </w:r>
            <w:r w:rsidR="004A6A54" w:rsidRPr="00E012E0">
              <w:rPr>
                <w:rStyle w:val="FootnoteReference"/>
                <w:rFonts w:asciiTheme="majorHAnsi" w:hAnsiTheme="majorHAnsi"/>
                <w:bCs/>
                <w:noProof/>
                <w:sz w:val="19"/>
                <w:szCs w:val="19"/>
              </w:rPr>
              <w:footnoteReference w:id="3"/>
            </w:r>
          </w:p>
        </w:tc>
      </w:tr>
      <w:tr w:rsidR="00223A29" w:rsidRPr="00E012E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012E0" w:rsidRDefault="001B3A00" w:rsidP="00E4118C">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 xml:space="preserve">Derechos </w:t>
            </w:r>
            <w:r w:rsidR="00E4118C" w:rsidRPr="00E012E0">
              <w:rPr>
                <w:rFonts w:asciiTheme="majorHAnsi" w:hAnsiTheme="majorHAnsi"/>
                <w:b/>
                <w:bCs/>
                <w:noProof/>
                <w:color w:val="FFFFFF" w:themeColor="background1"/>
                <w:sz w:val="19"/>
                <w:szCs w:val="19"/>
              </w:rPr>
              <w:t>invocados</w:t>
            </w:r>
            <w:r w:rsidRPr="00E012E0">
              <w:rPr>
                <w:rFonts w:asciiTheme="majorHAnsi" w:hAnsiTheme="majorHAnsi"/>
                <w:b/>
                <w:bCs/>
                <w:noProof/>
                <w:color w:val="FFFFFF" w:themeColor="background1"/>
                <w:sz w:val="19"/>
                <w:szCs w:val="19"/>
              </w:rPr>
              <w:t>:</w:t>
            </w:r>
          </w:p>
        </w:tc>
        <w:tc>
          <w:tcPr>
            <w:tcW w:w="5760" w:type="dxa"/>
            <w:vAlign w:val="center"/>
          </w:tcPr>
          <w:p w14:paraId="6DEE1EEB" w14:textId="76A5F0B3" w:rsidR="00223A29" w:rsidRPr="00E012E0" w:rsidRDefault="001F6999" w:rsidP="00944D82">
            <w:pPr>
              <w:jc w:val="both"/>
              <w:rPr>
                <w:rFonts w:asciiTheme="majorHAnsi" w:hAnsiTheme="majorHAnsi"/>
                <w:bCs/>
                <w:noProof/>
                <w:sz w:val="19"/>
                <w:szCs w:val="19"/>
                <w:highlight w:val="yellow"/>
              </w:rPr>
            </w:pPr>
            <w:r w:rsidRPr="00E012E0">
              <w:rPr>
                <w:rFonts w:asciiTheme="majorHAnsi" w:hAnsiTheme="majorHAnsi"/>
                <w:bCs/>
                <w:noProof/>
                <w:sz w:val="19"/>
                <w:szCs w:val="19"/>
              </w:rPr>
              <w:t xml:space="preserve">Artículos </w:t>
            </w:r>
            <w:r w:rsidR="00A4466C" w:rsidRPr="00E012E0">
              <w:rPr>
                <w:rFonts w:asciiTheme="majorHAnsi" w:hAnsiTheme="majorHAnsi"/>
                <w:bCs/>
                <w:noProof/>
                <w:sz w:val="19"/>
                <w:szCs w:val="19"/>
              </w:rPr>
              <w:t>4 (vida), 5 (integridad), 7 (libertad personal)</w:t>
            </w:r>
            <w:r w:rsidR="00E3455E" w:rsidRPr="00E012E0">
              <w:rPr>
                <w:rFonts w:asciiTheme="majorHAnsi" w:hAnsiTheme="majorHAnsi"/>
                <w:bCs/>
                <w:noProof/>
                <w:sz w:val="19"/>
                <w:szCs w:val="19"/>
              </w:rPr>
              <w:t xml:space="preserve">, </w:t>
            </w:r>
            <w:r w:rsidR="00A4466C" w:rsidRPr="00E012E0">
              <w:rPr>
                <w:rFonts w:asciiTheme="majorHAnsi" w:hAnsiTheme="majorHAnsi"/>
                <w:bCs/>
                <w:noProof/>
                <w:sz w:val="19"/>
                <w:szCs w:val="19"/>
              </w:rPr>
              <w:t>8 (garantías judiciales), 25 (protección judicial) de la Convención Americana de Derechos Humanos</w:t>
            </w:r>
            <w:r w:rsidR="00A4466C" w:rsidRPr="00E012E0">
              <w:rPr>
                <w:rStyle w:val="FootnoteReference"/>
                <w:rFonts w:asciiTheme="majorHAnsi" w:hAnsiTheme="majorHAnsi"/>
                <w:bCs/>
                <w:noProof/>
                <w:sz w:val="19"/>
                <w:szCs w:val="19"/>
              </w:rPr>
              <w:footnoteReference w:id="4"/>
            </w:r>
            <w:r w:rsidR="00FC773F" w:rsidRPr="00E012E0">
              <w:rPr>
                <w:rFonts w:asciiTheme="majorHAnsi" w:hAnsiTheme="majorHAnsi"/>
                <w:bCs/>
                <w:noProof/>
                <w:sz w:val="19"/>
                <w:szCs w:val="19"/>
              </w:rPr>
              <w:t xml:space="preserve"> con relación a su artículo 1</w:t>
            </w:r>
            <w:r w:rsidR="00944D82" w:rsidRPr="00E012E0">
              <w:rPr>
                <w:rFonts w:asciiTheme="majorHAnsi" w:hAnsiTheme="majorHAnsi"/>
                <w:bCs/>
                <w:noProof/>
                <w:sz w:val="19"/>
                <w:szCs w:val="19"/>
              </w:rPr>
              <w:t>.1</w:t>
            </w:r>
            <w:r w:rsidR="00FC773F" w:rsidRPr="00E012E0">
              <w:rPr>
                <w:rFonts w:asciiTheme="majorHAnsi" w:hAnsiTheme="majorHAnsi"/>
                <w:bCs/>
                <w:noProof/>
                <w:sz w:val="19"/>
                <w:szCs w:val="19"/>
              </w:rPr>
              <w:t xml:space="preserve"> </w:t>
            </w:r>
            <w:r w:rsidR="00944D82" w:rsidRPr="00E012E0">
              <w:rPr>
                <w:rFonts w:asciiTheme="majorHAnsi" w:hAnsiTheme="majorHAnsi"/>
                <w:bCs/>
                <w:noProof/>
                <w:sz w:val="19"/>
                <w:szCs w:val="19"/>
              </w:rPr>
              <w:t xml:space="preserve">y </w:t>
            </w:r>
            <w:r w:rsidRPr="00E012E0">
              <w:rPr>
                <w:rFonts w:asciiTheme="majorHAnsi" w:hAnsiTheme="majorHAnsi"/>
                <w:bCs/>
                <w:noProof/>
                <w:sz w:val="19"/>
                <w:szCs w:val="19"/>
              </w:rPr>
              <w:t xml:space="preserve">artículo </w:t>
            </w:r>
            <w:r w:rsidR="00E3455E" w:rsidRPr="00E012E0">
              <w:rPr>
                <w:rFonts w:asciiTheme="majorHAnsi" w:hAnsiTheme="majorHAnsi"/>
                <w:bCs/>
                <w:noProof/>
                <w:sz w:val="19"/>
                <w:szCs w:val="19"/>
              </w:rPr>
              <w:t xml:space="preserve">I </w:t>
            </w:r>
            <w:r w:rsidR="00FC773F" w:rsidRPr="00E012E0">
              <w:rPr>
                <w:rFonts w:asciiTheme="majorHAnsi" w:hAnsiTheme="majorHAnsi"/>
                <w:bCs/>
                <w:noProof/>
                <w:sz w:val="19"/>
                <w:szCs w:val="19"/>
              </w:rPr>
              <w:t>de la Declaración Americana de lo</w:t>
            </w:r>
            <w:r w:rsidR="00E3455E" w:rsidRPr="00E012E0">
              <w:rPr>
                <w:rFonts w:asciiTheme="majorHAnsi" w:hAnsiTheme="majorHAnsi"/>
                <w:bCs/>
                <w:noProof/>
                <w:sz w:val="19"/>
                <w:szCs w:val="19"/>
              </w:rPr>
              <w:t>s Derechos y Deberes del Hombre</w:t>
            </w:r>
            <w:r w:rsidR="00944D82" w:rsidRPr="00E012E0">
              <w:rPr>
                <w:rFonts w:asciiTheme="majorHAnsi" w:hAnsiTheme="majorHAnsi"/>
                <w:bCs/>
                <w:noProof/>
                <w:sz w:val="19"/>
                <w:szCs w:val="19"/>
              </w:rPr>
              <w:t xml:space="preserve">. </w:t>
            </w:r>
            <w:r w:rsidR="00E3455E" w:rsidRPr="00E012E0">
              <w:rPr>
                <w:rFonts w:asciiTheme="majorHAnsi" w:hAnsiTheme="majorHAnsi"/>
                <w:bCs/>
                <w:noProof/>
                <w:sz w:val="19"/>
                <w:szCs w:val="19"/>
              </w:rPr>
              <w:t>Convención Interamericana para Prevenir y Sancionar la Tortura y la Convención Interamericana sobre Desaparición Forzada</w:t>
            </w:r>
            <w:r w:rsidRPr="00E012E0">
              <w:rPr>
                <w:rFonts w:asciiTheme="majorHAnsi" w:hAnsiTheme="majorHAnsi"/>
                <w:bCs/>
                <w:noProof/>
                <w:sz w:val="19"/>
                <w:szCs w:val="19"/>
              </w:rPr>
              <w:t>,</w:t>
            </w:r>
            <w:r w:rsidR="00C04640" w:rsidRPr="00E012E0">
              <w:rPr>
                <w:rFonts w:asciiTheme="majorHAnsi" w:hAnsiTheme="majorHAnsi"/>
                <w:bCs/>
                <w:noProof/>
                <w:sz w:val="19"/>
                <w:szCs w:val="19"/>
              </w:rPr>
              <w:t xml:space="preserve"> y</w:t>
            </w:r>
            <w:r w:rsidR="00495F95" w:rsidRPr="00E012E0">
              <w:rPr>
                <w:rFonts w:asciiTheme="majorHAnsi" w:hAnsiTheme="majorHAnsi"/>
                <w:bCs/>
                <w:noProof/>
                <w:sz w:val="19"/>
                <w:szCs w:val="19"/>
              </w:rPr>
              <w:t xml:space="preserve"> otros tratados internacionales.</w:t>
            </w:r>
            <w:r w:rsidR="00495F95" w:rsidRPr="00E012E0">
              <w:rPr>
                <w:rStyle w:val="FootnoteReference"/>
                <w:rFonts w:asciiTheme="majorHAnsi" w:hAnsiTheme="majorHAnsi"/>
                <w:bCs/>
                <w:noProof/>
                <w:sz w:val="19"/>
                <w:szCs w:val="19"/>
              </w:rPr>
              <w:footnoteReference w:id="5"/>
            </w:r>
          </w:p>
        </w:tc>
      </w:tr>
    </w:tbl>
    <w:p w14:paraId="20263696" w14:textId="77777777" w:rsidR="003239B8" w:rsidRPr="00E012E0" w:rsidRDefault="003239B8" w:rsidP="003239B8">
      <w:pPr>
        <w:spacing w:before="240" w:after="240"/>
        <w:ind w:firstLine="720"/>
        <w:jc w:val="both"/>
        <w:rPr>
          <w:rFonts w:asciiTheme="majorHAnsi" w:hAnsiTheme="majorHAnsi"/>
          <w:b/>
          <w:bCs/>
          <w:noProof/>
          <w:sz w:val="19"/>
          <w:szCs w:val="19"/>
        </w:rPr>
      </w:pPr>
      <w:r w:rsidRPr="00E012E0">
        <w:rPr>
          <w:rFonts w:asciiTheme="majorHAnsi" w:hAnsiTheme="majorHAnsi"/>
          <w:b/>
          <w:bCs/>
          <w:noProof/>
          <w:sz w:val="19"/>
          <w:szCs w:val="19"/>
        </w:rPr>
        <w:t>II.</w:t>
      </w:r>
      <w:r w:rsidRPr="00E012E0">
        <w:rPr>
          <w:rFonts w:asciiTheme="majorHAnsi" w:hAnsiTheme="majorHAnsi"/>
          <w:b/>
          <w:bCs/>
          <w:noProof/>
          <w:sz w:val="19"/>
          <w:szCs w:val="19"/>
        </w:rPr>
        <w:tab/>
        <w:t>TRÁMITE ANTE LA CIDH</w:t>
      </w:r>
      <w:r w:rsidR="008E3BFE" w:rsidRPr="00E012E0">
        <w:rPr>
          <w:rStyle w:val="FootnoteReference"/>
          <w:rFonts w:asciiTheme="majorHAnsi" w:hAnsiTheme="majorHAnsi"/>
          <w:b/>
          <w:noProof/>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012E0"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E012E0" w:rsidRDefault="004A6A54" w:rsidP="004A6A54">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P</w:t>
            </w:r>
            <w:r w:rsidR="004C2312" w:rsidRPr="00E012E0">
              <w:rPr>
                <w:rFonts w:asciiTheme="majorHAnsi" w:hAnsiTheme="majorHAnsi"/>
                <w:b/>
                <w:bCs/>
                <w:noProof/>
                <w:color w:val="FFFFFF" w:themeColor="background1"/>
                <w:sz w:val="19"/>
                <w:szCs w:val="19"/>
              </w:rPr>
              <w:t>resentación de la petición:</w:t>
            </w:r>
          </w:p>
        </w:tc>
        <w:tc>
          <w:tcPr>
            <w:tcW w:w="5760" w:type="dxa"/>
            <w:vAlign w:val="center"/>
          </w:tcPr>
          <w:p w14:paraId="6E579153" w14:textId="7E2B9E41" w:rsidR="004C2312" w:rsidRPr="00E012E0" w:rsidRDefault="00C63C0C" w:rsidP="002625EA">
            <w:pPr>
              <w:jc w:val="both"/>
              <w:rPr>
                <w:rFonts w:asciiTheme="majorHAnsi" w:hAnsiTheme="majorHAnsi"/>
                <w:bCs/>
                <w:noProof/>
                <w:sz w:val="19"/>
                <w:szCs w:val="19"/>
              </w:rPr>
            </w:pPr>
            <w:r w:rsidRPr="00E012E0">
              <w:rPr>
                <w:rFonts w:asciiTheme="majorHAnsi" w:hAnsiTheme="majorHAnsi"/>
                <w:bCs/>
                <w:noProof/>
                <w:sz w:val="19"/>
                <w:szCs w:val="19"/>
              </w:rPr>
              <w:t>21 de diciembre de 2007</w:t>
            </w:r>
          </w:p>
        </w:tc>
      </w:tr>
      <w:tr w:rsidR="001E49E7" w:rsidRPr="00E012E0"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E012E0" w:rsidRDefault="001E49E7" w:rsidP="001E49E7">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Información adicional recibida durante la etapa de estudio:</w:t>
            </w:r>
          </w:p>
        </w:tc>
        <w:tc>
          <w:tcPr>
            <w:tcW w:w="5760" w:type="dxa"/>
            <w:vAlign w:val="center"/>
          </w:tcPr>
          <w:p w14:paraId="43BA4FDD" w14:textId="5E58493A" w:rsidR="001E49E7" w:rsidRPr="00E012E0" w:rsidRDefault="00C63C0C" w:rsidP="00C63C0C">
            <w:pPr>
              <w:rPr>
                <w:rFonts w:asciiTheme="majorHAnsi" w:hAnsiTheme="majorHAnsi"/>
                <w:bCs/>
                <w:noProof/>
                <w:color w:val="FFFFFF" w:themeColor="background1"/>
                <w:sz w:val="19"/>
                <w:szCs w:val="19"/>
              </w:rPr>
            </w:pPr>
            <w:r w:rsidRPr="00E012E0">
              <w:rPr>
                <w:rFonts w:asciiTheme="majorHAnsi" w:hAnsiTheme="majorHAnsi"/>
                <w:bCs/>
                <w:noProof/>
                <w:color w:val="000000" w:themeColor="text1"/>
                <w:sz w:val="19"/>
                <w:szCs w:val="19"/>
              </w:rPr>
              <w:t>12 de enero de 2009, 11 de junio de 2010,</w:t>
            </w:r>
            <w:r w:rsidR="004203BB" w:rsidRPr="00E012E0">
              <w:rPr>
                <w:rFonts w:asciiTheme="majorHAnsi" w:hAnsiTheme="majorHAnsi"/>
                <w:bCs/>
                <w:noProof/>
                <w:color w:val="000000" w:themeColor="text1"/>
                <w:sz w:val="19"/>
                <w:szCs w:val="19"/>
              </w:rPr>
              <w:t xml:space="preserve"> 29 de marzo de 2011</w:t>
            </w:r>
          </w:p>
        </w:tc>
      </w:tr>
      <w:tr w:rsidR="004C2312" w:rsidRPr="00E012E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E012E0" w:rsidRDefault="004A6A54" w:rsidP="004A6A54">
            <w:pPr>
              <w:jc w:val="center"/>
              <w:rPr>
                <w:rFonts w:asciiTheme="majorHAnsi" w:hAnsiTheme="majorHAnsi"/>
                <w:b/>
                <w:bCs/>
                <w:noProof/>
                <w:color w:val="FFFFFF" w:themeColor="background1"/>
                <w:sz w:val="19"/>
                <w:szCs w:val="19"/>
              </w:rPr>
            </w:pPr>
            <w:r w:rsidRPr="00E012E0">
              <w:rPr>
                <w:rFonts w:asciiTheme="majorHAnsi" w:hAnsiTheme="majorHAnsi"/>
                <w:b/>
                <w:noProof/>
                <w:color w:val="FFFFFF" w:themeColor="background1"/>
                <w:sz w:val="19"/>
                <w:szCs w:val="19"/>
              </w:rPr>
              <w:t>N</w:t>
            </w:r>
            <w:r w:rsidR="004C2312" w:rsidRPr="00E012E0">
              <w:rPr>
                <w:rFonts w:asciiTheme="majorHAnsi" w:hAnsiTheme="majorHAnsi"/>
                <w:b/>
                <w:noProof/>
                <w:color w:val="FFFFFF" w:themeColor="background1"/>
                <w:sz w:val="19"/>
                <w:szCs w:val="19"/>
              </w:rPr>
              <w:t>otificación de la petición al Estado:</w:t>
            </w:r>
          </w:p>
        </w:tc>
        <w:tc>
          <w:tcPr>
            <w:tcW w:w="5760" w:type="dxa"/>
            <w:vAlign w:val="center"/>
          </w:tcPr>
          <w:p w14:paraId="1519DA6A" w14:textId="5DFA00B3" w:rsidR="004C2312" w:rsidRPr="00E012E0" w:rsidRDefault="004203BB" w:rsidP="008D2290">
            <w:pPr>
              <w:jc w:val="both"/>
              <w:rPr>
                <w:rFonts w:asciiTheme="majorHAnsi" w:hAnsiTheme="majorHAnsi"/>
                <w:bCs/>
                <w:noProof/>
                <w:sz w:val="19"/>
                <w:szCs w:val="19"/>
              </w:rPr>
            </w:pPr>
            <w:r w:rsidRPr="00E012E0">
              <w:rPr>
                <w:rFonts w:asciiTheme="majorHAnsi" w:hAnsiTheme="majorHAnsi"/>
                <w:bCs/>
                <w:noProof/>
                <w:sz w:val="19"/>
                <w:szCs w:val="19"/>
              </w:rPr>
              <w:t>30 de septiembre de 2011</w:t>
            </w:r>
          </w:p>
        </w:tc>
      </w:tr>
      <w:tr w:rsidR="004C2312" w:rsidRPr="00E012E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E012E0" w:rsidRDefault="004A6A54" w:rsidP="004A6A54">
            <w:pPr>
              <w:jc w:val="center"/>
              <w:rPr>
                <w:rFonts w:asciiTheme="majorHAnsi" w:hAnsiTheme="majorHAnsi"/>
                <w:b/>
                <w:bCs/>
                <w:noProof/>
                <w:color w:val="FFFFFF" w:themeColor="background1"/>
                <w:sz w:val="19"/>
                <w:szCs w:val="19"/>
              </w:rPr>
            </w:pPr>
            <w:r w:rsidRPr="00E012E0">
              <w:rPr>
                <w:rFonts w:asciiTheme="majorHAnsi" w:hAnsiTheme="majorHAnsi"/>
                <w:b/>
                <w:noProof/>
                <w:color w:val="FFFFFF" w:themeColor="background1"/>
                <w:sz w:val="19"/>
                <w:szCs w:val="19"/>
              </w:rPr>
              <w:t>P</w:t>
            </w:r>
            <w:r w:rsidR="004C2312" w:rsidRPr="00E012E0">
              <w:rPr>
                <w:rFonts w:asciiTheme="majorHAnsi" w:hAnsiTheme="majorHAnsi"/>
                <w:b/>
                <w:noProof/>
                <w:color w:val="FFFFFF" w:themeColor="background1"/>
                <w:sz w:val="19"/>
                <w:szCs w:val="19"/>
              </w:rPr>
              <w:t>rimera respuesta del Estado:</w:t>
            </w:r>
          </w:p>
        </w:tc>
        <w:tc>
          <w:tcPr>
            <w:tcW w:w="5760" w:type="dxa"/>
            <w:vAlign w:val="center"/>
          </w:tcPr>
          <w:p w14:paraId="1972B99E" w14:textId="5AF9CD89" w:rsidR="004C2312" w:rsidRPr="00E012E0" w:rsidRDefault="004203BB" w:rsidP="008D2290">
            <w:pPr>
              <w:jc w:val="both"/>
              <w:rPr>
                <w:rFonts w:asciiTheme="majorHAnsi" w:hAnsiTheme="majorHAnsi"/>
                <w:bCs/>
                <w:noProof/>
                <w:sz w:val="19"/>
                <w:szCs w:val="19"/>
              </w:rPr>
            </w:pPr>
            <w:r w:rsidRPr="00E012E0">
              <w:rPr>
                <w:rFonts w:asciiTheme="majorHAnsi" w:hAnsiTheme="majorHAnsi"/>
                <w:bCs/>
                <w:noProof/>
                <w:sz w:val="19"/>
                <w:szCs w:val="19"/>
              </w:rPr>
              <w:t>1 de noviembre de 2012</w:t>
            </w:r>
          </w:p>
        </w:tc>
      </w:tr>
      <w:tr w:rsidR="004C2312" w:rsidRPr="00E012E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0CAD32D3" w:rsidR="004C2312" w:rsidRPr="00E012E0" w:rsidRDefault="008E3BFE" w:rsidP="008E3BFE">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Observaciones adicionales de la parte peticionaria</w:t>
            </w:r>
            <w:r w:rsidR="00587463" w:rsidRPr="00E012E0">
              <w:rPr>
                <w:rStyle w:val="FootnoteReference"/>
                <w:rFonts w:asciiTheme="majorHAnsi" w:hAnsiTheme="majorHAnsi"/>
                <w:b/>
                <w:bCs/>
                <w:noProof/>
                <w:color w:val="FFFFFF" w:themeColor="background1"/>
                <w:sz w:val="19"/>
                <w:szCs w:val="19"/>
              </w:rPr>
              <w:footnoteReference w:id="7"/>
            </w:r>
            <w:r w:rsidRPr="00E012E0">
              <w:rPr>
                <w:rFonts w:asciiTheme="majorHAnsi" w:hAnsiTheme="majorHAnsi"/>
                <w:b/>
                <w:bCs/>
                <w:noProof/>
                <w:color w:val="FFFFFF" w:themeColor="background1"/>
                <w:sz w:val="19"/>
                <w:szCs w:val="19"/>
              </w:rPr>
              <w:t>:</w:t>
            </w:r>
          </w:p>
        </w:tc>
        <w:tc>
          <w:tcPr>
            <w:tcW w:w="5760" w:type="dxa"/>
            <w:vAlign w:val="center"/>
          </w:tcPr>
          <w:p w14:paraId="41D8B862" w14:textId="0E723A5A" w:rsidR="004C2312" w:rsidRPr="00E012E0" w:rsidRDefault="00286D9B" w:rsidP="008D2290">
            <w:pPr>
              <w:jc w:val="both"/>
              <w:rPr>
                <w:rFonts w:asciiTheme="majorHAnsi" w:hAnsiTheme="majorHAnsi"/>
                <w:bCs/>
                <w:noProof/>
                <w:sz w:val="19"/>
                <w:szCs w:val="19"/>
              </w:rPr>
            </w:pPr>
            <w:r w:rsidRPr="00E012E0">
              <w:rPr>
                <w:rFonts w:asciiTheme="majorHAnsi" w:hAnsiTheme="majorHAnsi"/>
                <w:bCs/>
                <w:noProof/>
                <w:sz w:val="19"/>
                <w:szCs w:val="19"/>
              </w:rPr>
              <w:t>5 de diciembre de 2012</w:t>
            </w:r>
            <w:r w:rsidR="000F43F6" w:rsidRPr="00E012E0">
              <w:rPr>
                <w:rFonts w:asciiTheme="majorHAnsi" w:hAnsiTheme="majorHAnsi"/>
                <w:bCs/>
                <w:noProof/>
                <w:sz w:val="19"/>
                <w:szCs w:val="19"/>
              </w:rPr>
              <w:t xml:space="preserve">, </w:t>
            </w:r>
            <w:r w:rsidR="00587463" w:rsidRPr="00E012E0">
              <w:rPr>
                <w:rFonts w:asciiTheme="majorHAnsi" w:hAnsiTheme="majorHAnsi"/>
                <w:bCs/>
                <w:noProof/>
                <w:sz w:val="19"/>
                <w:szCs w:val="19"/>
              </w:rPr>
              <w:t xml:space="preserve">6 de julio de 2013, </w:t>
            </w:r>
            <w:r w:rsidR="000F43F6" w:rsidRPr="00E012E0">
              <w:rPr>
                <w:rFonts w:asciiTheme="majorHAnsi" w:hAnsiTheme="majorHAnsi"/>
                <w:bCs/>
                <w:noProof/>
                <w:sz w:val="19"/>
                <w:szCs w:val="19"/>
              </w:rPr>
              <w:t>6 de marzo de 2014</w:t>
            </w:r>
            <w:r w:rsidR="00587463" w:rsidRPr="00E012E0">
              <w:rPr>
                <w:rFonts w:asciiTheme="majorHAnsi" w:hAnsiTheme="majorHAnsi"/>
                <w:bCs/>
                <w:noProof/>
                <w:sz w:val="19"/>
                <w:szCs w:val="19"/>
              </w:rPr>
              <w:t>, 19 de noviembre de 2015</w:t>
            </w:r>
          </w:p>
        </w:tc>
      </w:tr>
      <w:tr w:rsidR="004C2312" w:rsidRPr="00E012E0"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E012E0" w:rsidRDefault="004C2312" w:rsidP="008E3BFE">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Observaciones adicionales del Estado:</w:t>
            </w:r>
          </w:p>
        </w:tc>
        <w:tc>
          <w:tcPr>
            <w:tcW w:w="5760" w:type="dxa"/>
            <w:vAlign w:val="center"/>
          </w:tcPr>
          <w:p w14:paraId="3CE49AFE" w14:textId="317759B0" w:rsidR="004C2312" w:rsidRPr="00E012E0" w:rsidRDefault="00F030CF" w:rsidP="008D2290">
            <w:pPr>
              <w:jc w:val="both"/>
              <w:rPr>
                <w:rFonts w:asciiTheme="majorHAnsi" w:hAnsiTheme="majorHAnsi"/>
                <w:bCs/>
                <w:noProof/>
                <w:sz w:val="19"/>
                <w:szCs w:val="19"/>
              </w:rPr>
            </w:pPr>
            <w:r w:rsidRPr="00E012E0">
              <w:rPr>
                <w:rFonts w:asciiTheme="majorHAnsi" w:hAnsiTheme="majorHAnsi"/>
                <w:bCs/>
                <w:noProof/>
                <w:sz w:val="19"/>
                <w:szCs w:val="19"/>
              </w:rPr>
              <w:t>19 de septiembre de 2013</w:t>
            </w:r>
          </w:p>
        </w:tc>
      </w:tr>
    </w:tbl>
    <w:p w14:paraId="21DAA666" w14:textId="77777777" w:rsidR="003239B8" w:rsidRPr="00E012E0" w:rsidRDefault="003239B8" w:rsidP="003239B8">
      <w:pPr>
        <w:spacing w:before="240" w:after="240"/>
        <w:ind w:firstLine="720"/>
        <w:jc w:val="both"/>
        <w:rPr>
          <w:rFonts w:asciiTheme="majorHAnsi" w:hAnsiTheme="majorHAnsi"/>
          <w:b/>
          <w:bCs/>
          <w:noProof/>
          <w:sz w:val="19"/>
          <w:szCs w:val="19"/>
        </w:rPr>
      </w:pPr>
      <w:r w:rsidRPr="00E012E0">
        <w:rPr>
          <w:rFonts w:asciiTheme="majorHAnsi" w:hAnsiTheme="majorHAnsi"/>
          <w:b/>
          <w:bCs/>
          <w:noProof/>
          <w:sz w:val="19"/>
          <w:szCs w:val="19"/>
        </w:rPr>
        <w:t xml:space="preserve">III. </w:t>
      </w:r>
      <w:r w:rsidRPr="00E012E0">
        <w:rPr>
          <w:rFonts w:asciiTheme="majorHAnsi" w:hAnsiTheme="majorHAnsi"/>
          <w:b/>
          <w:bCs/>
          <w:noProof/>
          <w:sz w:val="19"/>
          <w:szCs w:val="19"/>
        </w:rPr>
        <w:tab/>
        <w:t>COMPETENCIA</w:t>
      </w:r>
      <w:r w:rsidR="00EE00E9" w:rsidRPr="00E012E0">
        <w:rPr>
          <w:rFonts w:asciiTheme="majorHAnsi" w:hAnsiTheme="majorHAnsi"/>
          <w:b/>
          <w:bCs/>
          <w:noProof/>
          <w:sz w:val="19"/>
          <w:szCs w:val="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012E0"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E012E0" w:rsidRDefault="003239B8" w:rsidP="008D2290">
            <w:pPr>
              <w:jc w:val="center"/>
              <w:rPr>
                <w:rFonts w:asciiTheme="majorHAnsi" w:hAnsiTheme="majorHAnsi"/>
                <w:b/>
                <w:bCs/>
                <w:i/>
                <w:noProof/>
                <w:color w:val="FFFFFF" w:themeColor="background1"/>
                <w:sz w:val="19"/>
                <w:szCs w:val="19"/>
                <w:highlight w:val="darkYellow"/>
              </w:rPr>
            </w:pPr>
            <w:r w:rsidRPr="00E012E0">
              <w:rPr>
                <w:rFonts w:asciiTheme="majorHAnsi" w:hAnsiTheme="majorHAnsi"/>
                <w:b/>
                <w:bCs/>
                <w:noProof/>
                <w:color w:val="FFFFFF" w:themeColor="background1"/>
                <w:sz w:val="19"/>
                <w:szCs w:val="19"/>
              </w:rPr>
              <w:t>Competencia</w:t>
            </w:r>
            <w:r w:rsidRPr="00E012E0">
              <w:rPr>
                <w:rFonts w:asciiTheme="majorHAnsi" w:hAnsiTheme="majorHAnsi"/>
                <w:b/>
                <w:bCs/>
                <w:i/>
                <w:noProof/>
                <w:color w:val="FFFFFF" w:themeColor="background1"/>
                <w:sz w:val="19"/>
                <w:szCs w:val="19"/>
              </w:rPr>
              <w:t xml:space="preserve"> Ratione personae:</w:t>
            </w:r>
          </w:p>
        </w:tc>
        <w:tc>
          <w:tcPr>
            <w:tcW w:w="5760" w:type="dxa"/>
            <w:vAlign w:val="center"/>
          </w:tcPr>
          <w:p w14:paraId="7707F3E9" w14:textId="34FADA95" w:rsidR="003239B8" w:rsidRPr="00E012E0" w:rsidRDefault="001F4D8F" w:rsidP="008D2290">
            <w:pPr>
              <w:rPr>
                <w:rFonts w:asciiTheme="majorHAnsi" w:hAnsiTheme="majorHAnsi"/>
                <w:bCs/>
                <w:noProof/>
                <w:sz w:val="19"/>
                <w:szCs w:val="19"/>
              </w:rPr>
            </w:pPr>
            <w:r w:rsidRPr="00E012E0">
              <w:rPr>
                <w:rFonts w:asciiTheme="majorHAnsi" w:hAnsiTheme="majorHAnsi"/>
                <w:bCs/>
                <w:noProof/>
                <w:sz w:val="19"/>
                <w:szCs w:val="19"/>
              </w:rPr>
              <w:t>S</w:t>
            </w:r>
            <w:r w:rsidR="00C77899" w:rsidRPr="00E012E0">
              <w:rPr>
                <w:rFonts w:asciiTheme="majorHAnsi" w:hAnsiTheme="majorHAnsi"/>
                <w:bCs/>
                <w:noProof/>
                <w:sz w:val="19"/>
                <w:szCs w:val="19"/>
              </w:rPr>
              <w:t>í</w:t>
            </w:r>
          </w:p>
        </w:tc>
      </w:tr>
      <w:tr w:rsidR="003239B8" w:rsidRPr="00E012E0"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Competencia</w:t>
            </w:r>
            <w:r w:rsidRPr="00E012E0">
              <w:rPr>
                <w:rFonts w:asciiTheme="majorHAnsi" w:hAnsiTheme="majorHAnsi"/>
                <w:b/>
                <w:bCs/>
                <w:i/>
                <w:noProof/>
                <w:color w:val="FFFFFF" w:themeColor="background1"/>
                <w:sz w:val="19"/>
                <w:szCs w:val="19"/>
              </w:rPr>
              <w:t xml:space="preserve"> Ratione loci</w:t>
            </w:r>
            <w:r w:rsidRPr="00E012E0">
              <w:rPr>
                <w:rFonts w:asciiTheme="majorHAnsi" w:hAnsiTheme="majorHAnsi"/>
                <w:b/>
                <w:bCs/>
                <w:noProof/>
                <w:color w:val="FFFFFF" w:themeColor="background1"/>
                <w:sz w:val="19"/>
                <w:szCs w:val="19"/>
              </w:rPr>
              <w:t>:</w:t>
            </w:r>
          </w:p>
        </w:tc>
        <w:tc>
          <w:tcPr>
            <w:tcW w:w="5760" w:type="dxa"/>
            <w:vAlign w:val="center"/>
          </w:tcPr>
          <w:p w14:paraId="12C931CB" w14:textId="49A4FB0E" w:rsidR="003239B8" w:rsidRPr="00E012E0" w:rsidRDefault="00C77899" w:rsidP="008D2290">
            <w:pPr>
              <w:rPr>
                <w:rFonts w:asciiTheme="majorHAnsi" w:hAnsiTheme="majorHAnsi"/>
                <w:bCs/>
                <w:noProof/>
                <w:sz w:val="19"/>
                <w:szCs w:val="19"/>
              </w:rPr>
            </w:pPr>
            <w:r w:rsidRPr="00E012E0">
              <w:rPr>
                <w:rFonts w:asciiTheme="majorHAnsi" w:hAnsiTheme="majorHAnsi"/>
                <w:bCs/>
                <w:noProof/>
                <w:sz w:val="19"/>
                <w:szCs w:val="19"/>
              </w:rPr>
              <w:t>Sí</w:t>
            </w:r>
          </w:p>
        </w:tc>
      </w:tr>
      <w:tr w:rsidR="003239B8" w:rsidRPr="00E012E0"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Competencia</w:t>
            </w:r>
            <w:r w:rsidRPr="00E012E0">
              <w:rPr>
                <w:rFonts w:asciiTheme="majorHAnsi" w:hAnsiTheme="majorHAnsi"/>
                <w:b/>
                <w:bCs/>
                <w:i/>
                <w:noProof/>
                <w:color w:val="FFFFFF" w:themeColor="background1"/>
                <w:sz w:val="19"/>
                <w:szCs w:val="19"/>
              </w:rPr>
              <w:t xml:space="preserve"> Ratione temporis</w:t>
            </w:r>
            <w:r w:rsidRPr="00E012E0">
              <w:rPr>
                <w:rFonts w:asciiTheme="majorHAnsi" w:hAnsiTheme="majorHAnsi"/>
                <w:b/>
                <w:bCs/>
                <w:noProof/>
                <w:color w:val="FFFFFF" w:themeColor="background1"/>
                <w:sz w:val="19"/>
                <w:szCs w:val="19"/>
              </w:rPr>
              <w:t>:</w:t>
            </w:r>
          </w:p>
        </w:tc>
        <w:tc>
          <w:tcPr>
            <w:tcW w:w="5760" w:type="dxa"/>
            <w:vAlign w:val="center"/>
          </w:tcPr>
          <w:p w14:paraId="6F8B059B" w14:textId="47F7E6D6" w:rsidR="003239B8" w:rsidRPr="00E012E0" w:rsidRDefault="00E65EAC" w:rsidP="008F13D1">
            <w:pPr>
              <w:rPr>
                <w:rFonts w:asciiTheme="majorHAnsi" w:hAnsiTheme="majorHAnsi"/>
                <w:bCs/>
                <w:noProof/>
                <w:sz w:val="19"/>
                <w:szCs w:val="19"/>
              </w:rPr>
            </w:pPr>
            <w:r w:rsidRPr="00E012E0">
              <w:rPr>
                <w:rFonts w:asciiTheme="majorHAnsi" w:hAnsiTheme="majorHAnsi"/>
                <w:bCs/>
                <w:noProof/>
                <w:sz w:val="19"/>
                <w:szCs w:val="19"/>
              </w:rPr>
              <w:t>Sí</w:t>
            </w:r>
          </w:p>
        </w:tc>
      </w:tr>
      <w:tr w:rsidR="003239B8" w:rsidRPr="00E012E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Competencia</w:t>
            </w:r>
            <w:r w:rsidRPr="00E012E0">
              <w:rPr>
                <w:rFonts w:asciiTheme="majorHAnsi" w:hAnsiTheme="majorHAnsi"/>
                <w:b/>
                <w:bCs/>
                <w:i/>
                <w:noProof/>
                <w:color w:val="FFFFFF" w:themeColor="background1"/>
                <w:sz w:val="19"/>
                <w:szCs w:val="19"/>
              </w:rPr>
              <w:t xml:space="preserve"> Ratione materia</w:t>
            </w:r>
            <w:r w:rsidR="00EE00E9" w:rsidRPr="00E012E0">
              <w:rPr>
                <w:rFonts w:asciiTheme="majorHAnsi" w:hAnsiTheme="majorHAnsi"/>
                <w:b/>
                <w:bCs/>
                <w:i/>
                <w:noProof/>
                <w:color w:val="FFFFFF" w:themeColor="background1"/>
                <w:sz w:val="19"/>
                <w:szCs w:val="19"/>
              </w:rPr>
              <w:t>e</w:t>
            </w:r>
            <w:r w:rsidRPr="00E012E0">
              <w:rPr>
                <w:rFonts w:asciiTheme="majorHAnsi" w:hAnsiTheme="majorHAnsi"/>
                <w:b/>
                <w:bCs/>
                <w:noProof/>
                <w:color w:val="FFFFFF" w:themeColor="background1"/>
                <w:sz w:val="19"/>
                <w:szCs w:val="19"/>
              </w:rPr>
              <w:t>:</w:t>
            </w:r>
          </w:p>
        </w:tc>
        <w:tc>
          <w:tcPr>
            <w:tcW w:w="5760" w:type="dxa"/>
            <w:vAlign w:val="center"/>
          </w:tcPr>
          <w:p w14:paraId="0C122F44" w14:textId="4D7E26B6" w:rsidR="003239B8" w:rsidRPr="00E012E0" w:rsidRDefault="008F13D1" w:rsidP="00E012E0">
            <w:pPr>
              <w:ind w:right="72"/>
              <w:jc w:val="both"/>
              <w:rPr>
                <w:rFonts w:asciiTheme="majorHAnsi" w:hAnsiTheme="majorHAnsi"/>
                <w:bCs/>
                <w:noProof/>
                <w:sz w:val="19"/>
                <w:szCs w:val="19"/>
              </w:rPr>
            </w:pPr>
            <w:r w:rsidRPr="00E012E0">
              <w:rPr>
                <w:rFonts w:asciiTheme="majorHAnsi" w:hAnsiTheme="majorHAnsi"/>
                <w:color w:val="222222"/>
                <w:sz w:val="19"/>
                <w:szCs w:val="19"/>
                <w:shd w:val="clear" w:color="auto" w:fill="FFFFFF"/>
              </w:rPr>
              <w:t>Sí, Convención Americana (</w:t>
            </w:r>
            <w:r w:rsidRPr="00E012E0">
              <w:rPr>
                <w:rFonts w:asciiTheme="majorHAnsi" w:hAnsiTheme="majorHAnsi"/>
                <w:color w:val="222222"/>
                <w:sz w:val="19"/>
                <w:szCs w:val="19"/>
                <w:shd w:val="clear" w:color="auto" w:fill="FFFFFF"/>
                <w:lang w:val="es-ES"/>
              </w:rPr>
              <w:t>depósito de instrumento re</w:t>
            </w:r>
            <w:r w:rsidR="001F2249" w:rsidRPr="00E012E0">
              <w:rPr>
                <w:rFonts w:asciiTheme="majorHAnsi" w:hAnsiTheme="majorHAnsi"/>
                <w:color w:val="222222"/>
                <w:sz w:val="19"/>
                <w:szCs w:val="19"/>
                <w:shd w:val="clear" w:color="auto" w:fill="FFFFFF"/>
                <w:lang w:val="es-ES"/>
              </w:rPr>
              <w:t>alizado el 31 de julio de 1973)</w:t>
            </w:r>
            <w:r w:rsidR="00F022E1" w:rsidRPr="00E012E0">
              <w:rPr>
                <w:rFonts w:asciiTheme="majorHAnsi" w:hAnsiTheme="majorHAnsi"/>
                <w:color w:val="222222"/>
                <w:sz w:val="19"/>
                <w:szCs w:val="19"/>
                <w:shd w:val="clear" w:color="auto" w:fill="FFFFFF"/>
                <w:lang w:val="es-ES"/>
              </w:rPr>
              <w:t>;</w:t>
            </w:r>
            <w:r w:rsidRPr="00E012E0">
              <w:rPr>
                <w:rFonts w:asciiTheme="majorHAnsi" w:hAnsiTheme="majorHAnsi"/>
                <w:color w:val="222222"/>
                <w:sz w:val="19"/>
                <w:szCs w:val="19"/>
                <w:shd w:val="clear" w:color="auto" w:fill="FFFFFF"/>
                <w:lang w:val="es-ES"/>
              </w:rPr>
              <w:t xml:space="preserve"> Convención Interamericana para Prevenir y Sancionar la Tortura </w:t>
            </w:r>
            <w:r w:rsidR="001F2249" w:rsidRPr="00E012E0">
              <w:rPr>
                <w:rStyle w:val="FootnoteReference"/>
                <w:rFonts w:asciiTheme="majorHAnsi" w:hAnsiTheme="majorHAnsi"/>
                <w:color w:val="222222"/>
                <w:sz w:val="19"/>
                <w:szCs w:val="19"/>
                <w:shd w:val="clear" w:color="auto" w:fill="FFFFFF"/>
                <w:lang w:val="es-ES"/>
              </w:rPr>
              <w:footnoteReference w:id="8"/>
            </w:r>
            <w:r w:rsidRPr="00E012E0">
              <w:rPr>
                <w:rFonts w:asciiTheme="majorHAnsi" w:hAnsiTheme="majorHAnsi"/>
                <w:color w:val="222222"/>
                <w:sz w:val="19"/>
                <w:szCs w:val="19"/>
                <w:shd w:val="clear" w:color="auto" w:fill="FFFFFF"/>
                <w:lang w:val="es-ES"/>
              </w:rPr>
              <w:t>(depósito de instrumento realizado el 19 de enero de 1999)</w:t>
            </w:r>
            <w:r w:rsidR="00531724" w:rsidRPr="00E012E0">
              <w:rPr>
                <w:rFonts w:asciiTheme="majorHAnsi" w:hAnsiTheme="majorHAnsi"/>
                <w:color w:val="222222"/>
                <w:sz w:val="19"/>
                <w:szCs w:val="19"/>
                <w:shd w:val="clear" w:color="auto" w:fill="FFFFFF"/>
                <w:lang w:val="es-ES"/>
              </w:rPr>
              <w:t xml:space="preserve"> y</w:t>
            </w:r>
            <w:r w:rsidRPr="00E012E0">
              <w:rPr>
                <w:rFonts w:asciiTheme="majorHAnsi" w:hAnsiTheme="majorHAnsi"/>
                <w:color w:val="222222"/>
                <w:sz w:val="19"/>
                <w:szCs w:val="19"/>
                <w:shd w:val="clear" w:color="auto" w:fill="FFFFFF"/>
                <w:lang w:val="es-ES"/>
              </w:rPr>
              <w:t xml:space="preserve"> Convención</w:t>
            </w:r>
            <w:r w:rsidR="006E7630" w:rsidRPr="00E012E0">
              <w:rPr>
                <w:rFonts w:asciiTheme="majorHAnsi" w:hAnsiTheme="majorHAnsi"/>
                <w:color w:val="222222"/>
                <w:sz w:val="19"/>
                <w:szCs w:val="19"/>
                <w:shd w:val="clear" w:color="auto" w:fill="FFFFFF"/>
                <w:lang w:val="es-ES"/>
              </w:rPr>
              <w:t xml:space="preserve"> para Interamericana para Prevenir, Sancionar y Erradicar la Violencia Contra la Mujer</w:t>
            </w:r>
            <w:r w:rsidR="006E7630" w:rsidRPr="00E012E0">
              <w:rPr>
                <w:rStyle w:val="FootnoteReference"/>
                <w:rFonts w:asciiTheme="majorHAnsi" w:hAnsiTheme="majorHAnsi"/>
                <w:color w:val="222222"/>
                <w:sz w:val="19"/>
                <w:szCs w:val="19"/>
                <w:shd w:val="clear" w:color="auto" w:fill="FFFFFF"/>
                <w:vertAlign w:val="baseline"/>
                <w:lang w:val="es-ES"/>
              </w:rPr>
              <w:t xml:space="preserve"> </w:t>
            </w:r>
            <w:r w:rsidR="001F2249" w:rsidRPr="00E012E0">
              <w:rPr>
                <w:rStyle w:val="FootnoteReference"/>
                <w:rFonts w:asciiTheme="majorHAnsi" w:hAnsiTheme="majorHAnsi"/>
                <w:color w:val="222222"/>
                <w:sz w:val="19"/>
                <w:szCs w:val="19"/>
                <w:shd w:val="clear" w:color="auto" w:fill="FFFFFF"/>
                <w:lang w:val="es-ES"/>
              </w:rPr>
              <w:footnoteReference w:id="9"/>
            </w:r>
            <w:r w:rsidRPr="00E012E0">
              <w:rPr>
                <w:rFonts w:asciiTheme="majorHAnsi" w:hAnsiTheme="majorHAnsi"/>
                <w:color w:val="222222"/>
                <w:sz w:val="19"/>
                <w:szCs w:val="19"/>
                <w:shd w:val="clear" w:color="auto" w:fill="FFFFFF"/>
                <w:lang w:val="es-ES"/>
              </w:rPr>
              <w:t xml:space="preserve"> (depósito de instrumento realizado el 15 de noviembre de 1996</w:t>
            </w:r>
            <w:r w:rsidR="00531724" w:rsidRPr="00E012E0">
              <w:rPr>
                <w:rFonts w:asciiTheme="majorHAnsi" w:hAnsiTheme="majorHAnsi"/>
                <w:color w:val="222222"/>
                <w:sz w:val="19"/>
                <w:szCs w:val="19"/>
                <w:shd w:val="clear" w:color="auto" w:fill="FFFFFF"/>
                <w:lang w:val="es-ES"/>
              </w:rPr>
              <w:t>)</w:t>
            </w:r>
          </w:p>
        </w:tc>
      </w:tr>
    </w:tbl>
    <w:p w14:paraId="4E92C444" w14:textId="1DAF1B79" w:rsidR="003239B8" w:rsidRPr="00E012E0" w:rsidRDefault="003239B8" w:rsidP="003239B8">
      <w:pPr>
        <w:spacing w:before="240" w:after="240"/>
        <w:ind w:firstLine="720"/>
        <w:jc w:val="both"/>
        <w:rPr>
          <w:rFonts w:asciiTheme="majorHAnsi" w:hAnsiTheme="majorHAnsi"/>
          <w:b/>
          <w:bCs/>
          <w:noProof/>
          <w:sz w:val="19"/>
          <w:szCs w:val="19"/>
        </w:rPr>
      </w:pPr>
      <w:r w:rsidRPr="00E012E0">
        <w:rPr>
          <w:rFonts w:asciiTheme="majorHAnsi" w:hAnsiTheme="majorHAnsi"/>
          <w:b/>
          <w:bCs/>
          <w:noProof/>
          <w:sz w:val="19"/>
          <w:szCs w:val="19"/>
        </w:rPr>
        <w:t xml:space="preserve">IV. </w:t>
      </w:r>
      <w:r w:rsidRPr="00E012E0">
        <w:rPr>
          <w:rFonts w:asciiTheme="majorHAnsi" w:hAnsiTheme="majorHAnsi"/>
          <w:b/>
          <w:bCs/>
          <w:noProof/>
          <w:sz w:val="19"/>
          <w:szCs w:val="19"/>
        </w:rPr>
        <w:tab/>
      </w:r>
      <w:r w:rsidR="00EE00E9" w:rsidRPr="00E012E0">
        <w:rPr>
          <w:rFonts w:asciiTheme="majorHAnsi" w:hAnsiTheme="majorHAnsi"/>
          <w:b/>
          <w:bCs/>
          <w:noProof/>
          <w:sz w:val="19"/>
          <w:szCs w:val="19"/>
        </w:rPr>
        <w:t>DUPLICACIÓN</w:t>
      </w:r>
      <w:r w:rsidR="00EE00E9" w:rsidRPr="00E012E0">
        <w:rPr>
          <w:rFonts w:asciiTheme="majorHAnsi" w:hAnsiTheme="majorHAnsi"/>
          <w:b/>
          <w:bCs/>
          <w:noProof/>
          <w:color w:val="FFFFFF" w:themeColor="background1"/>
          <w:sz w:val="19"/>
          <w:szCs w:val="19"/>
        </w:rPr>
        <w:t xml:space="preserve"> </w:t>
      </w:r>
      <w:r w:rsidR="00EE00E9" w:rsidRPr="00E012E0">
        <w:rPr>
          <w:rFonts w:asciiTheme="majorHAnsi" w:hAnsiTheme="majorHAnsi"/>
          <w:b/>
          <w:bCs/>
          <w:noProof/>
          <w:sz w:val="19"/>
          <w:szCs w:val="19"/>
        </w:rPr>
        <w:t>DE PROCEDIMIENTOS Y COSA JUZGADA</w:t>
      </w:r>
      <w:r w:rsidR="00EE00E9" w:rsidRPr="00E012E0">
        <w:rPr>
          <w:rFonts w:asciiTheme="majorHAnsi" w:hAnsiTheme="majorHAnsi"/>
          <w:b/>
          <w:bCs/>
          <w:i/>
          <w:noProof/>
          <w:sz w:val="19"/>
          <w:szCs w:val="19"/>
        </w:rPr>
        <w:t xml:space="preserve"> </w:t>
      </w:r>
      <w:r w:rsidR="00EE00E9" w:rsidRPr="00E012E0">
        <w:rPr>
          <w:rFonts w:asciiTheme="majorHAnsi" w:hAnsiTheme="majorHAnsi"/>
          <w:b/>
          <w:bCs/>
          <w:noProof/>
          <w:sz w:val="19"/>
          <w:szCs w:val="19"/>
        </w:rPr>
        <w:t xml:space="preserve">INTERNACIONAL, </w:t>
      </w:r>
      <w:r w:rsidRPr="00E012E0">
        <w:rPr>
          <w:rFonts w:asciiTheme="majorHAnsi" w:hAnsiTheme="majorHAnsi"/>
          <w:b/>
          <w:bCs/>
          <w:noProof/>
          <w:sz w:val="19"/>
          <w:szCs w:val="19"/>
        </w:rPr>
        <w:t xml:space="preserve"> CARACTERIZACIÓN, </w:t>
      </w:r>
      <w:r w:rsidRPr="00E012E0">
        <w:rPr>
          <w:rFonts w:asciiTheme="majorHAnsi" w:hAnsiTheme="majorHAnsi"/>
          <w:b/>
          <w:noProof/>
          <w:sz w:val="19"/>
          <w:szCs w:val="19"/>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012E0" w14:paraId="1231C988" w14:textId="77777777" w:rsidTr="008F13D1">
        <w:trPr>
          <w:cantSplit/>
          <w:trHeight w:val="530"/>
        </w:trPr>
        <w:tc>
          <w:tcPr>
            <w:tcW w:w="3600" w:type="dxa"/>
            <w:tcBorders>
              <w:top w:val="single" w:sz="4" w:space="0" w:color="auto"/>
              <w:bottom w:val="single" w:sz="6" w:space="0" w:color="auto"/>
            </w:tcBorders>
            <w:shd w:val="clear" w:color="auto" w:fill="386294"/>
            <w:vAlign w:val="center"/>
          </w:tcPr>
          <w:p w14:paraId="6F8031F4" w14:textId="77777777" w:rsidR="00EE00E9" w:rsidRPr="00E012E0" w:rsidRDefault="00EE00E9"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lastRenderedPageBreak/>
              <w:t>Duplicación de procedimientos y cosa juzgada internacional:</w:t>
            </w:r>
          </w:p>
        </w:tc>
        <w:tc>
          <w:tcPr>
            <w:tcW w:w="5760" w:type="dxa"/>
            <w:vAlign w:val="center"/>
          </w:tcPr>
          <w:p w14:paraId="240941E6" w14:textId="4BF67897" w:rsidR="00EE00E9" w:rsidRPr="00E012E0" w:rsidRDefault="009B701C" w:rsidP="008D2290">
            <w:pPr>
              <w:jc w:val="both"/>
              <w:rPr>
                <w:rFonts w:asciiTheme="majorHAnsi" w:hAnsiTheme="majorHAnsi"/>
                <w:bCs/>
                <w:noProof/>
                <w:sz w:val="19"/>
                <w:szCs w:val="19"/>
              </w:rPr>
            </w:pPr>
            <w:r w:rsidRPr="00E012E0">
              <w:rPr>
                <w:rFonts w:asciiTheme="majorHAnsi" w:hAnsiTheme="majorHAnsi"/>
                <w:bCs/>
                <w:noProof/>
                <w:sz w:val="19"/>
                <w:szCs w:val="19"/>
              </w:rPr>
              <w:t>No</w:t>
            </w:r>
          </w:p>
        </w:tc>
      </w:tr>
      <w:tr w:rsidR="003239B8" w:rsidRPr="00E012E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E012E0" w:rsidRDefault="003239B8" w:rsidP="008D2290">
            <w:pPr>
              <w:jc w:val="center"/>
              <w:rPr>
                <w:rFonts w:asciiTheme="majorHAnsi" w:hAnsiTheme="majorHAnsi"/>
                <w:b/>
                <w:bCs/>
                <w:i/>
                <w:noProof/>
                <w:color w:val="FFFFFF" w:themeColor="background1"/>
                <w:sz w:val="19"/>
                <w:szCs w:val="19"/>
              </w:rPr>
            </w:pPr>
            <w:r w:rsidRPr="00E012E0">
              <w:rPr>
                <w:rFonts w:asciiTheme="majorHAnsi" w:hAnsiTheme="majorHAnsi"/>
                <w:b/>
                <w:bCs/>
                <w:noProof/>
                <w:color w:val="FFFFFF" w:themeColor="background1"/>
                <w:sz w:val="19"/>
                <w:szCs w:val="19"/>
              </w:rPr>
              <w:t>Derechos declarados admisibles</w:t>
            </w:r>
            <w:r w:rsidRPr="00E012E0">
              <w:rPr>
                <w:rFonts w:asciiTheme="majorHAnsi" w:hAnsiTheme="majorHAnsi"/>
                <w:b/>
                <w:bCs/>
                <w:i/>
                <w:noProof/>
                <w:color w:val="FFFFFF" w:themeColor="background1"/>
                <w:sz w:val="19"/>
                <w:szCs w:val="19"/>
              </w:rPr>
              <w:t>:</w:t>
            </w:r>
          </w:p>
        </w:tc>
        <w:tc>
          <w:tcPr>
            <w:tcW w:w="5760" w:type="dxa"/>
            <w:vAlign w:val="center"/>
          </w:tcPr>
          <w:p w14:paraId="6310C8F7" w14:textId="4F8FFFBB" w:rsidR="003239B8" w:rsidRPr="00E012E0" w:rsidRDefault="008F13D1" w:rsidP="00531724">
            <w:pPr>
              <w:jc w:val="both"/>
              <w:rPr>
                <w:rFonts w:asciiTheme="majorHAnsi" w:hAnsiTheme="majorHAnsi"/>
                <w:bCs/>
                <w:noProof/>
                <w:sz w:val="19"/>
                <w:szCs w:val="19"/>
                <w:highlight w:val="yellow"/>
              </w:rPr>
            </w:pPr>
            <w:r w:rsidRPr="00E012E0">
              <w:rPr>
                <w:rFonts w:asciiTheme="majorHAnsi" w:hAnsiTheme="majorHAnsi"/>
                <w:color w:val="222222"/>
                <w:sz w:val="19"/>
                <w:szCs w:val="19"/>
              </w:rPr>
              <w:t>Artículos 4 (vida), 5 (integridad personal),</w:t>
            </w:r>
            <w:r w:rsidR="004C7D79" w:rsidRPr="00E012E0">
              <w:rPr>
                <w:rFonts w:asciiTheme="majorHAnsi" w:hAnsiTheme="majorHAnsi"/>
                <w:color w:val="222222"/>
                <w:sz w:val="19"/>
                <w:szCs w:val="19"/>
              </w:rPr>
              <w:t xml:space="preserve"> 7 (libertad personal),</w:t>
            </w:r>
            <w:r w:rsidRPr="00E012E0">
              <w:rPr>
                <w:rFonts w:asciiTheme="majorHAnsi" w:hAnsiTheme="majorHAnsi"/>
                <w:color w:val="222222"/>
                <w:sz w:val="19"/>
                <w:szCs w:val="19"/>
              </w:rPr>
              <w:t xml:space="preserve"> 8 (garantías judiciales)</w:t>
            </w:r>
            <w:r w:rsidR="00944D82" w:rsidRPr="00E012E0">
              <w:rPr>
                <w:rFonts w:asciiTheme="majorHAnsi" w:hAnsiTheme="majorHAnsi"/>
                <w:color w:val="222222"/>
                <w:sz w:val="19"/>
                <w:szCs w:val="19"/>
              </w:rPr>
              <w:t>, 24 (igualdad ante la ley)</w:t>
            </w:r>
            <w:r w:rsidRPr="00E012E0">
              <w:rPr>
                <w:rFonts w:asciiTheme="majorHAnsi" w:hAnsiTheme="majorHAnsi"/>
                <w:color w:val="222222"/>
                <w:sz w:val="19"/>
                <w:szCs w:val="19"/>
              </w:rPr>
              <w:t xml:space="preserve"> y 25 (protección judicial) de la Convención</w:t>
            </w:r>
            <w:r w:rsidR="00F022E1" w:rsidRPr="00E012E0">
              <w:rPr>
                <w:rFonts w:asciiTheme="majorHAnsi" w:hAnsiTheme="majorHAnsi"/>
                <w:color w:val="222222"/>
                <w:sz w:val="19"/>
                <w:szCs w:val="19"/>
              </w:rPr>
              <w:t xml:space="preserve"> Americana</w:t>
            </w:r>
            <w:r w:rsidRPr="00E012E0">
              <w:rPr>
                <w:rFonts w:asciiTheme="majorHAnsi" w:hAnsiTheme="majorHAnsi"/>
                <w:color w:val="222222"/>
                <w:sz w:val="19"/>
                <w:szCs w:val="19"/>
              </w:rPr>
              <w:t>, en conexión con su artículo 1.1; artículo 7 de la Convención de Belém do Par</w:t>
            </w:r>
            <w:r w:rsidR="00531724" w:rsidRPr="00E012E0">
              <w:rPr>
                <w:rFonts w:asciiTheme="majorHAnsi" w:hAnsiTheme="majorHAnsi"/>
                <w:color w:val="222222"/>
                <w:sz w:val="19"/>
                <w:szCs w:val="19"/>
              </w:rPr>
              <w:t xml:space="preserve">á; y artículos </w:t>
            </w:r>
            <w:r w:rsidRPr="00E012E0">
              <w:rPr>
                <w:rFonts w:asciiTheme="majorHAnsi" w:hAnsiTheme="majorHAnsi"/>
                <w:color w:val="222222"/>
                <w:sz w:val="19"/>
                <w:szCs w:val="19"/>
              </w:rPr>
              <w:t>1,</w:t>
            </w:r>
            <w:r w:rsidR="00531724" w:rsidRPr="00E012E0">
              <w:rPr>
                <w:rFonts w:asciiTheme="majorHAnsi" w:hAnsiTheme="majorHAnsi"/>
                <w:color w:val="222222"/>
                <w:sz w:val="19"/>
                <w:szCs w:val="19"/>
              </w:rPr>
              <w:t xml:space="preserve"> </w:t>
            </w:r>
            <w:r w:rsidRPr="00E012E0">
              <w:rPr>
                <w:rFonts w:asciiTheme="majorHAnsi" w:hAnsiTheme="majorHAnsi"/>
                <w:color w:val="222222"/>
                <w:sz w:val="19"/>
                <w:szCs w:val="19"/>
              </w:rPr>
              <w:t>6, y 8 de la Convención Interamericana para Prevenir y Sancionar la Tortura</w:t>
            </w:r>
          </w:p>
        </w:tc>
      </w:tr>
      <w:tr w:rsidR="003239B8" w:rsidRPr="00E012E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Agotamiento de recursos internos</w:t>
            </w:r>
            <w:r w:rsidR="00EE00E9" w:rsidRPr="00E012E0">
              <w:rPr>
                <w:rFonts w:asciiTheme="majorHAnsi" w:hAnsiTheme="majorHAnsi"/>
                <w:b/>
                <w:bCs/>
                <w:noProof/>
                <w:color w:val="FFFFFF" w:themeColor="background1"/>
                <w:sz w:val="19"/>
                <w:szCs w:val="19"/>
              </w:rPr>
              <w:t xml:space="preserve"> o procedencia de una excepción</w:t>
            </w:r>
            <w:r w:rsidRPr="00E012E0">
              <w:rPr>
                <w:rFonts w:asciiTheme="majorHAnsi" w:hAnsiTheme="majorHAnsi"/>
                <w:b/>
                <w:bCs/>
                <w:noProof/>
                <w:color w:val="FFFFFF" w:themeColor="background1"/>
                <w:sz w:val="19"/>
                <w:szCs w:val="19"/>
              </w:rPr>
              <w:t>:</w:t>
            </w:r>
          </w:p>
        </w:tc>
        <w:tc>
          <w:tcPr>
            <w:tcW w:w="5760" w:type="dxa"/>
            <w:vAlign w:val="center"/>
          </w:tcPr>
          <w:p w14:paraId="69C53E8A" w14:textId="59AED3AF" w:rsidR="003239B8" w:rsidRPr="00E012E0" w:rsidRDefault="00A019E8" w:rsidP="008D2290">
            <w:pPr>
              <w:rPr>
                <w:rFonts w:asciiTheme="majorHAnsi" w:hAnsiTheme="majorHAnsi"/>
                <w:bCs/>
                <w:noProof/>
                <w:color w:val="000000" w:themeColor="text1"/>
                <w:sz w:val="19"/>
                <w:szCs w:val="19"/>
                <w:highlight w:val="yellow"/>
              </w:rPr>
            </w:pPr>
            <w:r w:rsidRPr="00E012E0">
              <w:rPr>
                <w:rFonts w:asciiTheme="majorHAnsi" w:hAnsiTheme="majorHAnsi"/>
                <w:bCs/>
                <w:color w:val="000000" w:themeColor="text1"/>
                <w:sz w:val="19"/>
                <w:szCs w:val="19"/>
              </w:rPr>
              <w:t>Sí, en los términos de la sección VI</w:t>
            </w:r>
          </w:p>
        </w:tc>
      </w:tr>
      <w:tr w:rsidR="003239B8" w:rsidRPr="00E012E0" w14:paraId="52B5BA17" w14:textId="77777777" w:rsidTr="008F13D1">
        <w:trPr>
          <w:cantSplit/>
          <w:trHeight w:val="43"/>
        </w:trPr>
        <w:tc>
          <w:tcPr>
            <w:tcW w:w="3600" w:type="dxa"/>
            <w:tcBorders>
              <w:top w:val="single" w:sz="6" w:space="0" w:color="auto"/>
              <w:bottom w:val="single" w:sz="6" w:space="0" w:color="auto"/>
            </w:tcBorders>
            <w:shd w:val="clear" w:color="auto" w:fill="386294"/>
            <w:vAlign w:val="center"/>
          </w:tcPr>
          <w:p w14:paraId="5DF99086" w14:textId="77777777" w:rsidR="003239B8" w:rsidRPr="00E012E0" w:rsidRDefault="003239B8" w:rsidP="008D2290">
            <w:pPr>
              <w:jc w:val="center"/>
              <w:rPr>
                <w:rFonts w:asciiTheme="majorHAnsi" w:hAnsiTheme="majorHAnsi"/>
                <w:b/>
                <w:bCs/>
                <w:noProof/>
                <w:color w:val="FFFFFF" w:themeColor="background1"/>
                <w:sz w:val="19"/>
                <w:szCs w:val="19"/>
              </w:rPr>
            </w:pPr>
            <w:r w:rsidRPr="00E012E0">
              <w:rPr>
                <w:rFonts w:asciiTheme="majorHAnsi" w:hAnsiTheme="majorHAnsi"/>
                <w:b/>
                <w:bCs/>
                <w:noProof/>
                <w:color w:val="FFFFFF" w:themeColor="background1"/>
                <w:sz w:val="19"/>
                <w:szCs w:val="19"/>
              </w:rPr>
              <w:t>Presentación dentro de plazo:</w:t>
            </w:r>
          </w:p>
        </w:tc>
        <w:tc>
          <w:tcPr>
            <w:tcW w:w="5760" w:type="dxa"/>
            <w:vAlign w:val="center"/>
          </w:tcPr>
          <w:p w14:paraId="4A2A4569" w14:textId="6A93F7EC" w:rsidR="003239B8" w:rsidRPr="00E012E0" w:rsidRDefault="00A019E8" w:rsidP="008D2290">
            <w:pPr>
              <w:rPr>
                <w:rFonts w:asciiTheme="majorHAnsi" w:hAnsiTheme="majorHAnsi"/>
                <w:bCs/>
                <w:noProof/>
                <w:color w:val="000000" w:themeColor="text1"/>
                <w:sz w:val="19"/>
                <w:szCs w:val="19"/>
                <w:highlight w:val="yellow"/>
              </w:rPr>
            </w:pPr>
            <w:r w:rsidRPr="00E012E0">
              <w:rPr>
                <w:rFonts w:asciiTheme="majorHAnsi" w:hAnsiTheme="majorHAnsi"/>
                <w:bCs/>
                <w:color w:val="000000" w:themeColor="text1"/>
                <w:sz w:val="19"/>
                <w:szCs w:val="19"/>
              </w:rPr>
              <w:t>Sí, en los términos de la sección VI</w:t>
            </w:r>
          </w:p>
        </w:tc>
      </w:tr>
    </w:tbl>
    <w:p w14:paraId="10821E47" w14:textId="62B013E7" w:rsidR="007F5272" w:rsidRDefault="00223A29" w:rsidP="00113838">
      <w:pPr>
        <w:spacing w:before="240" w:after="240"/>
        <w:ind w:firstLine="720"/>
        <w:jc w:val="both"/>
        <w:rPr>
          <w:rFonts w:asciiTheme="majorHAnsi" w:hAnsiTheme="majorHAnsi"/>
          <w:b/>
          <w:noProof/>
          <w:sz w:val="20"/>
          <w:szCs w:val="20"/>
        </w:rPr>
      </w:pPr>
      <w:r w:rsidRPr="008B00D7">
        <w:rPr>
          <w:rFonts w:asciiTheme="majorHAnsi" w:hAnsiTheme="majorHAnsi"/>
          <w:b/>
          <w:noProof/>
          <w:sz w:val="20"/>
          <w:szCs w:val="20"/>
        </w:rPr>
        <w:t xml:space="preserve">V. </w:t>
      </w:r>
      <w:r w:rsidRPr="008B00D7">
        <w:rPr>
          <w:rFonts w:asciiTheme="majorHAnsi" w:hAnsiTheme="majorHAnsi"/>
          <w:b/>
          <w:noProof/>
          <w:sz w:val="20"/>
          <w:szCs w:val="20"/>
        </w:rPr>
        <w:tab/>
      </w:r>
      <w:r w:rsidR="003239B8" w:rsidRPr="008B00D7">
        <w:rPr>
          <w:rFonts w:asciiTheme="majorHAnsi" w:hAnsiTheme="majorHAnsi"/>
          <w:b/>
          <w:noProof/>
          <w:sz w:val="20"/>
          <w:szCs w:val="20"/>
        </w:rPr>
        <w:t xml:space="preserve">HECHOS ALEGADOS </w:t>
      </w:r>
    </w:p>
    <w:p w14:paraId="32CAD378" w14:textId="0EBDE741" w:rsidR="005D2EF6" w:rsidRPr="002712D3" w:rsidRDefault="005D2EF6" w:rsidP="00113838">
      <w:pPr>
        <w:pStyle w:val="ListParagraph"/>
        <w:numPr>
          <w:ilvl w:val="0"/>
          <w:numId w:val="110"/>
        </w:numPr>
        <w:shd w:val="clear" w:color="auto" w:fill="FFFFFF"/>
        <w:spacing w:after="240"/>
        <w:ind w:left="0" w:firstLine="720"/>
        <w:jc w:val="both"/>
        <w:rPr>
          <w:rFonts w:ascii="Times New Roman" w:eastAsia="Times New Roman" w:hAnsi="Times New Roman"/>
          <w:color w:val="222222"/>
          <w:lang w:val="es-CO"/>
        </w:rPr>
      </w:pPr>
      <w:r w:rsidRPr="002712D3">
        <w:rPr>
          <w:rFonts w:asciiTheme="majorHAnsi" w:eastAsia="Times New Roman" w:hAnsiTheme="majorHAnsi"/>
          <w:sz w:val="20"/>
          <w:szCs w:val="20"/>
          <w:lang w:val="es-CO"/>
        </w:rPr>
        <w:t xml:space="preserve">El peticionario alega </w:t>
      </w:r>
      <w:r w:rsidR="002712D3" w:rsidRPr="002712D3">
        <w:rPr>
          <w:rFonts w:asciiTheme="majorHAnsi" w:eastAsia="Times New Roman" w:hAnsiTheme="majorHAnsi"/>
          <w:sz w:val="20"/>
          <w:szCs w:val="20"/>
          <w:lang w:val="es-CO"/>
        </w:rPr>
        <w:t>que la</w:t>
      </w:r>
      <w:r w:rsidR="00086BFB" w:rsidRPr="002712D3">
        <w:rPr>
          <w:rFonts w:asciiTheme="majorHAnsi" w:eastAsia="Times New Roman" w:hAnsiTheme="majorHAnsi"/>
          <w:sz w:val="20"/>
          <w:szCs w:val="20"/>
          <w:lang w:val="es-CO"/>
        </w:rPr>
        <w:t xml:space="preserve"> señora</w:t>
      </w:r>
      <w:r w:rsidRPr="002712D3">
        <w:rPr>
          <w:rFonts w:asciiTheme="majorHAnsi" w:eastAsia="Times New Roman" w:hAnsiTheme="majorHAnsi"/>
          <w:sz w:val="20"/>
          <w:szCs w:val="20"/>
          <w:lang w:val="es-CO"/>
        </w:rPr>
        <w:t xml:space="preserve"> A.G.A.</w:t>
      </w:r>
      <w:r w:rsidR="00531724" w:rsidRPr="002712D3">
        <w:rPr>
          <w:rFonts w:asciiTheme="majorHAnsi" w:eastAsia="Times New Roman" w:hAnsiTheme="majorHAnsi"/>
          <w:sz w:val="20"/>
          <w:szCs w:val="20"/>
          <w:lang w:val="es-CO"/>
        </w:rPr>
        <w:t xml:space="preserve"> (en adelante “la presunta víctima”)</w:t>
      </w:r>
      <w:r w:rsidR="002712D3" w:rsidRPr="002712D3">
        <w:rPr>
          <w:rFonts w:asciiTheme="majorHAnsi" w:eastAsia="Times New Roman" w:hAnsiTheme="majorHAnsi"/>
          <w:sz w:val="20"/>
          <w:szCs w:val="20"/>
          <w:lang w:val="es-CO"/>
        </w:rPr>
        <w:t xml:space="preserve"> fue asesinada  en una </w:t>
      </w:r>
      <w:r w:rsidRPr="002712D3">
        <w:rPr>
          <w:rFonts w:asciiTheme="majorHAnsi" w:eastAsia="Times New Roman" w:hAnsiTheme="majorHAnsi"/>
          <w:sz w:val="20"/>
          <w:szCs w:val="20"/>
          <w:lang w:val="es-CO"/>
        </w:rPr>
        <w:t>zona asediada por grupos guerrill</w:t>
      </w:r>
      <w:r w:rsidR="002712D3" w:rsidRPr="002712D3">
        <w:rPr>
          <w:rFonts w:asciiTheme="majorHAnsi" w:eastAsia="Times New Roman" w:hAnsiTheme="majorHAnsi"/>
          <w:sz w:val="20"/>
          <w:szCs w:val="20"/>
          <w:lang w:val="es-CO"/>
        </w:rPr>
        <w:t>eros y que se constituía</w:t>
      </w:r>
      <w:r w:rsidR="00572452">
        <w:rPr>
          <w:rFonts w:asciiTheme="majorHAnsi" w:eastAsia="Times New Roman" w:hAnsiTheme="majorHAnsi"/>
          <w:sz w:val="20"/>
          <w:szCs w:val="20"/>
          <w:lang w:val="es-CO"/>
        </w:rPr>
        <w:t>,</w:t>
      </w:r>
      <w:r w:rsidR="002712D3" w:rsidRPr="002712D3">
        <w:rPr>
          <w:rFonts w:asciiTheme="majorHAnsi" w:eastAsia="Times New Roman" w:hAnsiTheme="majorHAnsi"/>
          <w:sz w:val="20"/>
          <w:szCs w:val="20"/>
          <w:lang w:val="es-CO"/>
        </w:rPr>
        <w:t xml:space="preserve"> para la fecha de los hechos</w:t>
      </w:r>
      <w:r w:rsidR="00572452">
        <w:rPr>
          <w:rFonts w:asciiTheme="majorHAnsi" w:eastAsia="Times New Roman" w:hAnsiTheme="majorHAnsi"/>
          <w:sz w:val="20"/>
          <w:szCs w:val="20"/>
          <w:lang w:val="es-CO"/>
        </w:rPr>
        <w:t>,</w:t>
      </w:r>
      <w:r w:rsidR="002712D3" w:rsidRPr="002712D3">
        <w:rPr>
          <w:rFonts w:asciiTheme="majorHAnsi" w:eastAsia="Times New Roman" w:hAnsiTheme="majorHAnsi"/>
          <w:sz w:val="20"/>
          <w:szCs w:val="20"/>
          <w:lang w:val="es-CO"/>
        </w:rPr>
        <w:t xml:space="preserve"> </w:t>
      </w:r>
      <w:r w:rsidRPr="002712D3">
        <w:rPr>
          <w:rFonts w:asciiTheme="majorHAnsi" w:eastAsia="Times New Roman" w:hAnsiTheme="majorHAnsi"/>
          <w:sz w:val="20"/>
          <w:szCs w:val="20"/>
          <w:lang w:val="es-CO"/>
        </w:rPr>
        <w:t>en un epicentro de violencia</w:t>
      </w:r>
      <w:r w:rsidR="002712D3" w:rsidRPr="002712D3">
        <w:rPr>
          <w:rFonts w:asciiTheme="majorHAnsi" w:eastAsia="Times New Roman" w:hAnsiTheme="majorHAnsi"/>
          <w:sz w:val="20"/>
          <w:szCs w:val="20"/>
          <w:lang w:val="es-CO"/>
        </w:rPr>
        <w:t xml:space="preserve">. </w:t>
      </w:r>
      <w:r w:rsidRPr="002712D3">
        <w:rPr>
          <w:rFonts w:asciiTheme="majorHAnsi" w:eastAsia="Times New Roman" w:hAnsiTheme="majorHAnsi"/>
          <w:color w:val="222222"/>
          <w:sz w:val="20"/>
          <w:szCs w:val="20"/>
          <w:lang w:val="es-CO"/>
        </w:rPr>
        <w:t xml:space="preserve">Indica que la señora A.G.A. se dedicaba al comercio de víveres y reses </w:t>
      </w:r>
      <w:r w:rsidR="00DC0D34" w:rsidRPr="002712D3">
        <w:rPr>
          <w:rFonts w:asciiTheme="majorHAnsi" w:eastAsia="Times New Roman" w:hAnsiTheme="majorHAnsi"/>
          <w:color w:val="222222"/>
          <w:sz w:val="20"/>
          <w:szCs w:val="20"/>
          <w:lang w:val="es-CO"/>
        </w:rPr>
        <w:t>entre las poblaciones del Municipio de</w:t>
      </w:r>
      <w:r w:rsidR="002C34D4" w:rsidRPr="002712D3">
        <w:rPr>
          <w:rFonts w:asciiTheme="majorHAnsi" w:eastAsia="Times New Roman" w:hAnsiTheme="majorHAnsi"/>
          <w:color w:val="222222"/>
          <w:sz w:val="20"/>
          <w:szCs w:val="20"/>
          <w:lang w:val="es-CO"/>
        </w:rPr>
        <w:t xml:space="preserve"> Florencia</w:t>
      </w:r>
      <w:r w:rsidR="00DC0D34" w:rsidRPr="002712D3">
        <w:rPr>
          <w:rFonts w:asciiTheme="majorHAnsi" w:eastAsia="Times New Roman" w:hAnsiTheme="majorHAnsi"/>
          <w:color w:val="222222"/>
          <w:sz w:val="20"/>
          <w:szCs w:val="20"/>
          <w:lang w:val="es-CO"/>
        </w:rPr>
        <w:t xml:space="preserve"> </w:t>
      </w:r>
      <w:r w:rsidR="00DC0D34" w:rsidRPr="002712D3">
        <w:rPr>
          <w:rFonts w:eastAsia="Times New Roman"/>
          <w:color w:val="222222"/>
          <w:sz w:val="20"/>
          <w:szCs w:val="20"/>
          <w:lang w:val="es-CO"/>
        </w:rPr>
        <w:t xml:space="preserve">en el Departamento de Caquetá, </w:t>
      </w:r>
      <w:r w:rsidRPr="002712D3">
        <w:rPr>
          <w:rFonts w:asciiTheme="majorHAnsi" w:eastAsia="Times New Roman" w:hAnsiTheme="majorHAnsi"/>
          <w:color w:val="222222"/>
          <w:sz w:val="20"/>
          <w:szCs w:val="20"/>
          <w:lang w:val="es-CO"/>
        </w:rPr>
        <w:t xml:space="preserve">por lo que  habitualmente se desplazaba </w:t>
      </w:r>
      <w:r w:rsidR="00F23F75" w:rsidRPr="002712D3">
        <w:rPr>
          <w:rFonts w:asciiTheme="majorHAnsi" w:eastAsia="Times New Roman" w:hAnsiTheme="majorHAnsi"/>
          <w:color w:val="222222"/>
          <w:sz w:val="20"/>
          <w:szCs w:val="20"/>
          <w:lang w:val="es-CO"/>
        </w:rPr>
        <w:t xml:space="preserve">en una canoa de motor </w:t>
      </w:r>
      <w:r w:rsidR="00DC0D34" w:rsidRPr="002712D3">
        <w:rPr>
          <w:rFonts w:eastAsia="Times New Roman"/>
          <w:color w:val="222222"/>
          <w:sz w:val="20"/>
          <w:szCs w:val="20"/>
          <w:lang w:val="es-CO"/>
        </w:rPr>
        <w:t xml:space="preserve">sobre el río </w:t>
      </w:r>
      <w:proofErr w:type="spellStart"/>
      <w:r w:rsidR="00DC0D34" w:rsidRPr="002712D3">
        <w:rPr>
          <w:rFonts w:eastAsia="Times New Roman"/>
          <w:color w:val="222222"/>
          <w:sz w:val="20"/>
          <w:szCs w:val="20"/>
          <w:lang w:val="es-CO"/>
        </w:rPr>
        <w:t>Orteguasa</w:t>
      </w:r>
      <w:proofErr w:type="spellEnd"/>
      <w:r w:rsidR="00572452">
        <w:rPr>
          <w:rFonts w:eastAsia="Times New Roman"/>
          <w:color w:val="222222"/>
          <w:sz w:val="20"/>
          <w:szCs w:val="20"/>
          <w:lang w:val="es-CO"/>
        </w:rPr>
        <w:t>, entre Puerto Remolinos y Puerto Arango</w:t>
      </w:r>
      <w:r w:rsidR="00531724" w:rsidRPr="002712D3">
        <w:rPr>
          <w:rFonts w:asciiTheme="majorHAnsi" w:eastAsia="Times New Roman" w:hAnsiTheme="majorHAnsi"/>
          <w:color w:val="222222"/>
          <w:sz w:val="20"/>
          <w:szCs w:val="20"/>
          <w:lang w:val="es-CO"/>
        </w:rPr>
        <w:t>. S</w:t>
      </w:r>
      <w:r w:rsidRPr="002712D3">
        <w:rPr>
          <w:rFonts w:asciiTheme="majorHAnsi" w:eastAsia="Times New Roman" w:hAnsiTheme="majorHAnsi"/>
          <w:color w:val="222222"/>
          <w:sz w:val="20"/>
          <w:szCs w:val="20"/>
          <w:lang w:val="es-CO"/>
        </w:rPr>
        <w:t xml:space="preserve">eñala que el </w:t>
      </w:r>
      <w:r w:rsidR="004C16E3">
        <w:rPr>
          <w:rFonts w:asciiTheme="majorHAnsi" w:eastAsia="Times New Roman" w:hAnsiTheme="majorHAnsi"/>
          <w:color w:val="222222"/>
          <w:sz w:val="20"/>
          <w:szCs w:val="20"/>
          <w:lang w:val="es-CO"/>
        </w:rPr>
        <w:t>4</w:t>
      </w:r>
      <w:r w:rsidRPr="002712D3">
        <w:rPr>
          <w:rFonts w:asciiTheme="majorHAnsi" w:eastAsia="Times New Roman" w:hAnsiTheme="majorHAnsi"/>
          <w:color w:val="222222"/>
          <w:sz w:val="20"/>
          <w:szCs w:val="20"/>
          <w:lang w:val="es-CO"/>
        </w:rPr>
        <w:t xml:space="preserve"> de octubre de 1988, </w:t>
      </w:r>
      <w:r w:rsidR="00531724" w:rsidRPr="002712D3">
        <w:rPr>
          <w:rFonts w:asciiTheme="majorHAnsi" w:eastAsia="Times New Roman" w:hAnsiTheme="majorHAnsi"/>
          <w:color w:val="222222"/>
          <w:sz w:val="20"/>
          <w:szCs w:val="20"/>
          <w:lang w:val="es-CO"/>
        </w:rPr>
        <w:t xml:space="preserve">mientras se encontraba </w:t>
      </w:r>
      <w:r w:rsidRPr="002712D3">
        <w:rPr>
          <w:rFonts w:asciiTheme="majorHAnsi" w:eastAsia="Times New Roman" w:hAnsiTheme="majorHAnsi"/>
          <w:color w:val="222222"/>
          <w:sz w:val="20"/>
          <w:szCs w:val="20"/>
          <w:lang w:val="es-CO"/>
        </w:rPr>
        <w:t xml:space="preserve">realizando </w:t>
      </w:r>
      <w:r w:rsidRPr="002712D3">
        <w:rPr>
          <w:rFonts w:eastAsia="Times New Roman"/>
          <w:color w:val="222222"/>
          <w:sz w:val="20"/>
          <w:szCs w:val="20"/>
          <w:lang w:val="es-CO"/>
        </w:rPr>
        <w:t>sus labores</w:t>
      </w:r>
      <w:r w:rsidR="00531724" w:rsidRPr="002712D3">
        <w:rPr>
          <w:rFonts w:eastAsia="Times New Roman"/>
          <w:color w:val="222222"/>
          <w:sz w:val="20"/>
          <w:szCs w:val="20"/>
          <w:lang w:val="es-CO"/>
        </w:rPr>
        <w:t>,</w:t>
      </w:r>
      <w:r w:rsidRPr="002712D3">
        <w:rPr>
          <w:rFonts w:eastAsia="Times New Roman"/>
          <w:color w:val="222222"/>
          <w:sz w:val="20"/>
          <w:szCs w:val="20"/>
          <w:lang w:val="es-CO"/>
        </w:rPr>
        <w:t xml:space="preserve"> fue secuestrada por </w:t>
      </w:r>
      <w:r w:rsidR="00531724" w:rsidRPr="002712D3">
        <w:rPr>
          <w:rFonts w:eastAsia="Times New Roman"/>
          <w:color w:val="222222"/>
          <w:sz w:val="20"/>
          <w:szCs w:val="20"/>
          <w:lang w:val="es-CO"/>
        </w:rPr>
        <w:t>tres</w:t>
      </w:r>
      <w:r w:rsidRPr="002712D3">
        <w:rPr>
          <w:rFonts w:eastAsia="Times New Roman"/>
          <w:color w:val="222222"/>
          <w:sz w:val="20"/>
          <w:szCs w:val="20"/>
          <w:lang w:val="es-CO"/>
        </w:rPr>
        <w:t xml:space="preserve"> hombres desconocidos, quienes la sacaron de su embarcación</w:t>
      </w:r>
      <w:r w:rsidR="00D4084D" w:rsidRPr="002712D3">
        <w:rPr>
          <w:rFonts w:eastAsia="Times New Roman"/>
          <w:color w:val="222222"/>
          <w:sz w:val="20"/>
          <w:szCs w:val="20"/>
          <w:lang w:val="es-CO"/>
        </w:rPr>
        <w:t xml:space="preserve"> violentamente y que </w:t>
      </w:r>
      <w:r w:rsidR="00531724" w:rsidRPr="002712D3">
        <w:rPr>
          <w:rFonts w:eastAsia="Times New Roman"/>
          <w:color w:val="222222"/>
          <w:sz w:val="20"/>
          <w:szCs w:val="20"/>
          <w:lang w:val="es-CO"/>
        </w:rPr>
        <w:t>tres</w:t>
      </w:r>
      <w:r w:rsidRPr="002712D3">
        <w:rPr>
          <w:rFonts w:eastAsia="Times New Roman"/>
          <w:color w:val="222222"/>
          <w:sz w:val="20"/>
          <w:szCs w:val="20"/>
          <w:lang w:val="es-CO"/>
        </w:rPr>
        <w:t xml:space="preserve"> días después</w:t>
      </w:r>
      <w:r w:rsidR="00531724" w:rsidRPr="002712D3">
        <w:rPr>
          <w:rFonts w:eastAsia="Times New Roman"/>
          <w:color w:val="222222"/>
          <w:sz w:val="20"/>
          <w:szCs w:val="20"/>
          <w:lang w:val="es-CO"/>
        </w:rPr>
        <w:t xml:space="preserve">, su cadáver fue encontrado </w:t>
      </w:r>
      <w:r w:rsidRPr="002712D3">
        <w:rPr>
          <w:rFonts w:eastAsia="Times New Roman"/>
          <w:color w:val="222222"/>
          <w:sz w:val="20"/>
          <w:szCs w:val="20"/>
          <w:lang w:val="es-CO"/>
        </w:rPr>
        <w:t>en los alrededores</w:t>
      </w:r>
      <w:r w:rsidR="00C5167A" w:rsidRPr="002712D3">
        <w:rPr>
          <w:rFonts w:eastAsia="Times New Roman"/>
          <w:color w:val="222222"/>
          <w:sz w:val="20"/>
          <w:szCs w:val="20"/>
          <w:lang w:val="es-CO"/>
        </w:rPr>
        <w:t xml:space="preserve"> del río</w:t>
      </w:r>
      <w:r w:rsidR="00112B4C" w:rsidRPr="002712D3">
        <w:rPr>
          <w:rFonts w:eastAsia="Times New Roman"/>
          <w:color w:val="222222"/>
          <w:sz w:val="20"/>
          <w:szCs w:val="20"/>
          <w:lang w:val="es-CO"/>
        </w:rPr>
        <w:t>. M</w:t>
      </w:r>
      <w:r w:rsidRPr="002712D3">
        <w:rPr>
          <w:rFonts w:eastAsia="Times New Roman"/>
          <w:color w:val="222222"/>
          <w:sz w:val="20"/>
          <w:szCs w:val="20"/>
          <w:lang w:val="es-CO"/>
        </w:rPr>
        <w:t xml:space="preserve">anifiesta que la </w:t>
      </w:r>
      <w:r w:rsidR="00112B4C" w:rsidRPr="002712D3">
        <w:rPr>
          <w:rFonts w:eastAsia="Times New Roman"/>
          <w:color w:val="222222"/>
          <w:sz w:val="20"/>
          <w:szCs w:val="20"/>
          <w:lang w:val="es-CO"/>
        </w:rPr>
        <w:t xml:space="preserve">presunta </w:t>
      </w:r>
      <w:r w:rsidRPr="002712D3">
        <w:rPr>
          <w:rFonts w:eastAsia="Times New Roman"/>
          <w:color w:val="222222"/>
          <w:sz w:val="20"/>
          <w:szCs w:val="20"/>
          <w:lang w:val="es-CO"/>
        </w:rPr>
        <w:t xml:space="preserve">víctima tenía piedras amarradas en el cuerpo para que no flotara y que </w:t>
      </w:r>
      <w:r w:rsidR="00112B4C" w:rsidRPr="002712D3">
        <w:rPr>
          <w:rFonts w:eastAsia="Times New Roman"/>
          <w:color w:val="222222"/>
          <w:sz w:val="20"/>
          <w:szCs w:val="20"/>
          <w:lang w:val="es-CO"/>
        </w:rPr>
        <w:t>su identificación fue sumamente dificultosa pues  le habían rociado ácido en</w:t>
      </w:r>
      <w:r w:rsidRPr="002712D3">
        <w:rPr>
          <w:rFonts w:eastAsia="Times New Roman"/>
          <w:color w:val="222222"/>
          <w:sz w:val="20"/>
          <w:szCs w:val="20"/>
          <w:lang w:val="es-CO"/>
        </w:rPr>
        <w:t xml:space="preserve"> el rostro</w:t>
      </w:r>
      <w:r w:rsidR="00112B4C" w:rsidRPr="002712D3">
        <w:rPr>
          <w:rFonts w:eastAsia="Times New Roman"/>
          <w:color w:val="222222"/>
          <w:sz w:val="20"/>
          <w:szCs w:val="20"/>
          <w:lang w:val="es-CO"/>
        </w:rPr>
        <w:t>,</w:t>
      </w:r>
      <w:r w:rsidRPr="002712D3">
        <w:rPr>
          <w:rFonts w:eastAsia="Times New Roman"/>
          <w:color w:val="222222"/>
          <w:sz w:val="20"/>
          <w:szCs w:val="20"/>
          <w:lang w:val="es-CO"/>
        </w:rPr>
        <w:t xml:space="preserve"> cabeza, pies y manos</w:t>
      </w:r>
      <w:r w:rsidR="00DC0D34" w:rsidRPr="002712D3">
        <w:rPr>
          <w:rFonts w:eastAsia="Times New Roman"/>
          <w:color w:val="222222"/>
          <w:sz w:val="20"/>
          <w:szCs w:val="20"/>
          <w:lang w:val="es-CO"/>
        </w:rPr>
        <w:t xml:space="preserve">, y que sus familiares sólo lograron </w:t>
      </w:r>
      <w:r w:rsidRPr="002712D3">
        <w:rPr>
          <w:rFonts w:eastAsia="Times New Roman"/>
          <w:color w:val="222222"/>
          <w:sz w:val="20"/>
          <w:szCs w:val="20"/>
          <w:lang w:val="es-CO"/>
        </w:rPr>
        <w:t>reconocerla por la ropa y características corporales</w:t>
      </w:r>
      <w:r w:rsidR="00DC0D34" w:rsidRPr="002712D3">
        <w:rPr>
          <w:rFonts w:eastAsia="Times New Roman"/>
          <w:color w:val="222222"/>
          <w:sz w:val="20"/>
          <w:szCs w:val="20"/>
          <w:lang w:val="es-CO"/>
        </w:rPr>
        <w:t>. Indica</w:t>
      </w:r>
      <w:r w:rsidRPr="002712D3">
        <w:rPr>
          <w:rFonts w:eastAsia="Times New Roman"/>
          <w:color w:val="222222"/>
          <w:sz w:val="20"/>
          <w:szCs w:val="20"/>
          <w:lang w:val="es-CO"/>
        </w:rPr>
        <w:t xml:space="preserve"> que el informe de necropsia evidenció que la falta de músculos y tejidos en la piel de A.G.A. se debía a la aplicación de un ácido, y que la causa de muerte era posiblemente estrangulamiento.</w:t>
      </w:r>
    </w:p>
    <w:p w14:paraId="76982960" w14:textId="7F35D163" w:rsidR="008F5C26" w:rsidRDefault="005D2EF6" w:rsidP="00113838">
      <w:pPr>
        <w:pStyle w:val="ListParagraph"/>
        <w:numPr>
          <w:ilvl w:val="0"/>
          <w:numId w:val="110"/>
        </w:numPr>
        <w:shd w:val="clear" w:color="auto" w:fill="FFFFFF"/>
        <w:spacing w:after="240"/>
        <w:ind w:left="0" w:firstLine="720"/>
        <w:jc w:val="both"/>
        <w:rPr>
          <w:rFonts w:eastAsia="Times New Roman"/>
          <w:color w:val="222222"/>
          <w:sz w:val="20"/>
          <w:szCs w:val="20"/>
          <w:lang w:val="es-CO"/>
        </w:rPr>
      </w:pPr>
      <w:r w:rsidRPr="008F5C26">
        <w:rPr>
          <w:rFonts w:eastAsia="Times New Roman"/>
          <w:color w:val="222222"/>
          <w:sz w:val="20"/>
          <w:szCs w:val="20"/>
          <w:lang w:val="es-CO"/>
        </w:rPr>
        <w:t xml:space="preserve">Señala que el 10 de octubre de 1988, </w:t>
      </w:r>
      <w:r w:rsidR="00420C84" w:rsidRPr="008F5C26">
        <w:rPr>
          <w:rFonts w:eastAsia="Times New Roman"/>
          <w:color w:val="222222"/>
          <w:sz w:val="20"/>
          <w:szCs w:val="20"/>
          <w:lang w:val="es-CO"/>
        </w:rPr>
        <w:t xml:space="preserve">la familia de la presunta víctima presentó una </w:t>
      </w:r>
      <w:r w:rsidRPr="008F5C26">
        <w:rPr>
          <w:rFonts w:eastAsia="Times New Roman"/>
          <w:color w:val="222222"/>
          <w:sz w:val="20"/>
          <w:szCs w:val="20"/>
          <w:lang w:val="es-CO"/>
        </w:rPr>
        <w:t xml:space="preserve"> denuncia </w:t>
      </w:r>
      <w:r w:rsidR="00AD2DD1">
        <w:rPr>
          <w:rFonts w:eastAsia="Times New Roman"/>
          <w:color w:val="222222"/>
          <w:sz w:val="20"/>
          <w:szCs w:val="20"/>
          <w:lang w:val="es-CO"/>
        </w:rPr>
        <w:t>penal</w:t>
      </w:r>
      <w:r w:rsidR="009B6AF2" w:rsidRPr="008F5C26">
        <w:rPr>
          <w:rFonts w:eastAsia="Times New Roman"/>
          <w:color w:val="222222"/>
          <w:sz w:val="20"/>
          <w:szCs w:val="20"/>
          <w:lang w:val="es-CO"/>
        </w:rPr>
        <w:t xml:space="preserve">. Afirma que </w:t>
      </w:r>
      <w:r w:rsidRPr="008F5C26">
        <w:rPr>
          <w:rFonts w:eastAsia="Times New Roman"/>
          <w:color w:val="222222"/>
          <w:sz w:val="20"/>
          <w:szCs w:val="20"/>
          <w:lang w:val="es-CO"/>
        </w:rPr>
        <w:t>el 28 de febrero de 1989 el Juzgado Cuarto de Instrucción Criminal de Florencia ordenó el cese de</w:t>
      </w:r>
      <w:r w:rsidR="005204E3" w:rsidRPr="008F5C26">
        <w:rPr>
          <w:rFonts w:eastAsia="Times New Roman"/>
          <w:color w:val="222222"/>
          <w:sz w:val="20"/>
          <w:szCs w:val="20"/>
          <w:lang w:val="es-CO"/>
        </w:rPr>
        <w:t xml:space="preserve">l procedimiento en favor de </w:t>
      </w:r>
      <w:r w:rsidR="00BC6D02" w:rsidRPr="008F5C26">
        <w:rPr>
          <w:rFonts w:eastAsia="Times New Roman"/>
          <w:color w:val="222222"/>
          <w:sz w:val="20"/>
          <w:szCs w:val="20"/>
          <w:lang w:val="es-CO"/>
        </w:rPr>
        <w:t>los</w:t>
      </w:r>
      <w:r w:rsidRPr="008F5C26">
        <w:rPr>
          <w:rFonts w:eastAsia="Times New Roman"/>
          <w:color w:val="222222"/>
          <w:sz w:val="20"/>
          <w:szCs w:val="20"/>
          <w:lang w:val="es-CO"/>
        </w:rPr>
        <w:t xml:space="preserve"> </w:t>
      </w:r>
      <w:r w:rsidR="005204E3" w:rsidRPr="008F5C26">
        <w:rPr>
          <w:rFonts w:eastAsia="Times New Roman"/>
          <w:color w:val="222222"/>
          <w:sz w:val="20"/>
          <w:szCs w:val="20"/>
          <w:lang w:val="es-CO"/>
        </w:rPr>
        <w:t xml:space="preserve">dos </w:t>
      </w:r>
      <w:r w:rsidRPr="008F5C26">
        <w:rPr>
          <w:rFonts w:eastAsia="Times New Roman"/>
          <w:color w:val="222222"/>
          <w:sz w:val="20"/>
          <w:szCs w:val="20"/>
          <w:lang w:val="es-CO"/>
        </w:rPr>
        <w:t xml:space="preserve">sospechosos, </w:t>
      </w:r>
      <w:r w:rsidR="00BC6D02" w:rsidRPr="008F5C26">
        <w:rPr>
          <w:rFonts w:eastAsia="Times New Roman"/>
          <w:color w:val="222222"/>
          <w:sz w:val="20"/>
          <w:szCs w:val="20"/>
          <w:lang w:val="es-CO"/>
        </w:rPr>
        <w:t>y determinó</w:t>
      </w:r>
      <w:r w:rsidR="008E26A9" w:rsidRPr="008F5C26">
        <w:rPr>
          <w:rFonts w:eastAsia="Times New Roman"/>
          <w:color w:val="222222"/>
          <w:sz w:val="20"/>
          <w:szCs w:val="20"/>
          <w:lang w:val="es-CO"/>
        </w:rPr>
        <w:t xml:space="preserve"> </w:t>
      </w:r>
      <w:r w:rsidRPr="008F5C26">
        <w:rPr>
          <w:rFonts w:eastAsia="Times New Roman"/>
          <w:color w:val="222222"/>
          <w:sz w:val="20"/>
          <w:szCs w:val="20"/>
          <w:lang w:val="es-CO"/>
        </w:rPr>
        <w:t>el traslado de las diligencias al cuerpo técnico de la Policía Judicial de Florencia</w:t>
      </w:r>
      <w:r w:rsidR="008E26A9" w:rsidRPr="008F5C26">
        <w:rPr>
          <w:rFonts w:eastAsia="Times New Roman"/>
          <w:color w:val="222222"/>
          <w:sz w:val="20"/>
          <w:szCs w:val="20"/>
          <w:lang w:val="es-CO"/>
        </w:rPr>
        <w:t xml:space="preserve"> para continuar con las investigaciones</w:t>
      </w:r>
      <w:r w:rsidRPr="008F5C26">
        <w:rPr>
          <w:rFonts w:eastAsia="Times New Roman"/>
          <w:color w:val="222222"/>
          <w:sz w:val="20"/>
          <w:szCs w:val="20"/>
          <w:lang w:val="es-CO"/>
        </w:rPr>
        <w:t>.</w:t>
      </w:r>
      <w:r w:rsidR="008F5C26">
        <w:rPr>
          <w:rFonts w:eastAsia="Times New Roman"/>
          <w:color w:val="222222"/>
          <w:sz w:val="20"/>
          <w:szCs w:val="20"/>
          <w:lang w:val="es-CO"/>
        </w:rPr>
        <w:t xml:space="preserve">  </w:t>
      </w:r>
      <w:r w:rsidRPr="008F5C26">
        <w:rPr>
          <w:rFonts w:eastAsia="Times New Roman"/>
          <w:color w:val="222222"/>
          <w:sz w:val="20"/>
          <w:szCs w:val="20"/>
          <w:lang w:val="es-CO"/>
        </w:rPr>
        <w:t xml:space="preserve">Indica que la Fiscalía General de la Nación </w:t>
      </w:r>
      <w:r w:rsidR="00A7324F" w:rsidRPr="008F5C26">
        <w:rPr>
          <w:rFonts w:eastAsia="Times New Roman"/>
          <w:color w:val="222222"/>
          <w:sz w:val="20"/>
          <w:szCs w:val="20"/>
          <w:lang w:val="es-CO"/>
        </w:rPr>
        <w:t xml:space="preserve">incumplió </w:t>
      </w:r>
      <w:r w:rsidRPr="008F5C26">
        <w:rPr>
          <w:rFonts w:eastAsia="Times New Roman"/>
          <w:color w:val="222222"/>
          <w:sz w:val="20"/>
          <w:szCs w:val="20"/>
          <w:lang w:val="es-CO"/>
        </w:rPr>
        <w:t xml:space="preserve">lo ordenado por el </w:t>
      </w:r>
      <w:r w:rsidR="00A7324F" w:rsidRPr="008F5C26">
        <w:rPr>
          <w:rFonts w:eastAsia="Times New Roman"/>
          <w:color w:val="222222"/>
          <w:sz w:val="20"/>
          <w:szCs w:val="20"/>
          <w:lang w:val="es-CO"/>
        </w:rPr>
        <w:t>juzgado pues las investigaciones no prosiguieron.</w:t>
      </w:r>
      <w:r w:rsidRPr="008F5C26">
        <w:rPr>
          <w:rFonts w:eastAsia="Times New Roman"/>
          <w:color w:val="222222"/>
          <w:sz w:val="20"/>
          <w:szCs w:val="20"/>
          <w:lang w:val="es-CO"/>
        </w:rPr>
        <w:t xml:space="preserve"> </w:t>
      </w:r>
    </w:p>
    <w:p w14:paraId="4CCFCEAA" w14:textId="46784455" w:rsidR="005D2EF6" w:rsidRPr="008F5C26" w:rsidRDefault="00962225" w:rsidP="00113838">
      <w:pPr>
        <w:pStyle w:val="ListParagraph"/>
        <w:numPr>
          <w:ilvl w:val="0"/>
          <w:numId w:val="110"/>
        </w:numPr>
        <w:shd w:val="clear" w:color="auto" w:fill="FFFFFF"/>
        <w:spacing w:after="240"/>
        <w:ind w:left="0" w:firstLine="720"/>
        <w:jc w:val="both"/>
        <w:rPr>
          <w:rFonts w:eastAsia="Times New Roman"/>
          <w:color w:val="222222"/>
          <w:sz w:val="20"/>
          <w:szCs w:val="20"/>
          <w:lang w:val="es-CO"/>
        </w:rPr>
      </w:pPr>
      <w:r w:rsidRPr="008F5C26">
        <w:rPr>
          <w:rFonts w:eastAsia="Times New Roman"/>
          <w:color w:val="222222"/>
          <w:sz w:val="20"/>
          <w:szCs w:val="20"/>
          <w:lang w:val="es-CO"/>
        </w:rPr>
        <w:t>Alega que</w:t>
      </w:r>
      <w:r w:rsidR="006B49CB" w:rsidRPr="008F5C26">
        <w:rPr>
          <w:rFonts w:eastAsia="Times New Roman"/>
          <w:color w:val="222222"/>
          <w:sz w:val="20"/>
          <w:szCs w:val="20"/>
          <w:lang w:val="es-CO"/>
        </w:rPr>
        <w:t xml:space="preserve"> el 10 de enero de 2006 y el 4 de octubre de 2006</w:t>
      </w:r>
      <w:r w:rsidRPr="008F5C26">
        <w:rPr>
          <w:rFonts w:eastAsia="Times New Roman"/>
          <w:color w:val="222222"/>
          <w:sz w:val="20"/>
          <w:szCs w:val="20"/>
          <w:lang w:val="es-CO"/>
        </w:rPr>
        <w:t xml:space="preserve"> </w:t>
      </w:r>
      <w:r w:rsidR="006B49CB" w:rsidRPr="008F5C26">
        <w:rPr>
          <w:rFonts w:eastAsia="Times New Roman"/>
          <w:color w:val="222222"/>
          <w:sz w:val="20"/>
          <w:szCs w:val="20"/>
          <w:lang w:val="es-CO"/>
        </w:rPr>
        <w:t>(</w:t>
      </w:r>
      <w:r w:rsidRPr="008F5C26">
        <w:rPr>
          <w:rFonts w:eastAsia="Times New Roman"/>
          <w:color w:val="222222"/>
          <w:sz w:val="20"/>
          <w:szCs w:val="20"/>
          <w:lang w:val="es-CO"/>
        </w:rPr>
        <w:t>cuando los hijos de la presunta víctima cumplieron la mayoría de edad</w:t>
      </w:r>
      <w:r w:rsidR="006B49CB" w:rsidRPr="008F5C26">
        <w:rPr>
          <w:rFonts w:eastAsia="Times New Roman"/>
          <w:color w:val="222222"/>
          <w:sz w:val="20"/>
          <w:szCs w:val="20"/>
          <w:lang w:val="es-CO"/>
        </w:rPr>
        <w:t>)</w:t>
      </w:r>
      <w:r w:rsidRPr="008F5C26">
        <w:rPr>
          <w:rFonts w:eastAsia="Times New Roman"/>
          <w:color w:val="222222"/>
          <w:sz w:val="20"/>
          <w:szCs w:val="20"/>
          <w:lang w:val="es-CO"/>
        </w:rPr>
        <w:t xml:space="preserve">, </w:t>
      </w:r>
      <w:r w:rsidR="005D2EF6" w:rsidRPr="008F5C26">
        <w:rPr>
          <w:rFonts w:eastAsia="Times New Roman"/>
          <w:color w:val="222222"/>
          <w:sz w:val="20"/>
          <w:szCs w:val="20"/>
          <w:lang w:val="es-CO"/>
        </w:rPr>
        <w:t>present</w:t>
      </w:r>
      <w:r w:rsidRPr="008F5C26">
        <w:rPr>
          <w:rFonts w:eastAsia="Times New Roman"/>
          <w:color w:val="222222"/>
          <w:sz w:val="20"/>
          <w:szCs w:val="20"/>
          <w:lang w:val="es-CO"/>
        </w:rPr>
        <w:t>aron</w:t>
      </w:r>
      <w:r w:rsidR="005D2EF6" w:rsidRPr="008F5C26">
        <w:rPr>
          <w:rFonts w:eastAsia="Times New Roman"/>
          <w:color w:val="222222"/>
          <w:sz w:val="20"/>
          <w:szCs w:val="20"/>
          <w:lang w:val="es-CO"/>
        </w:rPr>
        <w:t xml:space="preserve"> </w:t>
      </w:r>
      <w:r w:rsidR="00EC6D0B" w:rsidRPr="008F5C26">
        <w:rPr>
          <w:rFonts w:eastAsia="Times New Roman"/>
          <w:color w:val="222222"/>
          <w:sz w:val="20"/>
          <w:szCs w:val="20"/>
          <w:lang w:val="es-CO"/>
        </w:rPr>
        <w:t xml:space="preserve">dos </w:t>
      </w:r>
      <w:r w:rsidR="005D2EF6" w:rsidRPr="008F5C26">
        <w:rPr>
          <w:rFonts w:eastAsia="Times New Roman"/>
          <w:color w:val="222222"/>
          <w:sz w:val="20"/>
          <w:szCs w:val="20"/>
          <w:lang w:val="es-CO"/>
        </w:rPr>
        <w:t>derecho</w:t>
      </w:r>
      <w:r w:rsidR="00EC6D0B" w:rsidRPr="008F5C26">
        <w:rPr>
          <w:rFonts w:eastAsia="Times New Roman"/>
          <w:color w:val="222222"/>
          <w:sz w:val="20"/>
          <w:szCs w:val="20"/>
          <w:lang w:val="es-CO"/>
        </w:rPr>
        <w:t>s</w:t>
      </w:r>
      <w:r w:rsidR="005D2EF6" w:rsidRPr="008F5C26">
        <w:rPr>
          <w:rFonts w:eastAsia="Times New Roman"/>
          <w:color w:val="222222"/>
          <w:sz w:val="20"/>
          <w:szCs w:val="20"/>
          <w:lang w:val="es-CO"/>
        </w:rPr>
        <w:t xml:space="preserve"> de petición </w:t>
      </w:r>
      <w:r w:rsidR="00A7324F" w:rsidRPr="008F5C26">
        <w:rPr>
          <w:rFonts w:eastAsia="Times New Roman"/>
          <w:color w:val="222222"/>
          <w:sz w:val="20"/>
          <w:szCs w:val="20"/>
          <w:lang w:val="es-CO"/>
        </w:rPr>
        <w:t xml:space="preserve">ante la Fiscalía General de la Nación, </w:t>
      </w:r>
      <w:r w:rsidR="006B49CB" w:rsidRPr="008F5C26">
        <w:rPr>
          <w:rFonts w:eastAsia="Times New Roman"/>
          <w:color w:val="222222"/>
          <w:sz w:val="20"/>
          <w:szCs w:val="20"/>
          <w:lang w:val="es-CO"/>
        </w:rPr>
        <w:t>solicitando</w:t>
      </w:r>
      <w:r w:rsidR="00CF4D26" w:rsidRPr="008F5C26">
        <w:rPr>
          <w:rFonts w:eastAsia="Times New Roman"/>
          <w:color w:val="222222"/>
          <w:sz w:val="20"/>
          <w:szCs w:val="20"/>
          <w:lang w:val="es-CO"/>
        </w:rPr>
        <w:t xml:space="preserve"> información y copia del expediente</w:t>
      </w:r>
      <w:r w:rsidR="006B49CB" w:rsidRPr="008F5C26">
        <w:rPr>
          <w:rFonts w:eastAsia="Times New Roman"/>
          <w:color w:val="222222"/>
          <w:sz w:val="20"/>
          <w:szCs w:val="20"/>
          <w:lang w:val="es-CO"/>
        </w:rPr>
        <w:t>.</w:t>
      </w:r>
      <w:r w:rsidR="00CF4D26" w:rsidRPr="008F5C26">
        <w:rPr>
          <w:rFonts w:eastAsia="Times New Roman"/>
          <w:color w:val="222222"/>
          <w:sz w:val="20"/>
          <w:szCs w:val="20"/>
          <w:lang w:val="es-CO"/>
        </w:rPr>
        <w:t xml:space="preserve"> </w:t>
      </w:r>
      <w:r w:rsidR="006B49CB" w:rsidRPr="008F5C26">
        <w:rPr>
          <w:rFonts w:eastAsia="Times New Roman"/>
          <w:color w:val="222222"/>
          <w:sz w:val="20"/>
          <w:szCs w:val="20"/>
          <w:lang w:val="es-CO"/>
        </w:rPr>
        <w:t>S</w:t>
      </w:r>
      <w:r w:rsidR="005D2EF6" w:rsidRPr="008F5C26">
        <w:rPr>
          <w:rFonts w:eastAsia="Times New Roman"/>
          <w:color w:val="222222"/>
          <w:sz w:val="20"/>
          <w:szCs w:val="20"/>
          <w:lang w:val="es-CO"/>
        </w:rPr>
        <w:t xml:space="preserve">ostiene que </w:t>
      </w:r>
      <w:r w:rsidR="00A211F1" w:rsidRPr="008F5C26">
        <w:rPr>
          <w:rFonts w:eastAsia="Times New Roman"/>
          <w:color w:val="222222"/>
          <w:sz w:val="20"/>
          <w:szCs w:val="20"/>
          <w:lang w:val="es-CO"/>
        </w:rPr>
        <w:t xml:space="preserve">el 27 de noviembre de 2006, mediante un oficio emitido por </w:t>
      </w:r>
      <w:r w:rsidR="00B04D65" w:rsidRPr="008F5C26">
        <w:rPr>
          <w:rFonts w:eastAsia="Times New Roman"/>
          <w:color w:val="222222"/>
          <w:sz w:val="20"/>
          <w:szCs w:val="20"/>
          <w:lang w:val="es-CO"/>
        </w:rPr>
        <w:t xml:space="preserve">la Unidad Delegada ante </w:t>
      </w:r>
      <w:r w:rsidR="00A211F1" w:rsidRPr="008F5C26">
        <w:rPr>
          <w:rFonts w:eastAsia="Times New Roman"/>
          <w:color w:val="222222"/>
          <w:sz w:val="20"/>
          <w:szCs w:val="20"/>
          <w:lang w:val="es-CO"/>
        </w:rPr>
        <w:t xml:space="preserve">los Juzgados Penales del Circuito de Florencia se le </w:t>
      </w:r>
      <w:r w:rsidR="005D2EF6" w:rsidRPr="008F5C26">
        <w:rPr>
          <w:rFonts w:eastAsia="Times New Roman"/>
          <w:color w:val="222222"/>
          <w:sz w:val="20"/>
          <w:szCs w:val="20"/>
          <w:lang w:val="es-CO"/>
        </w:rPr>
        <w:t xml:space="preserve">indicó que no </w:t>
      </w:r>
      <w:r w:rsidR="00A211F1" w:rsidRPr="008F5C26">
        <w:rPr>
          <w:rFonts w:eastAsia="Times New Roman"/>
          <w:color w:val="222222"/>
          <w:sz w:val="20"/>
          <w:szCs w:val="20"/>
          <w:lang w:val="es-CO"/>
        </w:rPr>
        <w:t>se había podido</w:t>
      </w:r>
      <w:r w:rsidR="005D2EF6" w:rsidRPr="008F5C26">
        <w:rPr>
          <w:rFonts w:eastAsia="Times New Roman"/>
          <w:color w:val="222222"/>
          <w:sz w:val="20"/>
          <w:szCs w:val="20"/>
          <w:lang w:val="es-CO"/>
        </w:rPr>
        <w:t xml:space="preserve"> ubicar su expediente</w:t>
      </w:r>
      <w:r w:rsidR="00B462AB" w:rsidRPr="008F5C26">
        <w:rPr>
          <w:rFonts w:eastAsia="Times New Roman"/>
          <w:color w:val="222222"/>
          <w:sz w:val="20"/>
          <w:szCs w:val="20"/>
          <w:lang w:val="es-CO"/>
        </w:rPr>
        <w:t>.</w:t>
      </w:r>
      <w:r w:rsidR="00977E72" w:rsidRPr="008F5C26">
        <w:rPr>
          <w:rFonts w:eastAsia="Times New Roman"/>
          <w:color w:val="222222"/>
          <w:sz w:val="20"/>
          <w:szCs w:val="20"/>
          <w:lang w:val="es-CO"/>
        </w:rPr>
        <w:t xml:space="preserve"> Resalta también que el 6 de abril de 2010 la hija de la presunta víctima solicitó una vez más información sobre el estado del proceso. R</w:t>
      </w:r>
      <w:r w:rsidR="00B462AB" w:rsidRPr="008F5C26">
        <w:rPr>
          <w:rFonts w:eastAsia="Times New Roman"/>
          <w:color w:val="222222"/>
          <w:sz w:val="20"/>
          <w:szCs w:val="20"/>
          <w:lang w:val="es-CO"/>
        </w:rPr>
        <w:t xml:space="preserve">efiere que </w:t>
      </w:r>
      <w:r w:rsidR="001F2249" w:rsidRPr="008F5C26">
        <w:rPr>
          <w:rFonts w:eastAsia="Times New Roman"/>
          <w:color w:val="222222"/>
          <w:sz w:val="20"/>
          <w:szCs w:val="20"/>
          <w:lang w:val="es-CO"/>
        </w:rPr>
        <w:t>el 16 de noviembre de 200</w:t>
      </w:r>
      <w:r w:rsidR="00B462AB" w:rsidRPr="008F5C26">
        <w:rPr>
          <w:rFonts w:eastAsia="Times New Roman"/>
          <w:color w:val="222222"/>
          <w:sz w:val="20"/>
          <w:szCs w:val="20"/>
          <w:lang w:val="es-CO"/>
        </w:rPr>
        <w:t>6,</w:t>
      </w:r>
      <w:r w:rsidR="005D2EF6" w:rsidRPr="008F5C26">
        <w:rPr>
          <w:rFonts w:eastAsia="Times New Roman"/>
          <w:color w:val="222222"/>
          <w:sz w:val="20"/>
          <w:szCs w:val="20"/>
          <w:lang w:val="es-CO"/>
        </w:rPr>
        <w:t xml:space="preserve"> la Dirección Nacional de Fiscalías </w:t>
      </w:r>
      <w:r w:rsidR="00B462AB" w:rsidRPr="008F5C26">
        <w:rPr>
          <w:rFonts w:eastAsia="Times New Roman"/>
          <w:color w:val="222222"/>
          <w:sz w:val="20"/>
          <w:szCs w:val="20"/>
          <w:lang w:val="es-CO"/>
        </w:rPr>
        <w:t>le entregó</w:t>
      </w:r>
      <w:r w:rsidR="00C33C06" w:rsidRPr="008F5C26">
        <w:rPr>
          <w:rFonts w:eastAsia="Times New Roman"/>
          <w:color w:val="222222"/>
          <w:sz w:val="20"/>
          <w:szCs w:val="20"/>
          <w:lang w:val="es-CO"/>
        </w:rPr>
        <w:t xml:space="preserve"> alguna información sobre el proceso, </w:t>
      </w:r>
      <w:r w:rsidR="00407869" w:rsidRPr="008F5C26">
        <w:rPr>
          <w:rFonts w:eastAsia="Times New Roman"/>
          <w:color w:val="222222"/>
          <w:sz w:val="20"/>
          <w:szCs w:val="20"/>
          <w:lang w:val="es-CO"/>
        </w:rPr>
        <w:t>como el número de radicado y los nombres de algunas personas que habían sido vinculadas</w:t>
      </w:r>
      <w:r w:rsidR="005D2EF6" w:rsidRPr="008F5C26">
        <w:rPr>
          <w:rFonts w:eastAsia="Times New Roman"/>
          <w:color w:val="222222"/>
          <w:sz w:val="20"/>
          <w:szCs w:val="20"/>
          <w:lang w:val="es-CO"/>
        </w:rPr>
        <w:t>.</w:t>
      </w:r>
    </w:p>
    <w:p w14:paraId="3FC0FE0F" w14:textId="228162C3" w:rsidR="00084F13" w:rsidRDefault="00784FD3" w:rsidP="00113838">
      <w:pPr>
        <w:shd w:val="clear" w:color="auto" w:fill="FFFFFF"/>
        <w:spacing w:after="240"/>
        <w:ind w:firstLine="720"/>
        <w:jc w:val="both"/>
        <w:rPr>
          <w:rFonts w:ascii="Cambria" w:eastAsia="Times New Roman" w:hAnsi="Cambria"/>
          <w:sz w:val="20"/>
          <w:szCs w:val="20"/>
          <w:lang w:val="es-CO"/>
        </w:rPr>
      </w:pPr>
      <w:r>
        <w:rPr>
          <w:rFonts w:ascii="Cambria" w:eastAsia="Times New Roman" w:hAnsi="Cambria"/>
          <w:color w:val="222222"/>
          <w:sz w:val="20"/>
          <w:szCs w:val="20"/>
          <w:lang w:val="es-CO"/>
        </w:rPr>
        <w:t>4</w:t>
      </w:r>
      <w:r w:rsidR="005D2EF6">
        <w:rPr>
          <w:rFonts w:ascii="Cambria" w:eastAsia="Times New Roman" w:hAnsi="Cambria"/>
          <w:color w:val="222222"/>
          <w:sz w:val="20"/>
          <w:szCs w:val="20"/>
          <w:lang w:val="es-CO"/>
        </w:rPr>
        <w:t xml:space="preserve">. </w:t>
      </w:r>
      <w:r w:rsidR="00911A2E">
        <w:rPr>
          <w:rFonts w:ascii="Cambria" w:eastAsia="Times New Roman" w:hAnsi="Cambria"/>
          <w:color w:val="222222"/>
          <w:sz w:val="20"/>
          <w:szCs w:val="20"/>
          <w:lang w:val="es-CO"/>
        </w:rPr>
        <w:tab/>
      </w:r>
      <w:r w:rsidR="005D2EF6">
        <w:rPr>
          <w:rFonts w:ascii="Cambria" w:eastAsia="Times New Roman" w:hAnsi="Cambria"/>
          <w:color w:val="222222"/>
          <w:sz w:val="20"/>
          <w:szCs w:val="20"/>
          <w:lang w:val="es-CO"/>
        </w:rPr>
        <w:t xml:space="preserve">Refiere que </w:t>
      </w:r>
      <w:r w:rsidR="00D03A86">
        <w:rPr>
          <w:rFonts w:ascii="Cambria" w:eastAsia="Times New Roman" w:hAnsi="Cambria"/>
          <w:color w:val="222222"/>
          <w:sz w:val="20"/>
          <w:szCs w:val="20"/>
          <w:lang w:val="es-CO"/>
        </w:rPr>
        <w:t xml:space="preserve">ante la situación descrita, la familia de la presunta víctima </w:t>
      </w:r>
      <w:r w:rsidR="005D2EF6">
        <w:rPr>
          <w:rFonts w:ascii="Cambria" w:eastAsia="Times New Roman" w:hAnsi="Cambria"/>
          <w:color w:val="222222"/>
          <w:sz w:val="20"/>
          <w:szCs w:val="20"/>
          <w:lang w:val="es-CO"/>
        </w:rPr>
        <w:t>interpuso una</w:t>
      </w:r>
      <w:r w:rsidR="00475914">
        <w:rPr>
          <w:rFonts w:ascii="Cambria" w:eastAsia="Times New Roman" w:hAnsi="Cambria"/>
          <w:color w:val="222222"/>
          <w:sz w:val="20"/>
          <w:szCs w:val="20"/>
          <w:lang w:val="es-CO"/>
        </w:rPr>
        <w:t xml:space="preserve"> acción de</w:t>
      </w:r>
      <w:r w:rsidR="005D2EF6">
        <w:rPr>
          <w:rFonts w:ascii="Cambria" w:eastAsia="Times New Roman" w:hAnsi="Cambria"/>
          <w:color w:val="222222"/>
          <w:sz w:val="20"/>
          <w:szCs w:val="20"/>
          <w:lang w:val="es-CO"/>
        </w:rPr>
        <w:t xml:space="preserve"> tutela el 17 de  octubre de 2008</w:t>
      </w:r>
      <w:r w:rsidR="00D03A86">
        <w:rPr>
          <w:rFonts w:ascii="Cambria" w:eastAsia="Times New Roman" w:hAnsi="Cambria"/>
          <w:color w:val="222222"/>
          <w:sz w:val="20"/>
          <w:szCs w:val="20"/>
          <w:lang w:val="es-CO"/>
        </w:rPr>
        <w:t>, que fue resuelta por el Juzgado Segundo Promiscuo de Familia</w:t>
      </w:r>
      <w:r w:rsidR="00D03A86" w:rsidDel="00D03A86">
        <w:rPr>
          <w:rFonts w:ascii="Cambria" w:eastAsia="Times New Roman" w:hAnsi="Cambria"/>
          <w:color w:val="222222"/>
          <w:sz w:val="20"/>
          <w:szCs w:val="20"/>
          <w:lang w:val="es-CO"/>
        </w:rPr>
        <w:t xml:space="preserve"> </w:t>
      </w:r>
      <w:r w:rsidR="00D03A86">
        <w:rPr>
          <w:rFonts w:ascii="Cambria" w:eastAsia="Times New Roman" w:hAnsi="Cambria"/>
          <w:color w:val="222222"/>
          <w:sz w:val="20"/>
          <w:szCs w:val="20"/>
          <w:lang w:val="es-CO"/>
        </w:rPr>
        <w:t xml:space="preserve">el </w:t>
      </w:r>
      <w:r w:rsidR="005D2EF6">
        <w:rPr>
          <w:rFonts w:ascii="Cambria" w:eastAsia="Times New Roman" w:hAnsi="Cambria"/>
          <w:color w:val="222222"/>
          <w:sz w:val="20"/>
          <w:szCs w:val="20"/>
          <w:lang w:val="es-CO"/>
        </w:rPr>
        <w:t>20 de noviembre de 2008</w:t>
      </w:r>
      <w:r w:rsidR="00D03A86">
        <w:rPr>
          <w:rFonts w:ascii="Cambria" w:eastAsia="Times New Roman" w:hAnsi="Cambria"/>
          <w:color w:val="222222"/>
          <w:sz w:val="20"/>
          <w:szCs w:val="20"/>
          <w:lang w:val="es-CO"/>
        </w:rPr>
        <w:t xml:space="preserve">, </w:t>
      </w:r>
      <w:r w:rsidR="005D2EF6">
        <w:rPr>
          <w:rFonts w:ascii="Cambria" w:eastAsia="Times New Roman" w:hAnsi="Cambria"/>
          <w:color w:val="222222"/>
          <w:sz w:val="20"/>
          <w:szCs w:val="20"/>
          <w:lang w:val="es-CO"/>
        </w:rPr>
        <w:t>disp</w:t>
      </w:r>
      <w:r w:rsidR="00D03A86">
        <w:rPr>
          <w:rFonts w:ascii="Cambria" w:eastAsia="Times New Roman" w:hAnsi="Cambria"/>
          <w:color w:val="222222"/>
          <w:sz w:val="20"/>
          <w:szCs w:val="20"/>
          <w:lang w:val="es-CO"/>
        </w:rPr>
        <w:t>oniendo</w:t>
      </w:r>
      <w:r w:rsidR="005D2EF6">
        <w:rPr>
          <w:rFonts w:ascii="Cambria" w:eastAsia="Times New Roman" w:hAnsi="Cambria"/>
          <w:color w:val="222222"/>
          <w:sz w:val="20"/>
          <w:szCs w:val="20"/>
          <w:lang w:val="es-CO"/>
        </w:rPr>
        <w:t xml:space="preserve"> la </w:t>
      </w:r>
      <w:r w:rsidR="001F2249">
        <w:rPr>
          <w:rFonts w:ascii="Cambria" w:eastAsia="Times New Roman" w:hAnsi="Cambria"/>
          <w:color w:val="222222"/>
          <w:sz w:val="20"/>
          <w:szCs w:val="20"/>
          <w:lang w:val="es-CO"/>
        </w:rPr>
        <w:t>reconstrucción</w:t>
      </w:r>
      <w:r w:rsidR="005D2EF6">
        <w:rPr>
          <w:rFonts w:ascii="Cambria" w:eastAsia="Times New Roman" w:hAnsi="Cambria"/>
          <w:color w:val="222222"/>
          <w:sz w:val="20"/>
          <w:szCs w:val="20"/>
          <w:lang w:val="es-CO"/>
        </w:rPr>
        <w:t xml:space="preserve"> de la investigación penal. Manifiesta que </w:t>
      </w:r>
      <w:r w:rsidR="00D03A86">
        <w:rPr>
          <w:rFonts w:ascii="Cambria" w:eastAsia="Times New Roman" w:hAnsi="Cambria"/>
          <w:color w:val="222222"/>
          <w:sz w:val="20"/>
          <w:szCs w:val="20"/>
          <w:lang w:val="es-CO"/>
        </w:rPr>
        <w:t>como</w:t>
      </w:r>
      <w:r w:rsidR="005D2EF6">
        <w:rPr>
          <w:rFonts w:ascii="Cambria" w:eastAsia="Times New Roman" w:hAnsi="Cambria"/>
          <w:color w:val="222222"/>
          <w:sz w:val="20"/>
          <w:szCs w:val="20"/>
          <w:lang w:val="es-CO"/>
        </w:rPr>
        <w:t xml:space="preserve"> consecuencia </w:t>
      </w:r>
      <w:r w:rsidR="00D03A86">
        <w:rPr>
          <w:rFonts w:ascii="Cambria" w:eastAsia="Times New Roman" w:hAnsi="Cambria"/>
          <w:color w:val="222222"/>
          <w:sz w:val="20"/>
          <w:szCs w:val="20"/>
          <w:lang w:val="es-CO"/>
        </w:rPr>
        <w:t>de</w:t>
      </w:r>
      <w:r w:rsidR="005D2EF6">
        <w:rPr>
          <w:rFonts w:ascii="Cambria" w:eastAsia="Times New Roman" w:hAnsi="Cambria"/>
          <w:color w:val="222222"/>
          <w:sz w:val="20"/>
          <w:szCs w:val="20"/>
          <w:lang w:val="es-CO"/>
        </w:rPr>
        <w:t xml:space="preserve"> ese fallo</w:t>
      </w:r>
      <w:r w:rsidR="00D03A86">
        <w:rPr>
          <w:rFonts w:ascii="Cambria" w:eastAsia="Times New Roman" w:hAnsi="Cambria"/>
          <w:color w:val="222222"/>
          <w:sz w:val="20"/>
          <w:szCs w:val="20"/>
          <w:lang w:val="es-CO"/>
        </w:rPr>
        <w:t>,</w:t>
      </w:r>
      <w:r w:rsidR="005D2EF6">
        <w:rPr>
          <w:rFonts w:ascii="Cambria" w:eastAsia="Times New Roman" w:hAnsi="Cambria"/>
          <w:color w:val="222222"/>
          <w:sz w:val="20"/>
          <w:szCs w:val="20"/>
          <w:lang w:val="es-CO"/>
        </w:rPr>
        <w:t xml:space="preserve"> se llevaron a cabo algunas diligencias para reconstruir el expediente</w:t>
      </w:r>
      <w:r w:rsidR="00D03A86">
        <w:rPr>
          <w:rFonts w:ascii="Cambria" w:eastAsia="Times New Roman" w:hAnsi="Cambria"/>
          <w:color w:val="222222"/>
          <w:sz w:val="20"/>
          <w:szCs w:val="20"/>
          <w:lang w:val="es-CO"/>
        </w:rPr>
        <w:t xml:space="preserve">. </w:t>
      </w:r>
      <w:r w:rsidR="004C16E3">
        <w:rPr>
          <w:rFonts w:ascii="Cambria" w:eastAsia="Times New Roman" w:hAnsi="Cambria"/>
          <w:color w:val="222222"/>
          <w:sz w:val="20"/>
          <w:szCs w:val="20"/>
          <w:lang w:val="es-CO"/>
        </w:rPr>
        <w:t>Expresa que s</w:t>
      </w:r>
      <w:r w:rsidR="005D2EF6">
        <w:rPr>
          <w:rFonts w:ascii="Cambria" w:eastAsia="Times New Roman" w:hAnsi="Cambria"/>
          <w:color w:val="222222"/>
          <w:sz w:val="20"/>
          <w:szCs w:val="20"/>
          <w:lang w:val="es-CO"/>
        </w:rPr>
        <w:t xml:space="preserve">in embargo, el 27 de noviembre de 2009 la Fiscalía 11 </w:t>
      </w:r>
      <w:r w:rsidR="000A69AA">
        <w:rPr>
          <w:rFonts w:ascii="Cambria" w:eastAsia="Times New Roman" w:hAnsi="Cambria"/>
          <w:color w:val="222222"/>
          <w:sz w:val="20"/>
          <w:szCs w:val="20"/>
          <w:lang w:val="es-CO"/>
        </w:rPr>
        <w:t>S</w:t>
      </w:r>
      <w:r w:rsidR="005D2EF6">
        <w:rPr>
          <w:rFonts w:ascii="Cambria" w:eastAsia="Times New Roman" w:hAnsi="Cambria"/>
          <w:color w:val="222222"/>
          <w:sz w:val="20"/>
          <w:szCs w:val="20"/>
          <w:lang w:val="es-CO"/>
        </w:rPr>
        <w:t>eccional Florencia</w:t>
      </w:r>
      <w:r w:rsidR="00E94738">
        <w:rPr>
          <w:rFonts w:ascii="Cambria" w:eastAsia="Times New Roman" w:hAnsi="Cambria"/>
          <w:color w:val="222222"/>
          <w:sz w:val="20"/>
          <w:szCs w:val="20"/>
          <w:lang w:val="es-CO"/>
        </w:rPr>
        <w:t>,</w:t>
      </w:r>
      <w:r w:rsidR="005D2EF6">
        <w:rPr>
          <w:rFonts w:ascii="Cambria" w:eastAsia="Times New Roman" w:hAnsi="Cambria"/>
          <w:color w:val="222222"/>
          <w:sz w:val="20"/>
          <w:szCs w:val="20"/>
          <w:lang w:val="es-CO"/>
        </w:rPr>
        <w:t xml:space="preserve"> </w:t>
      </w:r>
      <w:r w:rsidR="005D2EF6" w:rsidRPr="00734713">
        <w:rPr>
          <w:rFonts w:ascii="Cambria" w:eastAsia="Times New Roman" w:hAnsi="Cambria"/>
          <w:sz w:val="20"/>
          <w:szCs w:val="20"/>
          <w:lang w:val="es-CO"/>
        </w:rPr>
        <w:t>determinó la extinción de la acción penal en razón a que habían transcurrido más de 20 años de los hechos</w:t>
      </w:r>
      <w:r w:rsidR="005D2EF6">
        <w:rPr>
          <w:rFonts w:ascii="Cambria" w:eastAsia="Times New Roman" w:hAnsi="Cambria"/>
          <w:sz w:val="20"/>
          <w:szCs w:val="20"/>
          <w:lang w:val="es-CO"/>
        </w:rPr>
        <w:t>,</w:t>
      </w:r>
      <w:r w:rsidR="005D2EF6" w:rsidRPr="00734713">
        <w:rPr>
          <w:rFonts w:ascii="Cambria" w:eastAsia="Times New Roman" w:hAnsi="Cambria"/>
          <w:sz w:val="20"/>
          <w:szCs w:val="20"/>
          <w:lang w:val="es-CO"/>
        </w:rPr>
        <w:t xml:space="preserve"> </w:t>
      </w:r>
      <w:r w:rsidR="00E94738">
        <w:rPr>
          <w:rFonts w:ascii="Cambria" w:eastAsia="Times New Roman" w:hAnsi="Cambria"/>
          <w:sz w:val="20"/>
          <w:szCs w:val="20"/>
          <w:lang w:val="es-CO"/>
        </w:rPr>
        <w:t>argumentando</w:t>
      </w:r>
      <w:r w:rsidR="005D2EF6" w:rsidRPr="00734713">
        <w:rPr>
          <w:rFonts w:ascii="Cambria" w:eastAsia="Times New Roman" w:hAnsi="Cambria"/>
          <w:sz w:val="20"/>
          <w:szCs w:val="20"/>
          <w:lang w:val="es-CO"/>
        </w:rPr>
        <w:t xml:space="preserve"> además que </w:t>
      </w:r>
      <w:r w:rsidR="00D03A86">
        <w:rPr>
          <w:rFonts w:ascii="Cambria" w:eastAsia="Times New Roman" w:hAnsi="Cambria"/>
          <w:sz w:val="20"/>
          <w:szCs w:val="20"/>
          <w:lang w:val="es-CO"/>
        </w:rPr>
        <w:t>lo anterior no había sido tomado en cuenta cuando se</w:t>
      </w:r>
      <w:r w:rsidR="00475914">
        <w:rPr>
          <w:rFonts w:ascii="Cambria" w:eastAsia="Times New Roman" w:hAnsi="Cambria"/>
          <w:sz w:val="20"/>
          <w:szCs w:val="20"/>
          <w:lang w:val="es-CO"/>
        </w:rPr>
        <w:t xml:space="preserve"> resolvió </w:t>
      </w:r>
      <w:r w:rsidR="005D2EF6" w:rsidRPr="00734713">
        <w:rPr>
          <w:rFonts w:ascii="Cambria" w:eastAsia="Times New Roman" w:hAnsi="Cambria"/>
          <w:sz w:val="20"/>
          <w:szCs w:val="20"/>
          <w:lang w:val="es-CO"/>
        </w:rPr>
        <w:t>la</w:t>
      </w:r>
      <w:r w:rsidR="00475914">
        <w:rPr>
          <w:rFonts w:ascii="Cambria" w:eastAsia="Times New Roman" w:hAnsi="Cambria"/>
          <w:sz w:val="20"/>
          <w:szCs w:val="20"/>
          <w:lang w:val="es-CO"/>
        </w:rPr>
        <w:t xml:space="preserve"> acción de</w:t>
      </w:r>
      <w:r w:rsidR="005D2EF6" w:rsidRPr="00734713">
        <w:rPr>
          <w:rFonts w:ascii="Cambria" w:eastAsia="Times New Roman" w:hAnsi="Cambria"/>
          <w:sz w:val="20"/>
          <w:szCs w:val="20"/>
          <w:lang w:val="es-CO"/>
        </w:rPr>
        <w:t xml:space="preserve"> tutela. </w:t>
      </w:r>
    </w:p>
    <w:p w14:paraId="5B38319D" w14:textId="37590132" w:rsidR="005D2EF6" w:rsidRDefault="00784FD3" w:rsidP="00113838">
      <w:pPr>
        <w:shd w:val="clear" w:color="auto" w:fill="FFFFFF"/>
        <w:spacing w:after="240"/>
        <w:ind w:firstLine="720"/>
        <w:jc w:val="both"/>
        <w:rPr>
          <w:rFonts w:ascii="Cambria" w:eastAsia="Times New Roman" w:hAnsi="Cambria"/>
          <w:color w:val="222222"/>
          <w:sz w:val="20"/>
          <w:szCs w:val="20"/>
          <w:lang w:val="es-CO"/>
        </w:rPr>
      </w:pPr>
      <w:r>
        <w:rPr>
          <w:rFonts w:ascii="Cambria" w:eastAsia="Times New Roman" w:hAnsi="Cambria"/>
          <w:sz w:val="20"/>
          <w:szCs w:val="20"/>
          <w:lang w:val="es-CO"/>
        </w:rPr>
        <w:t>5</w:t>
      </w:r>
      <w:r w:rsidR="00084F13">
        <w:rPr>
          <w:rFonts w:ascii="Cambria" w:eastAsia="Times New Roman" w:hAnsi="Cambria"/>
          <w:sz w:val="20"/>
          <w:szCs w:val="20"/>
          <w:lang w:val="es-CO"/>
        </w:rPr>
        <w:t>.</w:t>
      </w:r>
      <w:r w:rsidR="00084F13">
        <w:rPr>
          <w:rFonts w:ascii="Cambria" w:eastAsia="Times New Roman" w:hAnsi="Cambria"/>
          <w:sz w:val="20"/>
          <w:szCs w:val="20"/>
          <w:lang w:val="es-CO"/>
        </w:rPr>
        <w:tab/>
      </w:r>
      <w:r w:rsidR="00FD780F">
        <w:rPr>
          <w:rFonts w:ascii="Cambria" w:eastAsia="Times New Roman" w:hAnsi="Cambria"/>
          <w:sz w:val="20"/>
          <w:szCs w:val="20"/>
          <w:lang w:val="es-CO"/>
        </w:rPr>
        <w:t>Señala</w:t>
      </w:r>
      <w:r w:rsidR="000A69AA">
        <w:rPr>
          <w:rFonts w:ascii="Cambria" w:eastAsia="Times New Roman" w:hAnsi="Cambria"/>
          <w:sz w:val="20"/>
          <w:szCs w:val="20"/>
          <w:lang w:val="es-CO"/>
        </w:rPr>
        <w:t xml:space="preserve"> que contra tal resolución</w:t>
      </w:r>
      <w:r w:rsidR="00755886">
        <w:rPr>
          <w:rFonts w:ascii="Cambria" w:eastAsia="Times New Roman" w:hAnsi="Cambria"/>
          <w:sz w:val="20"/>
          <w:szCs w:val="20"/>
          <w:lang w:val="es-CO"/>
        </w:rPr>
        <w:t>,</w:t>
      </w:r>
      <w:r w:rsidR="000A69AA">
        <w:rPr>
          <w:rFonts w:ascii="Cambria" w:eastAsia="Times New Roman" w:hAnsi="Cambria"/>
          <w:sz w:val="20"/>
          <w:szCs w:val="20"/>
          <w:lang w:val="es-CO"/>
        </w:rPr>
        <w:t xml:space="preserve"> </w:t>
      </w:r>
      <w:r w:rsidR="00E94738">
        <w:rPr>
          <w:rFonts w:ascii="Cambria" w:eastAsia="Times New Roman" w:hAnsi="Cambria"/>
          <w:sz w:val="20"/>
          <w:szCs w:val="20"/>
          <w:lang w:val="es-CO"/>
        </w:rPr>
        <w:t xml:space="preserve">el hijo de la presunta víctima </w:t>
      </w:r>
      <w:r w:rsidR="005D2EF6" w:rsidRPr="00734713">
        <w:rPr>
          <w:rFonts w:ascii="Cambria" w:eastAsia="Times New Roman" w:hAnsi="Cambria"/>
          <w:sz w:val="20"/>
          <w:szCs w:val="20"/>
          <w:lang w:val="es-CO"/>
        </w:rPr>
        <w:t xml:space="preserve">interpuso </w:t>
      </w:r>
      <w:r w:rsidR="00E94738">
        <w:rPr>
          <w:rFonts w:ascii="Cambria" w:eastAsia="Times New Roman" w:hAnsi="Cambria"/>
          <w:sz w:val="20"/>
          <w:szCs w:val="20"/>
          <w:lang w:val="es-CO"/>
        </w:rPr>
        <w:t xml:space="preserve">un </w:t>
      </w:r>
      <w:r w:rsidR="005D2EF6" w:rsidRPr="00734713">
        <w:rPr>
          <w:rFonts w:ascii="Cambria" w:eastAsia="Times New Roman" w:hAnsi="Cambria"/>
          <w:sz w:val="20"/>
          <w:szCs w:val="20"/>
          <w:lang w:val="es-CO"/>
        </w:rPr>
        <w:t>recurso de reposición</w:t>
      </w:r>
      <w:r w:rsidR="00755886">
        <w:rPr>
          <w:rFonts w:ascii="Cambria" w:eastAsia="Times New Roman" w:hAnsi="Cambria"/>
          <w:sz w:val="20"/>
          <w:szCs w:val="20"/>
          <w:lang w:val="es-CO"/>
        </w:rPr>
        <w:t xml:space="preserve">, que fue rechazado por </w:t>
      </w:r>
      <w:r w:rsidR="00466DC9" w:rsidRPr="00734713">
        <w:rPr>
          <w:rFonts w:ascii="Cambria" w:eastAsia="Times New Roman" w:hAnsi="Cambria"/>
          <w:sz w:val="20"/>
          <w:szCs w:val="20"/>
          <w:lang w:val="es-CO"/>
        </w:rPr>
        <w:t>la Fiscalía 11 Seccional</w:t>
      </w:r>
      <w:r w:rsidR="00C8667D">
        <w:rPr>
          <w:rFonts w:ascii="Cambria" w:eastAsia="Times New Roman" w:hAnsi="Cambria"/>
          <w:sz w:val="20"/>
          <w:szCs w:val="20"/>
          <w:lang w:val="es-CO"/>
        </w:rPr>
        <w:t>, argumentando que los hechos fueron oportunamente investigados. Posteriormente, e</w:t>
      </w:r>
      <w:r w:rsidR="00755886">
        <w:rPr>
          <w:rFonts w:ascii="Cambria" w:eastAsia="Times New Roman" w:hAnsi="Cambria"/>
          <w:sz w:val="20"/>
          <w:szCs w:val="20"/>
          <w:lang w:val="es-CO"/>
        </w:rPr>
        <w:t>l</w:t>
      </w:r>
      <w:r w:rsidR="00C8667D">
        <w:rPr>
          <w:rFonts w:ascii="Cambria" w:eastAsia="Times New Roman" w:hAnsi="Cambria"/>
          <w:sz w:val="20"/>
          <w:szCs w:val="20"/>
          <w:lang w:val="es-CO"/>
        </w:rPr>
        <w:t xml:space="preserve"> 15 de julio de 2010 el</w:t>
      </w:r>
      <w:r w:rsidR="00755886">
        <w:rPr>
          <w:rFonts w:ascii="Cambria" w:eastAsia="Times New Roman" w:hAnsi="Cambria"/>
          <w:sz w:val="20"/>
          <w:szCs w:val="20"/>
          <w:lang w:val="es-CO"/>
        </w:rPr>
        <w:t xml:space="preserve"> Fiscal Delegado ante el Tribunal Superior </w:t>
      </w:r>
      <w:r w:rsidR="00C8667D">
        <w:rPr>
          <w:rFonts w:ascii="Cambria" w:eastAsia="Times New Roman" w:hAnsi="Cambria"/>
          <w:sz w:val="20"/>
          <w:szCs w:val="20"/>
          <w:lang w:val="es-CO"/>
        </w:rPr>
        <w:t xml:space="preserve">de </w:t>
      </w:r>
      <w:r w:rsidR="005D2EF6" w:rsidRPr="00734713">
        <w:rPr>
          <w:rFonts w:ascii="Cambria" w:eastAsia="Times New Roman" w:hAnsi="Cambria"/>
          <w:sz w:val="20"/>
          <w:szCs w:val="20"/>
          <w:lang w:val="es-CO"/>
        </w:rPr>
        <w:t>la Fiscalía General de la Nación</w:t>
      </w:r>
      <w:r w:rsidR="00C8667D">
        <w:rPr>
          <w:rFonts w:ascii="Cambria" w:eastAsia="Times New Roman" w:hAnsi="Cambria"/>
          <w:sz w:val="20"/>
          <w:szCs w:val="20"/>
          <w:lang w:val="es-CO"/>
        </w:rPr>
        <w:t xml:space="preserve"> </w:t>
      </w:r>
      <w:r w:rsidR="00E130D6">
        <w:rPr>
          <w:rFonts w:ascii="Cambria" w:eastAsia="Times New Roman" w:hAnsi="Cambria"/>
          <w:sz w:val="20"/>
          <w:szCs w:val="20"/>
          <w:lang w:val="es-CO"/>
        </w:rPr>
        <w:t>de</w:t>
      </w:r>
      <w:r w:rsidR="0032207A">
        <w:rPr>
          <w:rFonts w:ascii="Cambria" w:eastAsia="Times New Roman" w:hAnsi="Cambria"/>
          <w:sz w:val="20"/>
          <w:szCs w:val="20"/>
          <w:lang w:val="es-CO"/>
        </w:rPr>
        <w:t>sestimó el recurso de apelación</w:t>
      </w:r>
      <w:r w:rsidR="00E130D6">
        <w:rPr>
          <w:rFonts w:ascii="Cambria" w:eastAsia="Times New Roman" w:hAnsi="Cambria"/>
          <w:sz w:val="20"/>
          <w:szCs w:val="20"/>
          <w:lang w:val="es-CO"/>
        </w:rPr>
        <w:t xml:space="preserve">, señalando que </w:t>
      </w:r>
      <w:r w:rsidR="005D2EF6" w:rsidRPr="00734713">
        <w:rPr>
          <w:rFonts w:ascii="Cambria" w:eastAsia="Times New Roman" w:hAnsi="Cambria"/>
          <w:sz w:val="20"/>
          <w:szCs w:val="20"/>
          <w:lang w:val="es-CO"/>
        </w:rPr>
        <w:t xml:space="preserve">existió una investigación integral y </w:t>
      </w:r>
      <w:r w:rsidR="00E130D6">
        <w:rPr>
          <w:rFonts w:ascii="Cambria" w:eastAsia="Times New Roman" w:hAnsi="Cambria"/>
          <w:sz w:val="20"/>
          <w:szCs w:val="20"/>
          <w:lang w:val="es-CO"/>
        </w:rPr>
        <w:t>que la acción penal por homicidio se encontraba prescrita</w:t>
      </w:r>
      <w:r w:rsidR="005D2EF6" w:rsidRPr="00734713">
        <w:rPr>
          <w:rFonts w:ascii="Cambria" w:eastAsia="Times New Roman" w:hAnsi="Cambria"/>
          <w:sz w:val="20"/>
          <w:szCs w:val="20"/>
          <w:lang w:val="es-CO"/>
        </w:rPr>
        <w:t>.</w:t>
      </w:r>
    </w:p>
    <w:p w14:paraId="73E5FD7D" w14:textId="63CB3D49" w:rsidR="00911A2E" w:rsidRDefault="00784FD3" w:rsidP="00113838">
      <w:pPr>
        <w:shd w:val="clear" w:color="auto" w:fill="FFFFFF"/>
        <w:spacing w:after="240"/>
        <w:ind w:firstLine="720"/>
        <w:jc w:val="both"/>
        <w:rPr>
          <w:rFonts w:ascii="Cambria" w:eastAsia="Times New Roman" w:hAnsi="Cambria"/>
          <w:color w:val="222222"/>
          <w:sz w:val="20"/>
          <w:szCs w:val="20"/>
          <w:lang w:val="es-CO"/>
        </w:rPr>
      </w:pPr>
      <w:r>
        <w:rPr>
          <w:rFonts w:ascii="Cambria" w:eastAsia="Times New Roman" w:hAnsi="Cambria"/>
          <w:color w:val="222222"/>
          <w:sz w:val="20"/>
          <w:szCs w:val="20"/>
          <w:lang w:val="es-CO"/>
        </w:rPr>
        <w:lastRenderedPageBreak/>
        <w:t>6</w:t>
      </w:r>
      <w:r w:rsidR="005D2EF6">
        <w:rPr>
          <w:rFonts w:ascii="Cambria" w:eastAsia="Times New Roman" w:hAnsi="Cambria"/>
          <w:color w:val="222222"/>
          <w:sz w:val="20"/>
          <w:szCs w:val="20"/>
          <w:lang w:val="es-CO"/>
        </w:rPr>
        <w:t xml:space="preserve">. </w:t>
      </w:r>
      <w:r w:rsidR="00911A2E">
        <w:rPr>
          <w:rFonts w:ascii="Cambria" w:eastAsia="Times New Roman" w:hAnsi="Cambria"/>
          <w:color w:val="222222"/>
          <w:sz w:val="20"/>
          <w:szCs w:val="20"/>
          <w:lang w:val="es-CO"/>
        </w:rPr>
        <w:tab/>
      </w:r>
      <w:r w:rsidR="005D2EF6" w:rsidRPr="001E22D6">
        <w:rPr>
          <w:rFonts w:ascii="Cambria" w:eastAsia="Times New Roman" w:hAnsi="Cambria"/>
          <w:color w:val="222222"/>
          <w:sz w:val="20"/>
          <w:szCs w:val="20"/>
          <w:lang w:val="es-CO"/>
        </w:rPr>
        <w:t xml:space="preserve">Alega </w:t>
      </w:r>
      <w:r w:rsidR="005D2EF6" w:rsidRPr="001E22D6">
        <w:rPr>
          <w:rFonts w:ascii="Cambria" w:eastAsia="Times New Roman" w:hAnsi="Cambria"/>
          <w:sz w:val="20"/>
          <w:szCs w:val="20"/>
          <w:lang w:val="es-CO"/>
        </w:rPr>
        <w:t>que </w:t>
      </w:r>
      <w:r w:rsidR="005D2EF6" w:rsidRPr="00734713">
        <w:rPr>
          <w:rFonts w:ascii="Cambria" w:eastAsia="Times New Roman" w:hAnsi="Cambria"/>
          <w:sz w:val="20"/>
          <w:szCs w:val="20"/>
          <w:lang w:val="es-CO"/>
        </w:rPr>
        <w:t>a la fecha de pr</w:t>
      </w:r>
      <w:r w:rsidR="005D2EF6" w:rsidRPr="001E22D6">
        <w:rPr>
          <w:rFonts w:ascii="Cambria" w:eastAsia="Times New Roman" w:hAnsi="Cambria"/>
          <w:sz w:val="20"/>
          <w:szCs w:val="20"/>
          <w:lang w:val="es-CO"/>
        </w:rPr>
        <w:t xml:space="preserve">esentación de la petición no </w:t>
      </w:r>
      <w:r w:rsidR="000A69AA">
        <w:rPr>
          <w:rFonts w:ascii="Cambria" w:eastAsia="Times New Roman" w:hAnsi="Cambria"/>
          <w:sz w:val="20"/>
          <w:szCs w:val="20"/>
          <w:lang w:val="es-CO"/>
        </w:rPr>
        <w:t>se ha</w:t>
      </w:r>
      <w:r w:rsidR="00BB2ECA">
        <w:rPr>
          <w:rFonts w:ascii="Cambria" w:eastAsia="Times New Roman" w:hAnsi="Cambria"/>
          <w:sz w:val="20"/>
          <w:szCs w:val="20"/>
          <w:lang w:val="es-CO"/>
        </w:rPr>
        <w:t>n</w:t>
      </w:r>
      <w:r w:rsidR="000A69AA">
        <w:rPr>
          <w:rFonts w:ascii="Cambria" w:eastAsia="Times New Roman" w:hAnsi="Cambria"/>
          <w:sz w:val="20"/>
          <w:szCs w:val="20"/>
          <w:lang w:val="es-CO"/>
        </w:rPr>
        <w:t xml:space="preserve"> investigado </w:t>
      </w:r>
      <w:r w:rsidR="00BB2ECA">
        <w:rPr>
          <w:rFonts w:ascii="Cambria" w:eastAsia="Times New Roman" w:hAnsi="Cambria"/>
          <w:sz w:val="20"/>
          <w:szCs w:val="20"/>
          <w:lang w:val="es-CO"/>
        </w:rPr>
        <w:t>los hechos, incluyendo tortura, ni se ha sancionado a los responsables</w:t>
      </w:r>
      <w:r w:rsidR="000D13D4">
        <w:rPr>
          <w:rFonts w:ascii="Cambria" w:eastAsia="Times New Roman" w:hAnsi="Cambria"/>
          <w:sz w:val="20"/>
          <w:szCs w:val="20"/>
          <w:lang w:val="es-CO"/>
        </w:rPr>
        <w:t>.</w:t>
      </w:r>
      <w:r w:rsidR="000D13D4">
        <w:rPr>
          <w:rFonts w:ascii="Cambria" w:eastAsia="Times New Roman" w:hAnsi="Cambria"/>
          <w:color w:val="222222"/>
          <w:sz w:val="20"/>
          <w:szCs w:val="20"/>
          <w:lang w:val="es-CO"/>
        </w:rPr>
        <w:t xml:space="preserve"> Por otra parte,</w:t>
      </w:r>
      <w:r w:rsidR="005D2EF6">
        <w:rPr>
          <w:rFonts w:ascii="Cambria" w:eastAsia="Times New Roman" w:hAnsi="Cambria"/>
          <w:color w:val="222222"/>
          <w:sz w:val="20"/>
          <w:szCs w:val="20"/>
          <w:lang w:val="es-CO"/>
        </w:rPr>
        <w:t xml:space="preserve"> manifiesta que </w:t>
      </w:r>
      <w:r w:rsidR="000D13D4">
        <w:rPr>
          <w:rFonts w:ascii="Cambria" w:eastAsia="Times New Roman" w:hAnsi="Cambria"/>
          <w:color w:val="222222"/>
          <w:sz w:val="20"/>
          <w:szCs w:val="20"/>
          <w:lang w:val="es-CO"/>
        </w:rPr>
        <w:t xml:space="preserve">el 28 de noviembre de 2011 presentó </w:t>
      </w:r>
      <w:r w:rsidR="005D2EF6">
        <w:rPr>
          <w:rFonts w:ascii="Cambria" w:eastAsia="Times New Roman" w:hAnsi="Cambria"/>
          <w:color w:val="222222"/>
          <w:sz w:val="20"/>
          <w:szCs w:val="20"/>
          <w:lang w:val="es-CO"/>
        </w:rPr>
        <w:t xml:space="preserve">una demanda de reparación directa </w:t>
      </w:r>
      <w:r w:rsidR="000D13D4">
        <w:rPr>
          <w:rFonts w:ascii="Cambria" w:eastAsia="Times New Roman" w:hAnsi="Cambria"/>
          <w:color w:val="222222"/>
          <w:sz w:val="20"/>
          <w:szCs w:val="20"/>
          <w:lang w:val="es-CO"/>
        </w:rPr>
        <w:t xml:space="preserve">y que </w:t>
      </w:r>
      <w:r w:rsidR="0063778B">
        <w:rPr>
          <w:rFonts w:ascii="Cambria" w:eastAsia="Times New Roman" w:hAnsi="Cambria"/>
          <w:color w:val="222222"/>
          <w:sz w:val="20"/>
          <w:szCs w:val="20"/>
          <w:lang w:val="es-CO"/>
        </w:rPr>
        <w:t xml:space="preserve">aún </w:t>
      </w:r>
      <w:r w:rsidR="000D13D4">
        <w:rPr>
          <w:rFonts w:ascii="Cambria" w:eastAsia="Times New Roman" w:hAnsi="Cambria"/>
          <w:color w:val="222222"/>
          <w:sz w:val="20"/>
          <w:szCs w:val="20"/>
          <w:lang w:val="es-CO"/>
        </w:rPr>
        <w:t xml:space="preserve">se encuentra </w:t>
      </w:r>
      <w:r w:rsidR="005D2EF6">
        <w:rPr>
          <w:rFonts w:ascii="Cambria" w:eastAsia="Times New Roman" w:hAnsi="Cambria"/>
          <w:color w:val="222222"/>
          <w:sz w:val="20"/>
          <w:szCs w:val="20"/>
          <w:lang w:val="es-CO"/>
        </w:rPr>
        <w:t>pendiente de fallo</w:t>
      </w:r>
      <w:r w:rsidR="00911A2E">
        <w:rPr>
          <w:rFonts w:ascii="Cambria" w:eastAsia="Times New Roman" w:hAnsi="Cambria"/>
          <w:color w:val="222222"/>
          <w:sz w:val="20"/>
          <w:szCs w:val="20"/>
          <w:lang w:val="es-CO"/>
        </w:rPr>
        <w:t>. C</w:t>
      </w:r>
      <w:r w:rsidR="005D2EF6">
        <w:rPr>
          <w:rFonts w:ascii="Cambria" w:eastAsia="Times New Roman" w:hAnsi="Cambria"/>
          <w:color w:val="222222"/>
          <w:sz w:val="20"/>
          <w:szCs w:val="20"/>
          <w:lang w:val="es-CO"/>
        </w:rPr>
        <w:t xml:space="preserve">oncluye indicando </w:t>
      </w:r>
      <w:r w:rsidR="005D2EF6" w:rsidRPr="001E22D6">
        <w:rPr>
          <w:rFonts w:ascii="Cambria" w:eastAsia="Times New Roman" w:hAnsi="Cambria"/>
          <w:color w:val="222222"/>
          <w:sz w:val="20"/>
          <w:szCs w:val="20"/>
          <w:lang w:val="es-CO"/>
        </w:rPr>
        <w:t>que desde la muerte de A.G.A. sus hijos padecen un profundo sufrimiento el cual ha sid</w:t>
      </w:r>
      <w:r w:rsidR="00E74C83">
        <w:rPr>
          <w:rFonts w:ascii="Cambria" w:eastAsia="Times New Roman" w:hAnsi="Cambria"/>
          <w:color w:val="222222"/>
          <w:sz w:val="20"/>
          <w:szCs w:val="20"/>
          <w:lang w:val="es-CO"/>
        </w:rPr>
        <w:t>o prolongado por más de 18 años</w:t>
      </w:r>
      <w:r w:rsidR="005D2EF6" w:rsidRPr="001E22D6">
        <w:rPr>
          <w:rFonts w:ascii="Cambria" w:eastAsia="Times New Roman" w:hAnsi="Cambria"/>
          <w:color w:val="222222"/>
          <w:sz w:val="20"/>
          <w:szCs w:val="20"/>
          <w:lang w:val="es-CO"/>
        </w:rPr>
        <w:t xml:space="preserve"> por la falta de </w:t>
      </w:r>
      <w:r w:rsidR="00911A2E">
        <w:rPr>
          <w:rFonts w:ascii="Cambria" w:eastAsia="Times New Roman" w:hAnsi="Cambria"/>
          <w:color w:val="222222"/>
          <w:sz w:val="20"/>
          <w:szCs w:val="20"/>
          <w:lang w:val="es-CO"/>
        </w:rPr>
        <w:t>verdad, justicia y reparación</w:t>
      </w:r>
      <w:r w:rsidR="005D2EF6" w:rsidRPr="001E22D6">
        <w:rPr>
          <w:rFonts w:ascii="Cambria" w:eastAsia="Times New Roman" w:hAnsi="Cambria"/>
          <w:color w:val="222222"/>
          <w:sz w:val="20"/>
          <w:szCs w:val="20"/>
          <w:lang w:val="es-CO"/>
        </w:rPr>
        <w:t>.</w:t>
      </w:r>
      <w:r w:rsidR="00911A2E">
        <w:rPr>
          <w:rFonts w:ascii="Cambria" w:eastAsia="Times New Roman" w:hAnsi="Cambria"/>
          <w:color w:val="222222"/>
          <w:sz w:val="20"/>
          <w:szCs w:val="20"/>
          <w:lang w:val="es-CO"/>
        </w:rPr>
        <w:t xml:space="preserve"> </w:t>
      </w:r>
    </w:p>
    <w:p w14:paraId="1C3A9E83" w14:textId="64AA3E57" w:rsidR="00911A2E" w:rsidRDefault="00784FD3" w:rsidP="00113838">
      <w:pPr>
        <w:shd w:val="clear" w:color="auto" w:fill="FFFFFF"/>
        <w:spacing w:after="240"/>
        <w:ind w:firstLine="720"/>
        <w:jc w:val="both"/>
        <w:rPr>
          <w:rFonts w:ascii="Cambria" w:eastAsia="Times New Roman" w:hAnsi="Cambria"/>
          <w:color w:val="222222"/>
          <w:sz w:val="20"/>
          <w:szCs w:val="20"/>
          <w:lang w:val="es-CO"/>
        </w:rPr>
      </w:pPr>
      <w:r>
        <w:rPr>
          <w:rFonts w:ascii="Cambria" w:eastAsia="Times New Roman" w:hAnsi="Cambria"/>
          <w:color w:val="222222"/>
          <w:sz w:val="20"/>
          <w:szCs w:val="20"/>
          <w:lang w:val="es-CO"/>
        </w:rPr>
        <w:t>7</w:t>
      </w:r>
      <w:r w:rsidR="00911A2E">
        <w:rPr>
          <w:rFonts w:ascii="Cambria" w:eastAsia="Times New Roman" w:hAnsi="Cambria"/>
          <w:color w:val="222222"/>
          <w:sz w:val="20"/>
          <w:szCs w:val="20"/>
          <w:lang w:val="es-CO"/>
        </w:rPr>
        <w:t xml:space="preserve">. </w:t>
      </w:r>
      <w:r w:rsidR="00911A2E">
        <w:rPr>
          <w:rFonts w:ascii="Cambria" w:eastAsia="Times New Roman" w:hAnsi="Cambria"/>
          <w:color w:val="222222"/>
          <w:sz w:val="20"/>
          <w:szCs w:val="20"/>
          <w:lang w:val="es-CO"/>
        </w:rPr>
        <w:tab/>
      </w:r>
      <w:r w:rsidR="005D2EF6" w:rsidRPr="001E22D6">
        <w:rPr>
          <w:rFonts w:ascii="Cambria" w:eastAsia="Times New Roman" w:hAnsi="Cambria"/>
          <w:color w:val="222222"/>
          <w:sz w:val="20"/>
          <w:szCs w:val="20"/>
          <w:lang w:val="es-CO"/>
        </w:rPr>
        <w:t>Por su parte</w:t>
      </w:r>
      <w:r w:rsidR="00E74C83">
        <w:rPr>
          <w:rFonts w:ascii="Cambria" w:eastAsia="Times New Roman" w:hAnsi="Cambria"/>
          <w:color w:val="222222"/>
          <w:sz w:val="20"/>
          <w:szCs w:val="20"/>
          <w:lang w:val="es-CO"/>
        </w:rPr>
        <w:t>,</w:t>
      </w:r>
      <w:r w:rsidR="005D2EF6" w:rsidRPr="001E22D6">
        <w:rPr>
          <w:rFonts w:ascii="Cambria" w:eastAsia="Times New Roman" w:hAnsi="Cambria"/>
          <w:color w:val="222222"/>
          <w:sz w:val="20"/>
          <w:szCs w:val="20"/>
          <w:lang w:val="es-CO"/>
        </w:rPr>
        <w:t xml:space="preserve"> el Estado refiere </w:t>
      </w:r>
      <w:r w:rsidR="00E74C83">
        <w:rPr>
          <w:rFonts w:ascii="Cambria" w:eastAsia="Times New Roman" w:hAnsi="Cambria"/>
          <w:color w:val="222222"/>
          <w:sz w:val="20"/>
          <w:szCs w:val="20"/>
          <w:lang w:val="es-CO"/>
        </w:rPr>
        <w:t xml:space="preserve">que </w:t>
      </w:r>
      <w:r w:rsidR="005D2EF6" w:rsidRPr="001E22D6">
        <w:rPr>
          <w:rFonts w:ascii="Cambria" w:eastAsia="Times New Roman" w:hAnsi="Cambria"/>
          <w:color w:val="222222"/>
          <w:sz w:val="20"/>
          <w:szCs w:val="20"/>
          <w:lang w:val="es-CO"/>
        </w:rPr>
        <w:t>el contexto señalado por el peticion</w:t>
      </w:r>
      <w:r w:rsidR="005D2EF6">
        <w:rPr>
          <w:rFonts w:ascii="Cambria" w:eastAsia="Times New Roman" w:hAnsi="Cambria"/>
          <w:color w:val="222222"/>
          <w:sz w:val="20"/>
          <w:szCs w:val="20"/>
          <w:lang w:val="es-CO"/>
        </w:rPr>
        <w:t>ario</w:t>
      </w:r>
      <w:r w:rsidR="005D2EF6" w:rsidRPr="001E22D6">
        <w:rPr>
          <w:rFonts w:ascii="Cambria" w:eastAsia="Times New Roman" w:hAnsi="Cambria"/>
          <w:color w:val="222222"/>
          <w:sz w:val="20"/>
          <w:szCs w:val="20"/>
          <w:lang w:val="es-CO"/>
        </w:rPr>
        <w:t xml:space="preserve"> no deriva en </w:t>
      </w:r>
      <w:r w:rsidR="00D017E2">
        <w:rPr>
          <w:rFonts w:ascii="Cambria" w:eastAsia="Times New Roman" w:hAnsi="Cambria"/>
          <w:color w:val="222222"/>
          <w:sz w:val="20"/>
          <w:szCs w:val="20"/>
          <w:lang w:val="es-CO"/>
        </w:rPr>
        <w:t>su</w:t>
      </w:r>
      <w:r w:rsidR="005D2EF6" w:rsidRPr="001E22D6">
        <w:rPr>
          <w:rFonts w:ascii="Cambria" w:eastAsia="Times New Roman" w:hAnsi="Cambria"/>
          <w:color w:val="222222"/>
          <w:sz w:val="20"/>
          <w:szCs w:val="20"/>
          <w:lang w:val="es-CO"/>
        </w:rPr>
        <w:t xml:space="preserve"> responsabilidad internacion</w:t>
      </w:r>
      <w:r w:rsidR="005D2EF6">
        <w:rPr>
          <w:rFonts w:ascii="Cambria" w:eastAsia="Times New Roman" w:hAnsi="Cambria"/>
          <w:color w:val="222222"/>
          <w:sz w:val="20"/>
          <w:szCs w:val="20"/>
          <w:lang w:val="es-CO"/>
        </w:rPr>
        <w:t>al</w:t>
      </w:r>
      <w:r w:rsidR="00911A2E">
        <w:rPr>
          <w:rFonts w:ascii="Cambria" w:eastAsia="Times New Roman" w:hAnsi="Cambria"/>
          <w:color w:val="222222"/>
          <w:sz w:val="20"/>
          <w:szCs w:val="20"/>
          <w:lang w:val="es-CO"/>
        </w:rPr>
        <w:t>. Asimismo sostiene que no</w:t>
      </w:r>
      <w:r w:rsidR="005D2EF6">
        <w:rPr>
          <w:rFonts w:ascii="Cambria" w:eastAsia="Times New Roman" w:hAnsi="Cambria"/>
          <w:color w:val="222222"/>
          <w:sz w:val="20"/>
          <w:szCs w:val="20"/>
          <w:lang w:val="es-CO"/>
        </w:rPr>
        <w:t xml:space="preserve"> se configura la </w:t>
      </w:r>
      <w:r w:rsidR="005D2EF6" w:rsidRPr="001E22D6">
        <w:rPr>
          <w:rFonts w:ascii="Cambria" w:eastAsia="Times New Roman" w:hAnsi="Cambria"/>
          <w:color w:val="222222"/>
          <w:sz w:val="20"/>
          <w:szCs w:val="20"/>
          <w:lang w:val="es-CO"/>
        </w:rPr>
        <w:t xml:space="preserve">responsabilidad directa </w:t>
      </w:r>
      <w:r w:rsidR="005D2EF6">
        <w:rPr>
          <w:rFonts w:ascii="Cambria" w:eastAsia="Times New Roman" w:hAnsi="Cambria"/>
          <w:color w:val="222222"/>
          <w:sz w:val="20"/>
          <w:szCs w:val="20"/>
          <w:lang w:val="es-CO"/>
        </w:rPr>
        <w:t>e</w:t>
      </w:r>
      <w:r w:rsidR="005D2EF6" w:rsidRPr="001E22D6">
        <w:rPr>
          <w:rFonts w:ascii="Cambria" w:eastAsia="Times New Roman" w:hAnsi="Cambria"/>
          <w:color w:val="222222"/>
          <w:sz w:val="20"/>
          <w:szCs w:val="20"/>
          <w:lang w:val="es-CO"/>
        </w:rPr>
        <w:t xml:space="preserve"> indirecta  en la medida </w:t>
      </w:r>
      <w:r w:rsidR="005D2EF6">
        <w:rPr>
          <w:rFonts w:ascii="Cambria" w:eastAsia="Times New Roman" w:hAnsi="Cambria"/>
          <w:color w:val="222222"/>
          <w:sz w:val="20"/>
          <w:szCs w:val="20"/>
          <w:lang w:val="es-CO"/>
        </w:rPr>
        <w:t xml:space="preserve">en </w:t>
      </w:r>
      <w:r w:rsidR="005D2EF6" w:rsidRPr="001E22D6">
        <w:rPr>
          <w:rFonts w:ascii="Cambria" w:eastAsia="Times New Roman" w:hAnsi="Cambria"/>
          <w:color w:val="222222"/>
          <w:sz w:val="20"/>
          <w:szCs w:val="20"/>
          <w:lang w:val="es-CO"/>
        </w:rPr>
        <w:t>que los hechos no fueron cometidos por age</w:t>
      </w:r>
      <w:r w:rsidR="00E74C83">
        <w:rPr>
          <w:rFonts w:ascii="Cambria" w:eastAsia="Times New Roman" w:hAnsi="Cambria"/>
          <w:color w:val="222222"/>
          <w:sz w:val="20"/>
          <w:szCs w:val="20"/>
          <w:lang w:val="es-CO"/>
        </w:rPr>
        <w:t>ntes</w:t>
      </w:r>
      <w:r w:rsidR="005D2EF6" w:rsidRPr="001E22D6">
        <w:rPr>
          <w:rFonts w:ascii="Cambria" w:eastAsia="Times New Roman" w:hAnsi="Cambria"/>
          <w:color w:val="222222"/>
          <w:sz w:val="20"/>
          <w:szCs w:val="20"/>
          <w:lang w:val="es-CO"/>
        </w:rPr>
        <w:t xml:space="preserve"> estatales, ni </w:t>
      </w:r>
      <w:r w:rsidR="005D2EF6">
        <w:rPr>
          <w:rFonts w:ascii="Cambria" w:eastAsia="Times New Roman" w:hAnsi="Cambria"/>
          <w:color w:val="222222"/>
          <w:sz w:val="20"/>
          <w:szCs w:val="20"/>
          <w:lang w:val="es-CO"/>
        </w:rPr>
        <w:t>se omitió</w:t>
      </w:r>
      <w:r w:rsidR="005D2EF6" w:rsidRPr="001E22D6">
        <w:rPr>
          <w:rFonts w:ascii="Cambria" w:eastAsia="Times New Roman" w:hAnsi="Cambria"/>
          <w:color w:val="222222"/>
          <w:sz w:val="20"/>
          <w:szCs w:val="20"/>
          <w:lang w:val="es-CO"/>
        </w:rPr>
        <w:t xml:space="preserve"> la debida diligencia para prevenir la violencia o para tratarla en los términos de la Convención</w:t>
      </w:r>
      <w:r w:rsidR="00E74C83">
        <w:rPr>
          <w:rFonts w:ascii="Cambria" w:eastAsia="Times New Roman" w:hAnsi="Cambria"/>
          <w:color w:val="222222"/>
          <w:sz w:val="20"/>
          <w:szCs w:val="20"/>
          <w:lang w:val="es-CO"/>
        </w:rPr>
        <w:t>. Lo anterior debido a</w:t>
      </w:r>
      <w:r w:rsidR="000D13D4">
        <w:rPr>
          <w:rFonts w:ascii="Cambria" w:eastAsia="Times New Roman" w:hAnsi="Cambria"/>
          <w:color w:val="222222"/>
          <w:sz w:val="20"/>
          <w:szCs w:val="20"/>
          <w:lang w:val="es-CO"/>
        </w:rPr>
        <w:t xml:space="preserve"> que las autoridades no </w:t>
      </w:r>
      <w:r w:rsidR="005D2EF6">
        <w:rPr>
          <w:rFonts w:ascii="Cambria" w:eastAsia="Times New Roman" w:hAnsi="Cambria"/>
          <w:color w:val="222222"/>
          <w:sz w:val="20"/>
          <w:szCs w:val="20"/>
          <w:lang w:val="es-CO"/>
        </w:rPr>
        <w:t>conocía</w:t>
      </w:r>
      <w:r w:rsidR="000D13D4">
        <w:rPr>
          <w:rFonts w:ascii="Cambria" w:eastAsia="Times New Roman" w:hAnsi="Cambria"/>
          <w:color w:val="222222"/>
          <w:sz w:val="20"/>
          <w:szCs w:val="20"/>
          <w:lang w:val="es-CO"/>
        </w:rPr>
        <w:t>n</w:t>
      </w:r>
      <w:r w:rsidR="005D2EF6">
        <w:rPr>
          <w:rFonts w:ascii="Cambria" w:eastAsia="Times New Roman" w:hAnsi="Cambria"/>
          <w:color w:val="222222"/>
          <w:sz w:val="20"/>
          <w:szCs w:val="20"/>
          <w:lang w:val="es-CO"/>
        </w:rPr>
        <w:t xml:space="preserve"> de situaciones que pudieran poner en riesgo la vida y la integridad de A.G.A.</w:t>
      </w:r>
    </w:p>
    <w:p w14:paraId="7C55D6E1" w14:textId="4BACF247" w:rsidR="00911A2E" w:rsidRDefault="00784FD3" w:rsidP="00113838">
      <w:pPr>
        <w:shd w:val="clear" w:color="auto" w:fill="FFFFFF"/>
        <w:spacing w:after="240"/>
        <w:ind w:firstLine="720"/>
        <w:jc w:val="both"/>
        <w:rPr>
          <w:rFonts w:ascii="Cambria" w:eastAsia="Times New Roman" w:hAnsi="Cambria"/>
          <w:color w:val="222222"/>
          <w:sz w:val="20"/>
          <w:szCs w:val="20"/>
          <w:lang w:val="es-CO"/>
        </w:rPr>
      </w:pPr>
      <w:r>
        <w:rPr>
          <w:rFonts w:ascii="Cambria" w:eastAsia="Times New Roman" w:hAnsi="Cambria"/>
          <w:color w:val="222222"/>
          <w:sz w:val="20"/>
          <w:szCs w:val="20"/>
          <w:lang w:val="es-CO"/>
        </w:rPr>
        <w:t>8</w:t>
      </w:r>
      <w:r w:rsidR="00911A2E">
        <w:rPr>
          <w:rFonts w:ascii="Cambria" w:eastAsia="Times New Roman" w:hAnsi="Cambria"/>
          <w:color w:val="222222"/>
          <w:sz w:val="20"/>
          <w:szCs w:val="20"/>
          <w:lang w:val="es-CO"/>
        </w:rPr>
        <w:t xml:space="preserve">. </w:t>
      </w:r>
      <w:r w:rsidR="00911A2E">
        <w:rPr>
          <w:rFonts w:ascii="Cambria" w:eastAsia="Times New Roman" w:hAnsi="Cambria"/>
          <w:color w:val="222222"/>
          <w:sz w:val="20"/>
          <w:szCs w:val="20"/>
          <w:lang w:val="es-CO"/>
        </w:rPr>
        <w:tab/>
      </w:r>
      <w:r w:rsidR="005D2EF6" w:rsidRPr="009B2E4D">
        <w:rPr>
          <w:rFonts w:ascii="Cambria" w:eastAsia="Times New Roman" w:hAnsi="Cambria"/>
          <w:color w:val="000000"/>
          <w:sz w:val="20"/>
          <w:szCs w:val="20"/>
          <w:lang w:val="es-CO"/>
        </w:rPr>
        <w:t>Alega la falta de competencia </w:t>
      </w:r>
      <w:r w:rsidR="005D2EF6" w:rsidRPr="009B2E4D">
        <w:rPr>
          <w:rFonts w:ascii="Cambria" w:eastAsia="Times New Roman" w:hAnsi="Cambria"/>
          <w:i/>
          <w:iCs/>
          <w:color w:val="000000"/>
          <w:sz w:val="20"/>
          <w:szCs w:val="20"/>
          <w:lang w:val="es-CO"/>
        </w:rPr>
        <w:t xml:space="preserve">ratio </w:t>
      </w:r>
      <w:proofErr w:type="spellStart"/>
      <w:r w:rsidR="005D2EF6" w:rsidRPr="009B2E4D">
        <w:rPr>
          <w:rFonts w:ascii="Cambria" w:eastAsia="Times New Roman" w:hAnsi="Cambria"/>
          <w:i/>
          <w:iCs/>
          <w:color w:val="000000"/>
          <w:sz w:val="20"/>
          <w:szCs w:val="20"/>
          <w:lang w:val="es-CO"/>
        </w:rPr>
        <w:t>materiae</w:t>
      </w:r>
      <w:proofErr w:type="spellEnd"/>
      <w:r w:rsidR="005D2EF6" w:rsidRPr="009B2E4D">
        <w:rPr>
          <w:rFonts w:ascii="Cambria" w:eastAsia="Times New Roman" w:hAnsi="Cambria"/>
          <w:color w:val="000000"/>
          <w:sz w:val="20"/>
          <w:szCs w:val="20"/>
          <w:lang w:val="es-CO"/>
        </w:rPr>
        <w:t> de la Comisión, respecto a la Declaración Americana de los Derechos y Deberes del Hombre, la Declaración Universal de los Derechos Humanos y el Pacto Internacional de los Derechos Civiles y Políticos. Asimismo infiere la falta de competencia </w:t>
      </w:r>
      <w:proofErr w:type="spellStart"/>
      <w:r w:rsidR="005D2EF6" w:rsidRPr="009B2E4D">
        <w:rPr>
          <w:rFonts w:ascii="Cambria" w:eastAsia="Times New Roman" w:hAnsi="Cambria"/>
          <w:i/>
          <w:iCs/>
          <w:color w:val="000000"/>
          <w:sz w:val="20"/>
          <w:szCs w:val="20"/>
          <w:lang w:val="es-CO"/>
        </w:rPr>
        <w:t>ratione</w:t>
      </w:r>
      <w:proofErr w:type="spellEnd"/>
      <w:r w:rsidR="005D2EF6" w:rsidRPr="009B2E4D">
        <w:rPr>
          <w:rFonts w:ascii="Cambria" w:eastAsia="Times New Roman" w:hAnsi="Cambria"/>
          <w:i/>
          <w:iCs/>
          <w:color w:val="000000"/>
          <w:sz w:val="20"/>
          <w:szCs w:val="20"/>
          <w:lang w:val="es-CO"/>
        </w:rPr>
        <w:t xml:space="preserve"> </w:t>
      </w:r>
      <w:proofErr w:type="spellStart"/>
      <w:r w:rsidR="005D2EF6" w:rsidRPr="009B2E4D">
        <w:rPr>
          <w:rFonts w:ascii="Cambria" w:eastAsia="Times New Roman" w:hAnsi="Cambria"/>
          <w:i/>
          <w:iCs/>
          <w:color w:val="000000"/>
          <w:sz w:val="20"/>
          <w:szCs w:val="20"/>
          <w:lang w:val="es-CO"/>
        </w:rPr>
        <w:t>temporis</w:t>
      </w:r>
      <w:proofErr w:type="spellEnd"/>
      <w:r w:rsidR="005D2EF6" w:rsidRPr="009B2E4D">
        <w:rPr>
          <w:rFonts w:ascii="Cambria" w:eastAsia="Times New Roman" w:hAnsi="Cambria"/>
          <w:i/>
          <w:iCs/>
          <w:color w:val="000000"/>
          <w:sz w:val="20"/>
          <w:szCs w:val="20"/>
          <w:lang w:val="es-CO"/>
        </w:rPr>
        <w:t> </w:t>
      </w:r>
      <w:r w:rsidR="005D2EF6" w:rsidRPr="009B2E4D">
        <w:rPr>
          <w:rFonts w:ascii="Cambria" w:eastAsia="Times New Roman" w:hAnsi="Cambria"/>
          <w:color w:val="000000"/>
          <w:sz w:val="20"/>
          <w:szCs w:val="20"/>
          <w:lang w:val="es-CO"/>
        </w:rPr>
        <w:t>con relación a la alegada violación de la Convención Interamericana para Prevenir y Sancionar la Tortura y la Convención Interamericana sobre la Desaparición Forzada de Personas, toda vez que las fechas de depósitos de instrumentos de ratificación son posteriores al momento en que ocurrieron los hechos.</w:t>
      </w:r>
    </w:p>
    <w:p w14:paraId="23EC569B" w14:textId="5E7BBA99" w:rsidR="00911A2E" w:rsidRDefault="00784FD3" w:rsidP="00113838">
      <w:pPr>
        <w:shd w:val="clear" w:color="auto" w:fill="FFFFFF"/>
        <w:spacing w:after="240"/>
        <w:ind w:firstLine="720"/>
        <w:jc w:val="both"/>
        <w:rPr>
          <w:rFonts w:ascii="Cambria" w:eastAsia="Times New Roman" w:hAnsi="Cambria"/>
          <w:color w:val="000000"/>
          <w:sz w:val="20"/>
          <w:szCs w:val="20"/>
          <w:lang w:val="es-CO"/>
        </w:rPr>
      </w:pPr>
      <w:r>
        <w:rPr>
          <w:rFonts w:ascii="Cambria" w:eastAsia="Times New Roman" w:hAnsi="Cambria"/>
          <w:color w:val="222222"/>
          <w:sz w:val="20"/>
          <w:szCs w:val="20"/>
          <w:lang w:val="es-CO"/>
        </w:rPr>
        <w:t>9</w:t>
      </w:r>
      <w:r w:rsidR="00911A2E">
        <w:rPr>
          <w:rFonts w:ascii="Cambria" w:eastAsia="Times New Roman" w:hAnsi="Cambria"/>
          <w:color w:val="222222"/>
          <w:sz w:val="20"/>
          <w:szCs w:val="20"/>
          <w:lang w:val="es-CO"/>
        </w:rPr>
        <w:t xml:space="preserve">. </w:t>
      </w:r>
      <w:r w:rsidR="00911A2E">
        <w:rPr>
          <w:rFonts w:ascii="Cambria" w:eastAsia="Times New Roman" w:hAnsi="Cambria"/>
          <w:color w:val="222222"/>
          <w:sz w:val="20"/>
          <w:szCs w:val="20"/>
          <w:lang w:val="es-CO"/>
        </w:rPr>
        <w:tab/>
      </w:r>
      <w:r w:rsidR="005D2EF6" w:rsidRPr="009B2E4D">
        <w:rPr>
          <w:rFonts w:ascii="Cambria" w:eastAsia="Times New Roman" w:hAnsi="Cambria"/>
          <w:color w:val="000000"/>
          <w:sz w:val="20"/>
          <w:szCs w:val="20"/>
          <w:lang w:val="es-CO"/>
        </w:rPr>
        <w:t xml:space="preserve">Arguye </w:t>
      </w:r>
      <w:r w:rsidR="003E3691">
        <w:rPr>
          <w:rFonts w:ascii="Cambria" w:eastAsia="Times New Roman" w:hAnsi="Cambria"/>
          <w:color w:val="000000"/>
          <w:sz w:val="20"/>
          <w:szCs w:val="20"/>
          <w:lang w:val="es-CO"/>
        </w:rPr>
        <w:t xml:space="preserve">que </w:t>
      </w:r>
      <w:r w:rsidR="005D2EF6" w:rsidRPr="009B2E4D">
        <w:rPr>
          <w:rFonts w:ascii="Cambria" w:eastAsia="Times New Roman" w:hAnsi="Cambria"/>
          <w:color w:val="000000"/>
          <w:sz w:val="20"/>
          <w:szCs w:val="20"/>
          <w:lang w:val="es-CO"/>
        </w:rPr>
        <w:t>la petición</w:t>
      </w:r>
      <w:r w:rsidR="003E3691">
        <w:rPr>
          <w:rFonts w:ascii="Cambria" w:eastAsia="Times New Roman" w:hAnsi="Cambria"/>
          <w:color w:val="000000"/>
          <w:sz w:val="20"/>
          <w:szCs w:val="20"/>
          <w:lang w:val="es-CO"/>
        </w:rPr>
        <w:t xml:space="preserve"> es extemporánea pues fue presentada el </w:t>
      </w:r>
      <w:r w:rsidR="003E3691" w:rsidRPr="009B2E4D">
        <w:rPr>
          <w:rFonts w:ascii="Cambria" w:eastAsia="Times New Roman" w:hAnsi="Cambria"/>
          <w:color w:val="000000"/>
          <w:sz w:val="20"/>
          <w:szCs w:val="20"/>
          <w:lang w:val="es-CO"/>
        </w:rPr>
        <w:t>21 de diciembre de 2007</w:t>
      </w:r>
      <w:r w:rsidR="003E3691">
        <w:rPr>
          <w:rFonts w:ascii="Cambria" w:eastAsia="Times New Roman" w:hAnsi="Cambria"/>
          <w:color w:val="000000"/>
          <w:sz w:val="20"/>
          <w:szCs w:val="20"/>
          <w:lang w:val="es-CO"/>
        </w:rPr>
        <w:t xml:space="preserve"> y </w:t>
      </w:r>
      <w:r w:rsidR="00336D04">
        <w:rPr>
          <w:rFonts w:ascii="Cambria" w:eastAsia="Times New Roman" w:hAnsi="Cambria"/>
          <w:color w:val="000000"/>
          <w:sz w:val="20"/>
          <w:szCs w:val="20"/>
          <w:lang w:val="es-CO"/>
        </w:rPr>
        <w:t xml:space="preserve"> los hechos ocurrieron el 4</w:t>
      </w:r>
      <w:r w:rsidR="005D2EF6" w:rsidRPr="009B2E4D">
        <w:rPr>
          <w:rFonts w:ascii="Cambria" w:eastAsia="Times New Roman" w:hAnsi="Cambria"/>
          <w:color w:val="000000"/>
          <w:sz w:val="20"/>
          <w:szCs w:val="20"/>
          <w:lang w:val="es-CO"/>
        </w:rPr>
        <w:t xml:space="preserve"> de octubre de 1988</w:t>
      </w:r>
      <w:r w:rsidR="003E3691">
        <w:rPr>
          <w:rFonts w:ascii="Cambria" w:eastAsia="Times New Roman" w:hAnsi="Cambria"/>
          <w:color w:val="000000"/>
          <w:sz w:val="20"/>
          <w:szCs w:val="20"/>
          <w:lang w:val="es-CO"/>
        </w:rPr>
        <w:t>. S</w:t>
      </w:r>
      <w:r w:rsidR="005D2EF6" w:rsidRPr="009B2E4D">
        <w:rPr>
          <w:rFonts w:ascii="Cambria" w:eastAsia="Times New Roman" w:hAnsi="Cambria"/>
          <w:color w:val="000000"/>
          <w:sz w:val="20"/>
          <w:szCs w:val="20"/>
          <w:lang w:val="es-CO"/>
        </w:rPr>
        <w:t xml:space="preserve">ostiene que el peticionario no ha presentado alegatos suficientes que permitan demostrar que ese lapso de tiempo </w:t>
      </w:r>
      <w:r w:rsidR="00141A33">
        <w:rPr>
          <w:rFonts w:ascii="Cambria" w:eastAsia="Times New Roman" w:hAnsi="Cambria"/>
          <w:color w:val="000000"/>
          <w:sz w:val="20"/>
          <w:szCs w:val="20"/>
          <w:lang w:val="es-CO"/>
        </w:rPr>
        <w:t>es</w:t>
      </w:r>
      <w:r w:rsidR="005D2EF6" w:rsidRPr="009B2E4D">
        <w:rPr>
          <w:rFonts w:ascii="Cambria" w:eastAsia="Times New Roman" w:hAnsi="Cambria"/>
          <w:color w:val="000000"/>
          <w:sz w:val="20"/>
          <w:szCs w:val="20"/>
          <w:lang w:val="es-CO"/>
        </w:rPr>
        <w:t xml:space="preserve"> razonable para acudir al sistema interamericano</w:t>
      </w:r>
      <w:r w:rsidR="00141A33">
        <w:rPr>
          <w:rFonts w:ascii="Cambria" w:eastAsia="Times New Roman" w:hAnsi="Cambria"/>
          <w:color w:val="000000"/>
          <w:sz w:val="20"/>
          <w:szCs w:val="20"/>
          <w:lang w:val="es-CO"/>
        </w:rPr>
        <w:t xml:space="preserve">. Afirma además que </w:t>
      </w:r>
      <w:r w:rsidR="005D2EF6" w:rsidRPr="009B2E4D">
        <w:rPr>
          <w:rFonts w:ascii="Cambria" w:eastAsia="Times New Roman" w:hAnsi="Cambria"/>
          <w:color w:val="000000"/>
          <w:sz w:val="20"/>
          <w:szCs w:val="20"/>
          <w:lang w:val="es-CO"/>
        </w:rPr>
        <w:t>tras resultados</w:t>
      </w:r>
      <w:r w:rsidR="00141A33">
        <w:rPr>
          <w:rFonts w:ascii="Cambria" w:eastAsia="Times New Roman" w:hAnsi="Cambria"/>
          <w:color w:val="000000"/>
          <w:sz w:val="20"/>
          <w:szCs w:val="20"/>
          <w:lang w:val="es-CO"/>
        </w:rPr>
        <w:t xml:space="preserve"> los</w:t>
      </w:r>
      <w:r w:rsidR="005D2EF6" w:rsidRPr="009B2E4D">
        <w:rPr>
          <w:rFonts w:ascii="Cambria" w:eastAsia="Times New Roman" w:hAnsi="Cambria"/>
          <w:color w:val="000000"/>
          <w:sz w:val="20"/>
          <w:szCs w:val="20"/>
          <w:lang w:val="es-CO"/>
        </w:rPr>
        <w:t xml:space="preserve"> </w:t>
      </w:r>
      <w:r w:rsidR="00141A33">
        <w:rPr>
          <w:rFonts w:ascii="Cambria" w:eastAsia="Times New Roman" w:hAnsi="Cambria"/>
          <w:color w:val="000000"/>
          <w:sz w:val="20"/>
          <w:szCs w:val="20"/>
          <w:lang w:val="es-CO"/>
        </w:rPr>
        <w:t xml:space="preserve">resultados </w:t>
      </w:r>
      <w:r w:rsidR="005D2EF6" w:rsidRPr="009B2E4D">
        <w:rPr>
          <w:rFonts w:ascii="Cambria" w:eastAsia="Times New Roman" w:hAnsi="Cambria"/>
          <w:color w:val="000000"/>
          <w:sz w:val="20"/>
          <w:szCs w:val="20"/>
          <w:lang w:val="es-CO"/>
        </w:rPr>
        <w:t xml:space="preserve">adversos </w:t>
      </w:r>
      <w:r w:rsidR="00141A33">
        <w:rPr>
          <w:rFonts w:ascii="Cambria" w:eastAsia="Times New Roman" w:hAnsi="Cambria"/>
          <w:color w:val="000000"/>
          <w:sz w:val="20"/>
          <w:szCs w:val="20"/>
          <w:lang w:val="es-CO"/>
        </w:rPr>
        <w:t xml:space="preserve">en la investigación, se pretende que </w:t>
      </w:r>
      <w:r w:rsidR="005D2EF6" w:rsidRPr="009B2E4D">
        <w:rPr>
          <w:rFonts w:ascii="Cambria" w:eastAsia="Times New Roman" w:hAnsi="Cambria"/>
          <w:color w:val="000000"/>
          <w:sz w:val="20"/>
          <w:szCs w:val="20"/>
          <w:lang w:val="es-CO"/>
        </w:rPr>
        <w:t>la Comisión actúe como un órgano de cuarta instancia.</w:t>
      </w:r>
    </w:p>
    <w:p w14:paraId="576F14BA" w14:textId="175650CB" w:rsidR="005D2EF6" w:rsidRDefault="00911A2E" w:rsidP="00113838">
      <w:pPr>
        <w:shd w:val="clear" w:color="auto" w:fill="FFFFFF"/>
        <w:spacing w:after="240"/>
        <w:ind w:firstLine="720"/>
        <w:jc w:val="both"/>
        <w:rPr>
          <w:rFonts w:ascii="Cambria" w:eastAsia="Times New Roman" w:hAnsi="Cambria"/>
          <w:color w:val="000000"/>
          <w:sz w:val="20"/>
          <w:szCs w:val="20"/>
          <w:lang w:val="es-CO"/>
        </w:rPr>
      </w:pPr>
      <w:r>
        <w:rPr>
          <w:rFonts w:ascii="Cambria" w:eastAsia="Times New Roman" w:hAnsi="Cambria"/>
          <w:color w:val="000000"/>
          <w:sz w:val="20"/>
          <w:szCs w:val="20"/>
          <w:lang w:val="es-CO"/>
        </w:rPr>
        <w:t>1</w:t>
      </w:r>
      <w:r w:rsidR="00784FD3">
        <w:rPr>
          <w:rFonts w:ascii="Cambria" w:eastAsia="Times New Roman" w:hAnsi="Cambria"/>
          <w:color w:val="000000"/>
          <w:sz w:val="20"/>
          <w:szCs w:val="20"/>
          <w:lang w:val="es-CO"/>
        </w:rPr>
        <w:t>0</w:t>
      </w:r>
      <w:r>
        <w:rPr>
          <w:rFonts w:ascii="Cambria" w:eastAsia="Times New Roman" w:hAnsi="Cambria"/>
          <w:color w:val="000000"/>
          <w:sz w:val="20"/>
          <w:szCs w:val="20"/>
          <w:lang w:val="es-CO"/>
        </w:rPr>
        <w:t xml:space="preserve">. </w:t>
      </w:r>
      <w:r>
        <w:rPr>
          <w:rFonts w:ascii="Cambria" w:eastAsia="Times New Roman" w:hAnsi="Cambria"/>
          <w:color w:val="000000"/>
          <w:sz w:val="20"/>
          <w:szCs w:val="20"/>
          <w:lang w:val="es-CO"/>
        </w:rPr>
        <w:tab/>
      </w:r>
      <w:r w:rsidR="00141A33">
        <w:rPr>
          <w:rFonts w:ascii="Cambria" w:eastAsia="Times New Roman" w:hAnsi="Cambria"/>
          <w:color w:val="000000"/>
          <w:sz w:val="20"/>
          <w:szCs w:val="20"/>
          <w:lang w:val="es-CO"/>
        </w:rPr>
        <w:t>A</w:t>
      </w:r>
      <w:r w:rsidR="005D2EF6" w:rsidRPr="009B2E4D">
        <w:rPr>
          <w:rFonts w:ascii="Cambria" w:eastAsia="Times New Roman" w:hAnsi="Cambria"/>
          <w:color w:val="000000"/>
          <w:sz w:val="20"/>
          <w:szCs w:val="20"/>
          <w:lang w:val="es-CO"/>
        </w:rPr>
        <w:t>lega que no se ha</w:t>
      </w:r>
      <w:r w:rsidR="00141A33">
        <w:rPr>
          <w:rFonts w:ascii="Cambria" w:eastAsia="Times New Roman" w:hAnsi="Cambria"/>
          <w:color w:val="000000"/>
          <w:sz w:val="20"/>
          <w:szCs w:val="20"/>
          <w:lang w:val="es-CO"/>
        </w:rPr>
        <w:t>n</w:t>
      </w:r>
      <w:r w:rsidR="005D2EF6" w:rsidRPr="009B2E4D">
        <w:rPr>
          <w:rFonts w:ascii="Cambria" w:eastAsia="Times New Roman" w:hAnsi="Cambria"/>
          <w:color w:val="000000"/>
          <w:sz w:val="20"/>
          <w:szCs w:val="20"/>
          <w:lang w:val="es-CO"/>
        </w:rPr>
        <w:t xml:space="preserve"> agotado </w:t>
      </w:r>
      <w:r w:rsidR="00141A33">
        <w:rPr>
          <w:rFonts w:ascii="Cambria" w:eastAsia="Times New Roman" w:hAnsi="Cambria"/>
          <w:color w:val="000000"/>
          <w:sz w:val="20"/>
          <w:szCs w:val="20"/>
          <w:lang w:val="es-CO"/>
        </w:rPr>
        <w:t>los recursos internos, pues el proceso iniciado</w:t>
      </w:r>
      <w:r w:rsidR="005D2EF6" w:rsidRPr="009B2E4D">
        <w:rPr>
          <w:rFonts w:ascii="Cambria" w:eastAsia="Times New Roman" w:hAnsi="Cambria"/>
          <w:color w:val="000000"/>
          <w:sz w:val="20"/>
          <w:szCs w:val="20"/>
          <w:lang w:val="es-CO"/>
        </w:rPr>
        <w:t xml:space="preserve"> ante la jurisdicción administrativa, idóneo para lograr la reparación civil</w:t>
      </w:r>
      <w:r w:rsidR="00141A33">
        <w:rPr>
          <w:rFonts w:ascii="Cambria" w:eastAsia="Times New Roman" w:hAnsi="Cambria"/>
          <w:color w:val="000000"/>
          <w:sz w:val="20"/>
          <w:szCs w:val="20"/>
          <w:lang w:val="es-CO"/>
        </w:rPr>
        <w:t xml:space="preserve">, se encuentra pendiente de resolución. </w:t>
      </w:r>
      <w:r w:rsidR="008A7486" w:rsidRPr="009B2E4D">
        <w:rPr>
          <w:rFonts w:ascii="Cambria" w:eastAsia="Times New Roman" w:hAnsi="Cambria"/>
          <w:color w:val="000000"/>
          <w:sz w:val="20"/>
          <w:szCs w:val="20"/>
          <w:lang w:val="es-CO"/>
        </w:rPr>
        <w:t>Finalmente</w:t>
      </w:r>
      <w:r w:rsidR="008A7486">
        <w:rPr>
          <w:rFonts w:ascii="Cambria" w:eastAsia="Times New Roman" w:hAnsi="Cambria"/>
          <w:color w:val="000000"/>
          <w:sz w:val="20"/>
          <w:szCs w:val="20"/>
          <w:lang w:val="es-CO"/>
        </w:rPr>
        <w:t xml:space="preserve"> sostiene que </w:t>
      </w:r>
      <w:r w:rsidR="005D2EF6" w:rsidRPr="009B2E4D">
        <w:rPr>
          <w:rFonts w:ascii="Cambria" w:eastAsia="Times New Roman" w:hAnsi="Cambria"/>
          <w:color w:val="000000"/>
          <w:sz w:val="20"/>
          <w:szCs w:val="20"/>
          <w:lang w:val="es-CO"/>
        </w:rPr>
        <w:t>los hechos no tien</w:t>
      </w:r>
      <w:r w:rsidR="008A7486">
        <w:rPr>
          <w:rFonts w:ascii="Cambria" w:eastAsia="Times New Roman" w:hAnsi="Cambria"/>
          <w:color w:val="000000"/>
          <w:sz w:val="20"/>
          <w:szCs w:val="20"/>
          <w:lang w:val="es-CO"/>
        </w:rPr>
        <w:t>d</w:t>
      </w:r>
      <w:r w:rsidR="005D2EF6" w:rsidRPr="009B2E4D">
        <w:rPr>
          <w:rFonts w:ascii="Cambria" w:eastAsia="Times New Roman" w:hAnsi="Cambria"/>
          <w:color w:val="000000"/>
          <w:sz w:val="20"/>
          <w:szCs w:val="20"/>
          <w:lang w:val="es-CO"/>
        </w:rPr>
        <w:t>en a caracterizar una violación a los derechos consagrados en la Convención</w:t>
      </w:r>
      <w:r w:rsidR="00636841">
        <w:rPr>
          <w:rFonts w:ascii="Cambria" w:eastAsia="Times New Roman" w:hAnsi="Cambria"/>
          <w:color w:val="000000"/>
          <w:sz w:val="20"/>
          <w:szCs w:val="20"/>
          <w:lang w:val="es-CO"/>
        </w:rPr>
        <w:t>.</w:t>
      </w:r>
    </w:p>
    <w:p w14:paraId="6F881D48" w14:textId="77777777" w:rsidR="00636841" w:rsidRDefault="00636841" w:rsidP="00113838">
      <w:pPr>
        <w:spacing w:before="240" w:after="240"/>
        <w:ind w:firstLine="720"/>
        <w:jc w:val="both"/>
        <w:rPr>
          <w:rFonts w:asciiTheme="majorHAnsi" w:eastAsia="Cambria" w:hAnsiTheme="majorHAnsi" w:cs="Cambria"/>
          <w:b/>
          <w:bCs/>
          <w:color w:val="000000"/>
          <w:sz w:val="20"/>
          <w:szCs w:val="20"/>
          <w:u w:color="000000"/>
          <w:lang w:eastAsia="es-ES"/>
        </w:rPr>
      </w:pPr>
      <w:r w:rsidRPr="001639E5">
        <w:rPr>
          <w:rFonts w:asciiTheme="majorHAnsi" w:eastAsia="Cambria" w:hAnsiTheme="majorHAnsi" w:cs="Cambria"/>
          <w:b/>
          <w:bCs/>
          <w:color w:val="000000"/>
          <w:sz w:val="20"/>
          <w:szCs w:val="20"/>
          <w:u w:color="000000"/>
          <w:lang w:eastAsia="es-ES"/>
        </w:rPr>
        <w:t>VI.</w:t>
      </w:r>
      <w:r w:rsidRPr="001639E5">
        <w:rPr>
          <w:rFonts w:asciiTheme="majorHAnsi" w:eastAsia="Cambria" w:hAnsiTheme="majorHAnsi" w:cs="Cambria"/>
          <w:b/>
          <w:bCs/>
          <w:color w:val="000000"/>
          <w:sz w:val="20"/>
          <w:szCs w:val="20"/>
          <w:u w:color="000000"/>
          <w:lang w:eastAsia="es-ES"/>
        </w:rPr>
        <w:tab/>
      </w:r>
      <w:r w:rsidRPr="001639E5">
        <w:rPr>
          <w:rFonts w:asciiTheme="majorHAnsi" w:hAnsiTheme="majorHAnsi"/>
          <w:b/>
          <w:bCs/>
          <w:sz w:val="20"/>
          <w:szCs w:val="20"/>
        </w:rPr>
        <w:t xml:space="preserve">ANÁLISIS DE </w:t>
      </w:r>
      <w:r w:rsidRPr="001639E5">
        <w:rPr>
          <w:rFonts w:asciiTheme="majorHAnsi" w:hAnsiTheme="majorHAnsi"/>
          <w:b/>
          <w:sz w:val="20"/>
          <w:szCs w:val="20"/>
        </w:rPr>
        <w:t>AGOTAMIENTO DE LOS RECURSOS INTERNOS Y PLAZO DE PRESENTACIÓN</w:t>
      </w:r>
      <w:r w:rsidRPr="001639E5">
        <w:rPr>
          <w:rFonts w:asciiTheme="majorHAnsi" w:eastAsia="Cambria" w:hAnsiTheme="majorHAnsi" w:cs="Cambria"/>
          <w:b/>
          <w:bCs/>
          <w:color w:val="000000"/>
          <w:sz w:val="20"/>
          <w:szCs w:val="20"/>
          <w:u w:color="000000"/>
          <w:lang w:eastAsia="es-ES"/>
        </w:rPr>
        <w:t xml:space="preserve"> </w:t>
      </w:r>
    </w:p>
    <w:p w14:paraId="37CC5649" w14:textId="1D1744E8" w:rsidR="00DF5214" w:rsidRDefault="006E54A5" w:rsidP="00113838">
      <w:pPr>
        <w:spacing w:before="240" w:after="240"/>
        <w:ind w:firstLine="720"/>
        <w:jc w:val="both"/>
        <w:rPr>
          <w:rFonts w:ascii="Cambria" w:hAnsi="Cambria"/>
          <w:sz w:val="20"/>
          <w:szCs w:val="20"/>
        </w:rPr>
      </w:pPr>
      <w:r>
        <w:rPr>
          <w:rFonts w:ascii="Cambria" w:hAnsi="Cambria"/>
          <w:sz w:val="20"/>
          <w:szCs w:val="20"/>
        </w:rPr>
        <w:t>1</w:t>
      </w:r>
      <w:r w:rsidR="00784FD3">
        <w:rPr>
          <w:rFonts w:ascii="Cambria" w:hAnsi="Cambria"/>
          <w:sz w:val="20"/>
          <w:szCs w:val="20"/>
        </w:rPr>
        <w:t>1</w:t>
      </w:r>
      <w:r>
        <w:rPr>
          <w:rFonts w:ascii="Cambria" w:hAnsi="Cambria"/>
          <w:sz w:val="20"/>
          <w:szCs w:val="20"/>
        </w:rPr>
        <w:t>.</w:t>
      </w:r>
      <w:r>
        <w:rPr>
          <w:rFonts w:ascii="Cambria" w:hAnsi="Cambria"/>
          <w:sz w:val="20"/>
          <w:szCs w:val="20"/>
        </w:rPr>
        <w:tab/>
      </w:r>
      <w:proofErr w:type="gramStart"/>
      <w:r w:rsidR="00BB2ECA">
        <w:rPr>
          <w:rFonts w:ascii="Cambria" w:hAnsi="Cambria"/>
          <w:sz w:val="20"/>
          <w:szCs w:val="20"/>
        </w:rPr>
        <w:t xml:space="preserve">El </w:t>
      </w:r>
      <w:r w:rsidR="002959B9">
        <w:rPr>
          <w:rFonts w:ascii="Cambria" w:hAnsi="Cambria"/>
          <w:sz w:val="20"/>
          <w:szCs w:val="20"/>
        </w:rPr>
        <w:t>peticionario</w:t>
      </w:r>
      <w:proofErr w:type="gramEnd"/>
      <w:r w:rsidR="002959B9">
        <w:rPr>
          <w:rFonts w:ascii="Cambria" w:hAnsi="Cambria"/>
          <w:sz w:val="20"/>
          <w:szCs w:val="20"/>
        </w:rPr>
        <w:t xml:space="preserve"> señala que la muerte de la </w:t>
      </w:r>
      <w:r w:rsidR="008A7486">
        <w:rPr>
          <w:rFonts w:ascii="Cambria" w:hAnsi="Cambria"/>
          <w:sz w:val="20"/>
          <w:szCs w:val="20"/>
        </w:rPr>
        <w:t xml:space="preserve">presunta víctima </w:t>
      </w:r>
      <w:r w:rsidR="002959B9">
        <w:rPr>
          <w:rFonts w:ascii="Cambria" w:hAnsi="Cambria"/>
          <w:sz w:val="20"/>
          <w:szCs w:val="20"/>
        </w:rPr>
        <w:t xml:space="preserve">fue denunciada por sus familiares </w:t>
      </w:r>
      <w:r w:rsidR="00C43AD1">
        <w:rPr>
          <w:rFonts w:ascii="Cambria" w:hAnsi="Cambria"/>
          <w:sz w:val="20"/>
          <w:szCs w:val="20"/>
        </w:rPr>
        <w:t>el 10 de octubre de 1988</w:t>
      </w:r>
      <w:r w:rsidR="002959B9">
        <w:rPr>
          <w:rFonts w:ascii="Cambria" w:hAnsi="Cambria"/>
          <w:sz w:val="20"/>
          <w:szCs w:val="20"/>
        </w:rPr>
        <w:t>. No obstante</w:t>
      </w:r>
      <w:r w:rsidR="005204E3">
        <w:rPr>
          <w:rFonts w:ascii="Cambria" w:hAnsi="Cambria"/>
          <w:sz w:val="20"/>
          <w:szCs w:val="20"/>
        </w:rPr>
        <w:t xml:space="preserve">, </w:t>
      </w:r>
      <w:r w:rsidR="002959B9">
        <w:rPr>
          <w:rFonts w:ascii="Cambria" w:hAnsi="Cambria"/>
          <w:sz w:val="20"/>
          <w:szCs w:val="20"/>
        </w:rPr>
        <w:t>refiere que en</w:t>
      </w:r>
      <w:r w:rsidR="005204E3">
        <w:rPr>
          <w:rFonts w:ascii="Cambria" w:hAnsi="Cambria"/>
          <w:sz w:val="20"/>
          <w:szCs w:val="20"/>
        </w:rPr>
        <w:t xml:space="preserve"> el marco de</w:t>
      </w:r>
      <w:r w:rsidR="006E60AD">
        <w:rPr>
          <w:rFonts w:ascii="Cambria" w:hAnsi="Cambria"/>
          <w:sz w:val="20"/>
          <w:szCs w:val="20"/>
        </w:rPr>
        <w:t>l</w:t>
      </w:r>
      <w:r w:rsidR="00F24618">
        <w:rPr>
          <w:rFonts w:ascii="Cambria" w:hAnsi="Cambria"/>
          <w:sz w:val="20"/>
          <w:szCs w:val="20"/>
        </w:rPr>
        <w:t xml:space="preserve"> proceso penal</w:t>
      </w:r>
      <w:r w:rsidR="00DC580A">
        <w:rPr>
          <w:rFonts w:ascii="Cambria" w:hAnsi="Cambria"/>
          <w:sz w:val="20"/>
          <w:szCs w:val="20"/>
        </w:rPr>
        <w:t>, el Juzgado Cuart</w:t>
      </w:r>
      <w:r w:rsidR="008E26A9">
        <w:rPr>
          <w:rFonts w:ascii="Cambria" w:hAnsi="Cambria"/>
          <w:sz w:val="20"/>
          <w:szCs w:val="20"/>
        </w:rPr>
        <w:t>o</w:t>
      </w:r>
      <w:r w:rsidR="00DC580A">
        <w:rPr>
          <w:rFonts w:ascii="Cambria" w:hAnsi="Cambria"/>
          <w:sz w:val="20"/>
          <w:szCs w:val="20"/>
        </w:rPr>
        <w:t xml:space="preserve"> de Instrucción Criminal de Florencia </w:t>
      </w:r>
      <w:r w:rsidR="002959B9">
        <w:rPr>
          <w:rFonts w:ascii="Cambria" w:hAnsi="Cambria"/>
          <w:sz w:val="20"/>
          <w:szCs w:val="20"/>
        </w:rPr>
        <w:t>dispuso</w:t>
      </w:r>
      <w:r w:rsidR="00DC580A">
        <w:rPr>
          <w:rFonts w:ascii="Cambria" w:hAnsi="Cambria"/>
          <w:sz w:val="20"/>
          <w:szCs w:val="20"/>
        </w:rPr>
        <w:t xml:space="preserve"> </w:t>
      </w:r>
      <w:r w:rsidR="006E60AD">
        <w:rPr>
          <w:rFonts w:ascii="Cambria" w:hAnsi="Cambria"/>
          <w:sz w:val="20"/>
          <w:szCs w:val="20"/>
        </w:rPr>
        <w:t>el</w:t>
      </w:r>
      <w:r w:rsidR="00DC580A">
        <w:rPr>
          <w:rFonts w:ascii="Cambria" w:hAnsi="Cambria"/>
          <w:sz w:val="20"/>
          <w:szCs w:val="20"/>
        </w:rPr>
        <w:t xml:space="preserve"> 28 de febrero de 1989</w:t>
      </w:r>
      <w:r w:rsidR="006E60AD">
        <w:rPr>
          <w:rFonts w:ascii="Cambria" w:hAnsi="Cambria"/>
          <w:sz w:val="20"/>
          <w:szCs w:val="20"/>
        </w:rPr>
        <w:t>,</w:t>
      </w:r>
      <w:r w:rsidR="005204E3">
        <w:rPr>
          <w:rFonts w:ascii="Cambria" w:hAnsi="Cambria"/>
          <w:sz w:val="20"/>
          <w:szCs w:val="20"/>
        </w:rPr>
        <w:t xml:space="preserve"> </w:t>
      </w:r>
      <w:r w:rsidR="00FE2D70">
        <w:rPr>
          <w:rFonts w:ascii="Cambria" w:hAnsi="Cambria"/>
          <w:sz w:val="20"/>
          <w:szCs w:val="20"/>
        </w:rPr>
        <w:t xml:space="preserve">la liberación de dos presuntos sospechosos y </w:t>
      </w:r>
      <w:r w:rsidR="008E26A9">
        <w:rPr>
          <w:rFonts w:ascii="Cambria" w:hAnsi="Cambria"/>
          <w:sz w:val="20"/>
          <w:szCs w:val="20"/>
        </w:rPr>
        <w:t>la continuación de</w:t>
      </w:r>
      <w:r w:rsidR="00FE2D70">
        <w:rPr>
          <w:rFonts w:ascii="Cambria" w:hAnsi="Cambria"/>
          <w:sz w:val="20"/>
          <w:szCs w:val="20"/>
        </w:rPr>
        <w:t xml:space="preserve"> la investigación a fin </w:t>
      </w:r>
      <w:r w:rsidR="001A4BF6">
        <w:rPr>
          <w:rFonts w:ascii="Cambria" w:hAnsi="Cambria"/>
          <w:sz w:val="20"/>
          <w:szCs w:val="20"/>
        </w:rPr>
        <w:t>de encontrar a los responsables.</w:t>
      </w:r>
      <w:r w:rsidR="00FD0718">
        <w:rPr>
          <w:rFonts w:ascii="Cambria" w:hAnsi="Cambria"/>
          <w:sz w:val="20"/>
          <w:szCs w:val="20"/>
        </w:rPr>
        <w:t xml:space="preserve"> </w:t>
      </w:r>
      <w:r w:rsidR="001A4BF6">
        <w:rPr>
          <w:rFonts w:ascii="Cambria" w:hAnsi="Cambria"/>
          <w:sz w:val="20"/>
          <w:szCs w:val="20"/>
        </w:rPr>
        <w:t>Refiere que</w:t>
      </w:r>
      <w:r w:rsidR="003A11EC">
        <w:rPr>
          <w:rFonts w:ascii="Cambria" w:hAnsi="Cambria"/>
          <w:sz w:val="20"/>
          <w:szCs w:val="20"/>
        </w:rPr>
        <w:t xml:space="preserve"> dicha orden judicial no fue cumplida por las autoridades y que luego de varias solicitudes realizadas por los familiares, </w:t>
      </w:r>
      <w:r w:rsidR="001209CC">
        <w:rPr>
          <w:rFonts w:ascii="Cambria" w:hAnsi="Cambria"/>
          <w:sz w:val="20"/>
          <w:szCs w:val="20"/>
        </w:rPr>
        <w:t>el 27 de no</w:t>
      </w:r>
      <w:r w:rsidR="006E60AD">
        <w:rPr>
          <w:rFonts w:ascii="Cambria" w:hAnsi="Cambria"/>
          <w:sz w:val="20"/>
          <w:szCs w:val="20"/>
        </w:rPr>
        <w:t>viembre de 2009 la Fiscalía 11 S</w:t>
      </w:r>
      <w:r w:rsidR="001209CC">
        <w:rPr>
          <w:rFonts w:ascii="Cambria" w:hAnsi="Cambria"/>
          <w:sz w:val="20"/>
          <w:szCs w:val="20"/>
        </w:rPr>
        <w:t xml:space="preserve">eccional Florencia determinó la extinción de la acción penal </w:t>
      </w:r>
      <w:r w:rsidR="003A11EC">
        <w:rPr>
          <w:rFonts w:ascii="Cambria" w:hAnsi="Cambria"/>
          <w:sz w:val="20"/>
          <w:szCs w:val="20"/>
        </w:rPr>
        <w:t>por prescripción</w:t>
      </w:r>
      <w:r>
        <w:rPr>
          <w:rFonts w:ascii="Cambria" w:hAnsi="Cambria"/>
          <w:sz w:val="20"/>
          <w:szCs w:val="20"/>
        </w:rPr>
        <w:t>. Finalmente indica que el 28 de noviembre de 2011 inició un proceso de reparación directa</w:t>
      </w:r>
      <w:r w:rsidR="0058367F">
        <w:rPr>
          <w:rFonts w:ascii="Cambria" w:hAnsi="Cambria"/>
          <w:sz w:val="20"/>
          <w:szCs w:val="20"/>
        </w:rPr>
        <w:t xml:space="preserve"> que hasta la fecha no ha concluido </w:t>
      </w:r>
      <w:r w:rsidR="00DF5214">
        <w:rPr>
          <w:rFonts w:ascii="Cambria" w:hAnsi="Cambria"/>
          <w:sz w:val="20"/>
          <w:szCs w:val="20"/>
        </w:rPr>
        <w:t>Por su parte</w:t>
      </w:r>
      <w:r w:rsidR="00176279">
        <w:rPr>
          <w:rFonts w:ascii="Cambria" w:hAnsi="Cambria"/>
          <w:sz w:val="20"/>
          <w:szCs w:val="20"/>
        </w:rPr>
        <w:t>,</w:t>
      </w:r>
      <w:r w:rsidR="00DF5214">
        <w:rPr>
          <w:rFonts w:ascii="Cambria" w:hAnsi="Cambria"/>
          <w:sz w:val="20"/>
          <w:szCs w:val="20"/>
        </w:rPr>
        <w:t xml:space="preserve"> el </w:t>
      </w:r>
      <w:r w:rsidR="001D40BE">
        <w:rPr>
          <w:rFonts w:ascii="Cambria" w:hAnsi="Cambria"/>
          <w:sz w:val="20"/>
          <w:szCs w:val="20"/>
        </w:rPr>
        <w:t xml:space="preserve">Estado </w:t>
      </w:r>
      <w:r w:rsidR="0058367F">
        <w:rPr>
          <w:rFonts w:ascii="Cambria" w:hAnsi="Cambria"/>
          <w:sz w:val="20"/>
          <w:szCs w:val="20"/>
        </w:rPr>
        <w:t xml:space="preserve">señala que la petición es extemporánea  y que la demanda de reparación directa aún se encuentra pendiente de resolución. </w:t>
      </w:r>
    </w:p>
    <w:p w14:paraId="0BE6E492" w14:textId="7A44F01E" w:rsidR="0070685C" w:rsidRDefault="00784FD3" w:rsidP="00D55F98">
      <w:pPr>
        <w:spacing w:before="240" w:after="240"/>
        <w:ind w:firstLine="720"/>
        <w:jc w:val="both"/>
        <w:rPr>
          <w:rFonts w:ascii="Cambria" w:hAnsi="Cambria"/>
          <w:sz w:val="20"/>
          <w:szCs w:val="20"/>
        </w:rPr>
      </w:pPr>
      <w:r>
        <w:rPr>
          <w:rFonts w:ascii="Cambria" w:hAnsi="Cambria"/>
          <w:sz w:val="20"/>
          <w:szCs w:val="20"/>
        </w:rPr>
        <w:t>12</w:t>
      </w:r>
      <w:r w:rsidR="000F54AE">
        <w:rPr>
          <w:rFonts w:ascii="Cambria" w:hAnsi="Cambria"/>
          <w:sz w:val="20"/>
          <w:szCs w:val="20"/>
        </w:rPr>
        <w:t>.</w:t>
      </w:r>
      <w:r w:rsidR="000F54AE">
        <w:rPr>
          <w:rFonts w:ascii="Cambria" w:hAnsi="Cambria"/>
          <w:sz w:val="20"/>
          <w:szCs w:val="20"/>
        </w:rPr>
        <w:tab/>
      </w:r>
      <w:r w:rsidR="0058367F">
        <w:rPr>
          <w:rFonts w:ascii="Cambria" w:hAnsi="Cambria"/>
          <w:sz w:val="20"/>
          <w:szCs w:val="20"/>
        </w:rPr>
        <w:t>L</w:t>
      </w:r>
      <w:r w:rsidR="00BD7D98">
        <w:rPr>
          <w:rFonts w:ascii="Cambria" w:hAnsi="Cambria"/>
          <w:sz w:val="20"/>
          <w:szCs w:val="20"/>
        </w:rPr>
        <w:t xml:space="preserve">a </w:t>
      </w:r>
      <w:r w:rsidR="00BD7D98" w:rsidRPr="009F08B8">
        <w:rPr>
          <w:rFonts w:asciiTheme="majorHAnsi" w:hAnsiTheme="majorHAnsi"/>
          <w:sz w:val="20"/>
          <w:szCs w:val="20"/>
        </w:rPr>
        <w:t xml:space="preserve">Comisión </w:t>
      </w:r>
      <w:r w:rsidR="0042559A" w:rsidRPr="009F08B8">
        <w:rPr>
          <w:rFonts w:asciiTheme="majorHAnsi" w:hAnsiTheme="majorHAnsi"/>
          <w:sz w:val="20"/>
          <w:szCs w:val="20"/>
        </w:rPr>
        <w:t>ha establecido que en situaciones relacionadas a posibles violaciones al derecho a la vida y la integridad personal los recursos internos que deben tomarse en cuenta a los efectos de la admisibilidad de la petición son los relacionados con la investigación y sanción de los responsables, que se traducen en la legislación interna en delitos perseguibles de oficio</w:t>
      </w:r>
      <w:r w:rsidR="0042559A" w:rsidRPr="009F08B8">
        <w:rPr>
          <w:rStyle w:val="FootnoteReference"/>
          <w:rFonts w:asciiTheme="majorHAnsi" w:hAnsiTheme="majorHAnsi"/>
          <w:sz w:val="20"/>
          <w:szCs w:val="20"/>
        </w:rPr>
        <w:footnoteReference w:id="10"/>
      </w:r>
      <w:r w:rsidR="0042559A" w:rsidRPr="009F08B8">
        <w:rPr>
          <w:rFonts w:asciiTheme="majorHAnsi" w:hAnsiTheme="majorHAnsi"/>
          <w:sz w:val="20"/>
          <w:szCs w:val="20"/>
        </w:rPr>
        <w:t xml:space="preserve">. En el presente caso, </w:t>
      </w:r>
      <w:r w:rsidR="004445BF">
        <w:rPr>
          <w:rFonts w:asciiTheme="majorHAnsi" w:hAnsiTheme="majorHAnsi"/>
          <w:sz w:val="20"/>
          <w:szCs w:val="20"/>
        </w:rPr>
        <w:t xml:space="preserve">la Comisión observa que habiendo transcurrido </w:t>
      </w:r>
      <w:r w:rsidR="00071C3C">
        <w:rPr>
          <w:rFonts w:ascii="Cambria" w:hAnsi="Cambria"/>
          <w:sz w:val="20"/>
          <w:szCs w:val="20"/>
        </w:rPr>
        <w:t>má</w:t>
      </w:r>
      <w:r w:rsidR="00AA11C5">
        <w:rPr>
          <w:rFonts w:ascii="Cambria" w:hAnsi="Cambria"/>
          <w:sz w:val="20"/>
          <w:szCs w:val="20"/>
        </w:rPr>
        <w:t xml:space="preserve">s de 19 años </w:t>
      </w:r>
      <w:r w:rsidR="004A025D">
        <w:rPr>
          <w:rFonts w:ascii="Cambria" w:hAnsi="Cambria"/>
          <w:sz w:val="20"/>
          <w:szCs w:val="20"/>
        </w:rPr>
        <w:t>desde la</w:t>
      </w:r>
      <w:r w:rsidR="009F08B8">
        <w:rPr>
          <w:rFonts w:ascii="Cambria" w:hAnsi="Cambria"/>
          <w:sz w:val="20"/>
          <w:szCs w:val="20"/>
        </w:rPr>
        <w:t xml:space="preserve"> muerte de la presunta víctima</w:t>
      </w:r>
      <w:r w:rsidR="00276A1C">
        <w:rPr>
          <w:rFonts w:ascii="Cambria" w:hAnsi="Cambria"/>
          <w:sz w:val="20"/>
          <w:szCs w:val="20"/>
        </w:rPr>
        <w:t>,</w:t>
      </w:r>
      <w:r w:rsidR="004445BF">
        <w:rPr>
          <w:rFonts w:ascii="Cambria" w:hAnsi="Cambria"/>
          <w:sz w:val="20"/>
          <w:szCs w:val="20"/>
        </w:rPr>
        <w:t xml:space="preserve"> el proceso penal no concluyó con una decisión de fondo que estable</w:t>
      </w:r>
      <w:r w:rsidR="00276A1C">
        <w:rPr>
          <w:rFonts w:ascii="Cambria" w:hAnsi="Cambria"/>
          <w:sz w:val="20"/>
          <w:szCs w:val="20"/>
        </w:rPr>
        <w:t>ciera</w:t>
      </w:r>
      <w:r w:rsidR="004445BF">
        <w:rPr>
          <w:rFonts w:ascii="Cambria" w:hAnsi="Cambria"/>
          <w:sz w:val="20"/>
          <w:szCs w:val="20"/>
        </w:rPr>
        <w:t xml:space="preserve"> una sanción para los responsables. </w:t>
      </w:r>
      <w:r w:rsidR="004D3D05" w:rsidRPr="00D55F98">
        <w:rPr>
          <w:rFonts w:ascii="Cambria" w:eastAsia="Times New Roman" w:hAnsi="Cambria"/>
          <w:color w:val="222222"/>
          <w:sz w:val="20"/>
          <w:szCs w:val="20"/>
          <w:lang w:val="es-CO"/>
        </w:rPr>
        <w:t>Atendido lo anterior, la CIDH concluye que en el</w:t>
      </w:r>
      <w:r w:rsidR="004D3D05">
        <w:rPr>
          <w:rFonts w:ascii="Cambria" w:eastAsia="Times New Roman" w:hAnsi="Cambria"/>
          <w:color w:val="222222"/>
          <w:sz w:val="20"/>
          <w:szCs w:val="20"/>
          <w:lang w:val="es-CO"/>
        </w:rPr>
        <w:t xml:space="preserve"> </w:t>
      </w:r>
      <w:r w:rsidR="004D3D05" w:rsidRPr="00D55F98">
        <w:rPr>
          <w:rFonts w:ascii="Cambria" w:eastAsia="Times New Roman" w:hAnsi="Cambria"/>
          <w:color w:val="222222"/>
          <w:sz w:val="20"/>
          <w:szCs w:val="20"/>
          <w:lang w:val="es-CO"/>
        </w:rPr>
        <w:t>presente caso aplica la excepción al agotamiento de los recursos internos prevista en el artículo 46.2.c de la</w:t>
      </w:r>
      <w:r w:rsidR="004D3D05">
        <w:rPr>
          <w:rFonts w:ascii="Cambria" w:eastAsia="Times New Roman" w:hAnsi="Cambria"/>
          <w:color w:val="222222"/>
          <w:sz w:val="20"/>
          <w:szCs w:val="20"/>
          <w:lang w:val="es-CO"/>
        </w:rPr>
        <w:t xml:space="preserve"> </w:t>
      </w:r>
      <w:r w:rsidR="004D3D05" w:rsidRPr="00D55F98">
        <w:rPr>
          <w:rFonts w:ascii="Cambria" w:eastAsia="Times New Roman" w:hAnsi="Cambria"/>
          <w:color w:val="222222"/>
          <w:sz w:val="20"/>
          <w:szCs w:val="20"/>
          <w:lang w:val="es-CO"/>
        </w:rPr>
        <w:t>Convención Americana.</w:t>
      </w:r>
      <w:r w:rsidR="004D3D05">
        <w:rPr>
          <w:rFonts w:ascii="Cambria" w:eastAsia="Times New Roman" w:hAnsi="Cambria"/>
          <w:color w:val="222222"/>
          <w:sz w:val="20"/>
          <w:szCs w:val="20"/>
          <w:lang w:val="es-CO"/>
        </w:rPr>
        <w:t xml:space="preserve"> </w:t>
      </w:r>
      <w:r w:rsidR="009F08B8">
        <w:rPr>
          <w:rFonts w:ascii="Cambria" w:hAnsi="Cambria"/>
          <w:sz w:val="20"/>
          <w:szCs w:val="20"/>
        </w:rPr>
        <w:t xml:space="preserve"> </w:t>
      </w:r>
    </w:p>
    <w:p w14:paraId="0E6FD795" w14:textId="315D3ABA" w:rsidR="008D2A71" w:rsidRPr="008D2A71" w:rsidRDefault="00784FD3" w:rsidP="008D2A71">
      <w:pPr>
        <w:spacing w:before="240" w:after="240"/>
        <w:ind w:firstLine="720"/>
        <w:jc w:val="both"/>
        <w:rPr>
          <w:rFonts w:asciiTheme="majorHAnsi" w:hAnsiTheme="majorHAnsi" w:cs="Calibri"/>
          <w:color w:val="000000" w:themeColor="text1"/>
          <w:sz w:val="20"/>
          <w:szCs w:val="20"/>
          <w:lang w:val="es-ES"/>
        </w:rPr>
      </w:pPr>
      <w:r>
        <w:rPr>
          <w:rFonts w:asciiTheme="majorHAnsi" w:hAnsiTheme="majorHAnsi"/>
          <w:color w:val="000000" w:themeColor="text1"/>
          <w:sz w:val="20"/>
          <w:szCs w:val="20"/>
        </w:rPr>
        <w:lastRenderedPageBreak/>
        <w:t>13</w:t>
      </w:r>
      <w:r w:rsidR="0070685C" w:rsidRPr="00D55F98">
        <w:rPr>
          <w:rFonts w:asciiTheme="majorHAnsi" w:hAnsiTheme="majorHAnsi"/>
          <w:color w:val="000000" w:themeColor="text1"/>
          <w:sz w:val="20"/>
          <w:szCs w:val="20"/>
        </w:rPr>
        <w:t>.</w:t>
      </w:r>
      <w:r w:rsidR="0070685C" w:rsidRPr="00D55F98">
        <w:rPr>
          <w:rFonts w:asciiTheme="majorHAnsi" w:hAnsiTheme="majorHAnsi"/>
          <w:color w:val="000000" w:themeColor="text1"/>
          <w:sz w:val="20"/>
          <w:szCs w:val="20"/>
        </w:rPr>
        <w:tab/>
      </w:r>
      <w:r w:rsidR="00276A1C">
        <w:rPr>
          <w:rFonts w:asciiTheme="majorHAnsi" w:hAnsiTheme="majorHAnsi"/>
          <w:color w:val="000000" w:themeColor="text1"/>
          <w:sz w:val="20"/>
          <w:szCs w:val="20"/>
        </w:rPr>
        <w:t>R</w:t>
      </w:r>
      <w:r w:rsidR="0070685C" w:rsidRPr="00D55F98">
        <w:rPr>
          <w:rFonts w:asciiTheme="majorHAnsi" w:hAnsiTheme="majorHAnsi"/>
          <w:color w:val="000000" w:themeColor="text1"/>
          <w:sz w:val="20"/>
          <w:szCs w:val="20"/>
        </w:rPr>
        <w:t xml:space="preserve">especto al recurso de reparación directa que se encuentra pendiente de </w:t>
      </w:r>
      <w:r w:rsidR="00DF2155">
        <w:rPr>
          <w:rFonts w:asciiTheme="majorHAnsi" w:hAnsiTheme="majorHAnsi"/>
          <w:color w:val="000000" w:themeColor="text1"/>
          <w:sz w:val="20"/>
          <w:szCs w:val="20"/>
        </w:rPr>
        <w:t xml:space="preserve">resolución </w:t>
      </w:r>
      <w:r w:rsidR="0070685C" w:rsidRPr="00D55F98">
        <w:rPr>
          <w:rFonts w:asciiTheme="majorHAnsi" w:hAnsiTheme="majorHAnsi"/>
          <w:color w:val="000000" w:themeColor="text1"/>
          <w:sz w:val="20"/>
          <w:szCs w:val="20"/>
        </w:rPr>
        <w:t>en la jurisdicción contenciosa administrativa</w:t>
      </w:r>
      <w:r w:rsidR="0070685C" w:rsidRPr="00D55F98">
        <w:rPr>
          <w:rFonts w:asciiTheme="majorHAnsi" w:hAnsiTheme="majorHAnsi" w:cs="Calibri"/>
          <w:color w:val="000000" w:themeColor="text1"/>
          <w:sz w:val="20"/>
          <w:szCs w:val="20"/>
          <w:lang w:val="es-ES"/>
        </w:rPr>
        <w:t>, la Comisión reitera que, para los efectos de determinar la admisibilidad de un reclamo de la naturaleza del presente, no constituye la vía idónea ni resulta necesario su agotamiento, dado que no es adecuada para proporcionar una reparación integral y justicia a los familiares</w:t>
      </w:r>
      <w:r w:rsidR="0070685C" w:rsidRPr="00D55F98">
        <w:rPr>
          <w:rStyle w:val="FootnoteReference"/>
          <w:rFonts w:asciiTheme="majorHAnsi" w:hAnsiTheme="majorHAnsi" w:cs="Calibri"/>
          <w:color w:val="000000" w:themeColor="text1"/>
          <w:sz w:val="20"/>
          <w:szCs w:val="20"/>
          <w:lang w:val="es-ES"/>
        </w:rPr>
        <w:footnoteReference w:id="11"/>
      </w:r>
      <w:r w:rsidR="0070685C" w:rsidRPr="00D55F98">
        <w:rPr>
          <w:rFonts w:asciiTheme="majorHAnsi" w:hAnsiTheme="majorHAnsi" w:cs="Calibri"/>
          <w:color w:val="000000" w:themeColor="text1"/>
          <w:sz w:val="20"/>
          <w:szCs w:val="20"/>
          <w:lang w:val="es-ES"/>
        </w:rPr>
        <w:t>.</w:t>
      </w:r>
      <w:r w:rsidR="008D2A71" w:rsidRPr="008D2A71">
        <w:rPr>
          <w:rFonts w:asciiTheme="majorHAnsi" w:hAnsiTheme="majorHAnsi" w:cs="Calibri"/>
          <w:color w:val="000000" w:themeColor="text1"/>
          <w:sz w:val="20"/>
          <w:szCs w:val="20"/>
          <w:lang w:val="es-ES"/>
        </w:rPr>
        <w:t xml:space="preserve"> </w:t>
      </w:r>
    </w:p>
    <w:p w14:paraId="09ED7947" w14:textId="05A498DE" w:rsidR="0039549D" w:rsidRPr="005C5BD2" w:rsidRDefault="00784FD3" w:rsidP="00760C46">
      <w:pPr>
        <w:spacing w:before="240" w:after="240"/>
        <w:ind w:firstLine="720"/>
        <w:jc w:val="both"/>
        <w:rPr>
          <w:rFonts w:cs="Calibri"/>
          <w:lang w:val="es-ES"/>
        </w:rPr>
      </w:pPr>
      <w:r>
        <w:rPr>
          <w:rFonts w:asciiTheme="majorHAnsi" w:hAnsiTheme="majorHAnsi" w:cs="Calibri"/>
          <w:color w:val="000000" w:themeColor="text1"/>
          <w:sz w:val="20"/>
          <w:szCs w:val="20"/>
          <w:lang w:val="es-ES"/>
        </w:rPr>
        <w:t>14</w:t>
      </w:r>
      <w:r w:rsidR="00276A1C">
        <w:rPr>
          <w:rFonts w:asciiTheme="majorHAnsi" w:hAnsiTheme="majorHAnsi" w:cs="Calibri"/>
          <w:color w:val="000000" w:themeColor="text1"/>
          <w:sz w:val="20"/>
          <w:szCs w:val="20"/>
          <w:lang w:val="es-ES"/>
        </w:rPr>
        <w:t xml:space="preserve">. </w:t>
      </w:r>
      <w:r w:rsidR="008D2A71">
        <w:rPr>
          <w:rFonts w:asciiTheme="majorHAnsi" w:hAnsiTheme="majorHAnsi" w:cs="Calibri"/>
          <w:color w:val="000000" w:themeColor="text1"/>
          <w:sz w:val="20"/>
          <w:szCs w:val="20"/>
          <w:lang w:val="es-ES"/>
        </w:rPr>
        <w:tab/>
      </w:r>
      <w:r w:rsidR="00276A1C" w:rsidRPr="00276A1C">
        <w:rPr>
          <w:rFonts w:asciiTheme="majorHAnsi" w:hAnsiTheme="majorHAnsi"/>
          <w:color w:val="000000" w:themeColor="text1"/>
          <w:sz w:val="20"/>
          <w:szCs w:val="20"/>
        </w:rPr>
        <w:t>Por otra parte, la CIDH observa que los presuntos hechos materia del reclamo tuvieron lugar</w:t>
      </w:r>
      <w:r w:rsidR="00276A1C">
        <w:rPr>
          <w:rFonts w:asciiTheme="majorHAnsi" w:hAnsiTheme="majorHAnsi"/>
          <w:color w:val="000000" w:themeColor="text1"/>
          <w:sz w:val="20"/>
          <w:szCs w:val="20"/>
        </w:rPr>
        <w:t xml:space="preserve"> </w:t>
      </w:r>
      <w:r w:rsidR="004D3D05">
        <w:rPr>
          <w:rFonts w:asciiTheme="majorHAnsi" w:hAnsiTheme="majorHAnsi"/>
          <w:color w:val="000000" w:themeColor="text1"/>
          <w:sz w:val="20"/>
          <w:szCs w:val="20"/>
        </w:rPr>
        <w:t xml:space="preserve">el </w:t>
      </w:r>
      <w:r w:rsidR="00276A1C" w:rsidRPr="00276A1C">
        <w:rPr>
          <w:rFonts w:asciiTheme="majorHAnsi" w:hAnsiTheme="majorHAnsi"/>
          <w:color w:val="000000" w:themeColor="text1"/>
          <w:sz w:val="20"/>
          <w:szCs w:val="20"/>
        </w:rPr>
        <w:t xml:space="preserve">5 de </w:t>
      </w:r>
      <w:r w:rsidR="004D3D05">
        <w:rPr>
          <w:rFonts w:asciiTheme="majorHAnsi" w:hAnsiTheme="majorHAnsi"/>
          <w:color w:val="000000" w:themeColor="text1"/>
          <w:sz w:val="20"/>
          <w:szCs w:val="20"/>
        </w:rPr>
        <w:t xml:space="preserve">octubre </w:t>
      </w:r>
      <w:r w:rsidR="00276A1C" w:rsidRPr="00276A1C">
        <w:rPr>
          <w:rFonts w:asciiTheme="majorHAnsi" w:hAnsiTheme="majorHAnsi"/>
          <w:color w:val="000000" w:themeColor="text1"/>
          <w:sz w:val="20"/>
          <w:szCs w:val="20"/>
        </w:rPr>
        <w:t>de 198</w:t>
      </w:r>
      <w:r w:rsidR="004D3D05">
        <w:rPr>
          <w:rFonts w:asciiTheme="majorHAnsi" w:hAnsiTheme="majorHAnsi"/>
          <w:color w:val="000000" w:themeColor="text1"/>
          <w:sz w:val="20"/>
          <w:szCs w:val="20"/>
        </w:rPr>
        <w:t>8, y q</w:t>
      </w:r>
      <w:r w:rsidR="00276A1C" w:rsidRPr="00276A1C">
        <w:rPr>
          <w:rFonts w:asciiTheme="majorHAnsi" w:hAnsiTheme="majorHAnsi"/>
          <w:color w:val="000000" w:themeColor="text1"/>
          <w:sz w:val="20"/>
          <w:szCs w:val="20"/>
        </w:rPr>
        <w:t>ue sus efectos se extenderían hasta el presente</w:t>
      </w:r>
      <w:r w:rsidR="008D2A71">
        <w:rPr>
          <w:rFonts w:asciiTheme="majorHAnsi" w:hAnsiTheme="majorHAnsi"/>
          <w:color w:val="000000" w:themeColor="text1"/>
          <w:sz w:val="20"/>
          <w:szCs w:val="20"/>
        </w:rPr>
        <w:t>. Además toma en cue</w:t>
      </w:r>
      <w:r w:rsidR="004D3D05">
        <w:rPr>
          <w:rFonts w:asciiTheme="majorHAnsi" w:hAnsiTheme="majorHAnsi"/>
          <w:color w:val="000000" w:themeColor="text1"/>
          <w:sz w:val="20"/>
          <w:szCs w:val="20"/>
        </w:rPr>
        <w:t>nta</w:t>
      </w:r>
      <w:r w:rsidR="00276A1C" w:rsidRPr="00276A1C">
        <w:rPr>
          <w:rFonts w:asciiTheme="majorHAnsi" w:hAnsiTheme="majorHAnsi"/>
          <w:color w:val="000000" w:themeColor="text1"/>
          <w:sz w:val="20"/>
          <w:szCs w:val="20"/>
        </w:rPr>
        <w:t xml:space="preserve"> que la denuncia ante las</w:t>
      </w:r>
      <w:r w:rsidR="00276A1C">
        <w:rPr>
          <w:rFonts w:asciiTheme="majorHAnsi" w:hAnsiTheme="majorHAnsi"/>
          <w:color w:val="000000" w:themeColor="text1"/>
          <w:sz w:val="20"/>
          <w:szCs w:val="20"/>
        </w:rPr>
        <w:t xml:space="preserve"> </w:t>
      </w:r>
      <w:r w:rsidR="00276A1C" w:rsidRPr="00276A1C">
        <w:rPr>
          <w:rFonts w:asciiTheme="majorHAnsi" w:hAnsiTheme="majorHAnsi"/>
          <w:color w:val="000000" w:themeColor="text1"/>
          <w:sz w:val="20"/>
          <w:szCs w:val="20"/>
        </w:rPr>
        <w:t>autoridades colombianas fue presentada el 1</w:t>
      </w:r>
      <w:r w:rsidR="004D3D05">
        <w:rPr>
          <w:rFonts w:asciiTheme="majorHAnsi" w:hAnsiTheme="majorHAnsi"/>
          <w:color w:val="000000" w:themeColor="text1"/>
          <w:sz w:val="20"/>
          <w:szCs w:val="20"/>
        </w:rPr>
        <w:t>0</w:t>
      </w:r>
      <w:r w:rsidR="00276A1C" w:rsidRPr="00276A1C">
        <w:rPr>
          <w:rFonts w:asciiTheme="majorHAnsi" w:hAnsiTheme="majorHAnsi"/>
          <w:color w:val="000000" w:themeColor="text1"/>
          <w:sz w:val="20"/>
          <w:szCs w:val="20"/>
        </w:rPr>
        <w:t xml:space="preserve"> de</w:t>
      </w:r>
      <w:r w:rsidR="004D3D05">
        <w:rPr>
          <w:rFonts w:asciiTheme="majorHAnsi" w:hAnsiTheme="majorHAnsi"/>
          <w:color w:val="000000" w:themeColor="text1"/>
          <w:sz w:val="20"/>
          <w:szCs w:val="20"/>
        </w:rPr>
        <w:t xml:space="preserve"> octubre</w:t>
      </w:r>
      <w:r w:rsidR="00276A1C" w:rsidRPr="00276A1C">
        <w:rPr>
          <w:rFonts w:asciiTheme="majorHAnsi" w:hAnsiTheme="majorHAnsi"/>
          <w:color w:val="000000" w:themeColor="text1"/>
          <w:sz w:val="20"/>
          <w:szCs w:val="20"/>
        </w:rPr>
        <w:t xml:space="preserve"> de 1983, y que desde entonces los familiares de la</w:t>
      </w:r>
      <w:r w:rsidR="00276A1C">
        <w:rPr>
          <w:rFonts w:asciiTheme="majorHAnsi" w:hAnsiTheme="majorHAnsi"/>
          <w:color w:val="000000" w:themeColor="text1"/>
          <w:sz w:val="20"/>
          <w:szCs w:val="20"/>
        </w:rPr>
        <w:t xml:space="preserve"> </w:t>
      </w:r>
      <w:r w:rsidR="00276A1C" w:rsidRPr="00276A1C">
        <w:rPr>
          <w:rFonts w:asciiTheme="majorHAnsi" w:hAnsiTheme="majorHAnsi"/>
          <w:color w:val="000000" w:themeColor="text1"/>
          <w:sz w:val="20"/>
          <w:szCs w:val="20"/>
        </w:rPr>
        <w:t>presunta víctima realizaron varias solicitudes de información a diferentes instancias estatales, intentando</w:t>
      </w:r>
      <w:r w:rsidR="00276A1C">
        <w:rPr>
          <w:rFonts w:asciiTheme="majorHAnsi" w:hAnsiTheme="majorHAnsi"/>
          <w:color w:val="000000" w:themeColor="text1"/>
          <w:sz w:val="20"/>
          <w:szCs w:val="20"/>
        </w:rPr>
        <w:t xml:space="preserve"> </w:t>
      </w:r>
      <w:r w:rsidR="00276A1C" w:rsidRPr="00276A1C">
        <w:rPr>
          <w:rFonts w:asciiTheme="majorHAnsi" w:hAnsiTheme="majorHAnsi"/>
          <w:color w:val="000000" w:themeColor="text1"/>
          <w:sz w:val="20"/>
          <w:szCs w:val="20"/>
        </w:rPr>
        <w:t>obtener copias y datos sobre las investigaciones</w:t>
      </w:r>
      <w:r w:rsidR="004D3D05">
        <w:rPr>
          <w:rFonts w:asciiTheme="majorHAnsi" w:hAnsiTheme="majorHAnsi"/>
          <w:color w:val="000000" w:themeColor="text1"/>
          <w:sz w:val="20"/>
          <w:szCs w:val="20"/>
        </w:rPr>
        <w:t xml:space="preserve">, </w:t>
      </w:r>
      <w:r w:rsidR="008D2A71">
        <w:rPr>
          <w:rFonts w:asciiTheme="majorHAnsi" w:hAnsiTheme="majorHAnsi"/>
          <w:color w:val="000000" w:themeColor="text1"/>
          <w:sz w:val="20"/>
          <w:szCs w:val="20"/>
        </w:rPr>
        <w:t>además de</w:t>
      </w:r>
      <w:r w:rsidR="004D3D05">
        <w:rPr>
          <w:rFonts w:asciiTheme="majorHAnsi" w:hAnsiTheme="majorHAnsi"/>
          <w:color w:val="000000" w:themeColor="text1"/>
          <w:sz w:val="20"/>
          <w:szCs w:val="20"/>
        </w:rPr>
        <w:t xml:space="preserve"> una acción de tutela</w:t>
      </w:r>
      <w:r w:rsidR="00276A1C" w:rsidRPr="00276A1C">
        <w:rPr>
          <w:rFonts w:asciiTheme="majorHAnsi" w:hAnsiTheme="majorHAnsi"/>
          <w:color w:val="000000" w:themeColor="text1"/>
          <w:sz w:val="20"/>
          <w:szCs w:val="20"/>
        </w:rPr>
        <w:t xml:space="preserve">. </w:t>
      </w:r>
      <w:r w:rsidR="004D3D05">
        <w:rPr>
          <w:rFonts w:asciiTheme="majorHAnsi" w:hAnsiTheme="majorHAnsi"/>
          <w:color w:val="000000" w:themeColor="text1"/>
          <w:sz w:val="20"/>
          <w:szCs w:val="20"/>
        </w:rPr>
        <w:t>P</w:t>
      </w:r>
      <w:r w:rsidR="00276A1C" w:rsidRPr="00276A1C">
        <w:rPr>
          <w:rFonts w:asciiTheme="majorHAnsi" w:hAnsiTheme="majorHAnsi"/>
          <w:color w:val="000000" w:themeColor="text1"/>
          <w:sz w:val="20"/>
          <w:szCs w:val="20"/>
        </w:rPr>
        <w:t>or ello, la Comisión concluye que la petición fue presentada dentro de un plazo</w:t>
      </w:r>
      <w:r w:rsidR="00276A1C">
        <w:rPr>
          <w:rFonts w:asciiTheme="majorHAnsi" w:hAnsiTheme="majorHAnsi"/>
          <w:color w:val="000000" w:themeColor="text1"/>
          <w:sz w:val="20"/>
          <w:szCs w:val="20"/>
        </w:rPr>
        <w:t xml:space="preserve"> </w:t>
      </w:r>
      <w:r w:rsidR="00276A1C" w:rsidRPr="00276A1C">
        <w:rPr>
          <w:rFonts w:asciiTheme="majorHAnsi" w:hAnsiTheme="majorHAnsi"/>
          <w:color w:val="000000" w:themeColor="text1"/>
          <w:sz w:val="20"/>
          <w:szCs w:val="20"/>
        </w:rPr>
        <w:t>razonable y que debe darse por satisfecho el requisito de admisibilidad referente al plazo de presentación.</w:t>
      </w:r>
    </w:p>
    <w:p w14:paraId="122CA238" w14:textId="77777777" w:rsidR="008F13D1" w:rsidRDefault="008F13D1" w:rsidP="008F1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left="720" w:right="474"/>
        <w:rPr>
          <w:rFonts w:asciiTheme="majorHAnsi" w:eastAsia="Times New Roman" w:hAnsiTheme="majorHAnsi"/>
          <w:color w:val="000000" w:themeColor="text1"/>
          <w:sz w:val="20"/>
          <w:szCs w:val="20"/>
          <w:bdr w:val="none" w:sz="0" w:space="0" w:color="auto"/>
          <w:lang w:val="es-CO"/>
        </w:rPr>
      </w:pPr>
      <w:r w:rsidRPr="008F13D1">
        <w:rPr>
          <w:rFonts w:asciiTheme="majorHAnsi" w:eastAsia="Times New Roman" w:hAnsiTheme="majorHAnsi"/>
          <w:b/>
          <w:bCs/>
          <w:color w:val="000000" w:themeColor="text1"/>
          <w:sz w:val="20"/>
          <w:szCs w:val="20"/>
          <w:bdr w:val="none" w:sz="0" w:space="0" w:color="auto"/>
          <w:lang w:val="es-CO"/>
        </w:rPr>
        <w:t>VII.         ANÁLISIS DE CARACTERIZACIÓN DE LOS HECHOS ALEGADOS</w:t>
      </w:r>
    </w:p>
    <w:p w14:paraId="32D5FB34" w14:textId="540610C3" w:rsidR="00760C46" w:rsidRDefault="00784FD3"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firstLine="720"/>
        <w:jc w:val="both"/>
        <w:rPr>
          <w:rFonts w:asciiTheme="majorHAnsi" w:eastAsia="Times New Roman" w:hAnsiTheme="majorHAnsi"/>
          <w:color w:val="000000" w:themeColor="text1"/>
          <w:sz w:val="20"/>
          <w:szCs w:val="20"/>
          <w:bdr w:val="none" w:sz="0" w:space="0" w:color="auto"/>
          <w:lang w:val="es-CO"/>
        </w:rPr>
      </w:pPr>
      <w:r>
        <w:rPr>
          <w:rFonts w:asciiTheme="majorHAnsi" w:eastAsia="Times New Roman" w:hAnsiTheme="majorHAnsi"/>
          <w:bCs/>
          <w:color w:val="000000" w:themeColor="text1"/>
          <w:sz w:val="20"/>
          <w:szCs w:val="20"/>
          <w:bdr w:val="none" w:sz="0" w:space="0" w:color="auto"/>
          <w:lang w:val="es-CO"/>
        </w:rPr>
        <w:t>15</w:t>
      </w:r>
      <w:r w:rsidR="008F13D1" w:rsidRPr="00954B05">
        <w:rPr>
          <w:rFonts w:asciiTheme="majorHAnsi" w:eastAsia="Times New Roman" w:hAnsiTheme="majorHAnsi"/>
          <w:bCs/>
          <w:color w:val="000000" w:themeColor="text1"/>
          <w:sz w:val="20"/>
          <w:szCs w:val="20"/>
          <w:bdr w:val="none" w:sz="0" w:space="0" w:color="auto"/>
          <w:lang w:val="es-CO"/>
        </w:rPr>
        <w:t>.</w:t>
      </w:r>
      <w:r w:rsidR="008F13D1">
        <w:rPr>
          <w:rFonts w:asciiTheme="majorHAnsi" w:eastAsia="Times New Roman" w:hAnsiTheme="majorHAnsi"/>
          <w:b/>
          <w:bCs/>
          <w:color w:val="000000" w:themeColor="text1"/>
          <w:sz w:val="20"/>
          <w:szCs w:val="20"/>
          <w:bdr w:val="none" w:sz="0" w:space="0" w:color="auto"/>
          <w:lang w:val="es-CO"/>
        </w:rPr>
        <w:tab/>
      </w:r>
      <w:r w:rsidR="008F13D1" w:rsidRPr="008F13D1">
        <w:rPr>
          <w:rFonts w:asciiTheme="majorHAnsi" w:eastAsia="Times New Roman" w:hAnsiTheme="majorHAnsi"/>
          <w:color w:val="000000" w:themeColor="text1"/>
          <w:sz w:val="20"/>
          <w:szCs w:val="20"/>
          <w:bdr w:val="none" w:sz="0" w:space="0" w:color="auto"/>
          <w:lang w:val="es-CO"/>
        </w:rPr>
        <w:t>En vista de los elementos de hecho y de derecho expuestos por las partes y la naturaleza del asunto puesto bajo su conocimiento, la Comisión considera que, de ser probado el</w:t>
      </w:r>
      <w:r w:rsidR="002C0C0A">
        <w:rPr>
          <w:rFonts w:asciiTheme="majorHAnsi" w:eastAsia="Times New Roman" w:hAnsiTheme="majorHAnsi"/>
          <w:color w:val="000000" w:themeColor="text1"/>
          <w:sz w:val="20"/>
          <w:szCs w:val="20"/>
          <w:bdr w:val="none" w:sz="0" w:space="0" w:color="auto"/>
          <w:lang w:val="es-CO"/>
        </w:rPr>
        <w:t xml:space="preserve"> alegado secuestro</w:t>
      </w:r>
      <w:r w:rsidR="008F13D1" w:rsidRPr="008F13D1">
        <w:rPr>
          <w:rFonts w:asciiTheme="majorHAnsi" w:eastAsia="Times New Roman" w:hAnsiTheme="majorHAnsi"/>
          <w:color w:val="000000" w:themeColor="text1"/>
          <w:sz w:val="20"/>
          <w:szCs w:val="20"/>
          <w:bdr w:val="none" w:sz="0" w:space="0" w:color="auto"/>
          <w:lang w:val="es-CO"/>
        </w:rPr>
        <w:t xml:space="preserve">, </w:t>
      </w:r>
      <w:r w:rsidR="002C0C0A">
        <w:rPr>
          <w:rFonts w:asciiTheme="majorHAnsi" w:eastAsia="Times New Roman" w:hAnsiTheme="majorHAnsi"/>
          <w:color w:val="000000" w:themeColor="text1"/>
          <w:sz w:val="20"/>
          <w:szCs w:val="20"/>
          <w:bdr w:val="none" w:sz="0" w:space="0" w:color="auto"/>
          <w:lang w:val="es-CO"/>
        </w:rPr>
        <w:t xml:space="preserve">los actos de </w:t>
      </w:r>
      <w:r w:rsidR="008F13D1" w:rsidRPr="008F13D1">
        <w:rPr>
          <w:rFonts w:asciiTheme="majorHAnsi" w:eastAsia="Times New Roman" w:hAnsiTheme="majorHAnsi"/>
          <w:color w:val="000000" w:themeColor="text1"/>
          <w:sz w:val="20"/>
          <w:szCs w:val="20"/>
          <w:bdr w:val="none" w:sz="0" w:space="0" w:color="auto"/>
          <w:lang w:val="es-CO"/>
        </w:rPr>
        <w:t xml:space="preserve">tortura, </w:t>
      </w:r>
      <w:r w:rsidR="002C0C0A">
        <w:rPr>
          <w:rFonts w:asciiTheme="majorHAnsi" w:eastAsia="Times New Roman" w:hAnsiTheme="majorHAnsi"/>
          <w:color w:val="000000" w:themeColor="text1"/>
          <w:sz w:val="20"/>
          <w:szCs w:val="20"/>
          <w:bdr w:val="none" w:sz="0" w:space="0" w:color="auto"/>
          <w:lang w:val="es-CO"/>
        </w:rPr>
        <w:t xml:space="preserve">y el asesinato de </w:t>
      </w:r>
      <w:r w:rsidR="00511B31">
        <w:rPr>
          <w:rFonts w:asciiTheme="majorHAnsi" w:eastAsia="Times New Roman" w:hAnsiTheme="majorHAnsi"/>
          <w:color w:val="000000" w:themeColor="text1"/>
          <w:sz w:val="20"/>
          <w:szCs w:val="20"/>
          <w:bdr w:val="none" w:sz="0" w:space="0" w:color="auto"/>
          <w:lang w:val="es-CO"/>
        </w:rPr>
        <w:t>la señora</w:t>
      </w:r>
      <w:r w:rsidR="008F13D1" w:rsidRPr="008F13D1">
        <w:rPr>
          <w:rFonts w:asciiTheme="majorHAnsi" w:eastAsia="Times New Roman" w:hAnsiTheme="majorHAnsi"/>
          <w:color w:val="000000" w:themeColor="text1"/>
          <w:sz w:val="20"/>
          <w:szCs w:val="20"/>
          <w:bdr w:val="none" w:sz="0" w:space="0" w:color="auto"/>
          <w:lang w:val="es-CO"/>
        </w:rPr>
        <w:t xml:space="preserve"> A.G.A., así como la falta </w:t>
      </w:r>
      <w:r w:rsidR="002C0C0A">
        <w:rPr>
          <w:rFonts w:asciiTheme="majorHAnsi" w:eastAsia="Times New Roman" w:hAnsiTheme="majorHAnsi"/>
          <w:color w:val="000000" w:themeColor="text1"/>
          <w:sz w:val="20"/>
          <w:szCs w:val="20"/>
          <w:bdr w:val="none" w:sz="0" w:space="0" w:color="auto"/>
          <w:lang w:val="es-CO"/>
        </w:rPr>
        <w:t>protección judicial efectiva</w:t>
      </w:r>
      <w:r w:rsidR="008F13D1" w:rsidRPr="008F13D1">
        <w:rPr>
          <w:rFonts w:asciiTheme="majorHAnsi" w:eastAsia="Times New Roman" w:hAnsiTheme="majorHAnsi"/>
          <w:color w:val="000000" w:themeColor="text1"/>
          <w:sz w:val="20"/>
          <w:szCs w:val="20"/>
          <w:bdr w:val="none" w:sz="0" w:space="0" w:color="auto"/>
          <w:lang w:val="es-CO"/>
        </w:rPr>
        <w:t xml:space="preserve"> podría</w:t>
      </w:r>
      <w:r w:rsidR="002C0C0A">
        <w:rPr>
          <w:rFonts w:asciiTheme="majorHAnsi" w:eastAsia="Times New Roman" w:hAnsiTheme="majorHAnsi"/>
          <w:color w:val="000000" w:themeColor="text1"/>
          <w:sz w:val="20"/>
          <w:szCs w:val="20"/>
          <w:bdr w:val="none" w:sz="0" w:space="0" w:color="auto"/>
          <w:lang w:val="es-CO"/>
        </w:rPr>
        <w:t>n</w:t>
      </w:r>
      <w:r w:rsidR="008F13D1" w:rsidRPr="008F13D1">
        <w:rPr>
          <w:rFonts w:asciiTheme="majorHAnsi" w:eastAsia="Times New Roman" w:hAnsiTheme="majorHAnsi"/>
          <w:color w:val="000000" w:themeColor="text1"/>
          <w:sz w:val="20"/>
          <w:szCs w:val="20"/>
          <w:bdr w:val="none" w:sz="0" w:space="0" w:color="auto"/>
          <w:lang w:val="es-CO"/>
        </w:rPr>
        <w:t> caracte</w:t>
      </w:r>
      <w:r w:rsidR="00AD2DD1">
        <w:rPr>
          <w:rFonts w:asciiTheme="majorHAnsi" w:eastAsia="Times New Roman" w:hAnsiTheme="majorHAnsi"/>
          <w:color w:val="000000" w:themeColor="text1"/>
          <w:sz w:val="20"/>
          <w:szCs w:val="20"/>
          <w:bdr w:val="none" w:sz="0" w:space="0" w:color="auto"/>
          <w:lang w:val="es-CO"/>
        </w:rPr>
        <w:t>rizar</w:t>
      </w:r>
      <w:r w:rsidR="008F13D1" w:rsidRPr="008F13D1">
        <w:rPr>
          <w:rFonts w:asciiTheme="majorHAnsi" w:eastAsia="Times New Roman" w:hAnsiTheme="majorHAnsi"/>
          <w:color w:val="000000" w:themeColor="text1"/>
          <w:sz w:val="20"/>
          <w:szCs w:val="20"/>
          <w:bdr w:val="none" w:sz="0" w:space="0" w:color="auto"/>
          <w:lang w:val="es-CO"/>
        </w:rPr>
        <w:t xml:space="preserve"> posibles violaciones a los derechos reconocidos en los artículos 4 (vida), 5 (integridad personal), </w:t>
      </w:r>
      <w:r w:rsidR="002C0C0A">
        <w:rPr>
          <w:rFonts w:asciiTheme="majorHAnsi" w:eastAsia="Times New Roman" w:hAnsiTheme="majorHAnsi"/>
          <w:color w:val="000000" w:themeColor="text1"/>
          <w:sz w:val="20"/>
          <w:szCs w:val="20"/>
          <w:bdr w:val="none" w:sz="0" w:space="0" w:color="auto"/>
          <w:lang w:val="es-CO"/>
        </w:rPr>
        <w:t xml:space="preserve">7 (libertad personal), </w:t>
      </w:r>
      <w:r w:rsidR="008F13D1" w:rsidRPr="008F13D1">
        <w:rPr>
          <w:rFonts w:asciiTheme="majorHAnsi" w:eastAsia="Times New Roman" w:hAnsiTheme="majorHAnsi"/>
          <w:color w:val="000000" w:themeColor="text1"/>
          <w:sz w:val="20"/>
          <w:szCs w:val="20"/>
          <w:bdr w:val="none" w:sz="0" w:space="0" w:color="auto"/>
          <w:lang w:val="es-CO"/>
        </w:rPr>
        <w:t>8 (garantías judiciales)</w:t>
      </w:r>
      <w:r w:rsidR="00A71C25">
        <w:rPr>
          <w:rFonts w:asciiTheme="majorHAnsi" w:eastAsia="Times New Roman" w:hAnsiTheme="majorHAnsi"/>
          <w:color w:val="000000" w:themeColor="text1"/>
          <w:sz w:val="20"/>
          <w:szCs w:val="20"/>
          <w:bdr w:val="none" w:sz="0" w:space="0" w:color="auto"/>
          <w:lang w:val="es-CO"/>
        </w:rPr>
        <w:t>, 24 (igualdad ante la ley)</w:t>
      </w:r>
      <w:r w:rsidR="008F13D1" w:rsidRPr="008F13D1">
        <w:rPr>
          <w:rFonts w:asciiTheme="majorHAnsi" w:eastAsia="Times New Roman" w:hAnsiTheme="majorHAnsi"/>
          <w:color w:val="000000" w:themeColor="text1"/>
          <w:sz w:val="20"/>
          <w:szCs w:val="20"/>
          <w:bdr w:val="none" w:sz="0" w:space="0" w:color="auto"/>
          <w:lang w:val="es-CO"/>
        </w:rPr>
        <w:t xml:space="preserve"> y 25 (protección judicial) de la Convención Americana, en conexión con su artículo 1.1</w:t>
      </w:r>
      <w:r w:rsidR="004C7D79">
        <w:rPr>
          <w:rFonts w:asciiTheme="majorHAnsi" w:eastAsia="Times New Roman" w:hAnsiTheme="majorHAnsi"/>
          <w:color w:val="000000" w:themeColor="text1"/>
          <w:sz w:val="20"/>
          <w:szCs w:val="20"/>
          <w:bdr w:val="none" w:sz="0" w:space="0" w:color="auto"/>
          <w:lang w:val="es-CO"/>
        </w:rPr>
        <w:t xml:space="preserve">, en perjuicio de la presunta víctima y sus familiares. Asimismo, los hechos </w:t>
      </w:r>
      <w:r w:rsidR="004C7D79" w:rsidRPr="004C7D79">
        <w:rPr>
          <w:rFonts w:asciiTheme="majorHAnsi" w:eastAsia="Times New Roman" w:hAnsiTheme="majorHAnsi"/>
          <w:color w:val="000000" w:themeColor="text1"/>
          <w:sz w:val="20"/>
          <w:szCs w:val="20"/>
          <w:bdr w:val="none" w:sz="0" w:space="0" w:color="auto"/>
          <w:lang w:val="es-CO"/>
        </w:rPr>
        <w:t>pueden constituir una violación al artículo 7 de la Convención de Belém do Pará</w:t>
      </w:r>
      <w:r w:rsidR="00A71C25">
        <w:rPr>
          <w:rFonts w:asciiTheme="majorHAnsi" w:eastAsia="Times New Roman" w:hAnsiTheme="majorHAnsi"/>
          <w:color w:val="000000" w:themeColor="text1"/>
          <w:sz w:val="20"/>
          <w:szCs w:val="20"/>
          <w:bdr w:val="none" w:sz="0" w:space="0" w:color="auto"/>
          <w:lang w:val="es-CO"/>
        </w:rPr>
        <w:t>,</w:t>
      </w:r>
      <w:r w:rsidR="004C7D79" w:rsidRPr="004C7D79">
        <w:rPr>
          <w:rFonts w:asciiTheme="majorHAnsi" w:eastAsia="Times New Roman" w:hAnsiTheme="majorHAnsi"/>
          <w:color w:val="000000" w:themeColor="text1"/>
          <w:sz w:val="20"/>
          <w:szCs w:val="20"/>
          <w:bdr w:val="none" w:sz="0" w:space="0" w:color="auto"/>
          <w:lang w:val="es-CO"/>
        </w:rPr>
        <w:t xml:space="preserve"> </w:t>
      </w:r>
      <w:r w:rsidR="007C6AB2">
        <w:rPr>
          <w:rFonts w:asciiTheme="majorHAnsi" w:eastAsia="Times New Roman" w:hAnsiTheme="majorHAnsi"/>
          <w:color w:val="000000" w:themeColor="text1"/>
          <w:sz w:val="20"/>
          <w:szCs w:val="20"/>
          <w:bdr w:val="none" w:sz="0" w:space="0" w:color="auto"/>
          <w:lang w:val="es-CO"/>
        </w:rPr>
        <w:t xml:space="preserve">y </w:t>
      </w:r>
      <w:r w:rsidR="004C7D79" w:rsidRPr="004C7D79">
        <w:rPr>
          <w:rFonts w:asciiTheme="majorHAnsi" w:eastAsia="Times New Roman" w:hAnsiTheme="majorHAnsi"/>
          <w:color w:val="000000" w:themeColor="text1"/>
          <w:sz w:val="20"/>
          <w:szCs w:val="20"/>
          <w:bdr w:val="none" w:sz="0" w:space="0" w:color="auto"/>
          <w:lang w:val="es-CO"/>
        </w:rPr>
        <w:t xml:space="preserve">de los artículos 1, 6 y 8 de la </w:t>
      </w:r>
      <w:r w:rsidR="00944D82">
        <w:rPr>
          <w:rFonts w:asciiTheme="majorHAnsi" w:eastAsia="Times New Roman" w:hAnsiTheme="majorHAnsi"/>
          <w:color w:val="000000" w:themeColor="text1"/>
          <w:sz w:val="20"/>
          <w:szCs w:val="20"/>
          <w:bdr w:val="none" w:sz="0" w:space="0" w:color="auto"/>
          <w:lang w:val="es-CO"/>
        </w:rPr>
        <w:t>CIPST,</w:t>
      </w:r>
      <w:r w:rsidR="004C7D79" w:rsidRPr="004C7D79">
        <w:rPr>
          <w:rFonts w:asciiTheme="majorHAnsi" w:eastAsia="Times New Roman" w:hAnsiTheme="majorHAnsi"/>
          <w:color w:val="000000" w:themeColor="text1"/>
          <w:sz w:val="20"/>
          <w:szCs w:val="20"/>
          <w:bdr w:val="none" w:sz="0" w:space="0" w:color="auto"/>
          <w:lang w:val="es-CO"/>
        </w:rPr>
        <w:t xml:space="preserve"> en perjuicio</w:t>
      </w:r>
      <w:r w:rsidR="00A71C25">
        <w:rPr>
          <w:rFonts w:asciiTheme="majorHAnsi" w:eastAsia="Times New Roman" w:hAnsiTheme="majorHAnsi"/>
          <w:color w:val="000000" w:themeColor="text1"/>
          <w:sz w:val="20"/>
          <w:szCs w:val="20"/>
          <w:bdr w:val="none" w:sz="0" w:space="0" w:color="auto"/>
          <w:lang w:val="es-CO"/>
        </w:rPr>
        <w:t xml:space="preserve"> de</w:t>
      </w:r>
      <w:r w:rsidR="004C7D79" w:rsidRPr="004C7D79">
        <w:rPr>
          <w:rFonts w:asciiTheme="majorHAnsi" w:eastAsia="Times New Roman" w:hAnsiTheme="majorHAnsi"/>
          <w:color w:val="000000" w:themeColor="text1"/>
          <w:sz w:val="20"/>
          <w:szCs w:val="20"/>
          <w:bdr w:val="none" w:sz="0" w:space="0" w:color="auto"/>
          <w:lang w:val="es-CO"/>
        </w:rPr>
        <w:t xml:space="preserve"> la</w:t>
      </w:r>
      <w:r w:rsidR="007C6AB2">
        <w:rPr>
          <w:rFonts w:asciiTheme="majorHAnsi" w:eastAsia="Times New Roman" w:hAnsiTheme="majorHAnsi"/>
          <w:color w:val="000000" w:themeColor="text1"/>
          <w:sz w:val="20"/>
          <w:szCs w:val="20"/>
          <w:bdr w:val="none" w:sz="0" w:space="0" w:color="auto"/>
          <w:lang w:val="es-CO"/>
        </w:rPr>
        <w:t xml:space="preserve"> </w:t>
      </w:r>
      <w:r w:rsidR="00A71C25">
        <w:rPr>
          <w:rFonts w:asciiTheme="majorHAnsi" w:eastAsia="Times New Roman" w:hAnsiTheme="majorHAnsi"/>
          <w:color w:val="000000" w:themeColor="text1"/>
          <w:sz w:val="20"/>
          <w:szCs w:val="20"/>
          <w:bdr w:val="none" w:sz="0" w:space="0" w:color="auto"/>
          <w:lang w:val="es-CO"/>
        </w:rPr>
        <w:t xml:space="preserve">presunta víctima </w:t>
      </w:r>
      <w:r w:rsidR="007C6AB2" w:rsidRPr="004C7D79">
        <w:rPr>
          <w:rFonts w:asciiTheme="majorHAnsi" w:eastAsia="Times New Roman" w:hAnsiTheme="majorHAnsi"/>
          <w:color w:val="000000" w:themeColor="text1"/>
          <w:sz w:val="20"/>
          <w:szCs w:val="20"/>
          <w:bdr w:val="none" w:sz="0" w:space="0" w:color="auto"/>
          <w:lang w:val="es-CO"/>
        </w:rPr>
        <w:t>respecto de la falta</w:t>
      </w:r>
      <w:r w:rsidR="007C6AB2">
        <w:rPr>
          <w:rFonts w:asciiTheme="majorHAnsi" w:eastAsia="Times New Roman" w:hAnsiTheme="majorHAnsi"/>
          <w:color w:val="000000" w:themeColor="text1"/>
          <w:sz w:val="20"/>
          <w:szCs w:val="20"/>
          <w:bdr w:val="none" w:sz="0" w:space="0" w:color="auto"/>
          <w:lang w:val="es-CO"/>
        </w:rPr>
        <w:t xml:space="preserve"> </w:t>
      </w:r>
      <w:r w:rsidR="007C6AB2" w:rsidRPr="004C7D79">
        <w:rPr>
          <w:rFonts w:asciiTheme="majorHAnsi" w:eastAsia="Times New Roman" w:hAnsiTheme="majorHAnsi"/>
          <w:color w:val="000000" w:themeColor="text1"/>
          <w:sz w:val="20"/>
          <w:szCs w:val="20"/>
          <w:bdr w:val="none" w:sz="0" w:space="0" w:color="auto"/>
          <w:lang w:val="es-CO"/>
        </w:rPr>
        <w:t>de investigación de dichos hechos tras la fecha de ratificación y depósito</w:t>
      </w:r>
      <w:r w:rsidR="00944D82">
        <w:rPr>
          <w:rFonts w:asciiTheme="majorHAnsi" w:eastAsia="Times New Roman" w:hAnsiTheme="majorHAnsi"/>
          <w:color w:val="000000" w:themeColor="text1"/>
          <w:sz w:val="20"/>
          <w:szCs w:val="20"/>
          <w:bdr w:val="none" w:sz="0" w:space="0" w:color="auto"/>
          <w:lang w:val="es-CO"/>
        </w:rPr>
        <w:t xml:space="preserve"> de ambos instrumentos internacionales</w:t>
      </w:r>
      <w:r w:rsidR="007C6AB2" w:rsidRPr="004C7D79">
        <w:rPr>
          <w:rFonts w:asciiTheme="majorHAnsi" w:eastAsia="Times New Roman" w:hAnsiTheme="majorHAnsi"/>
          <w:color w:val="000000" w:themeColor="text1"/>
          <w:sz w:val="20"/>
          <w:szCs w:val="20"/>
          <w:bdr w:val="none" w:sz="0" w:space="0" w:color="auto"/>
          <w:lang w:val="es-CO"/>
        </w:rPr>
        <w:t xml:space="preserve">. </w:t>
      </w:r>
    </w:p>
    <w:p w14:paraId="6A0527ED" w14:textId="54A92E49" w:rsidR="008F13D1" w:rsidRDefault="00784FD3"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firstLine="720"/>
        <w:jc w:val="both"/>
        <w:rPr>
          <w:rFonts w:asciiTheme="majorHAnsi" w:eastAsia="Times New Roman" w:hAnsiTheme="majorHAnsi"/>
          <w:color w:val="000000" w:themeColor="text1"/>
          <w:sz w:val="20"/>
          <w:szCs w:val="20"/>
          <w:bdr w:val="none" w:sz="0" w:space="0" w:color="auto"/>
          <w:lang w:val="es-CO"/>
        </w:rPr>
      </w:pPr>
      <w:r>
        <w:rPr>
          <w:rFonts w:asciiTheme="majorHAnsi" w:eastAsia="Times New Roman" w:hAnsiTheme="majorHAnsi"/>
          <w:color w:val="000000" w:themeColor="text1"/>
          <w:sz w:val="20"/>
          <w:szCs w:val="20"/>
          <w:bdr w:val="none" w:sz="0" w:space="0" w:color="auto"/>
          <w:lang w:val="es-CO"/>
        </w:rPr>
        <w:t>16.</w:t>
      </w:r>
      <w:r w:rsidR="008F13D1">
        <w:rPr>
          <w:rFonts w:asciiTheme="majorHAnsi" w:eastAsia="Times New Roman" w:hAnsiTheme="majorHAnsi"/>
          <w:color w:val="000000" w:themeColor="text1"/>
          <w:sz w:val="20"/>
          <w:szCs w:val="20"/>
          <w:bdr w:val="none" w:sz="0" w:space="0" w:color="auto"/>
          <w:lang w:val="es-CO"/>
        </w:rPr>
        <w:tab/>
      </w:r>
      <w:r w:rsidR="008F13D1" w:rsidRPr="008F13D1">
        <w:rPr>
          <w:rFonts w:asciiTheme="majorHAnsi" w:eastAsia="Times New Roman" w:hAnsiTheme="majorHAnsi"/>
          <w:color w:val="000000" w:themeColor="text1"/>
          <w:sz w:val="20"/>
          <w:szCs w:val="20"/>
          <w:bdr w:val="none" w:sz="0" w:space="0" w:color="auto"/>
          <w:lang w:val="es-CO"/>
        </w:rPr>
        <w:t xml:space="preserve">Por otro lado, en cuanto al reclamo sobre la presunta violación del artículo 1 de la Convención Interamericana sobre Desaparición Forzada, la Comisión observa que </w:t>
      </w:r>
      <w:r w:rsidR="00A17A83">
        <w:rPr>
          <w:rFonts w:asciiTheme="majorHAnsi" w:eastAsia="Times New Roman" w:hAnsiTheme="majorHAnsi"/>
          <w:color w:val="000000" w:themeColor="text1"/>
          <w:sz w:val="20"/>
          <w:szCs w:val="20"/>
          <w:bdr w:val="none" w:sz="0" w:space="0" w:color="auto"/>
          <w:lang w:val="es-CO"/>
        </w:rPr>
        <w:t xml:space="preserve">no </w:t>
      </w:r>
      <w:r w:rsidR="008F13D1" w:rsidRPr="008F13D1">
        <w:rPr>
          <w:rFonts w:asciiTheme="majorHAnsi" w:eastAsia="Times New Roman" w:hAnsiTheme="majorHAnsi"/>
          <w:color w:val="000000" w:themeColor="text1"/>
          <w:sz w:val="20"/>
          <w:szCs w:val="20"/>
          <w:bdr w:val="none" w:sz="0" w:space="0" w:color="auto"/>
          <w:lang w:val="es-CO"/>
        </w:rPr>
        <w:t>existen alegatos o sustento suficiente para su presunta violación, por lo que no corresponde declarar dicha pretensión admisible.</w:t>
      </w:r>
    </w:p>
    <w:p w14:paraId="664A571C" w14:textId="4B82C00A" w:rsidR="008F13D1" w:rsidRDefault="00784FD3"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firstLine="720"/>
        <w:jc w:val="both"/>
        <w:rPr>
          <w:rFonts w:asciiTheme="majorHAnsi" w:eastAsia="Times New Roman" w:hAnsiTheme="majorHAnsi"/>
          <w:color w:val="000000" w:themeColor="text1"/>
          <w:sz w:val="20"/>
          <w:szCs w:val="20"/>
          <w:bdr w:val="none" w:sz="0" w:space="0" w:color="auto"/>
          <w:lang w:val="es-CO"/>
        </w:rPr>
      </w:pPr>
      <w:r>
        <w:rPr>
          <w:rFonts w:asciiTheme="majorHAnsi" w:eastAsia="Times New Roman" w:hAnsiTheme="majorHAnsi"/>
          <w:color w:val="000000" w:themeColor="text1"/>
          <w:sz w:val="20"/>
          <w:szCs w:val="20"/>
          <w:bdr w:val="none" w:sz="0" w:space="0" w:color="auto"/>
          <w:lang w:val="es-CO"/>
        </w:rPr>
        <w:t>17</w:t>
      </w:r>
      <w:r w:rsidR="008F13D1" w:rsidRPr="008F13D1">
        <w:rPr>
          <w:rFonts w:asciiTheme="majorHAnsi" w:eastAsia="Times New Roman" w:hAnsiTheme="majorHAnsi"/>
          <w:color w:val="000000" w:themeColor="text1"/>
          <w:sz w:val="20"/>
          <w:szCs w:val="20"/>
          <w:bdr w:val="none" w:sz="0" w:space="0" w:color="auto"/>
          <w:lang w:val="es-CO"/>
        </w:rPr>
        <w:t>.</w:t>
      </w:r>
      <w:r w:rsidR="008F13D1">
        <w:rPr>
          <w:rFonts w:asciiTheme="majorHAnsi" w:eastAsia="Times New Roman" w:hAnsiTheme="majorHAnsi"/>
          <w:color w:val="000000" w:themeColor="text1"/>
          <w:sz w:val="20"/>
          <w:szCs w:val="20"/>
          <w:bdr w:val="none" w:sz="0" w:space="0" w:color="auto"/>
          <w:lang w:val="es-CO"/>
        </w:rPr>
        <w:tab/>
      </w:r>
      <w:r w:rsidR="00A17A83" w:rsidRPr="00925296">
        <w:rPr>
          <w:rFonts w:ascii="Cambria" w:hAnsi="Cambria"/>
          <w:sz w:val="20"/>
          <w:szCs w:val="20"/>
          <w:lang w:val="es-ES"/>
        </w:rPr>
        <w:t xml:space="preserve">La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CIDH </w:t>
      </w:r>
      <w:r w:rsidR="00A17A83">
        <w:rPr>
          <w:rFonts w:ascii="Cambria" w:hAnsi="Cambria"/>
          <w:sz w:val="20"/>
          <w:szCs w:val="20"/>
          <w:lang w:val="es-ES"/>
        </w:rPr>
        <w:t xml:space="preserve"> </w:t>
      </w:r>
      <w:r w:rsidR="008F13D1" w:rsidRPr="008F13D1">
        <w:rPr>
          <w:rFonts w:asciiTheme="majorHAnsi" w:eastAsia="Times New Roman" w:hAnsiTheme="majorHAnsi"/>
          <w:color w:val="000000" w:themeColor="text1"/>
          <w:sz w:val="20"/>
          <w:szCs w:val="20"/>
          <w:bdr w:val="none" w:sz="0" w:space="0" w:color="auto"/>
          <w:lang w:val="es-CO"/>
        </w:rPr>
        <w:t xml:space="preserve">observa que el artículo I  de la Declaración Americana consagra </w:t>
      </w:r>
      <w:r w:rsidR="00A17A83">
        <w:rPr>
          <w:rFonts w:asciiTheme="majorHAnsi" w:eastAsia="Times New Roman" w:hAnsiTheme="majorHAnsi"/>
          <w:color w:val="000000" w:themeColor="text1"/>
          <w:sz w:val="20"/>
          <w:szCs w:val="20"/>
          <w:bdr w:val="none" w:sz="0" w:space="0" w:color="auto"/>
          <w:lang w:val="es-CO"/>
        </w:rPr>
        <w:t xml:space="preserve">el </w:t>
      </w:r>
      <w:r w:rsidR="008F13D1" w:rsidRPr="008F13D1">
        <w:rPr>
          <w:rFonts w:asciiTheme="majorHAnsi" w:eastAsia="Times New Roman" w:hAnsiTheme="majorHAnsi"/>
          <w:color w:val="000000" w:themeColor="text1"/>
          <w:sz w:val="20"/>
          <w:szCs w:val="20"/>
          <w:bdr w:val="none" w:sz="0" w:space="0" w:color="auto"/>
          <w:lang w:val="es-CO"/>
        </w:rPr>
        <w:t>derecho</w:t>
      </w:r>
      <w:r w:rsidR="00A17A83">
        <w:rPr>
          <w:rFonts w:asciiTheme="majorHAnsi" w:eastAsia="Times New Roman" w:hAnsiTheme="majorHAnsi"/>
          <w:color w:val="000000" w:themeColor="text1"/>
          <w:sz w:val="20"/>
          <w:szCs w:val="20"/>
          <w:bdr w:val="none" w:sz="0" w:space="0" w:color="auto"/>
          <w:lang w:val="es-CO"/>
        </w:rPr>
        <w:t xml:space="preserve"> a la vida</w:t>
      </w:r>
      <w:r w:rsidR="008F13D1" w:rsidRPr="008F13D1">
        <w:rPr>
          <w:rFonts w:asciiTheme="majorHAnsi" w:eastAsia="Times New Roman" w:hAnsiTheme="majorHAnsi"/>
          <w:color w:val="000000" w:themeColor="text1"/>
          <w:sz w:val="20"/>
          <w:szCs w:val="20"/>
          <w:bdr w:val="none" w:sz="0" w:space="0" w:color="auto"/>
          <w:lang w:val="es-CO"/>
        </w:rPr>
        <w:t xml:space="preserve"> sustancialmente idéntico a</w:t>
      </w:r>
      <w:r w:rsidR="00A17A83">
        <w:rPr>
          <w:rFonts w:asciiTheme="majorHAnsi" w:eastAsia="Times New Roman" w:hAnsiTheme="majorHAnsi"/>
          <w:color w:val="000000" w:themeColor="text1"/>
          <w:sz w:val="20"/>
          <w:szCs w:val="20"/>
          <w:bdr w:val="none" w:sz="0" w:space="0" w:color="auto"/>
          <w:lang w:val="es-CO"/>
        </w:rPr>
        <w:t xml:space="preserve">l </w:t>
      </w:r>
      <w:r w:rsidR="004C7D79">
        <w:rPr>
          <w:rFonts w:asciiTheme="majorHAnsi" w:eastAsia="Times New Roman" w:hAnsiTheme="majorHAnsi"/>
          <w:color w:val="000000" w:themeColor="text1"/>
          <w:sz w:val="20"/>
          <w:szCs w:val="20"/>
          <w:bdr w:val="none" w:sz="0" w:space="0" w:color="auto"/>
          <w:lang w:val="es-CO"/>
        </w:rPr>
        <w:t xml:space="preserve">protegido en el </w:t>
      </w:r>
      <w:r w:rsidR="00A17A83">
        <w:rPr>
          <w:rFonts w:asciiTheme="majorHAnsi" w:eastAsia="Times New Roman" w:hAnsiTheme="majorHAnsi"/>
          <w:color w:val="000000" w:themeColor="text1"/>
          <w:sz w:val="20"/>
          <w:szCs w:val="20"/>
          <w:bdr w:val="none" w:sz="0" w:space="0" w:color="auto"/>
          <w:lang w:val="es-CO"/>
        </w:rPr>
        <w:t>artículo 4</w:t>
      </w:r>
      <w:r w:rsidR="008F13D1" w:rsidRPr="008F13D1">
        <w:rPr>
          <w:rFonts w:asciiTheme="majorHAnsi" w:eastAsia="Times New Roman" w:hAnsiTheme="majorHAnsi"/>
          <w:color w:val="000000" w:themeColor="text1"/>
          <w:sz w:val="20"/>
          <w:szCs w:val="20"/>
          <w:bdr w:val="none" w:sz="0" w:space="0" w:color="auto"/>
          <w:lang w:val="es-CO"/>
        </w:rPr>
        <w:t xml:space="preserve"> </w:t>
      </w:r>
      <w:r w:rsidR="004C7D79">
        <w:rPr>
          <w:rFonts w:asciiTheme="majorHAnsi" w:eastAsia="Times New Roman" w:hAnsiTheme="majorHAnsi"/>
          <w:color w:val="000000" w:themeColor="text1"/>
          <w:sz w:val="20"/>
          <w:szCs w:val="20"/>
          <w:bdr w:val="none" w:sz="0" w:space="0" w:color="auto"/>
          <w:lang w:val="es-CO"/>
        </w:rPr>
        <w:t>de</w:t>
      </w:r>
      <w:r w:rsidR="008F13D1" w:rsidRPr="008F13D1">
        <w:rPr>
          <w:rFonts w:asciiTheme="majorHAnsi" w:eastAsia="Times New Roman" w:hAnsiTheme="majorHAnsi"/>
          <w:color w:val="000000" w:themeColor="text1"/>
          <w:sz w:val="20"/>
          <w:szCs w:val="20"/>
          <w:bdr w:val="none" w:sz="0" w:space="0" w:color="auto"/>
          <w:lang w:val="es-CO"/>
        </w:rPr>
        <w:t xml:space="preserve"> la Convención Americana. En este sentido la Comisión analizará dichos alegatos a la luz de la Convención Americana.</w:t>
      </w:r>
    </w:p>
    <w:p w14:paraId="7B88F432" w14:textId="0C5C7F09" w:rsidR="008F13D1" w:rsidRPr="008F13D1" w:rsidRDefault="00784FD3"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firstLine="720"/>
        <w:jc w:val="both"/>
        <w:rPr>
          <w:rFonts w:asciiTheme="majorHAnsi" w:eastAsia="Times New Roman" w:hAnsiTheme="majorHAnsi"/>
          <w:color w:val="000000" w:themeColor="text1"/>
          <w:sz w:val="20"/>
          <w:szCs w:val="20"/>
          <w:bdr w:val="none" w:sz="0" w:space="0" w:color="auto"/>
          <w:lang w:val="es-CO"/>
        </w:rPr>
      </w:pPr>
      <w:r>
        <w:rPr>
          <w:rFonts w:asciiTheme="majorHAnsi" w:eastAsia="Times New Roman" w:hAnsiTheme="majorHAnsi"/>
          <w:color w:val="000000" w:themeColor="text1"/>
          <w:sz w:val="20"/>
          <w:szCs w:val="20"/>
          <w:bdr w:val="none" w:sz="0" w:space="0" w:color="auto"/>
          <w:lang w:val="es-CO"/>
        </w:rPr>
        <w:t>18</w:t>
      </w:r>
      <w:r w:rsidR="008F13D1" w:rsidRPr="008F13D1">
        <w:rPr>
          <w:rFonts w:asciiTheme="majorHAnsi" w:eastAsia="Times New Roman" w:hAnsiTheme="majorHAnsi"/>
          <w:color w:val="000000" w:themeColor="text1"/>
          <w:sz w:val="20"/>
          <w:szCs w:val="20"/>
          <w:bdr w:val="none" w:sz="0" w:space="0" w:color="auto"/>
          <w:lang w:val="es-CO"/>
        </w:rPr>
        <w:t>.</w:t>
      </w:r>
      <w:r w:rsidR="008F13D1">
        <w:rPr>
          <w:rFonts w:asciiTheme="majorHAnsi" w:eastAsia="Times New Roman" w:hAnsiTheme="majorHAnsi"/>
          <w:color w:val="000000" w:themeColor="text1"/>
          <w:sz w:val="20"/>
          <w:szCs w:val="20"/>
          <w:bdr w:val="none" w:sz="0" w:space="0" w:color="auto"/>
          <w:lang w:val="es-CO"/>
        </w:rPr>
        <w:tab/>
      </w:r>
      <w:r w:rsidR="008F13D1" w:rsidRPr="008F13D1">
        <w:rPr>
          <w:rFonts w:asciiTheme="majorHAnsi" w:eastAsia="Times New Roman" w:hAnsiTheme="majorHAnsi"/>
          <w:color w:val="000000" w:themeColor="text1"/>
          <w:sz w:val="20"/>
          <w:szCs w:val="20"/>
          <w:bdr w:val="none" w:sz="0" w:space="0" w:color="auto"/>
          <w:lang w:val="es-CO"/>
        </w:rPr>
        <w:t xml:space="preserve">Por último, en cuanto a la alegada violación de los artículos 7 del Pacto Internacional </w:t>
      </w:r>
      <w:r w:rsidR="00E013EA">
        <w:rPr>
          <w:rFonts w:asciiTheme="majorHAnsi" w:eastAsia="Times New Roman" w:hAnsiTheme="majorHAnsi"/>
          <w:color w:val="000000" w:themeColor="text1"/>
          <w:sz w:val="20"/>
          <w:szCs w:val="20"/>
          <w:bdr w:val="none" w:sz="0" w:space="0" w:color="auto"/>
          <w:lang w:val="es-CO"/>
        </w:rPr>
        <w:t>de Derechos Civiles y Políticos, así como</w:t>
      </w:r>
      <w:r w:rsidR="008F13D1" w:rsidRPr="008F13D1">
        <w:rPr>
          <w:rFonts w:asciiTheme="majorHAnsi" w:eastAsia="Times New Roman" w:hAnsiTheme="majorHAnsi"/>
          <w:color w:val="000000" w:themeColor="text1"/>
          <w:sz w:val="20"/>
          <w:szCs w:val="20"/>
          <w:bdr w:val="none" w:sz="0" w:space="0" w:color="auto"/>
          <w:lang w:val="es-CO"/>
        </w:rPr>
        <w:t xml:space="preserve"> </w:t>
      </w:r>
      <w:r w:rsidR="00E013EA">
        <w:rPr>
          <w:rFonts w:asciiTheme="majorHAnsi" w:eastAsia="Times New Roman" w:hAnsiTheme="majorHAnsi"/>
          <w:color w:val="000000" w:themeColor="text1"/>
          <w:sz w:val="20"/>
          <w:szCs w:val="20"/>
          <w:bdr w:val="none" w:sz="0" w:space="0" w:color="auto"/>
          <w:lang w:val="es-CO"/>
        </w:rPr>
        <w:t xml:space="preserve">de los artículos </w:t>
      </w:r>
      <w:r w:rsidR="008F13D1" w:rsidRPr="008F13D1">
        <w:rPr>
          <w:rFonts w:asciiTheme="majorHAnsi" w:eastAsia="Times New Roman" w:hAnsiTheme="majorHAnsi"/>
          <w:color w:val="000000" w:themeColor="text1"/>
          <w:sz w:val="20"/>
          <w:szCs w:val="20"/>
          <w:bdr w:val="none" w:sz="0" w:space="0" w:color="auto"/>
          <w:lang w:val="es-CO"/>
        </w:rPr>
        <w:t xml:space="preserve">3 y 5 de la Declaración Universal de los Derechos </w:t>
      </w:r>
      <w:r w:rsidR="00E013EA">
        <w:rPr>
          <w:rFonts w:asciiTheme="majorHAnsi" w:eastAsia="Times New Roman" w:hAnsiTheme="majorHAnsi"/>
          <w:color w:val="000000" w:themeColor="text1"/>
          <w:sz w:val="20"/>
          <w:szCs w:val="20"/>
          <w:bdr w:val="none" w:sz="0" w:space="0" w:color="auto"/>
          <w:lang w:val="es-CO"/>
        </w:rPr>
        <w:t xml:space="preserve">Humanos, </w:t>
      </w:r>
      <w:r w:rsidR="008F13D1" w:rsidRPr="008F13D1">
        <w:rPr>
          <w:rFonts w:asciiTheme="majorHAnsi" w:eastAsia="Times New Roman" w:hAnsiTheme="majorHAnsi"/>
          <w:color w:val="000000" w:themeColor="text1"/>
          <w:sz w:val="20"/>
          <w:szCs w:val="20"/>
          <w:bdr w:val="none" w:sz="0" w:space="0" w:color="auto"/>
          <w:lang w:val="es-CO"/>
        </w:rPr>
        <w:t>la C</w:t>
      </w:r>
      <w:r w:rsidR="00E013EA">
        <w:rPr>
          <w:rFonts w:asciiTheme="majorHAnsi" w:eastAsia="Times New Roman" w:hAnsiTheme="majorHAnsi"/>
          <w:color w:val="000000" w:themeColor="text1"/>
          <w:sz w:val="20"/>
          <w:szCs w:val="20"/>
          <w:bdr w:val="none" w:sz="0" w:space="0" w:color="auto"/>
          <w:lang w:val="es-CO"/>
        </w:rPr>
        <w:t>omisión carece de competencia</w:t>
      </w:r>
      <w:r w:rsidR="008F13D1" w:rsidRPr="008F13D1">
        <w:rPr>
          <w:rFonts w:asciiTheme="majorHAnsi" w:eastAsia="Times New Roman" w:hAnsiTheme="majorHAnsi"/>
          <w:color w:val="000000" w:themeColor="text1"/>
          <w:sz w:val="20"/>
          <w:szCs w:val="20"/>
          <w:bdr w:val="none" w:sz="0" w:space="0" w:color="auto"/>
          <w:lang w:val="es-CO"/>
        </w:rPr>
        <w:t xml:space="preserve"> respecto</w:t>
      </w:r>
      <w:r w:rsidR="00E013EA">
        <w:rPr>
          <w:rFonts w:asciiTheme="majorHAnsi" w:eastAsia="Times New Roman" w:hAnsiTheme="majorHAnsi"/>
          <w:color w:val="000000" w:themeColor="text1"/>
          <w:sz w:val="20"/>
          <w:szCs w:val="20"/>
          <w:bdr w:val="none" w:sz="0" w:space="0" w:color="auto"/>
          <w:lang w:val="es-CO"/>
        </w:rPr>
        <w:t xml:space="preserve"> a tales instrumentos</w:t>
      </w:r>
      <w:r w:rsidR="008F13D1" w:rsidRPr="008F13D1">
        <w:rPr>
          <w:rFonts w:asciiTheme="majorHAnsi" w:eastAsia="Times New Roman" w:hAnsiTheme="majorHAnsi"/>
          <w:color w:val="000000" w:themeColor="text1"/>
          <w:sz w:val="20"/>
          <w:szCs w:val="20"/>
          <w:bdr w:val="none" w:sz="0" w:space="0" w:color="auto"/>
          <w:lang w:val="es-CO"/>
        </w:rPr>
        <w:t>, sin perjuicio de lo cual puede utilizarlo</w:t>
      </w:r>
      <w:r w:rsidR="00E013EA">
        <w:rPr>
          <w:rFonts w:asciiTheme="majorHAnsi" w:eastAsia="Times New Roman" w:hAnsiTheme="majorHAnsi"/>
          <w:color w:val="000000" w:themeColor="text1"/>
          <w:sz w:val="20"/>
          <w:szCs w:val="20"/>
          <w:bdr w:val="none" w:sz="0" w:space="0" w:color="auto"/>
          <w:lang w:val="es-CO"/>
        </w:rPr>
        <w:t>s</w:t>
      </w:r>
      <w:r w:rsidR="008F13D1" w:rsidRPr="008F13D1">
        <w:rPr>
          <w:rFonts w:asciiTheme="majorHAnsi" w:eastAsia="Times New Roman" w:hAnsiTheme="majorHAnsi"/>
          <w:color w:val="000000" w:themeColor="text1"/>
          <w:sz w:val="20"/>
          <w:szCs w:val="20"/>
          <w:bdr w:val="none" w:sz="0" w:space="0" w:color="auto"/>
          <w:lang w:val="es-CO"/>
        </w:rPr>
        <w:t xml:space="preserve"> como pauta de interpretación de las obligaciones convencionales, a luz de lo establecido en el artículo 29 de la Convención Americana.</w:t>
      </w:r>
    </w:p>
    <w:p w14:paraId="500D273C" w14:textId="477B19F5" w:rsidR="008F13D1" w:rsidRPr="008F13D1" w:rsidRDefault="008F13D1" w:rsidP="008F1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left="720" w:right="474"/>
        <w:rPr>
          <w:rFonts w:asciiTheme="majorHAnsi" w:eastAsia="Times New Roman" w:hAnsiTheme="majorHAnsi"/>
          <w:color w:val="000000" w:themeColor="text1"/>
          <w:sz w:val="20"/>
          <w:szCs w:val="20"/>
          <w:bdr w:val="none" w:sz="0" w:space="0" w:color="auto"/>
          <w:lang w:val="es-CO"/>
        </w:rPr>
      </w:pPr>
      <w:r w:rsidRPr="008F13D1">
        <w:rPr>
          <w:rFonts w:asciiTheme="majorHAnsi" w:eastAsia="Times New Roman" w:hAnsiTheme="majorHAnsi"/>
          <w:b/>
          <w:bCs/>
          <w:color w:val="000000" w:themeColor="text1"/>
          <w:sz w:val="20"/>
          <w:szCs w:val="20"/>
          <w:bdr w:val="none" w:sz="0" w:space="0" w:color="auto"/>
          <w:lang w:val="es-CO"/>
        </w:rPr>
        <w:t>VIII. DECISIÓN</w:t>
      </w:r>
    </w:p>
    <w:p w14:paraId="23A7196B" w14:textId="23362FCC" w:rsidR="008F13D1" w:rsidRPr="008F13D1" w:rsidRDefault="008F13D1"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Theme="majorHAnsi" w:eastAsia="Times New Roman" w:hAnsiTheme="majorHAnsi"/>
          <w:color w:val="000000" w:themeColor="text1"/>
          <w:sz w:val="20"/>
          <w:szCs w:val="20"/>
          <w:bdr w:val="none" w:sz="0" w:space="0" w:color="auto"/>
          <w:lang w:val="es-CO"/>
        </w:rPr>
      </w:pPr>
      <w:r w:rsidRPr="008F13D1">
        <w:rPr>
          <w:rFonts w:asciiTheme="majorHAnsi" w:eastAsia="Times New Roman" w:hAnsiTheme="majorHAnsi"/>
          <w:color w:val="000000" w:themeColor="text1"/>
          <w:sz w:val="20"/>
          <w:szCs w:val="20"/>
          <w:bdr w:val="none" w:sz="0" w:space="0" w:color="auto"/>
          <w:lang w:val="es-CO"/>
        </w:rPr>
        <w:t>1.</w:t>
      </w:r>
      <w:r>
        <w:rPr>
          <w:rFonts w:asciiTheme="majorHAnsi" w:eastAsia="Times New Roman" w:hAnsiTheme="majorHAnsi"/>
          <w:color w:val="000000" w:themeColor="text1"/>
          <w:sz w:val="20"/>
          <w:szCs w:val="20"/>
          <w:bdr w:val="none" w:sz="0" w:space="0" w:color="auto"/>
          <w:lang w:val="es-CO"/>
        </w:rPr>
        <w:tab/>
      </w:r>
      <w:r w:rsidRPr="008F13D1">
        <w:rPr>
          <w:rFonts w:asciiTheme="majorHAnsi" w:eastAsia="Times New Roman" w:hAnsiTheme="majorHAnsi"/>
          <w:color w:val="000000" w:themeColor="text1"/>
          <w:sz w:val="20"/>
          <w:szCs w:val="20"/>
          <w:bdr w:val="none" w:sz="0" w:space="0" w:color="auto"/>
          <w:lang w:val="es-CO"/>
        </w:rPr>
        <w:t>Declarar admisible la presente petición en relación con los artículos 4,</w:t>
      </w:r>
      <w:r w:rsidR="002C0C0A">
        <w:rPr>
          <w:rFonts w:asciiTheme="majorHAnsi" w:eastAsia="Times New Roman" w:hAnsiTheme="majorHAnsi"/>
          <w:color w:val="000000" w:themeColor="text1"/>
          <w:sz w:val="20"/>
          <w:szCs w:val="20"/>
          <w:bdr w:val="none" w:sz="0" w:space="0" w:color="auto"/>
          <w:lang w:val="es-CO"/>
        </w:rPr>
        <w:t xml:space="preserve"> </w:t>
      </w:r>
      <w:r w:rsidRPr="008F13D1">
        <w:rPr>
          <w:rFonts w:asciiTheme="majorHAnsi" w:eastAsia="Times New Roman" w:hAnsiTheme="majorHAnsi"/>
          <w:color w:val="000000" w:themeColor="text1"/>
          <w:sz w:val="20"/>
          <w:szCs w:val="20"/>
          <w:bdr w:val="none" w:sz="0" w:space="0" w:color="auto"/>
          <w:lang w:val="es-CO"/>
        </w:rPr>
        <w:t>5,</w:t>
      </w:r>
      <w:r w:rsidR="002C0C0A">
        <w:rPr>
          <w:rFonts w:asciiTheme="majorHAnsi" w:eastAsia="Times New Roman" w:hAnsiTheme="majorHAnsi"/>
          <w:color w:val="000000" w:themeColor="text1"/>
          <w:sz w:val="20"/>
          <w:szCs w:val="20"/>
          <w:bdr w:val="none" w:sz="0" w:space="0" w:color="auto"/>
          <w:lang w:val="es-CO"/>
        </w:rPr>
        <w:t xml:space="preserve"> 7, </w:t>
      </w:r>
      <w:r w:rsidRPr="008F13D1">
        <w:rPr>
          <w:rFonts w:asciiTheme="majorHAnsi" w:eastAsia="Times New Roman" w:hAnsiTheme="majorHAnsi"/>
          <w:color w:val="000000" w:themeColor="text1"/>
          <w:sz w:val="20"/>
          <w:szCs w:val="20"/>
          <w:bdr w:val="none" w:sz="0" w:space="0" w:color="auto"/>
          <w:lang w:val="es-CO"/>
        </w:rPr>
        <w:t>8</w:t>
      </w:r>
      <w:r w:rsidR="00C04640">
        <w:rPr>
          <w:rFonts w:asciiTheme="majorHAnsi" w:eastAsia="Times New Roman" w:hAnsiTheme="majorHAnsi"/>
          <w:color w:val="000000" w:themeColor="text1"/>
          <w:sz w:val="20"/>
          <w:szCs w:val="20"/>
          <w:bdr w:val="none" w:sz="0" w:space="0" w:color="auto"/>
          <w:lang w:val="es-CO"/>
        </w:rPr>
        <w:t>, 24</w:t>
      </w:r>
      <w:r w:rsidRPr="008F13D1">
        <w:rPr>
          <w:rFonts w:asciiTheme="majorHAnsi" w:eastAsia="Times New Roman" w:hAnsiTheme="majorHAnsi"/>
          <w:color w:val="000000" w:themeColor="text1"/>
          <w:sz w:val="20"/>
          <w:szCs w:val="20"/>
          <w:bdr w:val="none" w:sz="0" w:space="0" w:color="auto"/>
          <w:lang w:val="es-CO"/>
        </w:rPr>
        <w:t xml:space="preserve"> y 25 de la Convención Americana, con relación a su artículo 1; así como los artículos 7 de la Convención Belén do Para; y</w:t>
      </w:r>
      <w:r w:rsidR="002C0C0A">
        <w:rPr>
          <w:rFonts w:asciiTheme="majorHAnsi" w:eastAsia="Times New Roman" w:hAnsiTheme="majorHAnsi"/>
          <w:color w:val="000000" w:themeColor="text1"/>
          <w:sz w:val="20"/>
          <w:szCs w:val="20"/>
          <w:bdr w:val="none" w:sz="0" w:space="0" w:color="auto"/>
          <w:lang w:val="es-CO"/>
        </w:rPr>
        <w:t xml:space="preserve"> los artículos 1,</w:t>
      </w:r>
      <w:r w:rsidRPr="008F13D1">
        <w:rPr>
          <w:rFonts w:asciiTheme="majorHAnsi" w:eastAsia="Times New Roman" w:hAnsiTheme="majorHAnsi"/>
          <w:color w:val="000000" w:themeColor="text1"/>
          <w:sz w:val="20"/>
          <w:szCs w:val="20"/>
          <w:bdr w:val="none" w:sz="0" w:space="0" w:color="auto"/>
          <w:lang w:val="es-CO"/>
        </w:rPr>
        <w:t>6 y 8 de la Convención Interamericana para Prevenir y Sancionar la Tortura</w:t>
      </w:r>
      <w:r w:rsidR="00C04640">
        <w:rPr>
          <w:rFonts w:asciiTheme="majorHAnsi" w:eastAsia="Times New Roman" w:hAnsiTheme="majorHAnsi"/>
          <w:color w:val="000000" w:themeColor="text1"/>
          <w:sz w:val="20"/>
          <w:szCs w:val="20"/>
          <w:bdr w:val="none" w:sz="0" w:space="0" w:color="auto"/>
          <w:lang w:val="es-CO"/>
        </w:rPr>
        <w:t>;</w:t>
      </w:r>
    </w:p>
    <w:p w14:paraId="11E6F379" w14:textId="7DDC8AA6" w:rsidR="008F13D1" w:rsidRDefault="008F13D1" w:rsidP="00954B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Theme="majorHAnsi" w:eastAsia="Times New Roman" w:hAnsiTheme="majorHAnsi"/>
          <w:color w:val="000000" w:themeColor="text1"/>
          <w:sz w:val="20"/>
          <w:szCs w:val="20"/>
          <w:bdr w:val="none" w:sz="0" w:space="0" w:color="auto"/>
          <w:lang w:val="es-CO"/>
        </w:rPr>
      </w:pPr>
      <w:r w:rsidRPr="008F13D1">
        <w:rPr>
          <w:rFonts w:asciiTheme="majorHAnsi" w:eastAsia="Times New Roman" w:hAnsiTheme="majorHAnsi"/>
          <w:color w:val="000000" w:themeColor="text1"/>
          <w:sz w:val="20"/>
          <w:szCs w:val="20"/>
          <w:bdr w:val="none" w:sz="0" w:space="0" w:color="auto"/>
          <w:lang w:val="es-CO"/>
        </w:rPr>
        <w:lastRenderedPageBreak/>
        <w:t>2.</w:t>
      </w:r>
      <w:r>
        <w:rPr>
          <w:rFonts w:asciiTheme="majorHAnsi" w:eastAsia="Times New Roman" w:hAnsiTheme="majorHAnsi"/>
          <w:color w:val="000000" w:themeColor="text1"/>
          <w:sz w:val="20"/>
          <w:szCs w:val="20"/>
          <w:bdr w:val="none" w:sz="0" w:space="0" w:color="auto"/>
          <w:lang w:val="es-CO"/>
        </w:rPr>
        <w:tab/>
      </w:r>
      <w:r w:rsidRPr="008F13D1">
        <w:rPr>
          <w:rFonts w:asciiTheme="majorHAnsi" w:eastAsia="Times New Roman" w:hAnsiTheme="majorHAnsi"/>
          <w:color w:val="000000" w:themeColor="text1"/>
          <w:sz w:val="20"/>
          <w:szCs w:val="20"/>
          <w:bdr w:val="none" w:sz="0" w:space="0" w:color="auto"/>
          <w:lang w:val="es-CO"/>
        </w:rPr>
        <w:t>Declarar inadmisible la presente petición en relación con la presunta violación del artículo 1 de la Convención Interamericana sobre Desaparición Forzada</w:t>
      </w:r>
      <w:r w:rsidR="002C0C0A">
        <w:rPr>
          <w:rFonts w:asciiTheme="majorHAnsi" w:eastAsia="Times New Roman" w:hAnsiTheme="majorHAnsi"/>
          <w:color w:val="000000" w:themeColor="text1"/>
          <w:sz w:val="20"/>
          <w:szCs w:val="20"/>
          <w:bdr w:val="none" w:sz="0" w:space="0" w:color="auto"/>
          <w:lang w:val="es-CO"/>
        </w:rPr>
        <w:t>;</w:t>
      </w:r>
    </w:p>
    <w:p w14:paraId="643210F0" w14:textId="77777777" w:rsidR="008F13D1" w:rsidRDefault="008F13D1" w:rsidP="008F1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474" w:firstLine="720"/>
        <w:jc w:val="both"/>
        <w:rPr>
          <w:rFonts w:asciiTheme="majorHAnsi" w:eastAsia="Times New Roman" w:hAnsiTheme="majorHAnsi"/>
          <w:color w:val="000000" w:themeColor="text1"/>
          <w:sz w:val="20"/>
          <w:szCs w:val="20"/>
          <w:bdr w:val="none" w:sz="0" w:space="0" w:color="auto"/>
          <w:lang w:val="es-CO"/>
        </w:rPr>
      </w:pPr>
    </w:p>
    <w:p w14:paraId="3D77DE6D" w14:textId="041DD5EC" w:rsidR="008F13D1" w:rsidRPr="008F13D1" w:rsidRDefault="008F13D1" w:rsidP="00954B05">
      <w:pPr>
        <w:pStyle w:val="ListParagraph"/>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Theme="majorHAnsi" w:eastAsia="Times New Roman" w:hAnsiTheme="majorHAnsi"/>
          <w:color w:val="000000" w:themeColor="text1"/>
          <w:sz w:val="20"/>
          <w:szCs w:val="20"/>
          <w:bdr w:val="none" w:sz="0" w:space="0" w:color="auto"/>
          <w:lang w:val="es-CO"/>
        </w:rPr>
      </w:pPr>
      <w:r w:rsidRPr="008F13D1">
        <w:rPr>
          <w:rFonts w:asciiTheme="majorHAnsi" w:eastAsia="Times New Roman" w:hAnsiTheme="majorHAnsi"/>
          <w:color w:val="000000" w:themeColor="text1"/>
          <w:sz w:val="20"/>
          <w:szCs w:val="20"/>
          <w:bdr w:val="none" w:sz="0" w:space="0" w:color="auto"/>
          <w:lang w:val="es-CO"/>
        </w:rPr>
        <w:t>Notificar a las partes la presente decisión; continuar con el análisis del fondo de la cuestión; y publicar esta decisión e incluirla en su Informe Anual a la Asamblea General de la Organización de los Estados Americanos.</w:t>
      </w:r>
    </w:p>
    <w:p w14:paraId="7CD4DFBD" w14:textId="77777777" w:rsidR="003239B8" w:rsidRPr="008F13D1" w:rsidRDefault="003239B8" w:rsidP="000B6F04">
      <w:pPr>
        <w:pStyle w:val="ListParagraph"/>
        <w:suppressAutoHyphens/>
        <w:ind w:left="1440" w:hanging="720"/>
        <w:rPr>
          <w:rFonts w:asciiTheme="majorHAnsi" w:hAnsiTheme="majorHAnsi"/>
          <w:noProof/>
          <w:color w:val="000000" w:themeColor="text1"/>
          <w:sz w:val="20"/>
          <w:szCs w:val="20"/>
          <w:lang w:val="es-CO"/>
        </w:rPr>
      </w:pPr>
    </w:p>
    <w:p w14:paraId="06EDA444" w14:textId="44DA52DB" w:rsidR="005B6700" w:rsidRPr="00396544" w:rsidRDefault="005B6700" w:rsidP="005B6700">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043682">
        <w:rPr>
          <w:sz w:val="20"/>
          <w:szCs w:val="20"/>
          <w:lang w:val="es-US"/>
        </w:rPr>
        <w:t>May</w:t>
      </w:r>
      <w:r w:rsidRPr="00091857">
        <w:rPr>
          <w:sz w:val="20"/>
          <w:szCs w:val="20"/>
          <w:lang w:val="es-ES"/>
        </w:rPr>
        <w:t xml:space="preserve"> </w:t>
      </w:r>
      <w:r w:rsidRPr="00043682">
        <w:rPr>
          <w:sz w:val="20"/>
          <w:szCs w:val="20"/>
          <w:lang w:val="es-US"/>
        </w:rPr>
        <w:t>Macaulay</w:t>
      </w:r>
      <w:r w:rsidRPr="00091857">
        <w:rPr>
          <w:sz w:val="20"/>
          <w:szCs w:val="20"/>
          <w:lang w:val="es-ES"/>
        </w:rPr>
        <w:t xml:space="preserve">, Presidenta; Esmeralda E. Arosemena Bernal de Troitiño, Primera Vicepresidenta;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14:paraId="4A2E8BD9" w14:textId="77777777" w:rsidR="005B6700" w:rsidRDefault="005B6700" w:rsidP="005B6700">
      <w:pPr>
        <w:pStyle w:val="ListParagraph"/>
        <w:suppressAutoHyphens/>
        <w:ind w:left="0" w:firstLine="720"/>
        <w:jc w:val="both"/>
        <w:rPr>
          <w:sz w:val="20"/>
          <w:szCs w:val="20"/>
          <w:lang w:val="es-ES"/>
        </w:rPr>
      </w:pPr>
    </w:p>
    <w:sectPr w:rsidR="005B670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EBAC5" w14:textId="77777777" w:rsidR="009404D0" w:rsidRDefault="009404D0">
      <w:r>
        <w:separator/>
      </w:r>
    </w:p>
  </w:endnote>
  <w:endnote w:type="continuationSeparator" w:id="0">
    <w:p w14:paraId="073B7318" w14:textId="77777777" w:rsidR="009404D0" w:rsidRDefault="0094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30FB" w14:textId="77777777" w:rsidR="00043682" w:rsidRDefault="0004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368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2AB4" w14:textId="77777777" w:rsidR="009404D0" w:rsidRPr="000F35ED" w:rsidRDefault="009404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015E1C" w14:textId="77777777" w:rsidR="009404D0" w:rsidRPr="000F35ED" w:rsidRDefault="009404D0" w:rsidP="000F35ED">
      <w:pPr>
        <w:rPr>
          <w:rFonts w:asciiTheme="majorHAnsi" w:hAnsiTheme="majorHAnsi"/>
          <w:sz w:val="16"/>
          <w:szCs w:val="16"/>
        </w:rPr>
      </w:pPr>
      <w:r w:rsidRPr="000F35ED">
        <w:rPr>
          <w:rFonts w:asciiTheme="majorHAnsi" w:hAnsiTheme="majorHAnsi"/>
          <w:sz w:val="16"/>
          <w:szCs w:val="16"/>
        </w:rPr>
        <w:separator/>
      </w:r>
    </w:p>
    <w:p w14:paraId="5B845B85" w14:textId="77777777" w:rsidR="009404D0" w:rsidRPr="000F35ED" w:rsidRDefault="009404D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D2D0F87" w14:textId="77777777" w:rsidR="009404D0" w:rsidRPr="000F35ED" w:rsidRDefault="009404D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918FD88" w14:textId="14465650" w:rsidR="006950D6" w:rsidRPr="001F6999" w:rsidRDefault="006950D6" w:rsidP="000B6F04">
      <w:pPr>
        <w:pStyle w:val="FootnoteText"/>
        <w:ind w:firstLine="720"/>
        <w:jc w:val="both"/>
        <w:rPr>
          <w:rFonts w:asciiTheme="majorHAnsi" w:hAnsiTheme="majorHAnsi"/>
          <w:sz w:val="16"/>
          <w:szCs w:val="16"/>
          <w:lang w:val="es-BO"/>
        </w:rPr>
      </w:pPr>
      <w:r w:rsidRPr="001F6999">
        <w:rPr>
          <w:rStyle w:val="FootnoteReference"/>
          <w:rFonts w:asciiTheme="majorHAnsi" w:hAnsiTheme="majorHAnsi"/>
          <w:sz w:val="16"/>
          <w:szCs w:val="16"/>
        </w:rPr>
        <w:footnoteRef/>
      </w:r>
      <w:r w:rsidRPr="001F6999">
        <w:rPr>
          <w:rFonts w:asciiTheme="majorHAnsi" w:hAnsiTheme="majorHAnsi"/>
          <w:sz w:val="16"/>
          <w:szCs w:val="16"/>
          <w:lang w:val="es-CO"/>
        </w:rPr>
        <w:t xml:space="preserve"> La petición fue presentada inicialmente con la solicitud de reserva de identidad por ser familiares de la presunta víctima</w:t>
      </w:r>
      <w:r w:rsidR="00497A6F" w:rsidRPr="001F6999">
        <w:rPr>
          <w:rFonts w:asciiTheme="majorHAnsi" w:hAnsiTheme="majorHAnsi"/>
          <w:sz w:val="16"/>
          <w:szCs w:val="16"/>
          <w:lang w:val="es-CO"/>
        </w:rPr>
        <w:t>;</w:t>
      </w:r>
      <w:r w:rsidRPr="001F6999">
        <w:rPr>
          <w:rFonts w:asciiTheme="majorHAnsi" w:hAnsiTheme="majorHAnsi"/>
          <w:sz w:val="16"/>
          <w:szCs w:val="16"/>
          <w:lang w:val="es-CO"/>
        </w:rPr>
        <w:t xml:space="preserve">  sin embargo, mediante nota de 11 de junio de 2010 los peticionarios in</w:t>
      </w:r>
      <w:r w:rsidR="00497A6F" w:rsidRPr="001F6999">
        <w:rPr>
          <w:rFonts w:asciiTheme="majorHAnsi" w:hAnsiTheme="majorHAnsi"/>
          <w:sz w:val="16"/>
          <w:szCs w:val="16"/>
          <w:lang w:val="es-CO"/>
        </w:rPr>
        <w:t>i</w:t>
      </w:r>
      <w:r w:rsidRPr="001F6999">
        <w:rPr>
          <w:rFonts w:asciiTheme="majorHAnsi" w:hAnsiTheme="majorHAnsi"/>
          <w:sz w:val="16"/>
          <w:szCs w:val="16"/>
          <w:lang w:val="es-CO"/>
        </w:rPr>
        <w:t>ciales</w:t>
      </w:r>
      <w:r w:rsidR="00497A6F" w:rsidRPr="001F6999">
        <w:rPr>
          <w:rFonts w:asciiTheme="majorHAnsi" w:hAnsiTheme="majorHAnsi"/>
          <w:sz w:val="16"/>
          <w:szCs w:val="16"/>
          <w:lang w:val="es-CO"/>
        </w:rPr>
        <w:t xml:space="preserve"> i</w:t>
      </w:r>
      <w:r w:rsidRPr="001F6999">
        <w:rPr>
          <w:rFonts w:asciiTheme="majorHAnsi" w:hAnsiTheme="majorHAnsi"/>
          <w:sz w:val="16"/>
          <w:szCs w:val="16"/>
          <w:lang w:val="es-CO"/>
        </w:rPr>
        <w:t xml:space="preserve">nformaron a la CIDH </w:t>
      </w:r>
      <w:r w:rsidR="00497A6F" w:rsidRPr="001F6999">
        <w:rPr>
          <w:rFonts w:asciiTheme="majorHAnsi" w:hAnsiTheme="majorHAnsi"/>
          <w:sz w:val="16"/>
          <w:szCs w:val="16"/>
          <w:lang w:val="es-CO"/>
        </w:rPr>
        <w:t>que otorgaron poder a</w:t>
      </w:r>
      <w:r w:rsidR="001F6999">
        <w:rPr>
          <w:rFonts w:asciiTheme="majorHAnsi" w:hAnsiTheme="majorHAnsi"/>
          <w:sz w:val="16"/>
          <w:szCs w:val="16"/>
          <w:lang w:val="es-CO"/>
        </w:rPr>
        <w:t>l señor</w:t>
      </w:r>
      <w:r w:rsidR="00497A6F" w:rsidRPr="001F6999">
        <w:rPr>
          <w:rFonts w:asciiTheme="majorHAnsi" w:hAnsiTheme="majorHAnsi"/>
          <w:sz w:val="16"/>
          <w:szCs w:val="16"/>
          <w:lang w:val="es-CO"/>
        </w:rPr>
        <w:t xml:space="preserve"> Leonardo Fidel Guerra.</w:t>
      </w:r>
    </w:p>
  </w:footnote>
  <w:footnote w:id="3">
    <w:p w14:paraId="00153C7A" w14:textId="5B242C89" w:rsidR="00497A6F" w:rsidRPr="001F6999" w:rsidRDefault="004A6A54" w:rsidP="001F6999">
      <w:pPr>
        <w:pStyle w:val="FootnoteText"/>
        <w:spacing w:before="120"/>
        <w:ind w:firstLine="720"/>
        <w:jc w:val="both"/>
        <w:rPr>
          <w:rFonts w:asciiTheme="majorHAnsi" w:hAnsiTheme="majorHAnsi"/>
          <w:sz w:val="16"/>
          <w:szCs w:val="16"/>
          <w:lang w:val="es-ES"/>
        </w:rPr>
      </w:pPr>
      <w:r w:rsidRPr="001F6999">
        <w:rPr>
          <w:rStyle w:val="FootnoteReference"/>
          <w:rFonts w:asciiTheme="majorHAnsi" w:hAnsiTheme="majorHAnsi"/>
          <w:sz w:val="16"/>
          <w:szCs w:val="16"/>
        </w:rPr>
        <w:footnoteRef/>
      </w:r>
      <w:r w:rsidRPr="001F6999">
        <w:rPr>
          <w:rFonts w:asciiTheme="majorHAnsi" w:hAnsiTheme="majorHAnsi"/>
          <w:sz w:val="16"/>
          <w:szCs w:val="16"/>
          <w:lang w:val="es-ES"/>
        </w:rPr>
        <w:t xml:space="preserve"> Conforme a lo dispuesto en el artículo 17.2.a del Reglamento de la Comisión, el Comisionado </w:t>
      </w:r>
      <w:r w:rsidR="001F4D8F" w:rsidRPr="001F6999">
        <w:rPr>
          <w:rFonts w:asciiTheme="majorHAnsi" w:hAnsiTheme="majorHAnsi" w:cs="Tahoma"/>
          <w:bCs/>
          <w:color w:val="333333"/>
          <w:sz w:val="16"/>
          <w:szCs w:val="16"/>
          <w:shd w:val="clear" w:color="auto" w:fill="FFFFFF"/>
          <w:lang w:val="es-CO"/>
        </w:rPr>
        <w:t>Luis Ernesto Vargas Silva</w:t>
      </w:r>
      <w:r w:rsidRPr="001F6999">
        <w:rPr>
          <w:rFonts w:asciiTheme="majorHAnsi" w:hAnsiTheme="majorHAnsi"/>
          <w:sz w:val="16"/>
          <w:szCs w:val="16"/>
          <w:lang w:val="es-ES"/>
        </w:rPr>
        <w:t xml:space="preserve">, de nacionalidad </w:t>
      </w:r>
      <w:r w:rsidR="001F4D8F" w:rsidRPr="001F6999">
        <w:rPr>
          <w:rFonts w:asciiTheme="majorHAnsi" w:hAnsiTheme="majorHAnsi"/>
          <w:sz w:val="16"/>
          <w:szCs w:val="16"/>
          <w:lang w:val="es-ES"/>
        </w:rPr>
        <w:t>colombiana</w:t>
      </w:r>
      <w:r w:rsidRPr="001F6999">
        <w:rPr>
          <w:rFonts w:asciiTheme="majorHAnsi" w:hAnsiTheme="majorHAnsi"/>
          <w:sz w:val="16"/>
          <w:szCs w:val="16"/>
          <w:lang w:val="es-ES"/>
        </w:rPr>
        <w:t>, no participó en el debate ni en la decisión del presente asunto.</w:t>
      </w:r>
    </w:p>
  </w:footnote>
  <w:footnote w:id="4">
    <w:p w14:paraId="2DCA1A37" w14:textId="19F21D97" w:rsidR="00A4466C" w:rsidRPr="001F6999" w:rsidRDefault="00A4466C" w:rsidP="001F6999">
      <w:pPr>
        <w:pStyle w:val="FootnoteText"/>
        <w:spacing w:before="120"/>
        <w:ind w:firstLine="720"/>
        <w:jc w:val="both"/>
        <w:rPr>
          <w:rFonts w:asciiTheme="majorHAnsi" w:hAnsiTheme="majorHAnsi"/>
          <w:sz w:val="16"/>
          <w:szCs w:val="16"/>
          <w:lang w:val="es-CO"/>
        </w:rPr>
      </w:pPr>
      <w:r w:rsidRPr="001F6999">
        <w:rPr>
          <w:rStyle w:val="FootnoteReference"/>
          <w:rFonts w:asciiTheme="majorHAnsi" w:hAnsiTheme="majorHAnsi"/>
          <w:sz w:val="16"/>
          <w:szCs w:val="16"/>
        </w:rPr>
        <w:footnoteRef/>
      </w:r>
      <w:r w:rsidRPr="001F6999">
        <w:rPr>
          <w:rFonts w:asciiTheme="majorHAnsi" w:hAnsiTheme="majorHAnsi"/>
          <w:sz w:val="16"/>
          <w:szCs w:val="16"/>
          <w:lang w:val="es-CO"/>
        </w:rPr>
        <w:t xml:space="preserve"> En adelante “Convención” o “Convención Americana”</w:t>
      </w:r>
      <w:r w:rsidR="00800678" w:rsidRPr="001F6999">
        <w:rPr>
          <w:rFonts w:asciiTheme="majorHAnsi" w:hAnsiTheme="majorHAnsi"/>
          <w:sz w:val="16"/>
          <w:szCs w:val="16"/>
          <w:lang w:val="es-CO"/>
        </w:rPr>
        <w:t>.</w:t>
      </w:r>
    </w:p>
  </w:footnote>
  <w:footnote w:id="5">
    <w:p w14:paraId="0EDEBAE5" w14:textId="4C5EADB2" w:rsidR="00495F95" w:rsidRPr="001F6999" w:rsidRDefault="00495F95" w:rsidP="001F6999">
      <w:pPr>
        <w:pStyle w:val="FootnoteText"/>
        <w:spacing w:before="120"/>
        <w:ind w:firstLine="720"/>
        <w:jc w:val="both"/>
        <w:rPr>
          <w:rFonts w:asciiTheme="majorHAnsi" w:hAnsiTheme="majorHAnsi"/>
          <w:sz w:val="16"/>
          <w:szCs w:val="16"/>
          <w:lang w:val="es-CO"/>
        </w:rPr>
      </w:pPr>
      <w:r w:rsidRPr="001F6999">
        <w:rPr>
          <w:rStyle w:val="FootnoteReference"/>
          <w:rFonts w:asciiTheme="majorHAnsi" w:hAnsiTheme="majorHAnsi"/>
          <w:sz w:val="16"/>
          <w:szCs w:val="16"/>
        </w:rPr>
        <w:footnoteRef/>
      </w:r>
      <w:r w:rsidRPr="001F6999">
        <w:rPr>
          <w:rFonts w:asciiTheme="majorHAnsi" w:hAnsiTheme="majorHAnsi"/>
          <w:sz w:val="16"/>
          <w:szCs w:val="16"/>
          <w:lang w:val="es-CO"/>
        </w:rPr>
        <w:t xml:space="preserve"> Artículos </w:t>
      </w:r>
      <w:r w:rsidR="00A606E1" w:rsidRPr="001F6999">
        <w:rPr>
          <w:rFonts w:asciiTheme="majorHAnsi" w:hAnsiTheme="majorHAnsi"/>
          <w:sz w:val="16"/>
          <w:szCs w:val="16"/>
          <w:lang w:val="es-CO"/>
        </w:rPr>
        <w:t>3 y 5 de la Declaración Universal de los Derechos Humanos</w:t>
      </w:r>
      <w:r w:rsidR="00800678" w:rsidRPr="001F6999">
        <w:rPr>
          <w:rFonts w:asciiTheme="majorHAnsi" w:hAnsiTheme="majorHAnsi"/>
          <w:sz w:val="16"/>
          <w:szCs w:val="16"/>
          <w:lang w:val="es-CO"/>
        </w:rPr>
        <w:t xml:space="preserve"> y artículos</w:t>
      </w:r>
      <w:r w:rsidR="00A606E1">
        <w:rPr>
          <w:rFonts w:asciiTheme="majorHAnsi" w:hAnsiTheme="majorHAnsi"/>
          <w:sz w:val="16"/>
          <w:szCs w:val="16"/>
          <w:lang w:val="es-CO"/>
        </w:rPr>
        <w:t xml:space="preserve"> </w:t>
      </w:r>
      <w:r w:rsidR="00A606E1" w:rsidRPr="001F6999">
        <w:rPr>
          <w:rFonts w:asciiTheme="majorHAnsi" w:hAnsiTheme="majorHAnsi"/>
          <w:sz w:val="16"/>
          <w:szCs w:val="16"/>
          <w:lang w:val="es-CO"/>
        </w:rPr>
        <w:t>7 del Pacto Internacional de los Derechos Civiles y Políticos</w:t>
      </w:r>
      <w:r w:rsidRPr="001F6999">
        <w:rPr>
          <w:rFonts w:asciiTheme="majorHAnsi" w:hAnsiTheme="majorHAnsi"/>
          <w:sz w:val="16"/>
          <w:szCs w:val="16"/>
          <w:lang w:val="es-CO"/>
        </w:rPr>
        <w:t>.</w:t>
      </w:r>
    </w:p>
  </w:footnote>
  <w:footnote w:id="6">
    <w:p w14:paraId="79F07139" w14:textId="77777777" w:rsidR="008E3BFE" w:rsidRPr="001F6999" w:rsidRDefault="008E3BFE" w:rsidP="001F6999">
      <w:pPr>
        <w:pStyle w:val="FootnoteText"/>
        <w:spacing w:before="120" w:after="120"/>
        <w:ind w:firstLine="720"/>
        <w:jc w:val="both"/>
        <w:rPr>
          <w:rFonts w:asciiTheme="majorHAnsi" w:hAnsiTheme="majorHAnsi"/>
          <w:sz w:val="16"/>
          <w:szCs w:val="16"/>
          <w:lang w:val="es-ES"/>
        </w:rPr>
      </w:pPr>
      <w:r w:rsidRPr="001F6999">
        <w:rPr>
          <w:rStyle w:val="FootnoteReference"/>
          <w:rFonts w:asciiTheme="majorHAnsi" w:hAnsiTheme="majorHAnsi"/>
          <w:sz w:val="16"/>
          <w:szCs w:val="16"/>
        </w:rPr>
        <w:footnoteRef/>
      </w:r>
      <w:r w:rsidRPr="001F6999">
        <w:rPr>
          <w:rFonts w:asciiTheme="majorHAnsi" w:hAnsiTheme="majorHAnsi"/>
          <w:sz w:val="16"/>
          <w:szCs w:val="16"/>
          <w:lang w:val="es-ES"/>
        </w:rPr>
        <w:t xml:space="preserve"> Las observaciones de cada parte fueron debidamente trasladadas a la parte contraria.</w:t>
      </w:r>
    </w:p>
  </w:footnote>
  <w:footnote w:id="7">
    <w:p w14:paraId="6B838C89" w14:textId="0744F023" w:rsidR="00587463" w:rsidRPr="001F6999" w:rsidRDefault="00587463" w:rsidP="001F6999">
      <w:pPr>
        <w:pStyle w:val="FootnoteText"/>
        <w:spacing w:before="120"/>
        <w:ind w:firstLine="720"/>
        <w:jc w:val="both"/>
        <w:rPr>
          <w:rFonts w:asciiTheme="majorHAnsi" w:hAnsiTheme="majorHAnsi"/>
          <w:sz w:val="16"/>
          <w:szCs w:val="16"/>
          <w:lang w:val="es-BO"/>
        </w:rPr>
      </w:pPr>
      <w:r w:rsidRPr="001F6999">
        <w:rPr>
          <w:rStyle w:val="FootnoteReference"/>
          <w:rFonts w:asciiTheme="majorHAnsi" w:hAnsiTheme="majorHAnsi"/>
          <w:sz w:val="16"/>
          <w:szCs w:val="16"/>
        </w:rPr>
        <w:footnoteRef/>
      </w:r>
      <w:r w:rsidRPr="001F6999">
        <w:rPr>
          <w:rFonts w:asciiTheme="majorHAnsi" w:hAnsiTheme="majorHAnsi"/>
          <w:sz w:val="16"/>
          <w:szCs w:val="16"/>
          <w:lang w:val="es-BO"/>
        </w:rPr>
        <w:t xml:space="preserve"> El peticionario han enviado varias comunicaciones a la CIDH solicitando información sobre el estado de la petición. La última de dichas comunicaciones es de fecha 18 de abril de 2016.</w:t>
      </w:r>
    </w:p>
  </w:footnote>
  <w:footnote w:id="8">
    <w:p w14:paraId="01126EE9" w14:textId="1686BC3B" w:rsidR="001F2249" w:rsidRPr="001F6999" w:rsidRDefault="001F2249" w:rsidP="001F6999">
      <w:pPr>
        <w:pStyle w:val="FootnoteText"/>
        <w:spacing w:before="120"/>
        <w:ind w:firstLine="720"/>
        <w:jc w:val="both"/>
        <w:rPr>
          <w:rFonts w:asciiTheme="majorHAnsi" w:hAnsiTheme="majorHAnsi"/>
          <w:sz w:val="16"/>
          <w:szCs w:val="16"/>
          <w:lang w:val="es-BO"/>
        </w:rPr>
      </w:pPr>
      <w:r w:rsidRPr="001F6999">
        <w:rPr>
          <w:rStyle w:val="FootnoteReference"/>
          <w:rFonts w:asciiTheme="majorHAnsi" w:hAnsiTheme="majorHAnsi"/>
          <w:sz w:val="16"/>
          <w:szCs w:val="16"/>
        </w:rPr>
        <w:footnoteRef/>
      </w:r>
      <w:r w:rsidRPr="001F6999">
        <w:rPr>
          <w:rFonts w:asciiTheme="majorHAnsi" w:hAnsiTheme="majorHAnsi"/>
          <w:sz w:val="16"/>
          <w:szCs w:val="16"/>
          <w:lang w:val="es-BO"/>
        </w:rPr>
        <w:t xml:space="preserve"> En adelante “CIPST”</w:t>
      </w:r>
    </w:p>
  </w:footnote>
  <w:footnote w:id="9">
    <w:p w14:paraId="0FDE0849" w14:textId="76FAA354" w:rsidR="001F2249" w:rsidRPr="001F6999" w:rsidRDefault="001F2249" w:rsidP="001F6999">
      <w:pPr>
        <w:pStyle w:val="FootnoteText"/>
        <w:spacing w:before="120"/>
        <w:ind w:firstLine="720"/>
        <w:jc w:val="both"/>
        <w:rPr>
          <w:rFonts w:asciiTheme="majorHAnsi" w:hAnsiTheme="majorHAnsi"/>
          <w:sz w:val="16"/>
          <w:szCs w:val="16"/>
          <w:lang w:val="es-BO"/>
        </w:rPr>
      </w:pPr>
      <w:r w:rsidRPr="001F6999">
        <w:rPr>
          <w:rStyle w:val="FootnoteReference"/>
          <w:rFonts w:asciiTheme="majorHAnsi" w:hAnsiTheme="majorHAnsi"/>
          <w:sz w:val="16"/>
          <w:szCs w:val="16"/>
        </w:rPr>
        <w:footnoteRef/>
      </w:r>
      <w:r w:rsidRPr="001F6999">
        <w:rPr>
          <w:rFonts w:asciiTheme="majorHAnsi" w:hAnsiTheme="majorHAnsi"/>
          <w:sz w:val="16"/>
          <w:szCs w:val="16"/>
          <w:lang w:val="es-BO"/>
        </w:rPr>
        <w:t xml:space="preserve"> </w:t>
      </w:r>
      <w:r w:rsidR="006E7630" w:rsidRPr="001F6999">
        <w:rPr>
          <w:rFonts w:asciiTheme="majorHAnsi" w:hAnsiTheme="majorHAnsi"/>
          <w:sz w:val="16"/>
          <w:szCs w:val="16"/>
          <w:lang w:val="es-BO"/>
        </w:rPr>
        <w:t>En adelante “</w:t>
      </w:r>
      <w:r w:rsidRPr="001F6999">
        <w:rPr>
          <w:rFonts w:asciiTheme="majorHAnsi" w:hAnsiTheme="majorHAnsi"/>
          <w:color w:val="222222"/>
          <w:sz w:val="16"/>
          <w:szCs w:val="16"/>
          <w:shd w:val="clear" w:color="auto" w:fill="FFFFFF"/>
          <w:lang w:val="es-ES"/>
        </w:rPr>
        <w:t>Convención Belem do Pará</w:t>
      </w:r>
      <w:r w:rsidR="006E7630" w:rsidRPr="001F6999">
        <w:rPr>
          <w:rFonts w:asciiTheme="majorHAnsi" w:hAnsiTheme="majorHAnsi"/>
          <w:color w:val="222222"/>
          <w:sz w:val="16"/>
          <w:szCs w:val="16"/>
          <w:shd w:val="clear" w:color="auto" w:fill="FFFFFF"/>
          <w:lang w:val="es-ES"/>
        </w:rPr>
        <w:t>”</w:t>
      </w:r>
    </w:p>
  </w:footnote>
  <w:footnote w:id="10">
    <w:p w14:paraId="1EA0B922" w14:textId="2923D7B2" w:rsidR="0042559A" w:rsidRPr="001F6999" w:rsidRDefault="0042559A" w:rsidP="000B6F04">
      <w:pPr>
        <w:pStyle w:val="FootnoteText"/>
        <w:ind w:firstLine="720"/>
        <w:jc w:val="both"/>
        <w:rPr>
          <w:rFonts w:asciiTheme="majorHAnsi" w:hAnsiTheme="majorHAnsi"/>
          <w:sz w:val="16"/>
          <w:szCs w:val="16"/>
          <w:lang w:val="es-CO"/>
        </w:rPr>
      </w:pPr>
      <w:r w:rsidRPr="001F6999">
        <w:rPr>
          <w:rStyle w:val="FootnoteReference"/>
          <w:rFonts w:asciiTheme="majorHAnsi" w:hAnsiTheme="majorHAnsi"/>
          <w:sz w:val="16"/>
          <w:szCs w:val="16"/>
        </w:rPr>
        <w:footnoteRef/>
      </w:r>
      <w:r w:rsidRPr="001F6999">
        <w:rPr>
          <w:rFonts w:asciiTheme="majorHAnsi" w:hAnsiTheme="majorHAnsi"/>
          <w:sz w:val="16"/>
          <w:szCs w:val="16"/>
          <w:lang w:val="es-CO"/>
        </w:rPr>
        <w:t xml:space="preserve"> </w:t>
      </w:r>
      <w:r w:rsidRPr="001F6999">
        <w:rPr>
          <w:rFonts w:asciiTheme="majorHAnsi" w:hAnsiTheme="majorHAnsi"/>
          <w:sz w:val="16"/>
          <w:szCs w:val="16"/>
          <w:lang w:val="es-BO"/>
        </w:rPr>
        <w:t>CIDH, Informe No. 155/17, Petición 1470-08. Admisibilidad. Beatriz Elena San</w:t>
      </w:r>
      <w:r w:rsidR="00760C46" w:rsidRPr="001F6999">
        <w:rPr>
          <w:rFonts w:asciiTheme="majorHAnsi" w:hAnsiTheme="majorHAnsi"/>
          <w:sz w:val="16"/>
          <w:szCs w:val="16"/>
          <w:lang w:val="es-BO"/>
        </w:rPr>
        <w:t xml:space="preserve"> </w:t>
      </w:r>
      <w:r w:rsidRPr="001F6999">
        <w:rPr>
          <w:rFonts w:asciiTheme="majorHAnsi" w:hAnsiTheme="majorHAnsi"/>
          <w:sz w:val="16"/>
          <w:szCs w:val="16"/>
          <w:lang w:val="es-BO"/>
        </w:rPr>
        <w:t>Miguel Bastidas y familia. Colombia. 30 de noviembre de 2017, párr. 9.</w:t>
      </w:r>
    </w:p>
  </w:footnote>
  <w:footnote w:id="11">
    <w:p w14:paraId="2FDEBF1A" w14:textId="2DBBB1F5" w:rsidR="0070685C" w:rsidRPr="001F6999" w:rsidRDefault="0070685C" w:rsidP="000B6F04">
      <w:pPr>
        <w:pStyle w:val="FootnoteText"/>
        <w:ind w:firstLine="720"/>
        <w:jc w:val="both"/>
        <w:rPr>
          <w:rFonts w:asciiTheme="majorHAnsi" w:hAnsiTheme="majorHAnsi"/>
          <w:sz w:val="16"/>
          <w:szCs w:val="16"/>
          <w:lang w:val="es-ES"/>
        </w:rPr>
      </w:pPr>
      <w:r w:rsidRPr="001F6999">
        <w:rPr>
          <w:rStyle w:val="FootnoteReference"/>
          <w:rFonts w:asciiTheme="majorHAnsi" w:hAnsiTheme="majorHAnsi"/>
          <w:sz w:val="16"/>
          <w:szCs w:val="16"/>
        </w:rPr>
        <w:footnoteRef/>
      </w:r>
      <w:r w:rsidRPr="001F6999">
        <w:rPr>
          <w:rFonts w:asciiTheme="majorHAnsi" w:hAnsiTheme="majorHAnsi"/>
          <w:sz w:val="16"/>
          <w:szCs w:val="16"/>
          <w:lang w:val="es-ES"/>
        </w:rPr>
        <w:t xml:space="preserve"> CIDH, Informe No. 14/17. Admisibilidad. José </w:t>
      </w:r>
      <w:proofErr w:type="spellStart"/>
      <w:r w:rsidRPr="001F6999">
        <w:rPr>
          <w:rFonts w:asciiTheme="majorHAnsi" w:hAnsiTheme="majorHAnsi"/>
          <w:sz w:val="16"/>
          <w:szCs w:val="16"/>
          <w:lang w:val="es-ES"/>
        </w:rPr>
        <w:t>Rubián</w:t>
      </w:r>
      <w:proofErr w:type="spellEnd"/>
      <w:r w:rsidRPr="001F6999">
        <w:rPr>
          <w:rFonts w:asciiTheme="majorHAnsi" w:hAnsiTheme="majorHAnsi"/>
          <w:sz w:val="16"/>
          <w:szCs w:val="16"/>
          <w:lang w:val="es-ES"/>
        </w:rPr>
        <w:t xml:space="preserve"> Gómez Martínez, </w:t>
      </w:r>
      <w:proofErr w:type="spellStart"/>
      <w:r w:rsidRPr="001F6999">
        <w:rPr>
          <w:rFonts w:asciiTheme="majorHAnsi" w:hAnsiTheme="majorHAnsi"/>
          <w:sz w:val="16"/>
          <w:szCs w:val="16"/>
          <w:lang w:val="es-ES"/>
        </w:rPr>
        <w:t>Rolfe</w:t>
      </w:r>
      <w:proofErr w:type="spellEnd"/>
      <w:r w:rsidRPr="001F6999">
        <w:rPr>
          <w:rFonts w:asciiTheme="majorHAnsi" w:hAnsiTheme="majorHAnsi"/>
          <w:sz w:val="16"/>
          <w:szCs w:val="16"/>
          <w:lang w:val="es-ES"/>
        </w:rPr>
        <w:t xml:space="preserve"> </w:t>
      </w:r>
      <w:proofErr w:type="spellStart"/>
      <w:r w:rsidRPr="001F6999">
        <w:rPr>
          <w:rFonts w:asciiTheme="majorHAnsi" w:hAnsiTheme="majorHAnsi"/>
          <w:sz w:val="16"/>
          <w:szCs w:val="16"/>
          <w:lang w:val="es-ES"/>
        </w:rPr>
        <w:t>Arialdo</w:t>
      </w:r>
      <w:proofErr w:type="spellEnd"/>
      <w:r w:rsidRPr="001F6999">
        <w:rPr>
          <w:rFonts w:asciiTheme="majorHAnsi" w:hAnsiTheme="majorHAnsi"/>
          <w:sz w:val="16"/>
          <w:szCs w:val="16"/>
          <w:lang w:val="es-ES"/>
        </w:rPr>
        <w:t xml:space="preserve"> Figueredo Martínez, Miguel Novoa Martínez, Alcira Martínez Álvarez y Familias. Colombia. 27 de enero de 2017, párr.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404D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212B5" w14:textId="77777777" w:rsidR="00043682" w:rsidRDefault="0004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A448A1"/>
    <w:multiLevelType w:val="hybridMultilevel"/>
    <w:tmpl w:val="04FCB650"/>
    <w:lvl w:ilvl="0" w:tplc="3654C02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D3C8844"/>
    <w:lvl w:ilvl="0" w:tplc="3FB4507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09C0EBC"/>
    <w:multiLevelType w:val="hybridMultilevel"/>
    <w:tmpl w:val="C1BA8956"/>
    <w:lvl w:ilvl="0" w:tplc="53124132">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99F3761"/>
    <w:multiLevelType w:val="hybridMultilevel"/>
    <w:tmpl w:val="1EA4CD9C"/>
    <w:lvl w:ilvl="0" w:tplc="135E5D20">
      <w:start w:val="1"/>
      <w:numFmt w:val="decimal"/>
      <w:lvlText w:val="%1."/>
      <w:lvlJc w:val="left"/>
      <w:pPr>
        <w:ind w:left="2235" w:hanging="1515"/>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4D6538"/>
    <w:multiLevelType w:val="hybridMultilevel"/>
    <w:tmpl w:val="E102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AD7DD8"/>
    <w:multiLevelType w:val="hybridMultilevel"/>
    <w:tmpl w:val="2E2CA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5"/>
  </w:num>
  <w:num w:numId="8">
    <w:abstractNumId w:val="25"/>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3"/>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9"/>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5"/>
  </w:num>
  <w:num w:numId="86">
    <w:abstractNumId w:val="59"/>
  </w:num>
  <w:num w:numId="87">
    <w:abstractNumId w:val="62"/>
  </w:num>
  <w:num w:numId="88">
    <w:abstractNumId w:val="64"/>
  </w:num>
  <w:num w:numId="89">
    <w:abstractNumId w:val="66"/>
  </w:num>
  <w:num w:numId="90">
    <w:abstractNumId w:val="67"/>
  </w:num>
  <w:num w:numId="91">
    <w:abstractNumId w:val="68"/>
  </w:num>
  <w:num w:numId="92">
    <w:abstractNumId w:val="69"/>
  </w:num>
  <w:num w:numId="93">
    <w:abstractNumId w:val="71"/>
  </w:num>
  <w:num w:numId="94">
    <w:abstractNumId w:val="24"/>
  </w:num>
  <w:num w:numId="95">
    <w:abstractNumId w:val="46"/>
  </w:num>
  <w:num w:numId="96">
    <w:abstractNumId w:val="60"/>
  </w:num>
  <w:num w:numId="97">
    <w:abstractNumId w:val="57"/>
  </w:num>
  <w:num w:numId="98">
    <w:abstractNumId w:val="50"/>
  </w:num>
  <w:num w:numId="99">
    <w:abstractNumId w:val="41"/>
  </w:num>
  <w:num w:numId="100">
    <w:abstractNumId w:val="4"/>
  </w:num>
  <w:num w:numId="101">
    <w:abstractNumId w:val="29"/>
  </w:num>
  <w:num w:numId="102">
    <w:abstractNumId w:val="52"/>
  </w:num>
  <w:num w:numId="103">
    <w:abstractNumId w:val="7"/>
  </w:num>
  <w:num w:numId="104">
    <w:abstractNumId w:val="70"/>
  </w:num>
  <w:num w:numId="105">
    <w:abstractNumId w:val="58"/>
  </w:num>
  <w:num w:numId="106">
    <w:abstractNumId w:val="5"/>
  </w:num>
  <w:num w:numId="107">
    <w:abstractNumId w:val="33"/>
  </w:num>
  <w:num w:numId="108">
    <w:abstractNumId w:val="15"/>
  </w:num>
  <w:num w:numId="109">
    <w:abstractNumId w:val="48"/>
  </w:num>
  <w:num w:numId="110">
    <w:abstractNumId w:val="23"/>
  </w:num>
  <w:num w:numId="111">
    <w:abstractNumId w:val="54"/>
  </w:num>
  <w:num w:numId="112">
    <w:abstractNumId w:val="2"/>
  </w:num>
  <w:num w:numId="113">
    <w:abstractNumId w:val="61"/>
  </w:num>
  <w:num w:numId="114">
    <w:abstractNumId w:val="5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034"/>
    <w:rsid w:val="00006E1F"/>
    <w:rsid w:val="000070D7"/>
    <w:rsid w:val="000150B4"/>
    <w:rsid w:val="0001788C"/>
    <w:rsid w:val="00020E12"/>
    <w:rsid w:val="00030AD7"/>
    <w:rsid w:val="000337EF"/>
    <w:rsid w:val="00034C72"/>
    <w:rsid w:val="00040C3A"/>
    <w:rsid w:val="000413DB"/>
    <w:rsid w:val="000419AD"/>
    <w:rsid w:val="00043682"/>
    <w:rsid w:val="00045681"/>
    <w:rsid w:val="00054B30"/>
    <w:rsid w:val="00060FE6"/>
    <w:rsid w:val="000716C5"/>
    <w:rsid w:val="00071C3C"/>
    <w:rsid w:val="00075E23"/>
    <w:rsid w:val="00076692"/>
    <w:rsid w:val="00084F13"/>
    <w:rsid w:val="00086BFB"/>
    <w:rsid w:val="00092676"/>
    <w:rsid w:val="0009344A"/>
    <w:rsid w:val="00097F45"/>
    <w:rsid w:val="000A392E"/>
    <w:rsid w:val="000A575F"/>
    <w:rsid w:val="000A69AA"/>
    <w:rsid w:val="000B6F04"/>
    <w:rsid w:val="000C7FB9"/>
    <w:rsid w:val="000D10DB"/>
    <w:rsid w:val="000D13D4"/>
    <w:rsid w:val="000E5EB5"/>
    <w:rsid w:val="000F35ED"/>
    <w:rsid w:val="000F43F6"/>
    <w:rsid w:val="000F54AE"/>
    <w:rsid w:val="0010407B"/>
    <w:rsid w:val="00107131"/>
    <w:rsid w:val="0010736F"/>
    <w:rsid w:val="00112B4C"/>
    <w:rsid w:val="00113838"/>
    <w:rsid w:val="00113F73"/>
    <w:rsid w:val="001167A5"/>
    <w:rsid w:val="001209CC"/>
    <w:rsid w:val="00121CC2"/>
    <w:rsid w:val="00133EE5"/>
    <w:rsid w:val="00141A33"/>
    <w:rsid w:val="00142A2F"/>
    <w:rsid w:val="00145E3A"/>
    <w:rsid w:val="00167A34"/>
    <w:rsid w:val="00171392"/>
    <w:rsid w:val="001731A3"/>
    <w:rsid w:val="00176279"/>
    <w:rsid w:val="001912A5"/>
    <w:rsid w:val="001A4BF6"/>
    <w:rsid w:val="001A7870"/>
    <w:rsid w:val="001B1869"/>
    <w:rsid w:val="001B3A00"/>
    <w:rsid w:val="001B549B"/>
    <w:rsid w:val="001B7BA0"/>
    <w:rsid w:val="001C1B41"/>
    <w:rsid w:val="001D40BE"/>
    <w:rsid w:val="001D65EF"/>
    <w:rsid w:val="001E49E7"/>
    <w:rsid w:val="001F2249"/>
    <w:rsid w:val="001F27FA"/>
    <w:rsid w:val="001F4D8F"/>
    <w:rsid w:val="001F6999"/>
    <w:rsid w:val="001F7201"/>
    <w:rsid w:val="001F76DC"/>
    <w:rsid w:val="002136FB"/>
    <w:rsid w:val="002225B7"/>
    <w:rsid w:val="00223A29"/>
    <w:rsid w:val="002250A3"/>
    <w:rsid w:val="002278A9"/>
    <w:rsid w:val="00235217"/>
    <w:rsid w:val="00246D1F"/>
    <w:rsid w:val="00247403"/>
    <w:rsid w:val="00247542"/>
    <w:rsid w:val="002500F1"/>
    <w:rsid w:val="00252DCC"/>
    <w:rsid w:val="002625E1"/>
    <w:rsid w:val="00266B61"/>
    <w:rsid w:val="0026712A"/>
    <w:rsid w:val="002704DB"/>
    <w:rsid w:val="002712D3"/>
    <w:rsid w:val="00272720"/>
    <w:rsid w:val="00276A1C"/>
    <w:rsid w:val="00286D9B"/>
    <w:rsid w:val="002924C4"/>
    <w:rsid w:val="002959B9"/>
    <w:rsid w:val="00296D8B"/>
    <w:rsid w:val="00297DB7"/>
    <w:rsid w:val="002A0AAE"/>
    <w:rsid w:val="002A5820"/>
    <w:rsid w:val="002C0C0A"/>
    <w:rsid w:val="002C15CC"/>
    <w:rsid w:val="002C34D4"/>
    <w:rsid w:val="002C58E9"/>
    <w:rsid w:val="002D2B26"/>
    <w:rsid w:val="002D7EA2"/>
    <w:rsid w:val="002E065C"/>
    <w:rsid w:val="002E0851"/>
    <w:rsid w:val="002E187C"/>
    <w:rsid w:val="00302733"/>
    <w:rsid w:val="00307B90"/>
    <w:rsid w:val="00314078"/>
    <w:rsid w:val="0031535D"/>
    <w:rsid w:val="0032207A"/>
    <w:rsid w:val="003239B8"/>
    <w:rsid w:val="0033169F"/>
    <w:rsid w:val="00336D04"/>
    <w:rsid w:val="00337C97"/>
    <w:rsid w:val="00344977"/>
    <w:rsid w:val="00346C95"/>
    <w:rsid w:val="00356185"/>
    <w:rsid w:val="00360380"/>
    <w:rsid w:val="0037519E"/>
    <w:rsid w:val="00386CF0"/>
    <w:rsid w:val="0039549D"/>
    <w:rsid w:val="003A11EC"/>
    <w:rsid w:val="003B2F7A"/>
    <w:rsid w:val="003B70FB"/>
    <w:rsid w:val="003C676B"/>
    <w:rsid w:val="003D3BC2"/>
    <w:rsid w:val="003E3691"/>
    <w:rsid w:val="003E6CA1"/>
    <w:rsid w:val="003F5D2E"/>
    <w:rsid w:val="003F7CF3"/>
    <w:rsid w:val="00404A38"/>
    <w:rsid w:val="004065A8"/>
    <w:rsid w:val="00407869"/>
    <w:rsid w:val="00414E58"/>
    <w:rsid w:val="004165C2"/>
    <w:rsid w:val="004203BB"/>
    <w:rsid w:val="00420C84"/>
    <w:rsid w:val="00424A7A"/>
    <w:rsid w:val="0042559A"/>
    <w:rsid w:val="00425BF1"/>
    <w:rsid w:val="00433BF9"/>
    <w:rsid w:val="00435465"/>
    <w:rsid w:val="00441C39"/>
    <w:rsid w:val="00441ECB"/>
    <w:rsid w:val="004445BF"/>
    <w:rsid w:val="00445193"/>
    <w:rsid w:val="00462C1B"/>
    <w:rsid w:val="00465838"/>
    <w:rsid w:val="00466DC9"/>
    <w:rsid w:val="00467B7E"/>
    <w:rsid w:val="00473BB4"/>
    <w:rsid w:val="00475914"/>
    <w:rsid w:val="00477592"/>
    <w:rsid w:val="00486F1C"/>
    <w:rsid w:val="0049419D"/>
    <w:rsid w:val="00495F95"/>
    <w:rsid w:val="00497A6F"/>
    <w:rsid w:val="004A025D"/>
    <w:rsid w:val="004A0505"/>
    <w:rsid w:val="004A6A54"/>
    <w:rsid w:val="004C16E3"/>
    <w:rsid w:val="004C173E"/>
    <w:rsid w:val="004C20D2"/>
    <w:rsid w:val="004C2312"/>
    <w:rsid w:val="004C4B62"/>
    <w:rsid w:val="004C54C9"/>
    <w:rsid w:val="004C57CE"/>
    <w:rsid w:val="004C7D79"/>
    <w:rsid w:val="004D3D05"/>
    <w:rsid w:val="004D4ABA"/>
    <w:rsid w:val="004D5C81"/>
    <w:rsid w:val="004D6025"/>
    <w:rsid w:val="004E2649"/>
    <w:rsid w:val="004F1AF9"/>
    <w:rsid w:val="004F42E2"/>
    <w:rsid w:val="004F5F83"/>
    <w:rsid w:val="00501399"/>
    <w:rsid w:val="0050633D"/>
    <w:rsid w:val="00507BC4"/>
    <w:rsid w:val="00511B31"/>
    <w:rsid w:val="005128E4"/>
    <w:rsid w:val="005133DB"/>
    <w:rsid w:val="005204E3"/>
    <w:rsid w:val="00525560"/>
    <w:rsid w:val="0053121D"/>
    <w:rsid w:val="00531724"/>
    <w:rsid w:val="00540301"/>
    <w:rsid w:val="00542456"/>
    <w:rsid w:val="00544C49"/>
    <w:rsid w:val="005516A1"/>
    <w:rsid w:val="005552F4"/>
    <w:rsid w:val="00563557"/>
    <w:rsid w:val="00566C0A"/>
    <w:rsid w:val="00572452"/>
    <w:rsid w:val="0057402A"/>
    <w:rsid w:val="005771D0"/>
    <w:rsid w:val="00577C90"/>
    <w:rsid w:val="0058367F"/>
    <w:rsid w:val="00587463"/>
    <w:rsid w:val="0059191A"/>
    <w:rsid w:val="005921FF"/>
    <w:rsid w:val="005A24ED"/>
    <w:rsid w:val="005A30E0"/>
    <w:rsid w:val="005A56A0"/>
    <w:rsid w:val="005A6D0E"/>
    <w:rsid w:val="005B1AA1"/>
    <w:rsid w:val="005B52B0"/>
    <w:rsid w:val="005B6700"/>
    <w:rsid w:val="005B6806"/>
    <w:rsid w:val="005B7FEE"/>
    <w:rsid w:val="005C4225"/>
    <w:rsid w:val="005D2EF6"/>
    <w:rsid w:val="005D5F8B"/>
    <w:rsid w:val="005F0DAD"/>
    <w:rsid w:val="005F0F33"/>
    <w:rsid w:val="005F38D5"/>
    <w:rsid w:val="00600DEB"/>
    <w:rsid w:val="00610AE7"/>
    <w:rsid w:val="006218E4"/>
    <w:rsid w:val="00627C9F"/>
    <w:rsid w:val="006311E9"/>
    <w:rsid w:val="00632354"/>
    <w:rsid w:val="00636841"/>
    <w:rsid w:val="0063778B"/>
    <w:rsid w:val="00642810"/>
    <w:rsid w:val="006509A1"/>
    <w:rsid w:val="00652333"/>
    <w:rsid w:val="00657553"/>
    <w:rsid w:val="00676985"/>
    <w:rsid w:val="0068009E"/>
    <w:rsid w:val="0068668D"/>
    <w:rsid w:val="00692219"/>
    <w:rsid w:val="006950D6"/>
    <w:rsid w:val="006A1347"/>
    <w:rsid w:val="006A17D2"/>
    <w:rsid w:val="006A73E6"/>
    <w:rsid w:val="006B2D5C"/>
    <w:rsid w:val="006B49CB"/>
    <w:rsid w:val="006C14FE"/>
    <w:rsid w:val="006C4EB1"/>
    <w:rsid w:val="006D451F"/>
    <w:rsid w:val="006E0166"/>
    <w:rsid w:val="006E54A5"/>
    <w:rsid w:val="006E60AD"/>
    <w:rsid w:val="006E7630"/>
    <w:rsid w:val="006E7B34"/>
    <w:rsid w:val="006F3380"/>
    <w:rsid w:val="007032C5"/>
    <w:rsid w:val="0070685C"/>
    <w:rsid w:val="0070697F"/>
    <w:rsid w:val="007076B3"/>
    <w:rsid w:val="0072199C"/>
    <w:rsid w:val="00722C9F"/>
    <w:rsid w:val="007253B8"/>
    <w:rsid w:val="00735EA1"/>
    <w:rsid w:val="0073741F"/>
    <w:rsid w:val="00755886"/>
    <w:rsid w:val="00760C46"/>
    <w:rsid w:val="007611AB"/>
    <w:rsid w:val="00765881"/>
    <w:rsid w:val="0076643F"/>
    <w:rsid w:val="007748DC"/>
    <w:rsid w:val="00777F63"/>
    <w:rsid w:val="007846EA"/>
    <w:rsid w:val="00784AF3"/>
    <w:rsid w:val="00784FD3"/>
    <w:rsid w:val="00786F16"/>
    <w:rsid w:val="007A1769"/>
    <w:rsid w:val="007A5817"/>
    <w:rsid w:val="007B05C4"/>
    <w:rsid w:val="007B60E9"/>
    <w:rsid w:val="007B6CC3"/>
    <w:rsid w:val="007C19FF"/>
    <w:rsid w:val="007C3334"/>
    <w:rsid w:val="007C6AB2"/>
    <w:rsid w:val="007D2A71"/>
    <w:rsid w:val="007D2B98"/>
    <w:rsid w:val="007D3B5C"/>
    <w:rsid w:val="007D6E2B"/>
    <w:rsid w:val="007E21BC"/>
    <w:rsid w:val="007E7C82"/>
    <w:rsid w:val="007F5272"/>
    <w:rsid w:val="007F588D"/>
    <w:rsid w:val="00800678"/>
    <w:rsid w:val="00803F1C"/>
    <w:rsid w:val="0080600E"/>
    <w:rsid w:val="00810438"/>
    <w:rsid w:val="008141C7"/>
    <w:rsid w:val="00817612"/>
    <w:rsid w:val="008338A4"/>
    <w:rsid w:val="00834D49"/>
    <w:rsid w:val="00835F36"/>
    <w:rsid w:val="00837C45"/>
    <w:rsid w:val="008422E2"/>
    <w:rsid w:val="00844730"/>
    <w:rsid w:val="008457C2"/>
    <w:rsid w:val="00852BCD"/>
    <w:rsid w:val="00857A82"/>
    <w:rsid w:val="00873836"/>
    <w:rsid w:val="008771B9"/>
    <w:rsid w:val="00880138"/>
    <w:rsid w:val="008834D4"/>
    <w:rsid w:val="00885737"/>
    <w:rsid w:val="00890650"/>
    <w:rsid w:val="0089555E"/>
    <w:rsid w:val="00897E12"/>
    <w:rsid w:val="008A679E"/>
    <w:rsid w:val="008A7486"/>
    <w:rsid w:val="008A7E0F"/>
    <w:rsid w:val="008B00D7"/>
    <w:rsid w:val="008B12F5"/>
    <w:rsid w:val="008B67FE"/>
    <w:rsid w:val="008D2992"/>
    <w:rsid w:val="008D2A71"/>
    <w:rsid w:val="008D42B8"/>
    <w:rsid w:val="008D768D"/>
    <w:rsid w:val="008E21C9"/>
    <w:rsid w:val="008E26A9"/>
    <w:rsid w:val="008E3759"/>
    <w:rsid w:val="008E3BFE"/>
    <w:rsid w:val="008F13D1"/>
    <w:rsid w:val="008F1912"/>
    <w:rsid w:val="008F5C26"/>
    <w:rsid w:val="0090270B"/>
    <w:rsid w:val="009041DC"/>
    <w:rsid w:val="00907D5F"/>
    <w:rsid w:val="00911A2E"/>
    <w:rsid w:val="00917B5A"/>
    <w:rsid w:val="00920A58"/>
    <w:rsid w:val="00920A8C"/>
    <w:rsid w:val="00934A2C"/>
    <w:rsid w:val="00934CE1"/>
    <w:rsid w:val="009404D0"/>
    <w:rsid w:val="00944D82"/>
    <w:rsid w:val="00954B05"/>
    <w:rsid w:val="009577A1"/>
    <w:rsid w:val="00962225"/>
    <w:rsid w:val="0096706E"/>
    <w:rsid w:val="00974491"/>
    <w:rsid w:val="00975C4E"/>
    <w:rsid w:val="00977E72"/>
    <w:rsid w:val="00981FBA"/>
    <w:rsid w:val="00985C7F"/>
    <w:rsid w:val="009913DA"/>
    <w:rsid w:val="00992274"/>
    <w:rsid w:val="00997BC5"/>
    <w:rsid w:val="009A16AA"/>
    <w:rsid w:val="009A4F41"/>
    <w:rsid w:val="009B2414"/>
    <w:rsid w:val="009B381B"/>
    <w:rsid w:val="009B6AF2"/>
    <w:rsid w:val="009B701C"/>
    <w:rsid w:val="009D1753"/>
    <w:rsid w:val="009D7611"/>
    <w:rsid w:val="009E0B61"/>
    <w:rsid w:val="009E53DE"/>
    <w:rsid w:val="009E7C56"/>
    <w:rsid w:val="009F08B8"/>
    <w:rsid w:val="00A019E8"/>
    <w:rsid w:val="00A11E44"/>
    <w:rsid w:val="00A1684D"/>
    <w:rsid w:val="00A17A83"/>
    <w:rsid w:val="00A211F1"/>
    <w:rsid w:val="00A328B3"/>
    <w:rsid w:val="00A4466C"/>
    <w:rsid w:val="00A50FCF"/>
    <w:rsid w:val="00A514FF"/>
    <w:rsid w:val="00A528D1"/>
    <w:rsid w:val="00A606E1"/>
    <w:rsid w:val="00A610CD"/>
    <w:rsid w:val="00A640DC"/>
    <w:rsid w:val="00A71C25"/>
    <w:rsid w:val="00A7324F"/>
    <w:rsid w:val="00A758AA"/>
    <w:rsid w:val="00AA09A2"/>
    <w:rsid w:val="00AA11C5"/>
    <w:rsid w:val="00AA48C7"/>
    <w:rsid w:val="00AA7996"/>
    <w:rsid w:val="00AC19CB"/>
    <w:rsid w:val="00AD2DD1"/>
    <w:rsid w:val="00AD5B10"/>
    <w:rsid w:val="00AD6B64"/>
    <w:rsid w:val="00AE3D5D"/>
    <w:rsid w:val="00AE5488"/>
    <w:rsid w:val="00AE6F91"/>
    <w:rsid w:val="00AF5571"/>
    <w:rsid w:val="00B04D65"/>
    <w:rsid w:val="00B07341"/>
    <w:rsid w:val="00B27AEB"/>
    <w:rsid w:val="00B27CAF"/>
    <w:rsid w:val="00B30539"/>
    <w:rsid w:val="00B314DB"/>
    <w:rsid w:val="00B32DF2"/>
    <w:rsid w:val="00B341ED"/>
    <w:rsid w:val="00B361F2"/>
    <w:rsid w:val="00B3718B"/>
    <w:rsid w:val="00B406E8"/>
    <w:rsid w:val="00B4427A"/>
    <w:rsid w:val="00B462AB"/>
    <w:rsid w:val="00B4632A"/>
    <w:rsid w:val="00B530F1"/>
    <w:rsid w:val="00B63E0C"/>
    <w:rsid w:val="00B763CE"/>
    <w:rsid w:val="00B83FBF"/>
    <w:rsid w:val="00B95DCB"/>
    <w:rsid w:val="00BA0B12"/>
    <w:rsid w:val="00BA1BE6"/>
    <w:rsid w:val="00BA276C"/>
    <w:rsid w:val="00BB2ECA"/>
    <w:rsid w:val="00BB306F"/>
    <w:rsid w:val="00BC1EE3"/>
    <w:rsid w:val="00BC6D02"/>
    <w:rsid w:val="00BD1D8D"/>
    <w:rsid w:val="00BD4B89"/>
    <w:rsid w:val="00BD5922"/>
    <w:rsid w:val="00BD7D98"/>
    <w:rsid w:val="00BE573E"/>
    <w:rsid w:val="00BF02CB"/>
    <w:rsid w:val="00BF6FD8"/>
    <w:rsid w:val="00BF7EF3"/>
    <w:rsid w:val="00C03680"/>
    <w:rsid w:val="00C04640"/>
    <w:rsid w:val="00C054DF"/>
    <w:rsid w:val="00C07E4C"/>
    <w:rsid w:val="00C171C1"/>
    <w:rsid w:val="00C21762"/>
    <w:rsid w:val="00C21FEF"/>
    <w:rsid w:val="00C24543"/>
    <w:rsid w:val="00C256A2"/>
    <w:rsid w:val="00C30612"/>
    <w:rsid w:val="00C33C06"/>
    <w:rsid w:val="00C359C3"/>
    <w:rsid w:val="00C43AD1"/>
    <w:rsid w:val="00C4600F"/>
    <w:rsid w:val="00C51515"/>
    <w:rsid w:val="00C5167A"/>
    <w:rsid w:val="00C5660B"/>
    <w:rsid w:val="00C63C0C"/>
    <w:rsid w:val="00C64FCF"/>
    <w:rsid w:val="00C66B72"/>
    <w:rsid w:val="00C677D5"/>
    <w:rsid w:val="00C77899"/>
    <w:rsid w:val="00C85ADA"/>
    <w:rsid w:val="00C8667D"/>
    <w:rsid w:val="00C87598"/>
    <w:rsid w:val="00C87AC4"/>
    <w:rsid w:val="00C9480F"/>
    <w:rsid w:val="00C94AC0"/>
    <w:rsid w:val="00C9567A"/>
    <w:rsid w:val="00C95D39"/>
    <w:rsid w:val="00C9699A"/>
    <w:rsid w:val="00CB212D"/>
    <w:rsid w:val="00CB2660"/>
    <w:rsid w:val="00CB5EFA"/>
    <w:rsid w:val="00CC5E90"/>
    <w:rsid w:val="00CC7DA7"/>
    <w:rsid w:val="00CD046C"/>
    <w:rsid w:val="00CE076C"/>
    <w:rsid w:val="00CE5199"/>
    <w:rsid w:val="00CE66D5"/>
    <w:rsid w:val="00CF1A4A"/>
    <w:rsid w:val="00CF4D26"/>
    <w:rsid w:val="00CF637A"/>
    <w:rsid w:val="00D017E2"/>
    <w:rsid w:val="00D03A86"/>
    <w:rsid w:val="00D059DE"/>
    <w:rsid w:val="00D05ABD"/>
    <w:rsid w:val="00D1351B"/>
    <w:rsid w:val="00D13FCE"/>
    <w:rsid w:val="00D220AE"/>
    <w:rsid w:val="00D232E0"/>
    <w:rsid w:val="00D24C0A"/>
    <w:rsid w:val="00D24D8C"/>
    <w:rsid w:val="00D306D1"/>
    <w:rsid w:val="00D30800"/>
    <w:rsid w:val="00D34786"/>
    <w:rsid w:val="00D36975"/>
    <w:rsid w:val="00D37BFC"/>
    <w:rsid w:val="00D4084D"/>
    <w:rsid w:val="00D47A8E"/>
    <w:rsid w:val="00D52D14"/>
    <w:rsid w:val="00D55F98"/>
    <w:rsid w:val="00D70A29"/>
    <w:rsid w:val="00D712D3"/>
    <w:rsid w:val="00D71422"/>
    <w:rsid w:val="00D72DC6"/>
    <w:rsid w:val="00D7558D"/>
    <w:rsid w:val="00D81D92"/>
    <w:rsid w:val="00D876F9"/>
    <w:rsid w:val="00D90A5A"/>
    <w:rsid w:val="00DA7B5F"/>
    <w:rsid w:val="00DA7BA4"/>
    <w:rsid w:val="00DB4DD1"/>
    <w:rsid w:val="00DC0D34"/>
    <w:rsid w:val="00DC11E7"/>
    <w:rsid w:val="00DC580A"/>
    <w:rsid w:val="00DC7023"/>
    <w:rsid w:val="00DC769A"/>
    <w:rsid w:val="00DD3D86"/>
    <w:rsid w:val="00DF1EC4"/>
    <w:rsid w:val="00DF2155"/>
    <w:rsid w:val="00DF5214"/>
    <w:rsid w:val="00DF781A"/>
    <w:rsid w:val="00E012E0"/>
    <w:rsid w:val="00E013EA"/>
    <w:rsid w:val="00E0340B"/>
    <w:rsid w:val="00E04A90"/>
    <w:rsid w:val="00E0551F"/>
    <w:rsid w:val="00E130D6"/>
    <w:rsid w:val="00E205D2"/>
    <w:rsid w:val="00E219C7"/>
    <w:rsid w:val="00E26656"/>
    <w:rsid w:val="00E30C85"/>
    <w:rsid w:val="00E3455E"/>
    <w:rsid w:val="00E34BD5"/>
    <w:rsid w:val="00E4118C"/>
    <w:rsid w:val="00E43157"/>
    <w:rsid w:val="00E461CE"/>
    <w:rsid w:val="00E529DE"/>
    <w:rsid w:val="00E65EAC"/>
    <w:rsid w:val="00E720CA"/>
    <w:rsid w:val="00E74C83"/>
    <w:rsid w:val="00E817C2"/>
    <w:rsid w:val="00E84EB5"/>
    <w:rsid w:val="00E85662"/>
    <w:rsid w:val="00E8598A"/>
    <w:rsid w:val="00E862B1"/>
    <w:rsid w:val="00E8789F"/>
    <w:rsid w:val="00E94738"/>
    <w:rsid w:val="00E95CB2"/>
    <w:rsid w:val="00E97B71"/>
    <w:rsid w:val="00EA22C3"/>
    <w:rsid w:val="00EA3D34"/>
    <w:rsid w:val="00EB454D"/>
    <w:rsid w:val="00EC33A0"/>
    <w:rsid w:val="00EC56BF"/>
    <w:rsid w:val="00EC6D0B"/>
    <w:rsid w:val="00ED1481"/>
    <w:rsid w:val="00ED549D"/>
    <w:rsid w:val="00ED76BE"/>
    <w:rsid w:val="00EE00E9"/>
    <w:rsid w:val="00EF619B"/>
    <w:rsid w:val="00F00B55"/>
    <w:rsid w:val="00F022E1"/>
    <w:rsid w:val="00F02AD1"/>
    <w:rsid w:val="00F030CF"/>
    <w:rsid w:val="00F07330"/>
    <w:rsid w:val="00F23F75"/>
    <w:rsid w:val="00F24618"/>
    <w:rsid w:val="00F253CC"/>
    <w:rsid w:val="00F37106"/>
    <w:rsid w:val="00F37E51"/>
    <w:rsid w:val="00F519CF"/>
    <w:rsid w:val="00F56BA5"/>
    <w:rsid w:val="00F60A27"/>
    <w:rsid w:val="00F60E22"/>
    <w:rsid w:val="00F6659E"/>
    <w:rsid w:val="00F7326A"/>
    <w:rsid w:val="00F75C3D"/>
    <w:rsid w:val="00F804F9"/>
    <w:rsid w:val="00F81395"/>
    <w:rsid w:val="00F81BB8"/>
    <w:rsid w:val="00F8481A"/>
    <w:rsid w:val="00F917D1"/>
    <w:rsid w:val="00F9653B"/>
    <w:rsid w:val="00FA2ECF"/>
    <w:rsid w:val="00FB144F"/>
    <w:rsid w:val="00FB2622"/>
    <w:rsid w:val="00FB62CF"/>
    <w:rsid w:val="00FC17C8"/>
    <w:rsid w:val="00FC773F"/>
    <w:rsid w:val="00FD0718"/>
    <w:rsid w:val="00FD3C3B"/>
    <w:rsid w:val="00FD780F"/>
    <w:rsid w:val="00FE07DD"/>
    <w:rsid w:val="00FE2D70"/>
    <w:rsid w:val="00FE6B45"/>
    <w:rsid w:val="00FE7CDA"/>
    <w:rsid w:val="00FF55F3"/>
    <w:rsid w:val="00FF5851"/>
    <w:rsid w:val="00FF6F60"/>
    <w:rsid w:val="00FF788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BO"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42E2"/>
    <w:rPr>
      <w:sz w:val="16"/>
      <w:szCs w:val="16"/>
    </w:rPr>
  </w:style>
  <w:style w:type="paragraph" w:styleId="CommentText">
    <w:name w:val="annotation text"/>
    <w:basedOn w:val="Normal"/>
    <w:link w:val="CommentTextChar"/>
    <w:uiPriority w:val="99"/>
    <w:semiHidden/>
    <w:unhideWhenUsed/>
    <w:rsid w:val="004F42E2"/>
    <w:rPr>
      <w:sz w:val="20"/>
      <w:szCs w:val="20"/>
    </w:rPr>
  </w:style>
  <w:style w:type="character" w:customStyle="1" w:styleId="CommentTextChar">
    <w:name w:val="Comment Text Char"/>
    <w:basedOn w:val="DefaultParagraphFont"/>
    <w:link w:val="CommentText"/>
    <w:uiPriority w:val="99"/>
    <w:semiHidden/>
    <w:rsid w:val="004F42E2"/>
    <w:rPr>
      <w:lang w:val="es-BO" w:eastAsia="en-US"/>
    </w:rPr>
  </w:style>
  <w:style w:type="paragraph" w:styleId="CommentSubject">
    <w:name w:val="annotation subject"/>
    <w:basedOn w:val="CommentText"/>
    <w:next w:val="CommentText"/>
    <w:link w:val="CommentSubjectChar"/>
    <w:uiPriority w:val="99"/>
    <w:semiHidden/>
    <w:unhideWhenUsed/>
    <w:rsid w:val="004F42E2"/>
    <w:rPr>
      <w:b/>
      <w:bCs/>
    </w:rPr>
  </w:style>
  <w:style w:type="character" w:customStyle="1" w:styleId="CommentSubjectChar">
    <w:name w:val="Comment Subject Char"/>
    <w:basedOn w:val="CommentTextChar"/>
    <w:link w:val="CommentSubject"/>
    <w:uiPriority w:val="99"/>
    <w:semiHidden/>
    <w:rsid w:val="004F42E2"/>
    <w:rPr>
      <w:b/>
      <w:bCs/>
      <w:lang w:val="es-BO" w:eastAsia="en-US"/>
    </w:rPr>
  </w:style>
  <w:style w:type="paragraph" w:styleId="Revision">
    <w:name w:val="Revision"/>
    <w:hidden/>
    <w:uiPriority w:val="99"/>
    <w:semiHidden/>
    <w:rsid w:val="00441C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2504">
      <w:bodyDiv w:val="1"/>
      <w:marLeft w:val="0"/>
      <w:marRight w:val="0"/>
      <w:marTop w:val="0"/>
      <w:marBottom w:val="0"/>
      <w:divBdr>
        <w:top w:val="none" w:sz="0" w:space="0" w:color="auto"/>
        <w:left w:val="none" w:sz="0" w:space="0" w:color="auto"/>
        <w:bottom w:val="none" w:sz="0" w:space="0" w:color="auto"/>
        <w:right w:val="none" w:sz="0" w:space="0" w:color="auto"/>
      </w:divBdr>
    </w:div>
    <w:div w:id="470948776">
      <w:bodyDiv w:val="1"/>
      <w:marLeft w:val="0"/>
      <w:marRight w:val="0"/>
      <w:marTop w:val="0"/>
      <w:marBottom w:val="0"/>
      <w:divBdr>
        <w:top w:val="none" w:sz="0" w:space="0" w:color="auto"/>
        <w:left w:val="none" w:sz="0" w:space="0" w:color="auto"/>
        <w:bottom w:val="none" w:sz="0" w:space="0" w:color="auto"/>
        <w:right w:val="none" w:sz="0" w:space="0" w:color="auto"/>
      </w:divBdr>
    </w:div>
    <w:div w:id="7709307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37B7"/>
    <w:rsid w:val="00200821"/>
    <w:rsid w:val="00230824"/>
    <w:rsid w:val="00394049"/>
    <w:rsid w:val="003C2733"/>
    <w:rsid w:val="00446A31"/>
    <w:rsid w:val="004E79A9"/>
    <w:rsid w:val="004F2DF8"/>
    <w:rsid w:val="0060264A"/>
    <w:rsid w:val="008840EA"/>
    <w:rsid w:val="00957636"/>
    <w:rsid w:val="00982CE3"/>
    <w:rsid w:val="009A261B"/>
    <w:rsid w:val="00A15996"/>
    <w:rsid w:val="00AC15A4"/>
    <w:rsid w:val="00AF4771"/>
    <w:rsid w:val="00B0336C"/>
    <w:rsid w:val="00C04CBF"/>
    <w:rsid w:val="00C85D68"/>
    <w:rsid w:val="00D64A4D"/>
    <w:rsid w:val="00DA1E68"/>
    <w:rsid w:val="00DE7283"/>
    <w:rsid w:val="00F00D2F"/>
    <w:rsid w:val="00F128DF"/>
    <w:rsid w:val="00FB7228"/>
    <w:rsid w:val="00FE0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0AA2-E5CA-4873-913C-2CC4F9C3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12553</Characters>
  <Application>Microsoft Office Word</Application>
  <DocSecurity>0</DocSecurity>
  <Lines>256</Lines>
  <Paragraphs>77</Paragraphs>
  <ScaleCrop>false</ScaleCrop>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180/18</dc:title>
  <dc:creator/>
  <cp:lastModifiedBy/>
  <cp:revision>1</cp:revision>
  <dcterms:created xsi:type="dcterms:W3CDTF">2019-03-01T20:06:00Z</dcterms:created>
  <dcterms:modified xsi:type="dcterms:W3CDTF">2019-03-01T20:06:00Z</dcterms:modified>
</cp:coreProperties>
</file>