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3455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36A16" w:rsidRDefault="005128E4" w:rsidP="00040C3A">
      <w:pPr>
        <w:tabs>
          <w:tab w:val="center" w:pos="5400"/>
        </w:tabs>
        <w:suppressAutoHyphens/>
        <w:rPr>
          <w:rFonts w:asciiTheme="majorHAnsi" w:hAnsiTheme="majorHAnsi"/>
          <w:sz w:val="22"/>
          <w:szCs w:val="22"/>
          <w:lang w:val="pt-BR"/>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0704B">
                              <w:rPr>
                                <w:rFonts w:asciiTheme="majorHAnsi" w:hAnsiTheme="majorHAnsi" w:cs="Arial"/>
                                <w:b/>
                                <w:bCs/>
                                <w:color w:val="0D0D0D" w:themeColor="text1" w:themeTint="F2"/>
                                <w:sz w:val="36"/>
                                <w:szCs w:val="22"/>
                                <w:lang w:val="es-ES_tradnl"/>
                              </w:rPr>
                              <w:t>81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40786">
                              <w:rPr>
                                <w:rFonts w:asciiTheme="majorHAnsi" w:hAnsiTheme="majorHAnsi" w:cs="Arial"/>
                                <w:b/>
                                <w:color w:val="0D0D0D" w:themeColor="text1" w:themeTint="F2"/>
                                <w:sz w:val="36"/>
                                <w:szCs w:val="22"/>
                                <w:lang w:val="es-ES_tradnl"/>
                              </w:rPr>
                              <w:t>190</w:t>
                            </w:r>
                            <w:r w:rsidR="00246D1F" w:rsidRPr="004E2649">
                              <w:rPr>
                                <w:rFonts w:asciiTheme="majorHAnsi" w:hAnsiTheme="majorHAnsi" w:cs="Arial"/>
                                <w:b/>
                                <w:color w:val="0D0D0D" w:themeColor="text1" w:themeTint="F2"/>
                                <w:sz w:val="36"/>
                                <w:szCs w:val="22"/>
                                <w:lang w:val="es-ES_tradnl"/>
                              </w:rPr>
                              <w:t>-</w:t>
                            </w:r>
                            <w:r w:rsidR="00C4078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Default="00C407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JOSÉ SÁNCHEZ DUARTE</w:t>
                            </w:r>
                            <w:bookmarkEnd w:id="1"/>
                            <w:r>
                              <w:rPr>
                                <w:rFonts w:asciiTheme="majorHAnsi" w:hAnsiTheme="majorHAnsi" w:cs="Arial"/>
                                <w:color w:val="0D0D0D" w:themeColor="text1" w:themeTint="F2"/>
                                <w:szCs w:val="22"/>
                                <w:lang w:val="es-ES_tradnl"/>
                              </w:rPr>
                              <w:t xml:space="preserve"> Y FAMILIA</w:t>
                            </w:r>
                          </w:p>
                          <w:p w:rsidR="00C40786" w:rsidRPr="00C40786" w:rsidRDefault="00C407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0704B">
                        <w:rPr>
                          <w:rFonts w:asciiTheme="majorHAnsi" w:hAnsiTheme="majorHAnsi" w:cs="Arial"/>
                          <w:b/>
                          <w:bCs/>
                          <w:color w:val="0D0D0D" w:themeColor="text1" w:themeTint="F2"/>
                          <w:sz w:val="36"/>
                          <w:szCs w:val="22"/>
                          <w:lang w:val="es-ES_tradnl"/>
                        </w:rPr>
                        <w:t>81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40786">
                        <w:rPr>
                          <w:rFonts w:asciiTheme="majorHAnsi" w:hAnsiTheme="majorHAnsi" w:cs="Arial"/>
                          <w:b/>
                          <w:color w:val="0D0D0D" w:themeColor="text1" w:themeTint="F2"/>
                          <w:sz w:val="36"/>
                          <w:szCs w:val="22"/>
                          <w:lang w:val="es-ES_tradnl"/>
                        </w:rPr>
                        <w:t>190</w:t>
                      </w:r>
                      <w:r w:rsidR="00246D1F" w:rsidRPr="004E2649">
                        <w:rPr>
                          <w:rFonts w:asciiTheme="majorHAnsi" w:hAnsiTheme="majorHAnsi" w:cs="Arial"/>
                          <w:b/>
                          <w:color w:val="0D0D0D" w:themeColor="text1" w:themeTint="F2"/>
                          <w:sz w:val="36"/>
                          <w:szCs w:val="22"/>
                          <w:lang w:val="es-ES_tradnl"/>
                        </w:rPr>
                        <w:t>-</w:t>
                      </w:r>
                      <w:r w:rsidR="00C4078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Default="00C407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JOSÉ SÁNCHEZ DUARTE</w:t>
                      </w:r>
                      <w:bookmarkEnd w:id="2"/>
                      <w:r>
                        <w:rPr>
                          <w:rFonts w:asciiTheme="majorHAnsi" w:hAnsiTheme="majorHAnsi" w:cs="Arial"/>
                          <w:color w:val="0D0D0D" w:themeColor="text1" w:themeTint="F2"/>
                          <w:szCs w:val="22"/>
                          <w:lang w:val="es-ES_tradnl"/>
                        </w:rPr>
                        <w:t xml:space="preserve"> Y FAMILIA</w:t>
                      </w:r>
                    </w:p>
                    <w:p w:rsidR="00C40786" w:rsidRPr="00C40786" w:rsidRDefault="00C407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0704B">
                              <w:rPr>
                                <w:rFonts w:asciiTheme="minorHAnsi" w:hAnsiTheme="minorHAnsi"/>
                                <w:color w:val="FFFFFF" w:themeColor="background1"/>
                                <w:sz w:val="22"/>
                                <w:lang w:val="pt-BR"/>
                              </w:rPr>
                              <w:t>93</w:t>
                            </w:r>
                          </w:p>
                          <w:p w:rsidR="00627C9F" w:rsidRPr="004E2649" w:rsidRDefault="0050704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proofErr w:type="gramStart"/>
                            <w:r>
                              <w:rPr>
                                <w:rFonts w:asciiTheme="minorHAnsi" w:hAnsiTheme="minorHAnsi"/>
                                <w:color w:val="FFFFFF" w:themeColor="background1"/>
                                <w:sz w:val="22"/>
                              </w:rPr>
                              <w:t>julio</w:t>
                            </w:r>
                            <w:proofErr w:type="spellEnd"/>
                            <w:proofErr w:type="gram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0704B">
                        <w:rPr>
                          <w:rFonts w:asciiTheme="minorHAnsi" w:hAnsiTheme="minorHAnsi"/>
                          <w:color w:val="FFFFFF" w:themeColor="background1"/>
                          <w:sz w:val="22"/>
                          <w:lang w:val="pt-BR"/>
                        </w:rPr>
                        <w:t>93</w:t>
                      </w:r>
                    </w:p>
                    <w:p w:rsidR="00627C9F" w:rsidRPr="004E2649" w:rsidRDefault="0050704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proofErr w:type="gramStart"/>
                      <w:r>
                        <w:rPr>
                          <w:rFonts w:asciiTheme="minorHAnsi" w:hAnsiTheme="minorHAnsi"/>
                          <w:color w:val="FFFFFF" w:themeColor="background1"/>
                          <w:sz w:val="22"/>
                        </w:rPr>
                        <w:t>julio</w:t>
                      </w:r>
                      <w:proofErr w:type="spellEnd"/>
                      <w:proofErr w:type="gram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0704B">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50704B">
                              <w:rPr>
                                <w:rFonts w:asciiTheme="majorHAnsi" w:hAnsiTheme="majorHAnsi"/>
                                <w:color w:val="0D0D0D" w:themeColor="text1" w:themeTint="F2"/>
                                <w:sz w:val="18"/>
                                <w:szCs w:val="22"/>
                                <w:lang w:val="es-ES"/>
                              </w:rPr>
                              <w:t xml:space="preserve">julio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6A372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0704B">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50704B">
                        <w:rPr>
                          <w:rFonts w:asciiTheme="majorHAnsi" w:hAnsiTheme="majorHAnsi"/>
                          <w:color w:val="0D0D0D" w:themeColor="text1" w:themeTint="F2"/>
                          <w:sz w:val="18"/>
                          <w:szCs w:val="22"/>
                          <w:lang w:val="es-ES"/>
                        </w:rPr>
                        <w:t xml:space="preserve">julio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6A3725">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0704B" w:rsidRPr="0050704B">
                              <w:rPr>
                                <w:rFonts w:asciiTheme="majorHAnsi" w:hAnsiTheme="majorHAnsi"/>
                                <w:color w:val="595959" w:themeColor="text1" w:themeTint="A6"/>
                                <w:sz w:val="18"/>
                                <w:szCs w:val="18"/>
                                <w:lang w:val="pt-BR"/>
                              </w:rPr>
                              <w:t>81</w:t>
                            </w:r>
                            <w:r w:rsidR="007B05C4" w:rsidRPr="0050704B">
                              <w:rPr>
                                <w:rFonts w:asciiTheme="majorHAnsi" w:hAnsiTheme="majorHAnsi"/>
                                <w:color w:val="595959" w:themeColor="text1" w:themeTint="A6"/>
                                <w:sz w:val="18"/>
                                <w:szCs w:val="18"/>
                                <w:lang w:val="pt-BR"/>
                              </w:rPr>
                              <w:t>/</w:t>
                            </w:r>
                            <w:r w:rsidR="0050704B" w:rsidRPr="0050704B">
                              <w:rPr>
                                <w:rFonts w:asciiTheme="majorHAnsi" w:hAnsiTheme="majorHAnsi"/>
                                <w:color w:val="595959" w:themeColor="text1" w:themeTint="A6"/>
                                <w:sz w:val="18"/>
                                <w:szCs w:val="18"/>
                                <w:lang w:val="pt-BR"/>
                              </w:rPr>
                              <w:t>18</w:t>
                            </w:r>
                            <w:r w:rsidRPr="0050704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40786">
                              <w:rPr>
                                <w:rFonts w:asciiTheme="majorHAnsi" w:hAnsiTheme="majorHAnsi"/>
                                <w:color w:val="595959" w:themeColor="text1" w:themeTint="A6"/>
                                <w:sz w:val="18"/>
                                <w:szCs w:val="18"/>
                                <w:lang w:val="es-ES"/>
                              </w:rPr>
                              <w:t>190</w:t>
                            </w:r>
                            <w:r w:rsidR="000433C9">
                              <w:rPr>
                                <w:rFonts w:asciiTheme="majorHAnsi" w:hAnsiTheme="majorHAnsi"/>
                                <w:color w:val="595959" w:themeColor="text1" w:themeTint="A6"/>
                                <w:sz w:val="18"/>
                                <w:szCs w:val="18"/>
                                <w:lang w:val="es-ES"/>
                              </w:rPr>
                              <w:t>-</w:t>
                            </w:r>
                            <w:r w:rsidR="00C40786">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w:t>
                            </w:r>
                            <w:r w:rsidR="00C40786">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40786">
                              <w:rPr>
                                <w:rFonts w:asciiTheme="majorHAnsi" w:hAnsiTheme="majorHAnsi"/>
                                <w:color w:val="595959" w:themeColor="text1" w:themeTint="A6"/>
                                <w:sz w:val="18"/>
                                <w:szCs w:val="18"/>
                                <w:lang w:val="es-ES_tradnl"/>
                              </w:rPr>
                              <w:t>Edgar José Sánchez Duarte</w:t>
                            </w:r>
                            <w:r w:rsidRPr="00890650">
                              <w:rPr>
                                <w:rFonts w:asciiTheme="majorHAnsi" w:hAnsiTheme="majorHAnsi"/>
                                <w:color w:val="595959" w:themeColor="text1" w:themeTint="A6"/>
                                <w:sz w:val="18"/>
                                <w:szCs w:val="18"/>
                                <w:lang w:val="es-ES_tradnl"/>
                              </w:rPr>
                              <w:t xml:space="preserve">. </w:t>
                            </w:r>
                            <w:r w:rsidR="00C4078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0704B">
                              <w:rPr>
                                <w:rFonts w:asciiTheme="majorHAnsi" w:hAnsiTheme="majorHAnsi"/>
                                <w:color w:val="595959" w:themeColor="text1" w:themeTint="A6"/>
                                <w:sz w:val="18"/>
                                <w:szCs w:val="18"/>
                                <w:lang w:val="es-ES"/>
                              </w:rPr>
                              <w:t>7 de julio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0704B" w:rsidRPr="0050704B">
                        <w:rPr>
                          <w:rFonts w:asciiTheme="majorHAnsi" w:hAnsiTheme="majorHAnsi"/>
                          <w:color w:val="595959" w:themeColor="text1" w:themeTint="A6"/>
                          <w:sz w:val="18"/>
                          <w:szCs w:val="18"/>
                          <w:lang w:val="pt-BR"/>
                        </w:rPr>
                        <w:t>81</w:t>
                      </w:r>
                      <w:r w:rsidR="007B05C4" w:rsidRPr="0050704B">
                        <w:rPr>
                          <w:rFonts w:asciiTheme="majorHAnsi" w:hAnsiTheme="majorHAnsi"/>
                          <w:color w:val="595959" w:themeColor="text1" w:themeTint="A6"/>
                          <w:sz w:val="18"/>
                          <w:szCs w:val="18"/>
                          <w:lang w:val="pt-BR"/>
                        </w:rPr>
                        <w:t>/</w:t>
                      </w:r>
                      <w:r w:rsidR="0050704B" w:rsidRPr="0050704B">
                        <w:rPr>
                          <w:rFonts w:asciiTheme="majorHAnsi" w:hAnsiTheme="majorHAnsi"/>
                          <w:color w:val="595959" w:themeColor="text1" w:themeTint="A6"/>
                          <w:sz w:val="18"/>
                          <w:szCs w:val="18"/>
                          <w:lang w:val="pt-BR"/>
                        </w:rPr>
                        <w:t>18</w:t>
                      </w:r>
                      <w:r w:rsidRPr="0050704B">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40786">
                        <w:rPr>
                          <w:rFonts w:asciiTheme="majorHAnsi" w:hAnsiTheme="majorHAnsi"/>
                          <w:color w:val="595959" w:themeColor="text1" w:themeTint="A6"/>
                          <w:sz w:val="18"/>
                          <w:szCs w:val="18"/>
                          <w:lang w:val="es-ES"/>
                        </w:rPr>
                        <w:t>190</w:t>
                      </w:r>
                      <w:r w:rsidR="000433C9">
                        <w:rPr>
                          <w:rFonts w:asciiTheme="majorHAnsi" w:hAnsiTheme="majorHAnsi"/>
                          <w:color w:val="595959" w:themeColor="text1" w:themeTint="A6"/>
                          <w:sz w:val="18"/>
                          <w:szCs w:val="18"/>
                          <w:lang w:val="es-ES"/>
                        </w:rPr>
                        <w:t>-</w:t>
                      </w:r>
                      <w:r w:rsidR="00C40786">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w:t>
                      </w:r>
                      <w:r w:rsidR="00C40786">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40786">
                        <w:rPr>
                          <w:rFonts w:asciiTheme="majorHAnsi" w:hAnsiTheme="majorHAnsi"/>
                          <w:color w:val="595959" w:themeColor="text1" w:themeTint="A6"/>
                          <w:sz w:val="18"/>
                          <w:szCs w:val="18"/>
                          <w:lang w:val="es-ES_tradnl"/>
                        </w:rPr>
                        <w:t>Edgar José Sánchez Duarte</w:t>
                      </w:r>
                      <w:r w:rsidRPr="00890650">
                        <w:rPr>
                          <w:rFonts w:asciiTheme="majorHAnsi" w:hAnsiTheme="majorHAnsi"/>
                          <w:color w:val="595959" w:themeColor="text1" w:themeTint="A6"/>
                          <w:sz w:val="18"/>
                          <w:szCs w:val="18"/>
                          <w:lang w:val="es-ES_tradnl"/>
                        </w:rPr>
                        <w:t xml:space="preserve">. </w:t>
                      </w:r>
                      <w:r w:rsidR="00C4078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0704B">
                        <w:rPr>
                          <w:rFonts w:asciiTheme="majorHAnsi" w:hAnsiTheme="majorHAnsi"/>
                          <w:color w:val="595959" w:themeColor="text1" w:themeTint="A6"/>
                          <w:sz w:val="18"/>
                          <w:szCs w:val="18"/>
                          <w:lang w:val="es-ES"/>
                        </w:rPr>
                        <w:t>7 de julio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30E48" w:rsidTr="004A6A54">
        <w:tc>
          <w:tcPr>
            <w:tcW w:w="3600" w:type="dxa"/>
            <w:tcBorders>
              <w:top w:val="single" w:sz="4"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rsidR="003239B8" w:rsidRPr="00173325" w:rsidRDefault="00173325" w:rsidP="008D2290">
            <w:pPr>
              <w:jc w:val="both"/>
              <w:rPr>
                <w:rFonts w:ascii="Cambria" w:hAnsi="Cambria"/>
                <w:bCs/>
                <w:sz w:val="20"/>
                <w:szCs w:val="20"/>
                <w:lang w:val="es-BO"/>
              </w:rPr>
            </w:pPr>
            <w:r w:rsidRPr="00173325">
              <w:rPr>
                <w:rFonts w:ascii="Cambria" w:hAnsi="Cambria"/>
                <w:bCs/>
                <w:sz w:val="20"/>
                <w:szCs w:val="20"/>
                <w:lang w:val="es-BO"/>
              </w:rPr>
              <w:t>Graciela Sánchez Duarte y Corporaci</w:t>
            </w:r>
            <w:r>
              <w:rPr>
                <w:rFonts w:ascii="Cambria" w:hAnsi="Cambria"/>
                <w:bCs/>
                <w:sz w:val="20"/>
                <w:szCs w:val="20"/>
                <w:lang w:val="es-BO"/>
              </w:rPr>
              <w:t>ón Colectivo de Abogados Opción Jurídica</w:t>
            </w:r>
          </w:p>
        </w:tc>
      </w:tr>
      <w:tr w:rsidR="003239B8" w:rsidRPr="00830E48" w:rsidTr="004A6A54">
        <w:tc>
          <w:tcPr>
            <w:tcW w:w="3600" w:type="dxa"/>
            <w:tcBorders>
              <w:top w:val="single" w:sz="6" w:space="0" w:color="auto"/>
              <w:bottom w:val="single" w:sz="6" w:space="0" w:color="auto"/>
            </w:tcBorders>
            <w:shd w:val="clear" w:color="auto" w:fill="386294"/>
            <w:vAlign w:val="center"/>
          </w:tcPr>
          <w:p w:rsidR="003239B8" w:rsidRPr="00706824" w:rsidRDefault="002016E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rsidR="003239B8" w:rsidRPr="004C2312" w:rsidRDefault="00173325" w:rsidP="00183DCB">
            <w:pPr>
              <w:jc w:val="both"/>
              <w:rPr>
                <w:rFonts w:ascii="Cambria" w:hAnsi="Cambria"/>
                <w:bCs/>
                <w:sz w:val="20"/>
                <w:szCs w:val="20"/>
                <w:lang w:val="es-ES"/>
              </w:rPr>
            </w:pPr>
            <w:r>
              <w:rPr>
                <w:rFonts w:ascii="Cambria" w:hAnsi="Cambria"/>
                <w:bCs/>
                <w:sz w:val="20"/>
                <w:szCs w:val="20"/>
                <w:lang w:val="es-ES"/>
              </w:rPr>
              <w:t>Edgar José Sánchez Duarte y familia</w:t>
            </w:r>
          </w:p>
        </w:tc>
      </w:tr>
      <w:tr w:rsidR="003239B8" w:rsidTr="004A6A54">
        <w:tc>
          <w:tcPr>
            <w:tcW w:w="360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rsidR="003239B8" w:rsidRPr="004B3C14" w:rsidRDefault="00C40786" w:rsidP="008D2290">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2"/>
            </w:r>
          </w:p>
        </w:tc>
      </w:tr>
      <w:tr w:rsidR="00223A29" w:rsidRPr="00830E48" w:rsidTr="004A6A54">
        <w:tc>
          <w:tcPr>
            <w:tcW w:w="3600" w:type="dxa"/>
            <w:tcBorders>
              <w:top w:val="single" w:sz="6" w:space="0" w:color="auto"/>
              <w:bottom w:val="single" w:sz="6" w:space="0" w:color="auto"/>
            </w:tcBorders>
            <w:shd w:val="clear" w:color="auto" w:fill="386294"/>
            <w:vAlign w:val="center"/>
          </w:tcPr>
          <w:p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rsidR="00223A29" w:rsidRPr="00D46703" w:rsidRDefault="00D46703" w:rsidP="008D2290">
            <w:pPr>
              <w:jc w:val="both"/>
              <w:rPr>
                <w:rFonts w:ascii="Cambria" w:hAnsi="Cambria"/>
                <w:bCs/>
                <w:sz w:val="20"/>
                <w:szCs w:val="20"/>
                <w:lang w:val="es-BO"/>
              </w:rPr>
            </w:pPr>
            <w:r w:rsidRPr="00B83D6A">
              <w:rPr>
                <w:rFonts w:ascii="Cambria" w:hAnsi="Cambria"/>
                <w:bCs/>
                <w:sz w:val="20"/>
                <w:szCs w:val="20"/>
                <w:lang w:val="es-ES"/>
              </w:rPr>
              <w:t xml:space="preserve">Artículos 4 (vida), 5 (integridad personal), 7 (libertad personal), </w:t>
            </w:r>
            <w:r w:rsidRPr="00B83D6A">
              <w:rPr>
                <w:rFonts w:ascii="Cambria" w:hAnsi="Cambria"/>
                <w:sz w:val="20"/>
                <w:szCs w:val="20"/>
                <w:bdr w:val="none" w:sz="0" w:space="0" w:color="auto" w:frame="1"/>
                <w:lang w:val="es-UY"/>
              </w:rPr>
              <w:t>8 (garantías judiciales)</w:t>
            </w:r>
            <w:r>
              <w:rPr>
                <w:rFonts w:ascii="Cambria" w:hAnsi="Cambria"/>
                <w:sz w:val="20"/>
                <w:szCs w:val="20"/>
                <w:bdr w:val="none" w:sz="0" w:space="0" w:color="auto" w:frame="1"/>
                <w:lang w:val="es-UY"/>
              </w:rPr>
              <w:t>, 24 (igualdad ante la ley)</w:t>
            </w:r>
            <w:r w:rsidRPr="00B83D6A">
              <w:rPr>
                <w:rFonts w:ascii="Cambria" w:hAnsi="Cambria"/>
                <w:sz w:val="20"/>
                <w:szCs w:val="20"/>
                <w:bdr w:val="none" w:sz="0" w:space="0" w:color="auto" w:frame="1"/>
                <w:lang w:val="es-UY"/>
              </w:rPr>
              <w:t xml:space="preserve"> y 25 (protección judicial) de la Convención Americana </w:t>
            </w:r>
            <w:r w:rsidRPr="00B83D6A">
              <w:rPr>
                <w:rFonts w:ascii="Cambria" w:hAnsi="Cambria"/>
                <w:bCs/>
                <w:sz w:val="20"/>
                <w:szCs w:val="20"/>
                <w:bdr w:val="none" w:sz="0" w:space="0" w:color="auto" w:frame="1"/>
                <w:lang w:val="es-ES"/>
              </w:rPr>
              <w:t>sobre Derechos Humanos</w:t>
            </w:r>
            <w:r w:rsidRPr="00B83D6A">
              <w:rPr>
                <w:rStyle w:val="FootnoteReference"/>
                <w:rFonts w:ascii="Cambria" w:hAnsi="Cambria"/>
                <w:bCs/>
                <w:sz w:val="20"/>
                <w:szCs w:val="20"/>
                <w:bdr w:val="none" w:sz="0" w:space="0" w:color="auto" w:frame="1"/>
                <w:lang w:val="es-ES"/>
              </w:rPr>
              <w:footnoteReference w:id="3"/>
            </w:r>
            <w:r w:rsidRPr="00B83D6A">
              <w:rPr>
                <w:rFonts w:ascii="Cambria" w:hAnsi="Cambria"/>
                <w:bCs/>
                <w:sz w:val="20"/>
                <w:szCs w:val="20"/>
                <w:bdr w:val="none" w:sz="0" w:space="0" w:color="auto" w:frame="1"/>
                <w:lang w:val="es-ES"/>
              </w:rPr>
              <w:t xml:space="preserve">  </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C40786" w:rsidP="00183DCB">
            <w:pPr>
              <w:jc w:val="both"/>
              <w:rPr>
                <w:rFonts w:ascii="Cambria" w:hAnsi="Cambria"/>
                <w:bCs/>
                <w:sz w:val="20"/>
                <w:szCs w:val="20"/>
                <w:lang w:val="es-ES"/>
              </w:rPr>
            </w:pPr>
            <w:r>
              <w:rPr>
                <w:rFonts w:ascii="Cambria" w:hAnsi="Cambria"/>
                <w:bCs/>
                <w:sz w:val="20"/>
                <w:szCs w:val="20"/>
                <w:lang w:val="es-ES"/>
              </w:rPr>
              <w:t>1 de febrero de 2007</w:t>
            </w:r>
            <w:r w:rsidR="00173325">
              <w:rPr>
                <w:rFonts w:ascii="Cambria" w:hAnsi="Cambria"/>
                <w:bCs/>
                <w:sz w:val="20"/>
                <w:szCs w:val="20"/>
                <w:lang w:val="es-ES"/>
              </w:rPr>
              <w:t xml:space="preserve">  </w:t>
            </w:r>
          </w:p>
        </w:tc>
      </w:tr>
      <w:tr w:rsidR="001E49E7" w:rsidRPr="00830E48" w:rsidTr="004A6A54">
        <w:tc>
          <w:tcPr>
            <w:tcW w:w="3600" w:type="dxa"/>
            <w:tcBorders>
              <w:top w:val="single" w:sz="6" w:space="0" w:color="auto"/>
              <w:bottom w:val="single" w:sz="6" w:space="0" w:color="auto"/>
            </w:tcBorders>
            <w:shd w:val="clear" w:color="auto" w:fill="386294"/>
            <w:vAlign w:val="center"/>
          </w:tcPr>
          <w:p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173325" w:rsidRDefault="00173325" w:rsidP="00173325">
            <w:pPr>
              <w:rPr>
                <w:rFonts w:ascii="Cambria" w:hAnsi="Cambria"/>
                <w:bCs/>
                <w:sz w:val="20"/>
                <w:szCs w:val="20"/>
                <w:lang w:val="es-AR"/>
              </w:rPr>
            </w:pPr>
            <w:r>
              <w:rPr>
                <w:rFonts w:ascii="Cambria" w:hAnsi="Cambria"/>
                <w:bCs/>
                <w:sz w:val="20"/>
                <w:szCs w:val="20"/>
                <w:lang w:val="es-AR"/>
              </w:rPr>
              <w:t>18 de octubre de 2007, 24 de febrero de 2008</w:t>
            </w:r>
            <w:r w:rsidR="007C4351">
              <w:rPr>
                <w:rFonts w:ascii="Cambria" w:hAnsi="Cambria"/>
                <w:bCs/>
                <w:sz w:val="20"/>
                <w:szCs w:val="20"/>
                <w:lang w:val="es-AR"/>
              </w:rPr>
              <w:t>, 24 de septiembre, 1, 2 y 14 de noviembre de 2012</w:t>
            </w:r>
          </w:p>
        </w:tc>
      </w:tr>
      <w:tr w:rsidR="004C2312" w:rsidRPr="00C40786"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173325" w:rsidRDefault="007C4351" w:rsidP="008D2290">
            <w:pPr>
              <w:jc w:val="both"/>
              <w:rPr>
                <w:rFonts w:ascii="Cambria" w:hAnsi="Cambria"/>
                <w:bCs/>
                <w:sz w:val="20"/>
                <w:szCs w:val="20"/>
                <w:lang w:val="es-ES"/>
              </w:rPr>
            </w:pPr>
            <w:r>
              <w:rPr>
                <w:rFonts w:ascii="Cambria" w:hAnsi="Cambria"/>
                <w:bCs/>
                <w:sz w:val="20"/>
                <w:szCs w:val="20"/>
                <w:lang w:val="es-ES"/>
              </w:rPr>
              <w:t>29 de mayo de 2013</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173325" w:rsidRDefault="007C4351" w:rsidP="008D2290">
            <w:pPr>
              <w:jc w:val="both"/>
              <w:rPr>
                <w:rFonts w:ascii="Cambria" w:hAnsi="Cambria"/>
                <w:bCs/>
                <w:sz w:val="20"/>
                <w:szCs w:val="20"/>
                <w:lang w:val="es-ES"/>
              </w:rPr>
            </w:pPr>
            <w:r>
              <w:rPr>
                <w:rFonts w:ascii="Cambria" w:hAnsi="Cambria"/>
                <w:bCs/>
                <w:sz w:val="20"/>
                <w:szCs w:val="20"/>
                <w:lang w:val="es-ES"/>
              </w:rPr>
              <w:t>21 de octubre de 2013</w:t>
            </w:r>
          </w:p>
        </w:tc>
      </w:tr>
      <w:tr w:rsidR="004C2312" w:rsidRPr="00830E48"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173325" w:rsidRDefault="007C4351" w:rsidP="008D2290">
            <w:pPr>
              <w:jc w:val="both"/>
              <w:rPr>
                <w:rFonts w:ascii="Cambria" w:hAnsi="Cambria"/>
                <w:bCs/>
                <w:sz w:val="20"/>
                <w:szCs w:val="20"/>
                <w:lang w:val="es-ES"/>
              </w:rPr>
            </w:pPr>
            <w:r>
              <w:rPr>
                <w:rFonts w:ascii="Cambria" w:hAnsi="Cambria"/>
                <w:bCs/>
                <w:sz w:val="20"/>
                <w:szCs w:val="20"/>
                <w:lang w:val="es-ES"/>
              </w:rPr>
              <w:t>2 de enero de 2014</w:t>
            </w:r>
            <w:r w:rsidR="00461819">
              <w:rPr>
                <w:rFonts w:ascii="Cambria" w:hAnsi="Cambria"/>
                <w:bCs/>
                <w:sz w:val="20"/>
                <w:szCs w:val="20"/>
                <w:lang w:val="es-ES"/>
              </w:rPr>
              <w:t>, 16 de marzo de 2017</w:t>
            </w:r>
          </w:p>
        </w:tc>
      </w:tr>
      <w:tr w:rsidR="004C2312" w:rsidRPr="00830E48"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rsidR="004C2312" w:rsidRPr="00461819" w:rsidRDefault="007C4351" w:rsidP="008D2290">
            <w:pPr>
              <w:jc w:val="both"/>
              <w:rPr>
                <w:rFonts w:ascii="Cambria" w:hAnsi="Cambria"/>
                <w:bCs/>
                <w:sz w:val="20"/>
                <w:szCs w:val="20"/>
                <w:lang w:val="es-BO"/>
              </w:rPr>
            </w:pPr>
            <w:r w:rsidRPr="00461819">
              <w:rPr>
                <w:rFonts w:ascii="Cambria" w:hAnsi="Cambria"/>
                <w:bCs/>
                <w:sz w:val="20"/>
                <w:szCs w:val="20"/>
                <w:lang w:val="es-BO"/>
              </w:rPr>
              <w:t>11 de noviembre de 2014</w:t>
            </w:r>
            <w:r w:rsidR="00461819" w:rsidRPr="00461819">
              <w:rPr>
                <w:rFonts w:ascii="Cambria" w:hAnsi="Cambria"/>
                <w:bCs/>
                <w:sz w:val="20"/>
                <w:szCs w:val="20"/>
                <w:lang w:val="es-BO"/>
              </w:rPr>
              <w:t>, 16 de mayo de 2018</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rsidR="003239B8" w:rsidRPr="004B3C14" w:rsidRDefault="00461819"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rsidR="003239B8" w:rsidRPr="004B3C14" w:rsidRDefault="00461819" w:rsidP="008D2290">
            <w:pPr>
              <w:rPr>
                <w:rFonts w:ascii="Cambria" w:hAnsi="Cambria"/>
                <w:bCs/>
                <w:sz w:val="20"/>
                <w:szCs w:val="20"/>
              </w:rPr>
            </w:pPr>
            <w:r>
              <w:rPr>
                <w:rFonts w:ascii="Cambria" w:hAnsi="Cambria"/>
                <w:bCs/>
                <w:sz w:val="20"/>
                <w:szCs w:val="20"/>
              </w:rPr>
              <w:t>Sí</w:t>
            </w:r>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rsidR="003239B8" w:rsidRPr="00153E77" w:rsidRDefault="00461819" w:rsidP="008D2290">
            <w:pPr>
              <w:rPr>
                <w:bCs/>
                <w:sz w:val="20"/>
                <w:szCs w:val="20"/>
              </w:rPr>
            </w:pPr>
            <w:r w:rsidRPr="00B0706E">
              <w:rPr>
                <w:rFonts w:ascii="Cambria" w:hAnsi="Cambria"/>
                <w:bCs/>
                <w:sz w:val="20"/>
                <w:szCs w:val="20"/>
              </w:rPr>
              <w:t>Sí</w:t>
            </w:r>
          </w:p>
        </w:tc>
      </w:tr>
      <w:tr w:rsidR="003239B8" w:rsidRPr="00830E48"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rsidR="003239B8" w:rsidRPr="004C2312" w:rsidRDefault="00461819" w:rsidP="008D2290">
            <w:pPr>
              <w:jc w:val="both"/>
              <w:rPr>
                <w:rFonts w:ascii="Cambria" w:hAnsi="Cambria"/>
                <w:bCs/>
                <w:sz w:val="20"/>
                <w:szCs w:val="20"/>
                <w:lang w:val="es-ES"/>
              </w:rPr>
            </w:pPr>
            <w:r>
              <w:rPr>
                <w:rFonts w:ascii="Cambria" w:hAnsi="Cambria"/>
                <w:bCs/>
                <w:sz w:val="20"/>
                <w:szCs w:val="20"/>
                <w:lang w:val="es-ES"/>
              </w:rPr>
              <w:t xml:space="preserve">Sí, </w:t>
            </w:r>
            <w:r w:rsidRPr="00B83D6A">
              <w:rPr>
                <w:rFonts w:ascii="Cambria" w:hAnsi="Cambria"/>
                <w:bCs/>
                <w:sz w:val="20"/>
                <w:szCs w:val="20"/>
                <w:lang w:val="es-ES"/>
              </w:rPr>
              <w:t>Convención Americana (depósito de instrumento realizado el 31 de julio de 1973)</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C40786" w:rsidTr="004A6A54">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rsidR="00EE00E9" w:rsidRPr="00EE00E9" w:rsidRDefault="00461819" w:rsidP="008D2290">
            <w:pPr>
              <w:jc w:val="both"/>
              <w:rPr>
                <w:rFonts w:ascii="Cambria" w:hAnsi="Cambria"/>
                <w:bCs/>
                <w:sz w:val="20"/>
                <w:szCs w:val="20"/>
                <w:lang w:val="es-ES"/>
              </w:rPr>
            </w:pPr>
            <w:r>
              <w:rPr>
                <w:rFonts w:ascii="Cambria" w:hAnsi="Cambria"/>
                <w:bCs/>
                <w:sz w:val="20"/>
                <w:szCs w:val="20"/>
                <w:lang w:val="es-ES"/>
              </w:rPr>
              <w:t>No</w:t>
            </w:r>
          </w:p>
        </w:tc>
      </w:tr>
      <w:tr w:rsidR="003239B8" w:rsidRPr="00830E48"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rsidR="003239B8" w:rsidRPr="00D46703" w:rsidRDefault="00D46703" w:rsidP="00D46703">
            <w:pPr>
              <w:jc w:val="both"/>
              <w:rPr>
                <w:rFonts w:ascii="Cambria" w:hAnsi="Cambria"/>
                <w:bCs/>
                <w:sz w:val="20"/>
                <w:szCs w:val="20"/>
                <w:lang w:val="es-BO"/>
              </w:rPr>
            </w:pPr>
            <w:r w:rsidRPr="00B83D6A">
              <w:rPr>
                <w:rFonts w:ascii="Cambria" w:hAnsi="Cambria"/>
                <w:bCs/>
                <w:sz w:val="20"/>
                <w:szCs w:val="20"/>
                <w:lang w:val="es-ES"/>
              </w:rPr>
              <w:t xml:space="preserve">Artículos 4 (vida), 5 (integridad personal), </w:t>
            </w:r>
            <w:r w:rsidRPr="00B83D6A">
              <w:rPr>
                <w:rFonts w:ascii="Cambria" w:hAnsi="Cambria"/>
                <w:sz w:val="20"/>
                <w:szCs w:val="20"/>
                <w:bdr w:val="none" w:sz="0" w:space="0" w:color="auto" w:frame="1"/>
                <w:lang w:val="es-UY"/>
              </w:rPr>
              <w:t>8 (garantías judiciales)</w:t>
            </w:r>
            <w:r>
              <w:rPr>
                <w:rFonts w:ascii="Cambria" w:hAnsi="Cambria"/>
                <w:sz w:val="20"/>
                <w:szCs w:val="20"/>
                <w:bdr w:val="none" w:sz="0" w:space="0" w:color="auto" w:frame="1"/>
                <w:lang w:val="es-UY"/>
              </w:rPr>
              <w:t xml:space="preserve">, 17 (protección a la familia), 24 (igualdad ante la ley) </w:t>
            </w:r>
            <w:r w:rsidRPr="00B83D6A">
              <w:rPr>
                <w:rFonts w:ascii="Cambria" w:hAnsi="Cambria"/>
                <w:sz w:val="20"/>
                <w:szCs w:val="20"/>
                <w:bdr w:val="none" w:sz="0" w:space="0" w:color="auto" w:frame="1"/>
                <w:lang w:val="es-UY"/>
              </w:rPr>
              <w:t xml:space="preserve"> y 25 (protección judicial) de la Convención Americana, en relación con su</w:t>
            </w:r>
            <w:r w:rsidR="008C47A0">
              <w:rPr>
                <w:rFonts w:ascii="Cambria" w:hAnsi="Cambria"/>
                <w:sz w:val="20"/>
                <w:szCs w:val="20"/>
                <w:bdr w:val="none" w:sz="0" w:space="0" w:color="auto" w:frame="1"/>
                <w:lang w:val="es-UY"/>
              </w:rPr>
              <w:t>s</w:t>
            </w:r>
            <w:r w:rsidRPr="00B83D6A">
              <w:rPr>
                <w:rFonts w:ascii="Cambria" w:hAnsi="Cambria"/>
                <w:sz w:val="20"/>
                <w:szCs w:val="20"/>
                <w:bdr w:val="none" w:sz="0" w:space="0" w:color="auto" w:frame="1"/>
                <w:lang w:val="es-UY"/>
              </w:rPr>
              <w:t xml:space="preserve"> artículo</w:t>
            </w:r>
            <w:r w:rsidR="008C47A0">
              <w:rPr>
                <w:rFonts w:ascii="Cambria" w:hAnsi="Cambria"/>
                <w:sz w:val="20"/>
                <w:szCs w:val="20"/>
                <w:bdr w:val="none" w:sz="0" w:space="0" w:color="auto" w:frame="1"/>
                <w:lang w:val="es-UY"/>
              </w:rPr>
              <w:t>s</w:t>
            </w:r>
            <w:r w:rsidRPr="00B83D6A">
              <w:rPr>
                <w:rFonts w:ascii="Cambria" w:hAnsi="Cambria"/>
                <w:sz w:val="20"/>
                <w:szCs w:val="20"/>
                <w:bdr w:val="none" w:sz="0" w:space="0" w:color="auto" w:frame="1"/>
                <w:lang w:val="es-UY"/>
              </w:rPr>
              <w:t xml:space="preserve"> </w:t>
            </w:r>
            <w:r w:rsidRPr="00B83D6A">
              <w:rPr>
                <w:rFonts w:ascii="Cambria" w:hAnsi="Cambria"/>
                <w:sz w:val="20"/>
                <w:szCs w:val="20"/>
                <w:lang w:val="es-ES"/>
              </w:rPr>
              <w:t>1.1</w:t>
            </w:r>
            <w:r w:rsidR="008C47A0">
              <w:rPr>
                <w:rFonts w:ascii="Cambria" w:hAnsi="Cambria"/>
                <w:sz w:val="20"/>
                <w:szCs w:val="20"/>
                <w:lang w:val="es-ES"/>
              </w:rPr>
              <w:t xml:space="preserve"> y 2</w:t>
            </w:r>
          </w:p>
        </w:tc>
      </w:tr>
      <w:tr w:rsidR="00461819" w:rsidRPr="00830E48" w:rsidTr="004A6A54">
        <w:trPr>
          <w:cantSplit/>
        </w:trPr>
        <w:tc>
          <w:tcPr>
            <w:tcW w:w="3600" w:type="dxa"/>
            <w:tcBorders>
              <w:top w:val="single" w:sz="6" w:space="0" w:color="auto"/>
              <w:bottom w:val="single" w:sz="6" w:space="0" w:color="auto"/>
            </w:tcBorders>
            <w:shd w:val="clear" w:color="auto" w:fill="386294"/>
            <w:vAlign w:val="center"/>
          </w:tcPr>
          <w:p w:rsidR="00461819" w:rsidRPr="00EE00E9" w:rsidRDefault="0046181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 o procedencia de una excepción:</w:t>
            </w:r>
          </w:p>
        </w:tc>
        <w:tc>
          <w:tcPr>
            <w:tcW w:w="5760" w:type="dxa"/>
            <w:vAlign w:val="center"/>
          </w:tcPr>
          <w:p w:rsidR="00461819" w:rsidRPr="00EE00E9" w:rsidRDefault="00461819" w:rsidP="008D2290">
            <w:pPr>
              <w:rPr>
                <w:rFonts w:ascii="Cambria" w:hAnsi="Cambria"/>
                <w:bCs/>
                <w:sz w:val="20"/>
                <w:szCs w:val="20"/>
                <w:lang w:val="es-ES"/>
              </w:rPr>
            </w:pPr>
            <w:r w:rsidRPr="00B83D6A">
              <w:rPr>
                <w:rFonts w:ascii="Cambria" w:hAnsi="Cambria"/>
                <w:bCs/>
                <w:sz w:val="20"/>
                <w:szCs w:val="20"/>
                <w:lang w:val="es-ES"/>
              </w:rPr>
              <w:t>Sí</w:t>
            </w:r>
            <w:r w:rsidRPr="00B83D6A">
              <w:rPr>
                <w:rFonts w:ascii="Cambria" w:hAnsi="Cambria"/>
                <w:bCs/>
                <w:sz w:val="20"/>
                <w:szCs w:val="20"/>
                <w:lang w:val="es-BO"/>
              </w:rPr>
              <w:t>, aplica excepción artículo 46.2.</w:t>
            </w:r>
            <w:r w:rsidR="008C47A0">
              <w:rPr>
                <w:rFonts w:ascii="Cambria" w:hAnsi="Cambria"/>
                <w:bCs/>
                <w:sz w:val="20"/>
                <w:szCs w:val="20"/>
                <w:lang w:val="es-BO"/>
              </w:rPr>
              <w:t xml:space="preserve"> b y</w:t>
            </w:r>
            <w:r w:rsidRPr="00B83D6A">
              <w:rPr>
                <w:rFonts w:ascii="Cambria" w:hAnsi="Cambria"/>
                <w:bCs/>
                <w:sz w:val="20"/>
                <w:szCs w:val="20"/>
                <w:lang w:val="es-BO"/>
              </w:rPr>
              <w:t xml:space="preserve"> c de la CADH</w:t>
            </w:r>
          </w:p>
        </w:tc>
      </w:tr>
      <w:tr w:rsidR="00461819" w:rsidRPr="00830E48" w:rsidTr="004A6A54">
        <w:trPr>
          <w:cantSplit/>
        </w:trPr>
        <w:tc>
          <w:tcPr>
            <w:tcW w:w="3600" w:type="dxa"/>
            <w:tcBorders>
              <w:top w:val="single" w:sz="6" w:space="0" w:color="auto"/>
              <w:bottom w:val="single" w:sz="6" w:space="0" w:color="auto"/>
            </w:tcBorders>
            <w:shd w:val="clear" w:color="auto" w:fill="386294"/>
            <w:vAlign w:val="center"/>
          </w:tcPr>
          <w:p w:rsidR="00461819" w:rsidRPr="00706824" w:rsidRDefault="00461819"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rsidR="00461819" w:rsidRPr="00461819" w:rsidRDefault="00461819" w:rsidP="008D2290">
            <w:pPr>
              <w:rPr>
                <w:bCs/>
                <w:sz w:val="20"/>
                <w:szCs w:val="20"/>
                <w:lang w:val="es-BO"/>
              </w:rPr>
            </w:pPr>
            <w:r w:rsidRPr="00B83D6A">
              <w:rPr>
                <w:rFonts w:ascii="Cambria" w:hAnsi="Cambria"/>
                <w:bCs/>
                <w:sz w:val="20"/>
                <w:szCs w:val="20"/>
                <w:lang w:val="es-BO"/>
              </w:rPr>
              <w:t>Sí, en los términos de la sección VI</w:t>
            </w:r>
          </w:p>
        </w:tc>
      </w:tr>
    </w:tbl>
    <w:p w:rsidR="00183DCB" w:rsidRDefault="00183DCB" w:rsidP="003239B8">
      <w:pPr>
        <w:spacing w:before="240" w:after="240"/>
        <w:ind w:firstLine="720"/>
        <w:jc w:val="both"/>
        <w:rPr>
          <w:rFonts w:asciiTheme="majorHAnsi" w:hAnsiTheme="majorHAnsi"/>
          <w:b/>
          <w:sz w:val="20"/>
          <w:szCs w:val="20"/>
          <w:lang w:val="es-UY"/>
        </w:rPr>
      </w:pPr>
    </w:p>
    <w:p w:rsidR="00183DCB" w:rsidRDefault="00183DCB"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CE6946" w:rsidRDefault="00D46703"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CB5521">
        <w:rPr>
          <w:rFonts w:ascii="Cambria" w:hAnsi="Cambria"/>
          <w:sz w:val="20"/>
          <w:szCs w:val="20"/>
          <w:lang w:val="es-BO"/>
        </w:rPr>
        <w:t>Los peticionarios alegan</w:t>
      </w:r>
      <w:r w:rsidR="008C4882">
        <w:rPr>
          <w:rFonts w:ascii="Cambria" w:hAnsi="Cambria"/>
          <w:sz w:val="20"/>
          <w:szCs w:val="20"/>
          <w:lang w:val="es-BO"/>
        </w:rPr>
        <w:t xml:space="preserve"> que el 13 de septiembre de 1993</w:t>
      </w:r>
      <w:r w:rsidRPr="00CB5521">
        <w:rPr>
          <w:rFonts w:ascii="Cambria" w:hAnsi="Cambria"/>
          <w:sz w:val="20"/>
          <w:szCs w:val="20"/>
          <w:lang w:val="es-BO"/>
        </w:rPr>
        <w:t xml:space="preserve"> el señor Edgar José Sánchez Duarte (en adelante “la presunta víctima”</w:t>
      </w:r>
      <w:r w:rsidR="00A1439F" w:rsidRPr="00CB5521">
        <w:rPr>
          <w:rFonts w:ascii="Cambria" w:hAnsi="Cambria"/>
          <w:sz w:val="20"/>
          <w:szCs w:val="20"/>
          <w:lang w:val="es-BO"/>
        </w:rPr>
        <w:t>)</w:t>
      </w:r>
      <w:r w:rsidRPr="00CB5521">
        <w:rPr>
          <w:rFonts w:ascii="Cambria" w:hAnsi="Cambria"/>
          <w:sz w:val="20"/>
          <w:szCs w:val="20"/>
          <w:lang w:val="es-BO"/>
        </w:rPr>
        <w:t xml:space="preserve"> fue </w:t>
      </w:r>
      <w:r w:rsidR="00747807" w:rsidRPr="00CB5521">
        <w:rPr>
          <w:rFonts w:ascii="Cambria" w:hAnsi="Cambria"/>
          <w:sz w:val="20"/>
          <w:szCs w:val="20"/>
          <w:lang w:val="es-BO"/>
        </w:rPr>
        <w:t xml:space="preserve">violentamente </w:t>
      </w:r>
      <w:r w:rsidRPr="00CB5521">
        <w:rPr>
          <w:rFonts w:ascii="Cambria" w:hAnsi="Cambria"/>
          <w:sz w:val="20"/>
          <w:szCs w:val="20"/>
          <w:lang w:val="es-BO"/>
        </w:rPr>
        <w:t xml:space="preserve">asesinado </w:t>
      </w:r>
      <w:r w:rsidR="00747807" w:rsidRPr="00CB5521">
        <w:rPr>
          <w:rFonts w:ascii="Cambria" w:hAnsi="Cambria"/>
          <w:sz w:val="20"/>
          <w:szCs w:val="20"/>
          <w:lang w:val="es-BO"/>
        </w:rPr>
        <w:t>al recibir tres</w:t>
      </w:r>
      <w:r w:rsidR="00A1439F" w:rsidRPr="00CB5521">
        <w:rPr>
          <w:rFonts w:ascii="Cambria" w:hAnsi="Cambria"/>
          <w:sz w:val="20"/>
          <w:szCs w:val="20"/>
          <w:lang w:val="es-BO"/>
        </w:rPr>
        <w:t xml:space="preserve"> disparos de arma de fuego </w:t>
      </w:r>
      <w:r w:rsidR="00C80751" w:rsidRPr="00CB5521">
        <w:rPr>
          <w:rFonts w:ascii="Cambria" w:hAnsi="Cambria"/>
          <w:sz w:val="20"/>
          <w:szCs w:val="20"/>
          <w:lang w:val="es-BO"/>
        </w:rPr>
        <w:t>por miembros de la Unidad Antisecuestro y Extorsi</w:t>
      </w:r>
      <w:r w:rsidR="00A1439F" w:rsidRPr="00CB5521">
        <w:rPr>
          <w:rFonts w:ascii="Cambria" w:hAnsi="Cambria"/>
          <w:sz w:val="20"/>
          <w:szCs w:val="20"/>
          <w:lang w:val="es-BO"/>
        </w:rPr>
        <w:t xml:space="preserve">ón </w:t>
      </w:r>
      <w:r w:rsidR="00C80751" w:rsidRPr="00CB5521">
        <w:rPr>
          <w:rFonts w:ascii="Cambria" w:hAnsi="Cambria"/>
          <w:sz w:val="20"/>
          <w:szCs w:val="20"/>
          <w:lang w:val="es-BO"/>
        </w:rPr>
        <w:t>(en adelante “UNASE”)</w:t>
      </w:r>
      <w:r w:rsidR="00A1439F" w:rsidRPr="00CB5521">
        <w:rPr>
          <w:rFonts w:ascii="Cambria" w:hAnsi="Cambria"/>
          <w:sz w:val="20"/>
          <w:szCs w:val="20"/>
          <w:lang w:val="es-BO"/>
        </w:rPr>
        <w:t xml:space="preserve">, grupo especial asentado en el Batallón de la Popa en Valledupar, Departamento del Cesar. Refieren que </w:t>
      </w:r>
      <w:r w:rsidR="00782758" w:rsidRPr="00CB5521">
        <w:rPr>
          <w:rFonts w:ascii="Cambria" w:hAnsi="Cambria"/>
          <w:sz w:val="20"/>
          <w:szCs w:val="20"/>
          <w:lang w:val="es-BO"/>
        </w:rPr>
        <w:t>los agentes de la UNASE consideraron que la presunta víctima se encontraba vinculad</w:t>
      </w:r>
      <w:r w:rsidR="00AC69DF">
        <w:rPr>
          <w:rFonts w:ascii="Cambria" w:hAnsi="Cambria"/>
          <w:sz w:val="20"/>
          <w:szCs w:val="20"/>
          <w:lang w:val="es-BO"/>
        </w:rPr>
        <w:t>a</w:t>
      </w:r>
      <w:r w:rsidR="00782758" w:rsidRPr="00CB5521">
        <w:rPr>
          <w:rFonts w:ascii="Cambria" w:hAnsi="Cambria"/>
          <w:sz w:val="20"/>
          <w:szCs w:val="20"/>
          <w:lang w:val="es-BO"/>
        </w:rPr>
        <w:t xml:space="preserve"> a las Fuerzas Armadas Revolucionarias de Colombia y por ello elaboraron cuidadosamente </w:t>
      </w:r>
      <w:r w:rsidR="00747807" w:rsidRPr="00CB5521">
        <w:rPr>
          <w:rFonts w:ascii="Cambria" w:hAnsi="Cambria"/>
          <w:sz w:val="20"/>
          <w:szCs w:val="20"/>
          <w:lang w:val="es-BO"/>
        </w:rPr>
        <w:t>el operativo militar</w:t>
      </w:r>
      <w:r w:rsidR="00782758" w:rsidRPr="00CB5521">
        <w:rPr>
          <w:rFonts w:ascii="Cambria" w:hAnsi="Cambria"/>
          <w:sz w:val="20"/>
          <w:szCs w:val="20"/>
          <w:lang w:val="es-BO"/>
        </w:rPr>
        <w:t xml:space="preserve">. </w:t>
      </w:r>
      <w:r w:rsidR="008750E4" w:rsidRPr="00CB5521">
        <w:rPr>
          <w:rFonts w:ascii="Cambria" w:hAnsi="Cambria"/>
          <w:sz w:val="20"/>
          <w:szCs w:val="20"/>
          <w:lang w:val="es-BO"/>
        </w:rPr>
        <w:t xml:space="preserve">Sostienen que </w:t>
      </w:r>
      <w:r w:rsidR="00782758" w:rsidRPr="00CB5521">
        <w:rPr>
          <w:rFonts w:ascii="Cambria" w:hAnsi="Cambria"/>
          <w:sz w:val="20"/>
          <w:szCs w:val="20"/>
          <w:lang w:val="es-BO"/>
        </w:rPr>
        <w:t>siguieron al señor Sánchez Duarte por varios</w:t>
      </w:r>
      <w:r w:rsidR="00747807" w:rsidRPr="00CB5521">
        <w:rPr>
          <w:rFonts w:ascii="Cambria" w:hAnsi="Cambria"/>
          <w:sz w:val="20"/>
          <w:szCs w:val="20"/>
          <w:lang w:val="es-BO"/>
        </w:rPr>
        <w:t xml:space="preserve"> días </w:t>
      </w:r>
      <w:r w:rsidR="00782758" w:rsidRPr="00CB5521">
        <w:rPr>
          <w:rFonts w:ascii="Cambria" w:hAnsi="Cambria"/>
          <w:sz w:val="20"/>
          <w:szCs w:val="20"/>
          <w:lang w:val="es-BO"/>
        </w:rPr>
        <w:t>y lo atacaron cuando se encontraba en las afueras de su domicilio</w:t>
      </w:r>
      <w:r w:rsidR="009F5A0B">
        <w:rPr>
          <w:rFonts w:ascii="Cambria" w:hAnsi="Cambria"/>
          <w:sz w:val="20"/>
          <w:szCs w:val="20"/>
          <w:lang w:val="es-BO"/>
        </w:rPr>
        <w:t>,</w:t>
      </w:r>
      <w:r w:rsidR="00782758" w:rsidRPr="00CB5521">
        <w:rPr>
          <w:rFonts w:ascii="Cambria" w:hAnsi="Cambria"/>
          <w:sz w:val="20"/>
          <w:szCs w:val="20"/>
          <w:lang w:val="es-BO"/>
        </w:rPr>
        <w:t xml:space="preserve"> frente a su esposa y dos hijos</w:t>
      </w:r>
      <w:r w:rsidR="00747807" w:rsidRPr="00CB5521">
        <w:rPr>
          <w:rFonts w:ascii="Cambria" w:hAnsi="Cambria"/>
          <w:sz w:val="20"/>
          <w:szCs w:val="20"/>
          <w:lang w:val="es-BO"/>
        </w:rPr>
        <w:t xml:space="preserve">. </w:t>
      </w:r>
      <w:r w:rsidR="008750E4" w:rsidRPr="00CB5521">
        <w:rPr>
          <w:rFonts w:ascii="Cambria" w:hAnsi="Cambria"/>
          <w:sz w:val="20"/>
          <w:szCs w:val="20"/>
          <w:lang w:val="es-BO"/>
        </w:rPr>
        <w:t>Afirman que testigos de los hechos lograron anotar la placa del vehículo desde el cual le dispararon a la presunta v</w:t>
      </w:r>
      <w:r w:rsidR="007945AE" w:rsidRPr="00CB5521">
        <w:rPr>
          <w:rFonts w:ascii="Cambria" w:hAnsi="Cambria"/>
          <w:sz w:val="20"/>
          <w:szCs w:val="20"/>
          <w:lang w:val="es-BO"/>
        </w:rPr>
        <w:t>íctima, lo que permitió establecer</w:t>
      </w:r>
      <w:r w:rsidR="00EA263E">
        <w:rPr>
          <w:rFonts w:ascii="Cambria" w:hAnsi="Cambria"/>
          <w:sz w:val="20"/>
          <w:szCs w:val="20"/>
          <w:lang w:val="es-BO"/>
        </w:rPr>
        <w:t xml:space="preserve"> posteriormente</w:t>
      </w:r>
      <w:r w:rsidR="007945AE" w:rsidRPr="00CB5521">
        <w:rPr>
          <w:rFonts w:ascii="Cambria" w:hAnsi="Cambria"/>
          <w:sz w:val="20"/>
          <w:szCs w:val="20"/>
          <w:lang w:val="es-BO"/>
        </w:rPr>
        <w:t xml:space="preserve"> que correspondía a los automóviles asignados a la UNASE. </w:t>
      </w:r>
      <w:r w:rsidR="00CB5521" w:rsidRPr="00CB5521">
        <w:rPr>
          <w:rFonts w:ascii="Cambria" w:hAnsi="Cambria"/>
          <w:sz w:val="20"/>
          <w:szCs w:val="20"/>
          <w:lang w:val="es-BO"/>
        </w:rPr>
        <w:t>Señalan que dos días después</w:t>
      </w:r>
      <w:r w:rsidR="00CB5521">
        <w:rPr>
          <w:rFonts w:ascii="Cambria" w:hAnsi="Cambria"/>
          <w:sz w:val="20"/>
          <w:szCs w:val="20"/>
          <w:lang w:val="es-BO"/>
        </w:rPr>
        <w:t xml:space="preserve"> de los hechos</w:t>
      </w:r>
      <w:r w:rsidR="00CB5521" w:rsidRPr="00CB5521">
        <w:rPr>
          <w:rFonts w:ascii="Cambria" w:hAnsi="Cambria"/>
          <w:sz w:val="20"/>
          <w:szCs w:val="20"/>
          <w:lang w:val="es-BO"/>
        </w:rPr>
        <w:t xml:space="preserve">, </w:t>
      </w:r>
      <w:r w:rsidR="00CB5521">
        <w:rPr>
          <w:rFonts w:ascii="Cambria" w:hAnsi="Cambria"/>
          <w:sz w:val="20"/>
          <w:szCs w:val="20"/>
          <w:lang w:val="es-BO"/>
        </w:rPr>
        <w:t xml:space="preserve">es decir </w:t>
      </w:r>
      <w:r w:rsidR="008C4882">
        <w:rPr>
          <w:rFonts w:ascii="Cambria" w:hAnsi="Cambria"/>
          <w:sz w:val="20"/>
          <w:szCs w:val="20"/>
          <w:lang w:val="es-BO"/>
        </w:rPr>
        <w:t>el 15 de septiembre de 1993</w:t>
      </w:r>
      <w:r w:rsidR="00CB5521" w:rsidRPr="00CB5521">
        <w:rPr>
          <w:rFonts w:ascii="Cambria" w:hAnsi="Cambria"/>
          <w:sz w:val="20"/>
          <w:szCs w:val="20"/>
          <w:lang w:val="es-BO"/>
        </w:rPr>
        <w:t xml:space="preserve">, el mismo </w:t>
      </w:r>
      <w:r w:rsidR="007A3D9B">
        <w:rPr>
          <w:rFonts w:ascii="Cambria" w:hAnsi="Cambria"/>
          <w:sz w:val="20"/>
          <w:szCs w:val="20"/>
          <w:lang w:val="es-BO"/>
        </w:rPr>
        <w:t>vehículo volvió a la casa de la presunta víctima</w:t>
      </w:r>
      <w:r w:rsidR="004C43B1">
        <w:rPr>
          <w:rFonts w:ascii="Cambria" w:hAnsi="Cambria"/>
          <w:sz w:val="20"/>
          <w:szCs w:val="20"/>
          <w:lang w:val="es-BO"/>
        </w:rPr>
        <w:t xml:space="preserve"> y el conductor estuvo preguntando por su familia</w:t>
      </w:r>
      <w:r w:rsidR="0030615A">
        <w:rPr>
          <w:rFonts w:ascii="Cambria" w:hAnsi="Cambria"/>
          <w:sz w:val="20"/>
          <w:szCs w:val="20"/>
          <w:lang w:val="es-BO"/>
        </w:rPr>
        <w:t>, lo que les generó</w:t>
      </w:r>
      <w:r w:rsidR="009A523A">
        <w:rPr>
          <w:rFonts w:ascii="Cambria" w:hAnsi="Cambria"/>
          <w:sz w:val="20"/>
          <w:szCs w:val="20"/>
          <w:lang w:val="es-BO"/>
        </w:rPr>
        <w:t xml:space="preserve"> angustia y</w:t>
      </w:r>
      <w:r w:rsidR="0030615A">
        <w:rPr>
          <w:rFonts w:ascii="Cambria" w:hAnsi="Cambria"/>
          <w:sz w:val="20"/>
          <w:szCs w:val="20"/>
          <w:lang w:val="es-BO"/>
        </w:rPr>
        <w:t xml:space="preserve"> temor.</w:t>
      </w:r>
    </w:p>
    <w:p w:rsidR="00CB5521" w:rsidRDefault="00F35678"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Manifiestan que</w:t>
      </w:r>
      <w:r w:rsidR="00183DCB">
        <w:rPr>
          <w:rFonts w:ascii="Cambria" w:hAnsi="Cambria"/>
          <w:sz w:val="20"/>
          <w:szCs w:val="20"/>
          <w:lang w:val="es-BO"/>
        </w:rPr>
        <w:t>,</w:t>
      </w:r>
      <w:r>
        <w:rPr>
          <w:rFonts w:ascii="Cambria" w:hAnsi="Cambria"/>
          <w:sz w:val="20"/>
          <w:szCs w:val="20"/>
          <w:lang w:val="es-BO"/>
        </w:rPr>
        <w:t xml:space="preserve"> producto </w:t>
      </w:r>
      <w:r w:rsidR="00CE6946">
        <w:rPr>
          <w:rFonts w:ascii="Cambria" w:hAnsi="Cambria"/>
          <w:sz w:val="20"/>
          <w:szCs w:val="20"/>
          <w:lang w:val="es-BO"/>
        </w:rPr>
        <w:t>de las investigaciones</w:t>
      </w:r>
      <w:r w:rsidR="00B0706E">
        <w:rPr>
          <w:rFonts w:ascii="Cambria" w:hAnsi="Cambria"/>
          <w:sz w:val="20"/>
          <w:szCs w:val="20"/>
          <w:lang w:val="es-BO"/>
        </w:rPr>
        <w:t xml:space="preserve"> iniciadas de oficio</w:t>
      </w:r>
      <w:r w:rsidR="00CE6946">
        <w:rPr>
          <w:rFonts w:ascii="Cambria" w:hAnsi="Cambria"/>
          <w:sz w:val="20"/>
          <w:szCs w:val="20"/>
          <w:lang w:val="es-BO"/>
        </w:rPr>
        <w:t>,</w:t>
      </w:r>
      <w:r w:rsidR="008C4882">
        <w:rPr>
          <w:rFonts w:ascii="Cambria" w:hAnsi="Cambria"/>
          <w:sz w:val="20"/>
          <w:szCs w:val="20"/>
          <w:lang w:val="es-BO"/>
        </w:rPr>
        <w:t xml:space="preserve"> el 31 de julio de 1994 el Juzgado Cuarto Penal del Circuito de Valledupar, </w:t>
      </w:r>
      <w:r w:rsidR="000B0133">
        <w:rPr>
          <w:rFonts w:ascii="Cambria" w:hAnsi="Cambria"/>
          <w:sz w:val="20"/>
          <w:szCs w:val="20"/>
          <w:lang w:val="es-BO"/>
        </w:rPr>
        <w:t>sentenció</w:t>
      </w:r>
      <w:r w:rsidR="009A523A">
        <w:rPr>
          <w:rFonts w:ascii="Cambria" w:hAnsi="Cambria"/>
          <w:sz w:val="20"/>
          <w:szCs w:val="20"/>
          <w:lang w:val="es-BO"/>
        </w:rPr>
        <w:t xml:space="preserve"> a 30 años de prisión</w:t>
      </w:r>
      <w:r w:rsidR="00CE6946">
        <w:rPr>
          <w:rFonts w:ascii="Cambria" w:hAnsi="Cambria"/>
          <w:sz w:val="20"/>
          <w:szCs w:val="20"/>
          <w:lang w:val="es-BO"/>
        </w:rPr>
        <w:t xml:space="preserve"> </w:t>
      </w:r>
      <w:r w:rsidR="00236D49">
        <w:rPr>
          <w:rFonts w:ascii="Cambria" w:hAnsi="Cambria"/>
          <w:sz w:val="20"/>
          <w:szCs w:val="20"/>
          <w:lang w:val="es-BO"/>
        </w:rPr>
        <w:t>por el delito de homicidio</w:t>
      </w:r>
      <w:r w:rsidR="008C4882">
        <w:rPr>
          <w:rFonts w:ascii="Cambria" w:hAnsi="Cambria"/>
          <w:sz w:val="20"/>
          <w:szCs w:val="20"/>
          <w:lang w:val="es-BO"/>
        </w:rPr>
        <w:t xml:space="preserve"> a</w:t>
      </w:r>
      <w:r w:rsidR="00236D49">
        <w:rPr>
          <w:rFonts w:ascii="Cambria" w:hAnsi="Cambria"/>
          <w:sz w:val="20"/>
          <w:szCs w:val="20"/>
          <w:lang w:val="es-BO"/>
        </w:rPr>
        <w:t xml:space="preserve"> </w:t>
      </w:r>
      <w:r w:rsidR="00CE6946">
        <w:rPr>
          <w:rFonts w:ascii="Cambria" w:hAnsi="Cambria"/>
          <w:sz w:val="20"/>
          <w:szCs w:val="20"/>
          <w:lang w:val="es-BO"/>
        </w:rPr>
        <w:t>un soldado retirado</w:t>
      </w:r>
      <w:r w:rsidR="00236D49">
        <w:rPr>
          <w:rFonts w:ascii="Cambria" w:hAnsi="Cambria"/>
          <w:sz w:val="20"/>
          <w:szCs w:val="20"/>
          <w:lang w:val="es-BO"/>
        </w:rPr>
        <w:t xml:space="preserve"> del Ejército Nacional.</w:t>
      </w:r>
      <w:r w:rsidR="000B0133">
        <w:rPr>
          <w:rFonts w:ascii="Cambria" w:hAnsi="Cambria"/>
          <w:sz w:val="20"/>
          <w:szCs w:val="20"/>
          <w:lang w:val="es-BO"/>
        </w:rPr>
        <w:t xml:space="preserve"> Dicho fallo fue confirmado por el Tribunal Superior de Valledupar el 27 de octubre de 1994.</w:t>
      </w:r>
      <w:r w:rsidR="00236D49">
        <w:rPr>
          <w:rFonts w:ascii="Cambria" w:hAnsi="Cambria"/>
          <w:sz w:val="20"/>
          <w:szCs w:val="20"/>
          <w:lang w:val="es-BO"/>
        </w:rPr>
        <w:t xml:space="preserve"> Sostienen que en diversas declaraciones, </w:t>
      </w:r>
      <w:r w:rsidR="000B0133">
        <w:rPr>
          <w:rFonts w:ascii="Cambria" w:hAnsi="Cambria"/>
          <w:sz w:val="20"/>
          <w:szCs w:val="20"/>
          <w:lang w:val="es-BO"/>
        </w:rPr>
        <w:t>la persona condenada</w:t>
      </w:r>
      <w:r w:rsidR="00236D49">
        <w:rPr>
          <w:rFonts w:ascii="Cambria" w:hAnsi="Cambria"/>
          <w:sz w:val="20"/>
          <w:szCs w:val="20"/>
          <w:lang w:val="es-BO"/>
        </w:rPr>
        <w:t xml:space="preserve"> confesó haber sido quien conducía el vehículo oficial, pero además responsabilizó </w:t>
      </w:r>
      <w:r w:rsidR="008C4882">
        <w:rPr>
          <w:rFonts w:ascii="Cambria" w:hAnsi="Cambria"/>
          <w:sz w:val="20"/>
          <w:szCs w:val="20"/>
          <w:lang w:val="es-BO"/>
        </w:rPr>
        <w:t>a</w:t>
      </w:r>
      <w:r w:rsidR="002B716D">
        <w:rPr>
          <w:rFonts w:ascii="Cambria" w:hAnsi="Cambria"/>
          <w:sz w:val="20"/>
          <w:szCs w:val="20"/>
          <w:lang w:val="es-BO"/>
        </w:rPr>
        <w:t xml:space="preserve">l Comandante Mayor de la UNASE y a </w:t>
      </w:r>
      <w:r w:rsidR="008C4882">
        <w:rPr>
          <w:rFonts w:ascii="Cambria" w:hAnsi="Cambria"/>
          <w:sz w:val="20"/>
          <w:szCs w:val="20"/>
          <w:lang w:val="es-BO"/>
        </w:rPr>
        <w:t xml:space="preserve">otros </w:t>
      </w:r>
      <w:r w:rsidR="002B716D">
        <w:rPr>
          <w:rFonts w:ascii="Cambria" w:hAnsi="Cambria"/>
          <w:sz w:val="20"/>
          <w:szCs w:val="20"/>
          <w:lang w:val="es-BO"/>
        </w:rPr>
        <w:t>do</w:t>
      </w:r>
      <w:r w:rsidR="008C4882">
        <w:rPr>
          <w:rFonts w:ascii="Cambria" w:hAnsi="Cambria"/>
          <w:sz w:val="20"/>
          <w:szCs w:val="20"/>
          <w:lang w:val="es-BO"/>
        </w:rPr>
        <w:t xml:space="preserve">s efectivos militares </w:t>
      </w:r>
      <w:r w:rsidR="00236D49">
        <w:rPr>
          <w:rFonts w:ascii="Cambria" w:hAnsi="Cambria"/>
          <w:sz w:val="20"/>
          <w:szCs w:val="20"/>
          <w:lang w:val="es-BO"/>
        </w:rPr>
        <w:t>por la autoría intelectual y material de la muerte de la presunta víctima</w:t>
      </w:r>
      <w:r w:rsidR="008C4882">
        <w:rPr>
          <w:rFonts w:ascii="Cambria" w:hAnsi="Cambria"/>
          <w:sz w:val="20"/>
          <w:szCs w:val="20"/>
          <w:lang w:val="es-BO"/>
        </w:rPr>
        <w:t xml:space="preserve">. </w:t>
      </w:r>
    </w:p>
    <w:p w:rsidR="00043456" w:rsidRDefault="00A23FD8"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Refieren que c</w:t>
      </w:r>
      <w:r w:rsidR="000B0133">
        <w:rPr>
          <w:rFonts w:ascii="Cambria" w:hAnsi="Cambria"/>
          <w:sz w:val="20"/>
          <w:szCs w:val="20"/>
          <w:lang w:val="es-BO"/>
        </w:rPr>
        <w:t xml:space="preserve">on base en tales declaraciones, el 3 de enero de 1995 la Fiscalía Delegada inició una investigación previa contra los </w:t>
      </w:r>
      <w:r w:rsidR="00210E51">
        <w:rPr>
          <w:rFonts w:ascii="Cambria" w:hAnsi="Cambria"/>
          <w:sz w:val="20"/>
          <w:szCs w:val="20"/>
          <w:lang w:val="es-BO"/>
        </w:rPr>
        <w:t xml:space="preserve">citados </w:t>
      </w:r>
      <w:r w:rsidR="000B0133">
        <w:rPr>
          <w:rFonts w:ascii="Cambria" w:hAnsi="Cambria"/>
          <w:sz w:val="20"/>
          <w:szCs w:val="20"/>
          <w:lang w:val="es-BO"/>
        </w:rPr>
        <w:t>tres agentes militares</w:t>
      </w:r>
      <w:r w:rsidR="001838CB">
        <w:rPr>
          <w:rFonts w:ascii="Cambria" w:hAnsi="Cambria"/>
          <w:sz w:val="20"/>
          <w:szCs w:val="20"/>
          <w:lang w:val="es-BO"/>
        </w:rPr>
        <w:t xml:space="preserve">, y </w:t>
      </w:r>
      <w:r>
        <w:rPr>
          <w:rFonts w:ascii="Cambria" w:hAnsi="Cambria"/>
          <w:sz w:val="20"/>
          <w:szCs w:val="20"/>
          <w:lang w:val="es-BO"/>
        </w:rPr>
        <w:t xml:space="preserve">el </w:t>
      </w:r>
      <w:r w:rsidR="001838CB">
        <w:rPr>
          <w:rFonts w:ascii="Cambria" w:hAnsi="Cambria"/>
          <w:sz w:val="20"/>
          <w:szCs w:val="20"/>
          <w:lang w:val="es-BO"/>
        </w:rPr>
        <w:t>4</w:t>
      </w:r>
      <w:r>
        <w:rPr>
          <w:rFonts w:ascii="Cambria" w:hAnsi="Cambria"/>
          <w:sz w:val="20"/>
          <w:szCs w:val="20"/>
          <w:lang w:val="es-BO"/>
        </w:rPr>
        <w:t xml:space="preserve"> de </w:t>
      </w:r>
      <w:r w:rsidR="001838CB">
        <w:rPr>
          <w:rFonts w:ascii="Cambria" w:hAnsi="Cambria"/>
          <w:sz w:val="20"/>
          <w:szCs w:val="20"/>
          <w:lang w:val="es-BO"/>
        </w:rPr>
        <w:t>noviembre</w:t>
      </w:r>
      <w:r>
        <w:rPr>
          <w:rFonts w:ascii="Cambria" w:hAnsi="Cambria"/>
          <w:sz w:val="20"/>
          <w:szCs w:val="20"/>
          <w:lang w:val="es-BO"/>
        </w:rPr>
        <w:t xml:space="preserve"> de 1995 dispuso la </w:t>
      </w:r>
      <w:r w:rsidR="00FE61D6">
        <w:rPr>
          <w:rFonts w:ascii="Cambria" w:hAnsi="Cambria"/>
          <w:sz w:val="20"/>
          <w:szCs w:val="20"/>
          <w:lang w:val="es-BO"/>
        </w:rPr>
        <w:t xml:space="preserve">detención </w:t>
      </w:r>
      <w:r w:rsidR="002B716D">
        <w:rPr>
          <w:rFonts w:ascii="Cambria" w:hAnsi="Cambria"/>
          <w:sz w:val="20"/>
          <w:szCs w:val="20"/>
          <w:lang w:val="es-BO"/>
        </w:rPr>
        <w:t>del Comandante Mayor</w:t>
      </w:r>
      <w:r w:rsidR="000B0133">
        <w:rPr>
          <w:rFonts w:ascii="Cambria" w:hAnsi="Cambria"/>
          <w:sz w:val="20"/>
          <w:szCs w:val="20"/>
          <w:lang w:val="es-BO"/>
        </w:rPr>
        <w:t xml:space="preserve">. </w:t>
      </w:r>
      <w:r w:rsidR="00043456">
        <w:rPr>
          <w:rFonts w:ascii="Cambria" w:hAnsi="Cambria"/>
          <w:sz w:val="20"/>
          <w:szCs w:val="20"/>
          <w:lang w:val="es-BO"/>
        </w:rPr>
        <w:t>Los peticionarios señalan que desde dicha detención, los familiares de la presunta víctima empezaron</w:t>
      </w:r>
      <w:r w:rsidR="00154EB1">
        <w:rPr>
          <w:rFonts w:ascii="Cambria" w:hAnsi="Cambria"/>
          <w:sz w:val="20"/>
          <w:szCs w:val="20"/>
          <w:lang w:val="es-BO"/>
        </w:rPr>
        <w:t xml:space="preserve"> a recibir amedrentamientos por parte de miembros del UNASE, quienes en sus vehículos rondaban y vigilaban la vivienda de los padres del señor Sánchez Duarte para intimidarlos.</w:t>
      </w:r>
      <w:r w:rsidR="00043456">
        <w:rPr>
          <w:rFonts w:ascii="Cambria" w:hAnsi="Cambria"/>
          <w:sz w:val="20"/>
          <w:szCs w:val="20"/>
          <w:lang w:val="es-BO"/>
        </w:rPr>
        <w:t xml:space="preserve"> </w:t>
      </w:r>
    </w:p>
    <w:p w:rsidR="000254DC" w:rsidRDefault="00154EB1"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Indican que pese a </w:t>
      </w:r>
      <w:r w:rsidR="00644EBB">
        <w:rPr>
          <w:rFonts w:ascii="Cambria" w:hAnsi="Cambria"/>
          <w:sz w:val="20"/>
          <w:szCs w:val="20"/>
          <w:lang w:val="es-BO"/>
        </w:rPr>
        <w:t>lo</w:t>
      </w:r>
      <w:r>
        <w:rPr>
          <w:rFonts w:ascii="Cambria" w:hAnsi="Cambria"/>
          <w:sz w:val="20"/>
          <w:szCs w:val="20"/>
          <w:lang w:val="es-BO"/>
        </w:rPr>
        <w:t>s intentos</w:t>
      </w:r>
      <w:r w:rsidR="00644EBB">
        <w:rPr>
          <w:rFonts w:ascii="Cambria" w:hAnsi="Cambria"/>
          <w:sz w:val="20"/>
          <w:szCs w:val="20"/>
          <w:lang w:val="es-BO"/>
        </w:rPr>
        <w:t xml:space="preserve"> de los familiares</w:t>
      </w:r>
      <w:r>
        <w:rPr>
          <w:rFonts w:ascii="Cambria" w:hAnsi="Cambria"/>
          <w:sz w:val="20"/>
          <w:szCs w:val="20"/>
          <w:lang w:val="es-BO"/>
        </w:rPr>
        <w:t>,</w:t>
      </w:r>
      <w:r w:rsidR="000B0133">
        <w:rPr>
          <w:rFonts w:ascii="Cambria" w:hAnsi="Cambria"/>
          <w:sz w:val="20"/>
          <w:szCs w:val="20"/>
          <w:lang w:val="es-BO"/>
        </w:rPr>
        <w:t xml:space="preserve"> el 14 de noviembre de 1995 el proceso fue remitido a la Jurisdicción Penal Militar en consideración </w:t>
      </w:r>
      <w:r w:rsidR="00210E51">
        <w:rPr>
          <w:rFonts w:ascii="Cambria" w:hAnsi="Cambria"/>
          <w:sz w:val="20"/>
          <w:szCs w:val="20"/>
          <w:lang w:val="es-BO"/>
        </w:rPr>
        <w:t>a que</w:t>
      </w:r>
      <w:r w:rsidR="00A23FD8">
        <w:rPr>
          <w:rFonts w:ascii="Cambria" w:hAnsi="Cambria"/>
          <w:sz w:val="20"/>
          <w:szCs w:val="20"/>
          <w:lang w:val="es-BO"/>
        </w:rPr>
        <w:t xml:space="preserve"> los implicados </w:t>
      </w:r>
      <w:r w:rsidR="00210E51">
        <w:rPr>
          <w:rFonts w:ascii="Cambria" w:hAnsi="Cambria"/>
          <w:sz w:val="20"/>
          <w:szCs w:val="20"/>
          <w:lang w:val="es-BO"/>
        </w:rPr>
        <w:t xml:space="preserve">eran </w:t>
      </w:r>
      <w:r w:rsidR="000B0133">
        <w:rPr>
          <w:rFonts w:ascii="Cambria" w:hAnsi="Cambria"/>
          <w:sz w:val="20"/>
          <w:szCs w:val="20"/>
          <w:lang w:val="es-BO"/>
        </w:rPr>
        <w:t>miembros activos del Ejército Nacional</w:t>
      </w:r>
      <w:r w:rsidR="00A23FD8">
        <w:rPr>
          <w:rFonts w:ascii="Cambria" w:hAnsi="Cambria"/>
          <w:sz w:val="20"/>
          <w:szCs w:val="20"/>
          <w:lang w:val="es-BO"/>
        </w:rPr>
        <w:t xml:space="preserve">. Así, el 16 de noviembre de 1995 </w:t>
      </w:r>
      <w:r w:rsidR="00DF5B66">
        <w:rPr>
          <w:rFonts w:ascii="Cambria" w:hAnsi="Cambria"/>
          <w:sz w:val="20"/>
          <w:szCs w:val="20"/>
          <w:lang w:val="es-BO"/>
        </w:rPr>
        <w:t xml:space="preserve">la Segunda Brigada de Instrucción de Barranquilla decidió </w:t>
      </w:r>
      <w:r w:rsidR="00B62C97">
        <w:rPr>
          <w:rFonts w:ascii="Cambria" w:hAnsi="Cambria"/>
          <w:sz w:val="20"/>
          <w:szCs w:val="20"/>
          <w:lang w:val="es-BO"/>
        </w:rPr>
        <w:t xml:space="preserve">excluir de las investigaciones a uno de los agentes, liberar al Comandante Mayor y </w:t>
      </w:r>
      <w:r w:rsidR="00DF5B66">
        <w:rPr>
          <w:rFonts w:ascii="Cambria" w:hAnsi="Cambria"/>
          <w:sz w:val="20"/>
          <w:szCs w:val="20"/>
          <w:lang w:val="es-BO"/>
        </w:rPr>
        <w:t xml:space="preserve">continuar </w:t>
      </w:r>
      <w:r w:rsidR="0059652D">
        <w:rPr>
          <w:rFonts w:ascii="Cambria" w:hAnsi="Cambria"/>
          <w:sz w:val="20"/>
          <w:szCs w:val="20"/>
          <w:lang w:val="es-BO"/>
        </w:rPr>
        <w:t xml:space="preserve">las actuaciones </w:t>
      </w:r>
      <w:r w:rsidR="00DF5B66">
        <w:rPr>
          <w:rFonts w:ascii="Cambria" w:hAnsi="Cambria"/>
          <w:sz w:val="20"/>
          <w:szCs w:val="20"/>
          <w:lang w:val="es-BO"/>
        </w:rPr>
        <w:t xml:space="preserve">contra </w:t>
      </w:r>
      <w:r w:rsidR="00B62C97">
        <w:rPr>
          <w:rFonts w:ascii="Cambria" w:hAnsi="Cambria"/>
          <w:sz w:val="20"/>
          <w:szCs w:val="20"/>
          <w:lang w:val="es-BO"/>
        </w:rPr>
        <w:t>el tercer efectivo implicado</w:t>
      </w:r>
      <w:r w:rsidR="0059652D">
        <w:rPr>
          <w:rFonts w:ascii="Cambria" w:hAnsi="Cambria"/>
          <w:sz w:val="20"/>
          <w:szCs w:val="20"/>
          <w:lang w:val="es-BO"/>
        </w:rPr>
        <w:t xml:space="preserve">. </w:t>
      </w:r>
      <w:r w:rsidR="00183DCB">
        <w:rPr>
          <w:rFonts w:ascii="Cambria" w:hAnsi="Cambria"/>
          <w:sz w:val="20"/>
          <w:szCs w:val="20"/>
          <w:lang w:val="es-BO"/>
        </w:rPr>
        <w:t>E</w:t>
      </w:r>
      <w:r w:rsidR="0059652D">
        <w:rPr>
          <w:rFonts w:ascii="Cambria" w:hAnsi="Cambria"/>
          <w:sz w:val="20"/>
          <w:szCs w:val="20"/>
          <w:lang w:val="es-BO"/>
        </w:rPr>
        <w:t xml:space="preserve">l 14 de julio de 1997 el Consejo Verbal </w:t>
      </w:r>
      <w:r w:rsidR="00330237">
        <w:rPr>
          <w:rFonts w:ascii="Cambria" w:hAnsi="Cambria"/>
          <w:sz w:val="20"/>
          <w:szCs w:val="20"/>
          <w:lang w:val="es-BO"/>
        </w:rPr>
        <w:t xml:space="preserve">de Guerra dispuso cesar el procedimiento </w:t>
      </w:r>
      <w:r w:rsidR="003961BC">
        <w:rPr>
          <w:rFonts w:ascii="Cambria" w:hAnsi="Cambria"/>
          <w:sz w:val="20"/>
          <w:szCs w:val="20"/>
          <w:lang w:val="es-BO"/>
        </w:rPr>
        <w:t>respecto de</w:t>
      </w:r>
      <w:r w:rsidR="00B62C97">
        <w:rPr>
          <w:rFonts w:ascii="Cambria" w:hAnsi="Cambria"/>
          <w:sz w:val="20"/>
          <w:szCs w:val="20"/>
          <w:lang w:val="es-BO"/>
        </w:rPr>
        <w:t>l Comandante Mayor</w:t>
      </w:r>
      <w:r w:rsidR="003961BC">
        <w:rPr>
          <w:rFonts w:ascii="Cambria" w:hAnsi="Cambria"/>
          <w:sz w:val="20"/>
          <w:szCs w:val="20"/>
          <w:lang w:val="es-BO"/>
        </w:rPr>
        <w:t xml:space="preserve"> y </w:t>
      </w:r>
      <w:r w:rsidR="006F31AB">
        <w:rPr>
          <w:rFonts w:ascii="Cambria" w:hAnsi="Cambria"/>
          <w:sz w:val="20"/>
          <w:szCs w:val="20"/>
          <w:lang w:val="es-BO"/>
        </w:rPr>
        <w:t>condenar</w:t>
      </w:r>
      <w:r w:rsidR="003961BC">
        <w:rPr>
          <w:rFonts w:ascii="Cambria" w:hAnsi="Cambria"/>
          <w:sz w:val="20"/>
          <w:szCs w:val="20"/>
          <w:lang w:val="es-BO"/>
        </w:rPr>
        <w:t xml:space="preserve"> al </w:t>
      </w:r>
      <w:r w:rsidR="00183DCB">
        <w:rPr>
          <w:rFonts w:ascii="Cambria" w:hAnsi="Cambria"/>
          <w:sz w:val="20"/>
          <w:szCs w:val="20"/>
          <w:lang w:val="es-BO"/>
        </w:rPr>
        <w:t xml:space="preserve">agente </w:t>
      </w:r>
      <w:r w:rsidR="00B62C97">
        <w:rPr>
          <w:rFonts w:ascii="Cambria" w:hAnsi="Cambria"/>
          <w:sz w:val="20"/>
          <w:szCs w:val="20"/>
          <w:lang w:val="es-BO"/>
        </w:rPr>
        <w:t>militar restante</w:t>
      </w:r>
      <w:r w:rsidR="003961BC">
        <w:rPr>
          <w:rFonts w:ascii="Cambria" w:hAnsi="Cambria"/>
          <w:sz w:val="20"/>
          <w:szCs w:val="20"/>
          <w:lang w:val="es-BO"/>
        </w:rPr>
        <w:t>.</w:t>
      </w:r>
      <w:r w:rsidR="00F903D4">
        <w:rPr>
          <w:rFonts w:ascii="Cambria" w:hAnsi="Cambria"/>
          <w:sz w:val="20"/>
          <w:szCs w:val="20"/>
          <w:lang w:val="es-BO"/>
        </w:rPr>
        <w:t xml:space="preserve"> Señalan que el 2 de julio de 1998</w:t>
      </w:r>
      <w:r w:rsidR="000254DC">
        <w:rPr>
          <w:rFonts w:ascii="Cambria" w:hAnsi="Cambria"/>
          <w:sz w:val="20"/>
          <w:szCs w:val="20"/>
          <w:lang w:val="es-BO"/>
        </w:rPr>
        <w:t>,</w:t>
      </w:r>
      <w:r w:rsidR="00F903D4">
        <w:rPr>
          <w:rFonts w:ascii="Cambria" w:hAnsi="Cambria"/>
          <w:sz w:val="20"/>
          <w:szCs w:val="20"/>
          <w:lang w:val="es-BO"/>
        </w:rPr>
        <w:t xml:space="preserve"> el Tribunal Superior </w:t>
      </w:r>
      <w:r w:rsidR="000254DC">
        <w:rPr>
          <w:rFonts w:ascii="Cambria" w:hAnsi="Cambria"/>
          <w:sz w:val="20"/>
          <w:szCs w:val="20"/>
          <w:lang w:val="es-BO"/>
        </w:rPr>
        <w:t>Militar se abstuvo</w:t>
      </w:r>
      <w:r w:rsidR="006F31AB">
        <w:rPr>
          <w:rFonts w:ascii="Cambria" w:hAnsi="Cambria"/>
          <w:sz w:val="20"/>
          <w:szCs w:val="20"/>
          <w:lang w:val="es-BO"/>
        </w:rPr>
        <w:t xml:space="preserve"> de conocer dicha sentencia </w:t>
      </w:r>
      <w:r w:rsidR="000254DC">
        <w:rPr>
          <w:rFonts w:ascii="Cambria" w:hAnsi="Cambria"/>
          <w:sz w:val="20"/>
          <w:szCs w:val="20"/>
          <w:lang w:val="es-BO"/>
        </w:rPr>
        <w:t xml:space="preserve">y remitió el caso al Tribunal Superior de Distrito Judicial de Valledupar, argumentando </w:t>
      </w:r>
      <w:r w:rsidR="006F31AB">
        <w:rPr>
          <w:rFonts w:ascii="Cambria" w:hAnsi="Cambria"/>
          <w:sz w:val="20"/>
          <w:szCs w:val="20"/>
          <w:lang w:val="es-BO"/>
        </w:rPr>
        <w:t>que los hechos no</w:t>
      </w:r>
      <w:r w:rsidR="000254DC">
        <w:rPr>
          <w:rFonts w:ascii="Cambria" w:hAnsi="Cambria"/>
          <w:sz w:val="20"/>
          <w:szCs w:val="20"/>
          <w:lang w:val="es-BO"/>
        </w:rPr>
        <w:t xml:space="preserve"> se relacionaban con el servicio</w:t>
      </w:r>
      <w:r w:rsidR="002B716D">
        <w:rPr>
          <w:rFonts w:ascii="Cambria" w:hAnsi="Cambria"/>
          <w:sz w:val="20"/>
          <w:szCs w:val="20"/>
          <w:lang w:val="es-BO"/>
        </w:rPr>
        <w:t xml:space="preserve"> militar</w:t>
      </w:r>
      <w:r w:rsidR="006F31AB">
        <w:rPr>
          <w:rFonts w:ascii="Cambria" w:hAnsi="Cambria"/>
          <w:sz w:val="20"/>
          <w:szCs w:val="20"/>
          <w:lang w:val="es-BO"/>
        </w:rPr>
        <w:t xml:space="preserve">. </w:t>
      </w:r>
    </w:p>
    <w:p w:rsidR="000B0133" w:rsidRDefault="000254DC"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Relatan que en el marco del proceso penal seguido en la jurisdicción ordinaria, </w:t>
      </w:r>
      <w:r w:rsidR="002B716D">
        <w:rPr>
          <w:rFonts w:ascii="Cambria" w:hAnsi="Cambria"/>
          <w:sz w:val="20"/>
          <w:szCs w:val="20"/>
          <w:lang w:val="es-BO"/>
        </w:rPr>
        <w:t xml:space="preserve">se decretó la preclusión de la investigación </w:t>
      </w:r>
      <w:r w:rsidR="00B62C97">
        <w:rPr>
          <w:rFonts w:ascii="Cambria" w:hAnsi="Cambria"/>
          <w:sz w:val="20"/>
          <w:szCs w:val="20"/>
          <w:lang w:val="es-BO"/>
        </w:rPr>
        <w:t>respecto del Comandante Mayor. P</w:t>
      </w:r>
      <w:r w:rsidR="00834670">
        <w:rPr>
          <w:rFonts w:ascii="Cambria" w:hAnsi="Cambria"/>
          <w:sz w:val="20"/>
          <w:szCs w:val="20"/>
          <w:lang w:val="es-BO"/>
        </w:rPr>
        <w:t>or otro</w:t>
      </w:r>
      <w:r w:rsidR="00B62C97">
        <w:rPr>
          <w:rFonts w:ascii="Cambria" w:hAnsi="Cambria"/>
          <w:sz w:val="20"/>
          <w:szCs w:val="20"/>
          <w:lang w:val="es-BO"/>
        </w:rPr>
        <w:t xml:space="preserve"> </w:t>
      </w:r>
      <w:r w:rsidR="00834670">
        <w:rPr>
          <w:rFonts w:ascii="Cambria" w:hAnsi="Cambria"/>
          <w:sz w:val="20"/>
          <w:szCs w:val="20"/>
          <w:lang w:val="es-BO"/>
        </w:rPr>
        <w:t>lado</w:t>
      </w:r>
      <w:r w:rsidR="00B62C97">
        <w:rPr>
          <w:rFonts w:ascii="Cambria" w:hAnsi="Cambria"/>
          <w:sz w:val="20"/>
          <w:szCs w:val="20"/>
          <w:lang w:val="es-BO"/>
        </w:rPr>
        <w:t xml:space="preserve">, el 18 de junio de 2003 </w:t>
      </w:r>
      <w:r w:rsidR="004217C1">
        <w:rPr>
          <w:rFonts w:ascii="Cambria" w:hAnsi="Cambria"/>
          <w:sz w:val="20"/>
          <w:szCs w:val="20"/>
          <w:lang w:val="es-BO"/>
        </w:rPr>
        <w:t xml:space="preserve">el Juzgado Penal del Circuito Especializado de Santa Marta condenó al agente militar a 26 años de prisión privativa de libertad, por el delito de homicidio agravado. </w:t>
      </w:r>
      <w:r w:rsidR="00834670">
        <w:rPr>
          <w:rFonts w:ascii="Cambria" w:hAnsi="Cambria"/>
          <w:sz w:val="20"/>
          <w:szCs w:val="20"/>
          <w:lang w:val="es-BO"/>
        </w:rPr>
        <w:t xml:space="preserve">La sentencia condenatoria fue confirmada por el Tribunal Superior de Santa Marta el 22 de junio de 2004 y por la Sala Penal de la Corte Suprema de Justicia el de 3 de abril de 2008. </w:t>
      </w:r>
    </w:p>
    <w:p w:rsidR="009C5BBB" w:rsidRDefault="00C446A1"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Indican además</w:t>
      </w:r>
      <w:r w:rsidR="00380896">
        <w:rPr>
          <w:rFonts w:ascii="Cambria" w:hAnsi="Cambria"/>
          <w:sz w:val="20"/>
          <w:szCs w:val="20"/>
          <w:lang w:val="es-BO"/>
        </w:rPr>
        <w:t>,</w:t>
      </w:r>
      <w:r>
        <w:rPr>
          <w:rFonts w:ascii="Cambria" w:hAnsi="Cambria"/>
          <w:sz w:val="20"/>
          <w:szCs w:val="20"/>
          <w:lang w:val="es-BO"/>
        </w:rPr>
        <w:t xml:space="preserve"> que los familiares de la presunta víctima presentaron dos demandas de reparación directa contra el Ministerio de Defensa </w:t>
      </w:r>
      <w:r w:rsidR="00380896">
        <w:rPr>
          <w:rFonts w:ascii="Cambria" w:hAnsi="Cambria"/>
          <w:sz w:val="20"/>
          <w:szCs w:val="20"/>
          <w:lang w:val="es-BO"/>
        </w:rPr>
        <w:t xml:space="preserve">en la jurisdicción contencioso administrativa. La primera </w:t>
      </w:r>
      <w:r w:rsidR="009C5BBB">
        <w:rPr>
          <w:rFonts w:ascii="Cambria" w:hAnsi="Cambria"/>
          <w:sz w:val="20"/>
          <w:szCs w:val="20"/>
          <w:lang w:val="es-BO"/>
        </w:rPr>
        <w:t>interpuesta</w:t>
      </w:r>
      <w:r w:rsidR="00380896">
        <w:rPr>
          <w:rFonts w:ascii="Cambria" w:hAnsi="Cambria"/>
          <w:sz w:val="20"/>
          <w:szCs w:val="20"/>
          <w:lang w:val="es-BO"/>
        </w:rPr>
        <w:t xml:space="preserve"> por la señora Clara Inés Uribe Reyes, ex esposa del señor Sánchez Duarte, y su hija Angélica María Sánchez Uribe. </w:t>
      </w:r>
      <w:r w:rsidR="009C5BBB">
        <w:rPr>
          <w:rFonts w:ascii="Cambria" w:hAnsi="Cambria"/>
          <w:sz w:val="20"/>
          <w:szCs w:val="20"/>
          <w:lang w:val="es-BO"/>
        </w:rPr>
        <w:t xml:space="preserve">En relación con dicho proceso, manifiestan que el </w:t>
      </w:r>
      <w:r w:rsidR="00380896">
        <w:rPr>
          <w:rFonts w:ascii="Cambria" w:hAnsi="Cambria"/>
          <w:sz w:val="20"/>
          <w:szCs w:val="20"/>
          <w:lang w:val="es-BO"/>
        </w:rPr>
        <w:t>25 de abril de 1996</w:t>
      </w:r>
      <w:r w:rsidR="003A3522">
        <w:rPr>
          <w:rFonts w:ascii="Cambria" w:hAnsi="Cambria"/>
          <w:sz w:val="20"/>
          <w:szCs w:val="20"/>
          <w:lang w:val="es-BO"/>
        </w:rPr>
        <w:t xml:space="preserve"> el Tribunal Administrativo del Cesar, aprob</w:t>
      </w:r>
      <w:r w:rsidR="009C5BBB">
        <w:rPr>
          <w:rFonts w:ascii="Cambria" w:hAnsi="Cambria"/>
          <w:sz w:val="20"/>
          <w:szCs w:val="20"/>
          <w:lang w:val="es-BO"/>
        </w:rPr>
        <w:t>ó</w:t>
      </w:r>
      <w:r w:rsidR="003A3522">
        <w:rPr>
          <w:rFonts w:ascii="Cambria" w:hAnsi="Cambria"/>
          <w:sz w:val="20"/>
          <w:szCs w:val="20"/>
          <w:lang w:val="es-BO"/>
        </w:rPr>
        <w:t xml:space="preserve"> la conciliación judicial realizada entre la demandante y el Ministerio de Defensa</w:t>
      </w:r>
      <w:r w:rsidR="009C5BBB">
        <w:rPr>
          <w:rFonts w:ascii="Cambria" w:hAnsi="Cambria"/>
          <w:sz w:val="20"/>
          <w:szCs w:val="20"/>
          <w:lang w:val="es-BO"/>
        </w:rPr>
        <w:t xml:space="preserve">, que estableció la reparación en favor de las la señora Uribe Reyes y su hija. </w:t>
      </w:r>
    </w:p>
    <w:p w:rsidR="006D33E2" w:rsidRDefault="009C5BBB"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La segunda acción de reparación directa fue presentada por los </w:t>
      </w:r>
      <w:r w:rsidR="003022DC">
        <w:rPr>
          <w:rFonts w:ascii="Cambria" w:hAnsi="Cambria"/>
          <w:sz w:val="20"/>
          <w:szCs w:val="20"/>
          <w:lang w:val="es-BO"/>
        </w:rPr>
        <w:t>padres y los hermanos</w:t>
      </w:r>
      <w:r w:rsidR="003022DC" w:rsidRPr="003022DC">
        <w:rPr>
          <w:rFonts w:ascii="Cambria" w:hAnsi="Cambria"/>
          <w:sz w:val="20"/>
          <w:szCs w:val="20"/>
          <w:lang w:val="es-BO"/>
        </w:rPr>
        <w:t xml:space="preserve"> </w:t>
      </w:r>
      <w:r w:rsidR="003022DC">
        <w:rPr>
          <w:rFonts w:ascii="Cambria" w:hAnsi="Cambria"/>
          <w:sz w:val="20"/>
          <w:szCs w:val="20"/>
          <w:lang w:val="es-BO"/>
        </w:rPr>
        <w:t xml:space="preserve">de la presunta víctima, así como por la señora Martha Cecilia Fuentes Gutiérrez y Edgar José Sánchez Fuentes, viuda e hijo del señor Sánchez Duarte. </w:t>
      </w:r>
      <w:r>
        <w:rPr>
          <w:rFonts w:ascii="Cambria" w:hAnsi="Cambria"/>
          <w:sz w:val="20"/>
          <w:szCs w:val="20"/>
          <w:lang w:val="es-BO"/>
        </w:rPr>
        <w:t xml:space="preserve"> </w:t>
      </w:r>
      <w:r w:rsidR="002430B1">
        <w:rPr>
          <w:rFonts w:ascii="Cambria" w:hAnsi="Cambria"/>
          <w:sz w:val="20"/>
          <w:szCs w:val="20"/>
          <w:lang w:val="es-BO"/>
        </w:rPr>
        <w:t xml:space="preserve">Así, el 6 de febrero de 1997 el Tribunal Administrativo del Cesar </w:t>
      </w:r>
      <w:r w:rsidR="002430B1">
        <w:rPr>
          <w:rFonts w:ascii="Cambria" w:hAnsi="Cambria"/>
          <w:sz w:val="20"/>
          <w:szCs w:val="20"/>
          <w:lang w:val="es-BO"/>
        </w:rPr>
        <w:lastRenderedPageBreak/>
        <w:t xml:space="preserve">declaró administrativamente responsable a la Nación y ordenó el pago de la indemnización a los accionantes. No obstante, </w:t>
      </w:r>
      <w:r w:rsidR="006D33E2">
        <w:rPr>
          <w:rFonts w:ascii="Cambria" w:hAnsi="Cambria"/>
          <w:sz w:val="20"/>
          <w:szCs w:val="20"/>
          <w:lang w:val="es-BO"/>
        </w:rPr>
        <w:t>debido a la apelación de</w:t>
      </w:r>
      <w:r w:rsidR="002430B1">
        <w:rPr>
          <w:rFonts w:ascii="Cambria" w:hAnsi="Cambria"/>
          <w:sz w:val="20"/>
          <w:szCs w:val="20"/>
          <w:lang w:val="es-BO"/>
        </w:rPr>
        <w:t xml:space="preserve"> las instituciones demandadas</w:t>
      </w:r>
      <w:r w:rsidR="00AF37D5">
        <w:rPr>
          <w:rFonts w:ascii="Cambria" w:hAnsi="Cambria"/>
          <w:sz w:val="20"/>
          <w:szCs w:val="20"/>
          <w:lang w:val="es-BO"/>
        </w:rPr>
        <w:t>,</w:t>
      </w:r>
      <w:r w:rsidR="006D33E2">
        <w:rPr>
          <w:rFonts w:ascii="Cambria" w:hAnsi="Cambria"/>
          <w:sz w:val="20"/>
          <w:szCs w:val="20"/>
          <w:lang w:val="es-BO"/>
        </w:rPr>
        <w:t xml:space="preserve"> dicha sentencia fue revocada el 27 de noviembre de 2002 por  la Sala Tercera del Consejo de Estado</w:t>
      </w:r>
      <w:r w:rsidR="00AF37D5">
        <w:rPr>
          <w:rFonts w:ascii="Cambria" w:hAnsi="Cambria"/>
          <w:sz w:val="20"/>
          <w:szCs w:val="20"/>
          <w:lang w:val="es-BO"/>
        </w:rPr>
        <w:t>,</w:t>
      </w:r>
      <w:r w:rsidR="006D33E2">
        <w:rPr>
          <w:rFonts w:ascii="Cambria" w:hAnsi="Cambria"/>
          <w:sz w:val="20"/>
          <w:szCs w:val="20"/>
          <w:lang w:val="es-BO"/>
        </w:rPr>
        <w:t xml:space="preserve"> argumentando que</w:t>
      </w:r>
      <w:r w:rsidR="009E4713">
        <w:rPr>
          <w:rFonts w:ascii="Cambria" w:hAnsi="Cambria"/>
          <w:sz w:val="20"/>
          <w:szCs w:val="20"/>
          <w:lang w:val="es-BO"/>
        </w:rPr>
        <w:t xml:space="preserve"> la condición militar de</w:t>
      </w:r>
      <w:r w:rsidR="006D33E2">
        <w:rPr>
          <w:rFonts w:ascii="Cambria" w:hAnsi="Cambria"/>
          <w:sz w:val="20"/>
          <w:szCs w:val="20"/>
          <w:lang w:val="es-BO"/>
        </w:rPr>
        <w:t xml:space="preserve"> </w:t>
      </w:r>
      <w:r w:rsidR="001E56F7">
        <w:rPr>
          <w:rFonts w:ascii="Cambria" w:hAnsi="Cambria"/>
          <w:sz w:val="20"/>
          <w:szCs w:val="20"/>
          <w:lang w:val="es-BO"/>
        </w:rPr>
        <w:t>los involucrados en el caso</w:t>
      </w:r>
      <w:r w:rsidR="009E4713">
        <w:rPr>
          <w:rFonts w:ascii="Cambria" w:hAnsi="Cambria"/>
          <w:sz w:val="20"/>
          <w:szCs w:val="20"/>
          <w:lang w:val="es-BO"/>
        </w:rPr>
        <w:t xml:space="preserve">, no conducía automáticamente a concluir que habían actuado en calidad de agentes del Estado. </w:t>
      </w:r>
      <w:r w:rsidR="001E56F7">
        <w:rPr>
          <w:rFonts w:ascii="Cambria" w:hAnsi="Cambria"/>
          <w:sz w:val="20"/>
          <w:szCs w:val="20"/>
          <w:lang w:val="es-BO"/>
        </w:rPr>
        <w:t xml:space="preserve"> </w:t>
      </w:r>
    </w:p>
    <w:p w:rsidR="002430B1" w:rsidRDefault="006D33E2"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Frente a esta situación, la familia de la presunta víctima interpuso un recurso extraordinario de s</w:t>
      </w:r>
      <w:r w:rsidR="00EA263E">
        <w:rPr>
          <w:rFonts w:ascii="Cambria" w:hAnsi="Cambria"/>
          <w:sz w:val="20"/>
          <w:szCs w:val="20"/>
          <w:lang w:val="es-BO"/>
        </w:rPr>
        <w:t xml:space="preserve">úplica, que fue declarado infundado el </w:t>
      </w:r>
      <w:r w:rsidR="00840504">
        <w:rPr>
          <w:rFonts w:ascii="Cambria" w:hAnsi="Cambria"/>
          <w:sz w:val="20"/>
          <w:szCs w:val="20"/>
          <w:lang w:val="es-BO"/>
        </w:rPr>
        <w:t xml:space="preserve">31 de julio de 2006 </w:t>
      </w:r>
      <w:r w:rsidR="00120FAE">
        <w:rPr>
          <w:rFonts w:ascii="Cambria" w:hAnsi="Cambria"/>
          <w:sz w:val="20"/>
          <w:szCs w:val="20"/>
          <w:lang w:val="es-BO"/>
        </w:rPr>
        <w:t>por la Sala Especial Transitoria del Consejo de Estado,</w:t>
      </w:r>
      <w:r w:rsidR="00A513F5">
        <w:rPr>
          <w:rFonts w:ascii="Cambria" w:hAnsi="Cambria"/>
          <w:sz w:val="20"/>
          <w:szCs w:val="20"/>
          <w:lang w:val="es-BO"/>
        </w:rPr>
        <w:t xml:space="preserve"> bajo el fundamento que </w:t>
      </w:r>
      <w:r w:rsidR="00635508">
        <w:rPr>
          <w:rFonts w:ascii="Cambria" w:hAnsi="Cambria"/>
          <w:sz w:val="20"/>
          <w:szCs w:val="20"/>
          <w:lang w:val="es-BO"/>
        </w:rPr>
        <w:t>la administración pública no puede responder por los daños que causen agentes</w:t>
      </w:r>
      <w:r w:rsidR="0015163B">
        <w:rPr>
          <w:rFonts w:ascii="Cambria" w:hAnsi="Cambria"/>
          <w:sz w:val="20"/>
          <w:szCs w:val="20"/>
          <w:lang w:val="es-BO"/>
        </w:rPr>
        <w:t xml:space="preserve"> cuando éstos corresponden a la órbita de su actividad estrictamente privada</w:t>
      </w:r>
      <w:r w:rsidR="00635508">
        <w:rPr>
          <w:rFonts w:ascii="Cambria" w:hAnsi="Cambria"/>
          <w:sz w:val="20"/>
          <w:szCs w:val="20"/>
          <w:lang w:val="es-BO"/>
        </w:rPr>
        <w:t xml:space="preserve">. </w:t>
      </w:r>
      <w:r w:rsidR="0015163B">
        <w:rPr>
          <w:rFonts w:ascii="Cambria" w:hAnsi="Cambria"/>
          <w:sz w:val="20"/>
          <w:szCs w:val="20"/>
          <w:lang w:val="es-BO"/>
        </w:rPr>
        <w:t xml:space="preserve">Adicionalmente se condenó en costas a los accionantes. </w:t>
      </w:r>
      <w:r w:rsidR="004E1591">
        <w:rPr>
          <w:rFonts w:ascii="Cambria" w:hAnsi="Cambria"/>
          <w:sz w:val="20"/>
          <w:szCs w:val="20"/>
          <w:lang w:val="es-BO"/>
        </w:rPr>
        <w:t xml:space="preserve">La sentencia fue notificada por edicto el 11 de agosto de 2006. </w:t>
      </w:r>
      <w:r w:rsidR="0015163B">
        <w:rPr>
          <w:rFonts w:ascii="Cambria" w:hAnsi="Cambria"/>
          <w:sz w:val="20"/>
          <w:szCs w:val="20"/>
          <w:lang w:val="es-BO"/>
        </w:rPr>
        <w:t>Contra este fallo, los familiares del señor Sánchez Duarte instauraron una acción de tutela, la cual fue rechazada por improcedente el 14 de junio de 2007</w:t>
      </w:r>
      <w:r w:rsidR="0027391A">
        <w:rPr>
          <w:rFonts w:ascii="Cambria" w:hAnsi="Cambria"/>
          <w:sz w:val="20"/>
          <w:szCs w:val="20"/>
          <w:lang w:val="es-BO"/>
        </w:rPr>
        <w:t xml:space="preserve"> por </w:t>
      </w:r>
      <w:r w:rsidR="0002142A">
        <w:rPr>
          <w:rFonts w:ascii="Cambria" w:hAnsi="Cambria"/>
          <w:sz w:val="20"/>
          <w:szCs w:val="20"/>
          <w:lang w:val="es-BO"/>
        </w:rPr>
        <w:t>l</w:t>
      </w:r>
      <w:r w:rsidR="0027391A">
        <w:rPr>
          <w:rFonts w:ascii="Cambria" w:hAnsi="Cambria"/>
          <w:sz w:val="20"/>
          <w:szCs w:val="20"/>
          <w:lang w:val="es-BO"/>
        </w:rPr>
        <w:t>a Sección Cuarta del Consejo de Estado</w:t>
      </w:r>
      <w:r w:rsidR="0015163B">
        <w:rPr>
          <w:rFonts w:ascii="Cambria" w:hAnsi="Cambria"/>
          <w:sz w:val="20"/>
          <w:szCs w:val="20"/>
          <w:lang w:val="es-BO"/>
        </w:rPr>
        <w:t xml:space="preserve">. </w:t>
      </w:r>
    </w:p>
    <w:p w:rsidR="0015163B" w:rsidRPr="001013E3" w:rsidRDefault="0015163B" w:rsidP="00101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Los peticionarios argumentan que la contra</w:t>
      </w:r>
      <w:r w:rsidR="009D3876">
        <w:rPr>
          <w:rFonts w:ascii="Cambria" w:hAnsi="Cambria"/>
          <w:sz w:val="20"/>
          <w:szCs w:val="20"/>
          <w:lang w:val="es-BO"/>
        </w:rPr>
        <w:t>dicción</w:t>
      </w:r>
      <w:r>
        <w:rPr>
          <w:rFonts w:ascii="Cambria" w:hAnsi="Cambria"/>
          <w:sz w:val="20"/>
          <w:szCs w:val="20"/>
          <w:lang w:val="es-BO"/>
        </w:rPr>
        <w:t xml:space="preserve"> de las decisiones asumidas en los dos procesos seguidos en la jurisdicción conte</w:t>
      </w:r>
      <w:r w:rsidR="001013E3">
        <w:rPr>
          <w:rFonts w:ascii="Cambria" w:hAnsi="Cambria"/>
          <w:sz w:val="20"/>
          <w:szCs w:val="20"/>
          <w:lang w:val="es-BO"/>
        </w:rPr>
        <w:t>ncioso administrativa, viola su derecho de acceso a la justicia y de igualdad ante la ley. Ello, porque las autoridades judiciales actuaron de manera diferente frente al mismo caso, otorgándole reparaci</w:t>
      </w:r>
      <w:r w:rsidR="005E529E">
        <w:rPr>
          <w:rFonts w:ascii="Cambria" w:hAnsi="Cambria"/>
          <w:sz w:val="20"/>
          <w:szCs w:val="20"/>
          <w:lang w:val="es-BO"/>
        </w:rPr>
        <w:t>ón a dos de l</w:t>
      </w:r>
      <w:r w:rsidR="00183DCB">
        <w:rPr>
          <w:rFonts w:ascii="Cambria" w:hAnsi="Cambria"/>
          <w:sz w:val="20"/>
          <w:szCs w:val="20"/>
          <w:lang w:val="es-BO"/>
        </w:rPr>
        <w:t>o</w:t>
      </w:r>
      <w:r w:rsidR="001013E3">
        <w:rPr>
          <w:rFonts w:ascii="Cambria" w:hAnsi="Cambria"/>
          <w:sz w:val="20"/>
          <w:szCs w:val="20"/>
          <w:lang w:val="es-BO"/>
        </w:rPr>
        <w:t xml:space="preserve">s familiares y dejando en desprotección al restante grupo familiar. </w:t>
      </w:r>
      <w:r w:rsidRPr="001013E3">
        <w:rPr>
          <w:rFonts w:ascii="Cambria" w:hAnsi="Cambria"/>
          <w:sz w:val="20"/>
          <w:szCs w:val="20"/>
          <w:lang w:val="es-BO"/>
        </w:rPr>
        <w:t xml:space="preserve"> </w:t>
      </w:r>
    </w:p>
    <w:p w:rsidR="00834670" w:rsidRDefault="00380896"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  </w:t>
      </w:r>
      <w:r w:rsidR="001013E3">
        <w:rPr>
          <w:rFonts w:ascii="Cambria" w:hAnsi="Cambria"/>
          <w:sz w:val="20"/>
          <w:szCs w:val="20"/>
          <w:lang w:val="es-BO"/>
        </w:rPr>
        <w:t>A su turno</w:t>
      </w:r>
      <w:r w:rsidR="00183DCB">
        <w:rPr>
          <w:rFonts w:ascii="Cambria" w:hAnsi="Cambria"/>
          <w:sz w:val="20"/>
          <w:szCs w:val="20"/>
          <w:lang w:val="es-BO"/>
        </w:rPr>
        <w:t>,</w:t>
      </w:r>
      <w:r w:rsidR="001013E3">
        <w:rPr>
          <w:rFonts w:ascii="Cambria" w:hAnsi="Cambria"/>
          <w:sz w:val="20"/>
          <w:szCs w:val="20"/>
          <w:lang w:val="es-BO"/>
        </w:rPr>
        <w:t xml:space="preserve"> el Estado sostiene que </w:t>
      </w:r>
      <w:r w:rsidR="00501533">
        <w:rPr>
          <w:rFonts w:ascii="Cambria" w:hAnsi="Cambria"/>
          <w:sz w:val="20"/>
          <w:szCs w:val="20"/>
          <w:lang w:val="es-BO"/>
        </w:rPr>
        <w:t xml:space="preserve">la petición es inadmisible, pues los peticionarios pretenden la revisión de las decisiones judiciales adoptadas en los procesos penales y  de reparación directa, configurándose una cuarta instancia. </w:t>
      </w:r>
      <w:r w:rsidR="00EA5F55">
        <w:rPr>
          <w:rFonts w:ascii="Cambria" w:hAnsi="Cambria"/>
          <w:sz w:val="20"/>
          <w:szCs w:val="20"/>
          <w:lang w:val="es-BO"/>
        </w:rPr>
        <w:t xml:space="preserve">Afirma que </w:t>
      </w:r>
      <w:r w:rsidR="00947BBF">
        <w:rPr>
          <w:rFonts w:ascii="Cambria" w:hAnsi="Cambria"/>
          <w:sz w:val="20"/>
          <w:szCs w:val="20"/>
          <w:lang w:val="es-BO"/>
        </w:rPr>
        <w:t>las acciones instauradas por las partes y aquellas impulsadas de oficio por el Estado se examinaron a fondo por los órganos judiciales competentes de acuerdo a la normativa interna, permitiendo pronunciamientos de fondo y sentencias con naturaleza de cosa juzgada.</w:t>
      </w:r>
    </w:p>
    <w:p w:rsidR="00DF39BB" w:rsidRPr="00CB5521" w:rsidRDefault="00DF39BB" w:rsidP="007827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 Adicionalmente, manifiesta que la decisión</w:t>
      </w:r>
      <w:r w:rsidR="005A774C">
        <w:rPr>
          <w:rFonts w:ascii="Cambria" w:hAnsi="Cambria"/>
          <w:sz w:val="20"/>
          <w:szCs w:val="20"/>
          <w:lang w:val="es-BO"/>
        </w:rPr>
        <w:t xml:space="preserve"> de 31 de julio de 2006 emitida el por el Consejo de Estado agotó los recursos internos</w:t>
      </w:r>
      <w:r>
        <w:rPr>
          <w:rFonts w:ascii="Cambria" w:hAnsi="Cambria"/>
          <w:sz w:val="20"/>
          <w:szCs w:val="20"/>
          <w:lang w:val="es-BO"/>
        </w:rPr>
        <w:t xml:space="preserve">, y la petición fue presentada el 1 de febrero de 2007, es decir excediendo el plazo convencional de seis meses. </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3239B8" w:rsidRPr="0027391A" w:rsidRDefault="005A774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Los peticionarios señalan que</w:t>
      </w:r>
      <w:r w:rsidR="0002142A">
        <w:rPr>
          <w:rFonts w:ascii="Cambria" w:hAnsi="Cambria"/>
          <w:sz w:val="20"/>
          <w:szCs w:val="20"/>
          <w:lang w:val="es-ES"/>
        </w:rPr>
        <w:t xml:space="preserve"> por la muerte de la presunta víctima hasta la fecha no fueron sancionados todos los responsables. </w:t>
      </w:r>
      <w:r w:rsidR="0002142A" w:rsidRPr="00B83D6A">
        <w:rPr>
          <w:rFonts w:ascii="Cambria" w:hAnsi="Cambria"/>
          <w:sz w:val="20"/>
          <w:szCs w:val="20"/>
          <w:lang w:val="es-ES"/>
        </w:rPr>
        <w:t>En relación con la vía contencioso administrativa,</w:t>
      </w:r>
      <w:r w:rsidR="0002142A">
        <w:rPr>
          <w:rFonts w:ascii="Cambria" w:hAnsi="Cambria"/>
          <w:sz w:val="20"/>
          <w:szCs w:val="20"/>
          <w:lang w:val="es-ES"/>
        </w:rPr>
        <w:t xml:space="preserve"> manifiestan que el </w:t>
      </w:r>
      <w:r w:rsidR="0002142A">
        <w:rPr>
          <w:rFonts w:ascii="Cambria" w:hAnsi="Cambria"/>
          <w:sz w:val="20"/>
          <w:szCs w:val="20"/>
          <w:lang w:val="es-BO"/>
        </w:rPr>
        <w:t>14 de junio de 2007</w:t>
      </w:r>
      <w:r w:rsidR="0027391A">
        <w:rPr>
          <w:rFonts w:ascii="Cambria" w:hAnsi="Cambria"/>
          <w:sz w:val="20"/>
          <w:szCs w:val="20"/>
          <w:lang w:val="es-BO"/>
        </w:rPr>
        <w:t xml:space="preserve"> la Sección Cuarta del Consejo de Estado declaró improcedente una acción de tutela, agotando con ello la vía interna de reparación. </w:t>
      </w:r>
      <w:r w:rsidR="0027391A" w:rsidRPr="00B83D6A">
        <w:rPr>
          <w:rFonts w:ascii="Cambria" w:hAnsi="Cambria"/>
          <w:sz w:val="20"/>
          <w:szCs w:val="20"/>
          <w:lang w:val="es-BO"/>
        </w:rPr>
        <w:t>Por su parte, el Estado señala que los recursos fueron agotados en materia penal y en lo contencioso administrativo, pero que la petición fue presentada de manera extemporánea.</w:t>
      </w:r>
    </w:p>
    <w:p w:rsidR="008C211D" w:rsidRPr="004D24AC" w:rsidRDefault="0027391A" w:rsidP="004D24A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83D6A">
        <w:rPr>
          <w:rFonts w:ascii="Cambria" w:hAnsi="Cambria"/>
          <w:sz w:val="20"/>
          <w:szCs w:val="20"/>
          <w:lang w:val="es-BO"/>
        </w:rPr>
        <w:t xml:space="preserve">La Comisión ha establecido que toda vez que se cometa un delito en el que presuntamente participen autoridades estatales, el Estado tiene la obligación de promover e impulsar el proceso penal y </w:t>
      </w:r>
      <w:r w:rsidR="004D24AC">
        <w:rPr>
          <w:rFonts w:ascii="Cambria" w:hAnsi="Cambria"/>
          <w:sz w:val="20"/>
          <w:szCs w:val="20"/>
          <w:lang w:val="es-BO"/>
        </w:rPr>
        <w:t>que es</w:t>
      </w:r>
      <w:r w:rsidRPr="00B83D6A">
        <w:rPr>
          <w:rFonts w:ascii="Cambria" w:hAnsi="Cambria"/>
          <w:sz w:val="20"/>
          <w:szCs w:val="20"/>
          <w:lang w:val="es-BO"/>
        </w:rPr>
        <w:t xml:space="preserve"> ésta constituye la vía idónea para esclarecer los hechos y establecer las sanciones penales correspondientes, además de posibilitar otros modos de reparación de tipo pecuniario</w:t>
      </w:r>
      <w:r w:rsidRPr="00B83D6A">
        <w:rPr>
          <w:rStyle w:val="FootnoteReference"/>
          <w:rFonts w:ascii="Cambria" w:hAnsi="Cambria"/>
          <w:sz w:val="20"/>
          <w:szCs w:val="20"/>
          <w:lang w:val="es-BO"/>
        </w:rPr>
        <w:footnoteReference w:id="5"/>
      </w:r>
      <w:r w:rsidRPr="00B83D6A">
        <w:rPr>
          <w:rFonts w:ascii="Cambria" w:hAnsi="Cambria"/>
          <w:sz w:val="20"/>
          <w:szCs w:val="20"/>
          <w:lang w:val="es-BO"/>
        </w:rPr>
        <w:t>. En el presente caso, la CIDH toma nota de que, según los alegatos de los peticionarios,</w:t>
      </w:r>
      <w:r w:rsidR="004D24AC">
        <w:rPr>
          <w:rFonts w:ascii="Cambria" w:hAnsi="Cambria"/>
          <w:sz w:val="20"/>
          <w:szCs w:val="20"/>
          <w:lang w:val="es-BO"/>
        </w:rPr>
        <w:t xml:space="preserve"> al menos cuatro</w:t>
      </w:r>
      <w:r w:rsidRPr="00B83D6A">
        <w:rPr>
          <w:rFonts w:ascii="Cambria" w:hAnsi="Cambria"/>
          <w:sz w:val="20"/>
          <w:szCs w:val="20"/>
          <w:lang w:val="es-BO"/>
        </w:rPr>
        <w:t xml:space="preserve"> </w:t>
      </w:r>
      <w:r w:rsidR="004D24AC">
        <w:rPr>
          <w:rFonts w:ascii="Cambria" w:hAnsi="Cambria"/>
          <w:sz w:val="20"/>
          <w:szCs w:val="20"/>
          <w:lang w:val="es-BO"/>
        </w:rPr>
        <w:t xml:space="preserve">agentes de la UNASE </w:t>
      </w:r>
      <w:r w:rsidRPr="00B83D6A">
        <w:rPr>
          <w:rFonts w:ascii="Cambria" w:hAnsi="Cambria"/>
          <w:sz w:val="20"/>
          <w:szCs w:val="20"/>
          <w:lang w:val="es-BO"/>
        </w:rPr>
        <w:t xml:space="preserve">estarían </w:t>
      </w:r>
      <w:r w:rsidR="004D24AC">
        <w:rPr>
          <w:rFonts w:ascii="Cambria" w:hAnsi="Cambria"/>
          <w:sz w:val="20"/>
          <w:szCs w:val="20"/>
          <w:lang w:val="es-BO"/>
        </w:rPr>
        <w:t>involucrad</w:t>
      </w:r>
      <w:r w:rsidR="00183DCB">
        <w:rPr>
          <w:rFonts w:ascii="Cambria" w:hAnsi="Cambria"/>
          <w:sz w:val="20"/>
          <w:szCs w:val="20"/>
          <w:lang w:val="es-BO"/>
        </w:rPr>
        <w:t>o</w:t>
      </w:r>
      <w:r w:rsidR="004D24AC">
        <w:rPr>
          <w:rFonts w:ascii="Cambria" w:hAnsi="Cambria"/>
          <w:sz w:val="20"/>
          <w:szCs w:val="20"/>
          <w:lang w:val="es-BO"/>
        </w:rPr>
        <w:t xml:space="preserve">s en la muerte de la </w:t>
      </w:r>
      <w:r w:rsidRPr="00B83D6A">
        <w:rPr>
          <w:rFonts w:ascii="Cambria" w:hAnsi="Cambria"/>
          <w:sz w:val="20"/>
          <w:szCs w:val="20"/>
          <w:lang w:val="es-BO"/>
        </w:rPr>
        <w:t>presunta víctima.</w:t>
      </w:r>
      <w:r w:rsidR="004D24AC">
        <w:rPr>
          <w:rFonts w:ascii="Cambria" w:hAnsi="Cambria"/>
          <w:sz w:val="20"/>
          <w:szCs w:val="20"/>
          <w:lang w:val="es-ES"/>
        </w:rPr>
        <w:t xml:space="preserve"> </w:t>
      </w:r>
      <w:r w:rsidR="008C211D" w:rsidRPr="004D24AC">
        <w:rPr>
          <w:rFonts w:ascii="Cambria" w:hAnsi="Cambria"/>
          <w:sz w:val="20"/>
          <w:szCs w:val="20"/>
          <w:lang w:val="es-BO"/>
        </w:rPr>
        <w:t>No obstante, de acuerdo con la información disponible, la Comisión observa que</w:t>
      </w:r>
      <w:r w:rsidR="004D24AC">
        <w:rPr>
          <w:rFonts w:ascii="Cambria" w:hAnsi="Cambria"/>
          <w:sz w:val="20"/>
          <w:szCs w:val="20"/>
          <w:lang w:val="es-BO"/>
        </w:rPr>
        <w:t xml:space="preserve"> </w:t>
      </w:r>
      <w:r w:rsidR="00F35678">
        <w:rPr>
          <w:rFonts w:ascii="Cambria" w:hAnsi="Cambria"/>
          <w:sz w:val="20"/>
          <w:szCs w:val="20"/>
          <w:lang w:val="es-BO"/>
        </w:rPr>
        <w:t xml:space="preserve">por los hechos </w:t>
      </w:r>
      <w:r w:rsidR="004D24AC">
        <w:rPr>
          <w:rFonts w:ascii="Cambria" w:hAnsi="Cambria"/>
          <w:sz w:val="20"/>
          <w:szCs w:val="20"/>
          <w:lang w:val="es-BO"/>
        </w:rPr>
        <w:t>solamente se estableció la responsabilidad de dos personas</w:t>
      </w:r>
      <w:r w:rsidR="008C211D" w:rsidRPr="004D24AC">
        <w:rPr>
          <w:rFonts w:ascii="Cambria" w:hAnsi="Cambria"/>
          <w:sz w:val="20"/>
          <w:szCs w:val="20"/>
          <w:lang w:val="es-BO"/>
        </w:rPr>
        <w:t xml:space="preserve">, </w:t>
      </w:r>
      <w:r w:rsidR="00F35678">
        <w:rPr>
          <w:rFonts w:ascii="Cambria" w:hAnsi="Cambria"/>
          <w:sz w:val="20"/>
          <w:szCs w:val="20"/>
          <w:lang w:val="es-BO"/>
        </w:rPr>
        <w:t xml:space="preserve">mediante sentencias de 27 de octubre de 1994 y 3 de abril de 2008 respectivamente. </w:t>
      </w:r>
      <w:r w:rsidR="008C211D" w:rsidRPr="004D24AC">
        <w:rPr>
          <w:rFonts w:ascii="Cambria" w:hAnsi="Cambria"/>
          <w:sz w:val="20"/>
          <w:szCs w:val="20"/>
          <w:lang w:val="es-BO"/>
        </w:rPr>
        <w:t>En relación con los otros dos responsables, la Comisión evidencia que</w:t>
      </w:r>
      <w:r w:rsidR="00C84A8B">
        <w:rPr>
          <w:rFonts w:ascii="Cambria" w:hAnsi="Cambria"/>
          <w:sz w:val="20"/>
          <w:szCs w:val="20"/>
          <w:lang w:val="es-BO"/>
        </w:rPr>
        <w:t xml:space="preserve"> en el marco de la jurisdicción militar, uno de ellos fue excluido del caso por decisión de la Segunda Brigada de Instrucción de Barranquilla el 16 de noviembre de 1995. Por su parte, en la jurisdicción ordinaria fue declarada la preclusión de la investigación en favor del Comandante Mayor de la UNASE</w:t>
      </w:r>
      <w:r w:rsidR="008C211D" w:rsidRPr="004D24AC">
        <w:rPr>
          <w:rFonts w:ascii="Cambria" w:hAnsi="Cambria"/>
          <w:sz w:val="20"/>
          <w:szCs w:val="20"/>
          <w:lang w:val="es-BO"/>
        </w:rPr>
        <w:t>.</w:t>
      </w:r>
      <w:r w:rsidR="008C211D" w:rsidRPr="00225469">
        <w:rPr>
          <w:rFonts w:ascii="Cambria" w:hAnsi="Cambria"/>
          <w:sz w:val="20"/>
          <w:szCs w:val="20"/>
          <w:lang w:val="es-BO"/>
        </w:rPr>
        <w:t xml:space="preserve"> </w:t>
      </w:r>
      <w:r w:rsidR="00B16039" w:rsidRPr="00735008">
        <w:rPr>
          <w:rFonts w:ascii="Cambria" w:hAnsi="Cambria"/>
          <w:sz w:val="20"/>
          <w:szCs w:val="20"/>
          <w:lang w:val="es-BO"/>
        </w:rPr>
        <w:t xml:space="preserve">En ese sentido, la CIDH advierte que el desarrollo y la conclusión de las </w:t>
      </w:r>
      <w:r w:rsidR="00B16039" w:rsidRPr="00735008">
        <w:rPr>
          <w:rFonts w:ascii="Cambria" w:hAnsi="Cambria"/>
          <w:sz w:val="20"/>
          <w:szCs w:val="20"/>
          <w:lang w:val="es-BO"/>
        </w:rPr>
        <w:lastRenderedPageBreak/>
        <w:t>investigaciones en la justicia penal militar</w:t>
      </w:r>
      <w:r w:rsidR="004061A8" w:rsidRPr="00735008">
        <w:rPr>
          <w:rFonts w:ascii="Cambria" w:hAnsi="Cambria"/>
          <w:sz w:val="20"/>
          <w:szCs w:val="20"/>
          <w:lang w:val="es-BO"/>
        </w:rPr>
        <w:t>, constituyó un impedimento al agotamiento de recursos internos.</w:t>
      </w:r>
      <w:r w:rsidR="00B16039" w:rsidRPr="00735008">
        <w:rPr>
          <w:rFonts w:ascii="Cambria" w:hAnsi="Cambria"/>
          <w:sz w:val="20"/>
          <w:szCs w:val="20"/>
          <w:lang w:val="es-BO"/>
        </w:rPr>
        <w:t xml:space="preserve"> </w:t>
      </w:r>
      <w:r w:rsidR="004061A8" w:rsidRPr="00735008">
        <w:rPr>
          <w:rFonts w:ascii="Cambria" w:hAnsi="Cambria"/>
          <w:sz w:val="20"/>
          <w:szCs w:val="20"/>
          <w:lang w:val="es-BO"/>
        </w:rPr>
        <w:t xml:space="preserve">Adicionalmente, </w:t>
      </w:r>
      <w:r w:rsidR="00225469" w:rsidRPr="00735008">
        <w:rPr>
          <w:rFonts w:ascii="Cambria" w:hAnsi="Cambria"/>
          <w:sz w:val="20"/>
          <w:szCs w:val="20"/>
          <w:lang w:val="es-BO"/>
        </w:rPr>
        <w:t xml:space="preserve">toma en cuenta que en la jurisdicción ordinaria </w:t>
      </w:r>
      <w:r w:rsidR="006430B6" w:rsidRPr="00735008">
        <w:rPr>
          <w:rFonts w:ascii="Cambria" w:hAnsi="Cambria"/>
          <w:sz w:val="20"/>
          <w:szCs w:val="20"/>
          <w:lang w:val="es-BO"/>
        </w:rPr>
        <w:t xml:space="preserve">hasta la </w:t>
      </w:r>
      <w:r w:rsidR="00225469" w:rsidRPr="00735008">
        <w:rPr>
          <w:rFonts w:ascii="Cambria" w:hAnsi="Cambria"/>
          <w:sz w:val="20"/>
          <w:szCs w:val="20"/>
          <w:lang w:val="es-BO"/>
        </w:rPr>
        <w:t>fecha</w:t>
      </w:r>
      <w:r w:rsidR="006430B6" w:rsidRPr="00735008">
        <w:rPr>
          <w:rFonts w:ascii="Cambria" w:hAnsi="Cambria"/>
          <w:sz w:val="20"/>
          <w:szCs w:val="20"/>
          <w:lang w:val="es-BO"/>
        </w:rPr>
        <w:t xml:space="preserve"> </w:t>
      </w:r>
      <w:r w:rsidR="00225469" w:rsidRPr="00735008">
        <w:rPr>
          <w:rFonts w:ascii="Cambria" w:hAnsi="Cambria"/>
          <w:sz w:val="20"/>
          <w:szCs w:val="20"/>
          <w:lang w:val="es-BO"/>
        </w:rPr>
        <w:t>no se ha determinado una</w:t>
      </w:r>
      <w:r w:rsidR="004061A8" w:rsidRPr="00735008">
        <w:rPr>
          <w:rFonts w:ascii="Cambria" w:hAnsi="Cambria"/>
          <w:sz w:val="20"/>
          <w:szCs w:val="20"/>
          <w:lang w:val="es-BO"/>
        </w:rPr>
        <w:t xml:space="preserve"> sanción </w:t>
      </w:r>
      <w:r w:rsidR="00225469" w:rsidRPr="00735008">
        <w:rPr>
          <w:rFonts w:ascii="Cambria" w:hAnsi="Cambria"/>
          <w:sz w:val="20"/>
          <w:szCs w:val="20"/>
          <w:lang w:val="es-BO"/>
        </w:rPr>
        <w:t>para todos los responsables.</w:t>
      </w:r>
      <w:r w:rsidR="00225469">
        <w:rPr>
          <w:lang w:val="es-BO"/>
        </w:rPr>
        <w:t xml:space="preserve"> </w:t>
      </w:r>
      <w:r w:rsidR="008C211D" w:rsidRPr="004D24AC">
        <w:rPr>
          <w:rFonts w:ascii="Cambria" w:hAnsi="Cambria"/>
          <w:sz w:val="20"/>
          <w:szCs w:val="20"/>
          <w:lang w:val="es-BO"/>
        </w:rPr>
        <w:t>En consecuencia, la CIDH concluye que aplica</w:t>
      </w:r>
      <w:r w:rsidR="00C84A8B">
        <w:rPr>
          <w:rFonts w:ascii="Cambria" w:hAnsi="Cambria"/>
          <w:sz w:val="20"/>
          <w:szCs w:val="20"/>
          <w:lang w:val="es-BO"/>
        </w:rPr>
        <w:t>n</w:t>
      </w:r>
      <w:r w:rsidR="008C211D" w:rsidRPr="004D24AC">
        <w:rPr>
          <w:rFonts w:ascii="Cambria" w:hAnsi="Cambria"/>
          <w:sz w:val="20"/>
          <w:szCs w:val="20"/>
          <w:lang w:val="es-BO"/>
        </w:rPr>
        <w:t xml:space="preserve"> la</w:t>
      </w:r>
      <w:r w:rsidR="00C84A8B">
        <w:rPr>
          <w:rFonts w:ascii="Cambria" w:hAnsi="Cambria"/>
          <w:sz w:val="20"/>
          <w:szCs w:val="20"/>
          <w:lang w:val="es-BO"/>
        </w:rPr>
        <w:t>s excepcio</w:t>
      </w:r>
      <w:r w:rsidR="008C211D" w:rsidRPr="004D24AC">
        <w:rPr>
          <w:rFonts w:ascii="Cambria" w:hAnsi="Cambria"/>
          <w:sz w:val="20"/>
          <w:szCs w:val="20"/>
          <w:lang w:val="es-BO"/>
        </w:rPr>
        <w:t>n</w:t>
      </w:r>
      <w:r w:rsidR="00C84A8B">
        <w:rPr>
          <w:rFonts w:ascii="Cambria" w:hAnsi="Cambria"/>
          <w:sz w:val="20"/>
          <w:szCs w:val="20"/>
          <w:lang w:val="es-BO"/>
        </w:rPr>
        <w:t>es</w:t>
      </w:r>
      <w:r w:rsidR="008C211D" w:rsidRPr="004D24AC">
        <w:rPr>
          <w:rFonts w:ascii="Cambria" w:hAnsi="Cambria"/>
          <w:sz w:val="20"/>
          <w:szCs w:val="20"/>
          <w:lang w:val="es-BO"/>
        </w:rPr>
        <w:t xml:space="preserve"> al agotamiento de los recursos internos, de conformidad con lo establecido en el artículo 46.2.</w:t>
      </w:r>
      <w:r w:rsidR="00225469">
        <w:rPr>
          <w:rFonts w:ascii="Cambria" w:hAnsi="Cambria"/>
          <w:sz w:val="20"/>
          <w:szCs w:val="20"/>
          <w:lang w:val="es-BO"/>
        </w:rPr>
        <w:t xml:space="preserve">b y </w:t>
      </w:r>
      <w:r w:rsidR="008C211D" w:rsidRPr="004D24AC">
        <w:rPr>
          <w:rFonts w:ascii="Cambria" w:hAnsi="Cambria"/>
          <w:sz w:val="20"/>
          <w:szCs w:val="20"/>
          <w:lang w:val="es-BO"/>
        </w:rPr>
        <w:t xml:space="preserve">c. de la Convención. </w:t>
      </w:r>
    </w:p>
    <w:p w:rsidR="008C211D" w:rsidRPr="00B83D6A" w:rsidRDefault="008C211D" w:rsidP="008C21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83D6A">
        <w:rPr>
          <w:rFonts w:ascii="Cambria" w:hAnsi="Cambria"/>
          <w:sz w:val="20"/>
          <w:szCs w:val="20"/>
          <w:lang w:val="es-BO"/>
        </w:rPr>
        <w:t xml:space="preserve">Por otra parte, en relación con el proceso de reparación directa iniciado en la jurisdicción contencioso administrativa por los peticionarios, la Comisión </w:t>
      </w:r>
      <w:r w:rsidRPr="00B83D6A">
        <w:rPr>
          <w:rFonts w:ascii="Cambria" w:hAnsi="Cambria"/>
          <w:sz w:val="20"/>
          <w:szCs w:val="20"/>
          <w:lang w:val="es-ES"/>
        </w:rPr>
        <w:t>ha sostenido reiteradamente que dicha vía no constituye un recurso idóneo a efectos de analizar la admisibilidad de un reclamo de la naturaleza del presente</w:t>
      </w:r>
      <w:r w:rsidRPr="00B83D6A">
        <w:rPr>
          <w:rStyle w:val="FootnoteReference"/>
          <w:rFonts w:ascii="Cambria" w:hAnsi="Cambria"/>
          <w:sz w:val="20"/>
          <w:szCs w:val="20"/>
          <w:lang w:val="es-ES"/>
        </w:rPr>
        <w:footnoteReference w:id="6"/>
      </w:r>
      <w:r w:rsidRPr="00B83D6A">
        <w:rPr>
          <w:rFonts w:ascii="Cambria" w:hAnsi="Cambria"/>
          <w:sz w:val="20"/>
          <w:szCs w:val="20"/>
          <w:lang w:val="es-ES"/>
        </w:rPr>
        <w:t xml:space="preserve">, ya que la misma no es adecuada para proporcionar una reparación integral y justicia a los familiares. Sin perjuicio de lo mencionado, </w:t>
      </w:r>
      <w:r w:rsidRPr="00B83D6A">
        <w:rPr>
          <w:rFonts w:asciiTheme="majorHAnsi" w:hAnsiTheme="majorHAnsi"/>
          <w:sz w:val="20"/>
          <w:szCs w:val="20"/>
          <w:lang w:val="es-ES"/>
        </w:rPr>
        <w:t xml:space="preserve">en el presente caso se observa que los peticionarios alegan además violaciones concretas en el marco de la demanda de reparación directa. Por ello, dada la vinculación entre los dos procesos, la CIDH toma en </w:t>
      </w:r>
      <w:r w:rsidRPr="00B83D6A">
        <w:rPr>
          <w:rFonts w:asciiTheme="majorHAnsi" w:hAnsiTheme="majorHAnsi"/>
          <w:sz w:val="20"/>
          <w:szCs w:val="20"/>
          <w:lang w:val="es-BO"/>
        </w:rPr>
        <w:t xml:space="preserve">cuenta que en la jurisdicción contencioso administrativa, los recursos internos se agotaron con la decisión de </w:t>
      </w:r>
      <w:r w:rsidR="00245230">
        <w:rPr>
          <w:rFonts w:asciiTheme="majorHAnsi" w:hAnsiTheme="majorHAnsi"/>
          <w:sz w:val="20"/>
          <w:szCs w:val="20"/>
          <w:lang w:val="es-BO"/>
        </w:rPr>
        <w:t>31 de julio</w:t>
      </w:r>
      <w:r w:rsidRPr="00B83D6A">
        <w:rPr>
          <w:rFonts w:asciiTheme="majorHAnsi" w:hAnsiTheme="majorHAnsi"/>
          <w:sz w:val="20"/>
          <w:szCs w:val="20"/>
          <w:lang w:val="es-BO"/>
        </w:rPr>
        <w:t xml:space="preserve"> de 2006</w:t>
      </w:r>
      <w:r>
        <w:rPr>
          <w:rFonts w:asciiTheme="majorHAnsi" w:hAnsiTheme="majorHAnsi"/>
          <w:sz w:val="20"/>
          <w:szCs w:val="20"/>
          <w:lang w:val="es-BO"/>
        </w:rPr>
        <w:t xml:space="preserve"> </w:t>
      </w:r>
      <w:r w:rsidRPr="00B83D6A">
        <w:rPr>
          <w:rFonts w:asciiTheme="majorHAnsi" w:hAnsiTheme="majorHAnsi"/>
          <w:sz w:val="20"/>
          <w:szCs w:val="20"/>
          <w:lang w:val="es-BO"/>
        </w:rPr>
        <w:t xml:space="preserve">emitida por </w:t>
      </w:r>
      <w:r w:rsidR="00245230">
        <w:rPr>
          <w:rFonts w:asciiTheme="majorHAnsi" w:hAnsiTheme="majorHAnsi"/>
          <w:sz w:val="20"/>
          <w:szCs w:val="20"/>
          <w:lang w:val="es-BO"/>
        </w:rPr>
        <w:t>la Sala Especial Transitoria de</w:t>
      </w:r>
      <w:r w:rsidRPr="00B83D6A">
        <w:rPr>
          <w:rFonts w:asciiTheme="majorHAnsi" w:hAnsiTheme="majorHAnsi"/>
          <w:sz w:val="20"/>
          <w:szCs w:val="20"/>
          <w:lang w:val="es-BO"/>
        </w:rPr>
        <w:t xml:space="preserve">l </w:t>
      </w:r>
      <w:r w:rsidR="00245230">
        <w:rPr>
          <w:rFonts w:asciiTheme="majorHAnsi" w:hAnsiTheme="majorHAnsi"/>
          <w:sz w:val="20"/>
          <w:szCs w:val="20"/>
          <w:lang w:val="es-BO"/>
        </w:rPr>
        <w:t xml:space="preserve">Consejo de Estado </w:t>
      </w:r>
      <w:r w:rsidRPr="00B83D6A">
        <w:rPr>
          <w:rFonts w:asciiTheme="majorHAnsi" w:hAnsiTheme="majorHAnsi"/>
          <w:sz w:val="20"/>
          <w:szCs w:val="20"/>
          <w:lang w:val="es-BO"/>
        </w:rPr>
        <w:t xml:space="preserve">que declaró </w:t>
      </w:r>
      <w:r w:rsidR="00245230">
        <w:rPr>
          <w:rFonts w:asciiTheme="majorHAnsi" w:hAnsiTheme="majorHAnsi"/>
          <w:sz w:val="20"/>
          <w:szCs w:val="20"/>
          <w:lang w:val="es-BO"/>
        </w:rPr>
        <w:t xml:space="preserve">infundado </w:t>
      </w:r>
      <w:r w:rsidRPr="00B83D6A">
        <w:rPr>
          <w:rFonts w:asciiTheme="majorHAnsi" w:hAnsiTheme="majorHAnsi"/>
          <w:sz w:val="20"/>
          <w:szCs w:val="20"/>
          <w:lang w:val="es-BO"/>
        </w:rPr>
        <w:t xml:space="preserve">el recurso de </w:t>
      </w:r>
      <w:r w:rsidR="00245230">
        <w:rPr>
          <w:rFonts w:asciiTheme="majorHAnsi" w:hAnsiTheme="majorHAnsi"/>
          <w:sz w:val="20"/>
          <w:szCs w:val="20"/>
          <w:lang w:val="es-BO"/>
        </w:rPr>
        <w:t>súplica presentado por los familiares de la presunta víctima</w:t>
      </w:r>
      <w:r w:rsidRPr="00B83D6A">
        <w:rPr>
          <w:rFonts w:asciiTheme="majorHAnsi" w:hAnsiTheme="majorHAnsi"/>
          <w:sz w:val="20"/>
          <w:szCs w:val="20"/>
          <w:lang w:val="es-BO"/>
        </w:rPr>
        <w:t>, y que les fue notificada el</w:t>
      </w:r>
      <w:r>
        <w:rPr>
          <w:rFonts w:asciiTheme="majorHAnsi" w:hAnsiTheme="majorHAnsi"/>
          <w:sz w:val="20"/>
          <w:szCs w:val="20"/>
          <w:lang w:val="es-BO"/>
        </w:rPr>
        <w:t xml:space="preserve"> </w:t>
      </w:r>
      <w:r w:rsidR="00245230">
        <w:rPr>
          <w:rFonts w:asciiTheme="majorHAnsi" w:hAnsiTheme="majorHAnsi"/>
          <w:sz w:val="20"/>
          <w:szCs w:val="20"/>
          <w:lang w:val="es-BO"/>
        </w:rPr>
        <w:t>11</w:t>
      </w:r>
      <w:r w:rsidRPr="00B83D6A">
        <w:rPr>
          <w:rFonts w:asciiTheme="majorHAnsi" w:hAnsiTheme="majorHAnsi"/>
          <w:sz w:val="20"/>
          <w:szCs w:val="20"/>
          <w:lang w:val="es-BO"/>
        </w:rPr>
        <w:t xml:space="preserve"> de agosto de 2006.</w:t>
      </w:r>
      <w:r w:rsidRPr="00B83D6A">
        <w:rPr>
          <w:rFonts w:ascii="Cambria" w:hAnsi="Cambria"/>
          <w:sz w:val="20"/>
          <w:szCs w:val="20"/>
          <w:lang w:val="es-BO"/>
        </w:rPr>
        <w:t xml:space="preserve"> </w:t>
      </w:r>
      <w:r w:rsidRPr="00B83D6A">
        <w:rPr>
          <w:rFonts w:ascii="Cambria" w:hAnsi="Cambria"/>
          <w:sz w:val="20"/>
          <w:szCs w:val="20"/>
          <w:lang w:val="es-ES"/>
        </w:rPr>
        <w:t xml:space="preserve"> </w:t>
      </w:r>
    </w:p>
    <w:p w:rsidR="008C211D" w:rsidRPr="00B83D6A" w:rsidRDefault="008C211D" w:rsidP="008C21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83D6A">
        <w:rPr>
          <w:rFonts w:ascii="Cambria" w:hAnsi="Cambria"/>
          <w:sz w:val="20"/>
          <w:szCs w:val="20"/>
          <w:lang w:val="es-ES"/>
        </w:rPr>
        <w:t>Finalmente</w:t>
      </w:r>
      <w:r w:rsidRPr="00B83D6A">
        <w:rPr>
          <w:rFonts w:ascii="Cambria" w:hAnsi="Cambria"/>
          <w:sz w:val="20"/>
          <w:szCs w:val="20"/>
          <w:bdr w:val="none" w:sz="0" w:space="0" w:color="auto" w:frame="1"/>
          <w:lang w:val="es-UY"/>
        </w:rPr>
        <w:t xml:space="preserve">, </w:t>
      </w:r>
      <w:r w:rsidRPr="00B83D6A">
        <w:rPr>
          <w:rFonts w:ascii="Cambria" w:hAnsi="Cambria"/>
          <w:sz w:val="20"/>
          <w:szCs w:val="20"/>
          <w:lang w:val="es-ES"/>
        </w:rPr>
        <w:t>la</w:t>
      </w:r>
      <w:r w:rsidR="00245230">
        <w:rPr>
          <w:rFonts w:ascii="Cambria" w:hAnsi="Cambria"/>
          <w:sz w:val="20"/>
          <w:szCs w:val="20"/>
          <w:lang w:val="es-ES"/>
        </w:rPr>
        <w:t xml:space="preserve"> petición fue presentada</w:t>
      </w:r>
      <w:r w:rsidRPr="00B83D6A">
        <w:rPr>
          <w:rFonts w:ascii="Cambria" w:hAnsi="Cambria"/>
          <w:sz w:val="20"/>
          <w:szCs w:val="20"/>
          <w:lang w:val="es-ES"/>
        </w:rPr>
        <w:t xml:space="preserve"> el </w:t>
      </w:r>
      <w:r w:rsidR="00245230">
        <w:rPr>
          <w:rFonts w:ascii="Cambria" w:hAnsi="Cambria"/>
          <w:sz w:val="20"/>
          <w:szCs w:val="20"/>
          <w:lang w:val="es-ES"/>
        </w:rPr>
        <w:t xml:space="preserve">1 </w:t>
      </w:r>
      <w:r w:rsidRPr="00B83D6A">
        <w:rPr>
          <w:rFonts w:ascii="Cambria" w:hAnsi="Cambria"/>
          <w:sz w:val="20"/>
          <w:szCs w:val="20"/>
          <w:lang w:val="es-ES"/>
        </w:rPr>
        <w:t xml:space="preserve">de febrero de 2007, los alegados hechos materia del reclamo iniciaron el </w:t>
      </w:r>
      <w:r w:rsidR="00245230">
        <w:rPr>
          <w:rFonts w:ascii="Cambria" w:hAnsi="Cambria"/>
          <w:sz w:val="20"/>
          <w:szCs w:val="20"/>
          <w:lang w:val="es-ES"/>
        </w:rPr>
        <w:t>13</w:t>
      </w:r>
      <w:r w:rsidRPr="00B83D6A">
        <w:rPr>
          <w:rFonts w:ascii="Cambria" w:hAnsi="Cambria"/>
          <w:sz w:val="20"/>
          <w:szCs w:val="20"/>
          <w:lang w:val="es-ES"/>
        </w:rPr>
        <w:t xml:space="preserve"> de </w:t>
      </w:r>
      <w:r w:rsidR="00245230">
        <w:rPr>
          <w:rFonts w:ascii="Cambria" w:hAnsi="Cambria"/>
          <w:sz w:val="20"/>
          <w:szCs w:val="20"/>
          <w:lang w:val="es-ES"/>
        </w:rPr>
        <w:t xml:space="preserve">septiembre </w:t>
      </w:r>
      <w:r w:rsidRPr="00B83D6A">
        <w:rPr>
          <w:rFonts w:ascii="Cambria" w:hAnsi="Cambria"/>
          <w:sz w:val="20"/>
          <w:szCs w:val="20"/>
          <w:lang w:val="es-ES"/>
        </w:rPr>
        <w:t>de 199</w:t>
      </w:r>
      <w:r w:rsidR="00245230">
        <w:rPr>
          <w:rFonts w:ascii="Cambria" w:hAnsi="Cambria"/>
          <w:sz w:val="20"/>
          <w:szCs w:val="20"/>
          <w:lang w:val="es-ES"/>
        </w:rPr>
        <w:t>3</w:t>
      </w:r>
      <w:r w:rsidRPr="00B83D6A">
        <w:rPr>
          <w:rFonts w:ascii="Cambria" w:hAnsi="Cambria"/>
          <w:sz w:val="20"/>
          <w:szCs w:val="20"/>
          <w:lang w:val="es-ES"/>
        </w:rPr>
        <w:t>, y sus presuntos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Pr="00B83D6A">
        <w:rPr>
          <w:rFonts w:ascii="Cambria" w:hAnsi="Cambria"/>
          <w:sz w:val="20"/>
          <w:szCs w:val="20"/>
          <w:bdr w:val="none" w:sz="0" w:space="0" w:color="auto" w:frame="1"/>
          <w:lang w:val="es-UY"/>
        </w:rPr>
        <w:t>.</w:t>
      </w:r>
    </w:p>
    <w:p w:rsidR="008C211D" w:rsidRPr="00B83D6A" w:rsidRDefault="008C211D" w:rsidP="008C211D">
      <w:pPr>
        <w:pStyle w:val="ListParagraph"/>
        <w:spacing w:before="240" w:after="240"/>
        <w:jc w:val="both"/>
        <w:rPr>
          <w:rFonts w:asciiTheme="majorHAnsi" w:hAnsiTheme="majorHAnsi"/>
          <w:b/>
          <w:sz w:val="20"/>
          <w:szCs w:val="20"/>
          <w:lang w:val="es-ES"/>
        </w:rPr>
      </w:pPr>
      <w:r w:rsidRPr="00B83D6A">
        <w:rPr>
          <w:rFonts w:asciiTheme="majorHAnsi" w:hAnsiTheme="majorHAnsi"/>
          <w:b/>
          <w:bCs/>
          <w:sz w:val="20"/>
          <w:szCs w:val="20"/>
          <w:lang w:val="es-ES"/>
        </w:rPr>
        <w:t>VII.</w:t>
      </w:r>
      <w:r w:rsidRPr="00B83D6A">
        <w:rPr>
          <w:rFonts w:asciiTheme="majorHAnsi" w:hAnsiTheme="majorHAnsi"/>
          <w:b/>
          <w:bCs/>
          <w:sz w:val="20"/>
          <w:szCs w:val="20"/>
          <w:lang w:val="es-ES"/>
        </w:rPr>
        <w:tab/>
        <w:t xml:space="preserve">ANÁLISIS DE CARACTERIZACIÓN </w:t>
      </w:r>
      <w:r w:rsidRPr="00B83D6A">
        <w:rPr>
          <w:rFonts w:asciiTheme="majorHAnsi" w:hAnsiTheme="majorHAnsi"/>
          <w:b/>
          <w:bCs/>
          <w:sz w:val="20"/>
          <w:szCs w:val="20"/>
          <w:lang w:val="es-UY"/>
        </w:rPr>
        <w:t>DE LOS HECHOS ALEGADOS</w:t>
      </w:r>
    </w:p>
    <w:p w:rsidR="008C211D" w:rsidRDefault="008C211D" w:rsidP="008C21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83D6A">
        <w:rPr>
          <w:rFonts w:ascii="Cambria" w:hAnsi="Cambria"/>
          <w:sz w:val="20"/>
          <w:szCs w:val="20"/>
          <w:lang w:val="es-ES"/>
        </w:rPr>
        <w:t>En vista de los elementos de hecho y de derecho expuestos por las partes y la naturaleza del asunto puesto bajo su conocimiento, la Comisión considera que l</w:t>
      </w:r>
      <w:r w:rsidR="00245230">
        <w:rPr>
          <w:rFonts w:ascii="Cambria" w:hAnsi="Cambria"/>
          <w:sz w:val="20"/>
          <w:szCs w:val="20"/>
          <w:lang w:val="es-ES"/>
        </w:rPr>
        <w:t xml:space="preserve">a alegada ejecución extrajudicial </w:t>
      </w:r>
      <w:r w:rsidRPr="00B83D6A">
        <w:rPr>
          <w:rFonts w:ascii="Cambria" w:hAnsi="Cambria"/>
          <w:sz w:val="20"/>
          <w:szCs w:val="20"/>
          <w:lang w:val="es-ES"/>
        </w:rPr>
        <w:t>de la presunta</w:t>
      </w:r>
      <w:r w:rsidR="00245230">
        <w:rPr>
          <w:rFonts w:ascii="Cambria" w:hAnsi="Cambria"/>
          <w:sz w:val="20"/>
          <w:szCs w:val="20"/>
          <w:lang w:val="es-ES"/>
        </w:rPr>
        <w:t xml:space="preserve"> víctima</w:t>
      </w:r>
      <w:r w:rsidRPr="00B83D6A">
        <w:rPr>
          <w:rFonts w:ascii="Cambria" w:hAnsi="Cambria"/>
          <w:sz w:val="20"/>
          <w:szCs w:val="20"/>
          <w:lang w:val="es-ES"/>
        </w:rPr>
        <w:t xml:space="preserve"> por parte de </w:t>
      </w:r>
      <w:r w:rsidR="00245230">
        <w:rPr>
          <w:rFonts w:ascii="Cambria" w:hAnsi="Cambria"/>
          <w:sz w:val="20"/>
          <w:szCs w:val="20"/>
          <w:lang w:val="es-ES"/>
        </w:rPr>
        <w:t>agentes de la UNASE</w:t>
      </w:r>
      <w:r w:rsidRPr="00B83D6A">
        <w:rPr>
          <w:rFonts w:ascii="Cambria" w:hAnsi="Cambria"/>
          <w:sz w:val="20"/>
          <w:szCs w:val="20"/>
          <w:lang w:val="es-ES"/>
        </w:rPr>
        <w:t>,</w:t>
      </w:r>
      <w:r w:rsidR="00245230">
        <w:rPr>
          <w:rFonts w:ascii="Cambria" w:hAnsi="Cambria"/>
          <w:sz w:val="20"/>
          <w:szCs w:val="20"/>
          <w:lang w:val="es-ES"/>
        </w:rPr>
        <w:t xml:space="preserve"> la presuntas amenazas posteriores a sus familiares,</w:t>
      </w:r>
      <w:r w:rsidRPr="00B83D6A">
        <w:rPr>
          <w:rFonts w:ascii="Cambria" w:hAnsi="Cambria"/>
          <w:sz w:val="20"/>
          <w:szCs w:val="20"/>
          <w:lang w:val="es-ES"/>
        </w:rPr>
        <w:t xml:space="preserve"> la subsistente impunidad parcial y falta de protección judicial efectiva</w:t>
      </w:r>
      <w:r w:rsidR="00245230">
        <w:rPr>
          <w:rFonts w:ascii="Cambria" w:hAnsi="Cambria"/>
          <w:sz w:val="20"/>
          <w:szCs w:val="20"/>
          <w:lang w:val="es-ES"/>
        </w:rPr>
        <w:t xml:space="preserve"> en los procesos judiciales desarrollados por los hechos</w:t>
      </w:r>
      <w:r w:rsidRPr="00B83D6A">
        <w:rPr>
          <w:rFonts w:ascii="Cambria" w:hAnsi="Cambria"/>
          <w:sz w:val="20"/>
          <w:szCs w:val="20"/>
          <w:lang w:val="es-ES"/>
        </w:rPr>
        <w:t xml:space="preserve">, podrían caracterizar posibles violaciones de los artículos 4 (vida), 5 (integridad </w:t>
      </w:r>
      <w:r w:rsidR="00245230">
        <w:rPr>
          <w:rFonts w:ascii="Cambria" w:hAnsi="Cambria"/>
          <w:sz w:val="20"/>
          <w:szCs w:val="20"/>
          <w:lang w:val="es-ES"/>
        </w:rPr>
        <w:t>personal)</w:t>
      </w:r>
      <w:r w:rsidRPr="00B83D6A">
        <w:rPr>
          <w:rFonts w:ascii="Cambria" w:hAnsi="Cambria"/>
          <w:sz w:val="20"/>
          <w:szCs w:val="20"/>
          <w:lang w:val="es-ES"/>
        </w:rPr>
        <w:t>, 8 (garantías judiciales)</w:t>
      </w:r>
      <w:r w:rsidR="00245230">
        <w:rPr>
          <w:rFonts w:ascii="Cambria" w:hAnsi="Cambria"/>
          <w:sz w:val="20"/>
          <w:szCs w:val="20"/>
          <w:lang w:val="es-ES"/>
        </w:rPr>
        <w:t>, 17 (protección a la familia), 24 (igualdad ante la ley)</w:t>
      </w:r>
      <w:r w:rsidRPr="00B83D6A">
        <w:rPr>
          <w:rFonts w:ascii="Cambria" w:hAnsi="Cambria"/>
          <w:sz w:val="20"/>
          <w:szCs w:val="20"/>
          <w:lang w:val="es-ES"/>
        </w:rPr>
        <w:t xml:space="preserve"> y 25 (protección judicial) de la Convención Americana en relación con su</w:t>
      </w:r>
      <w:r w:rsidR="00245230">
        <w:rPr>
          <w:rFonts w:ascii="Cambria" w:hAnsi="Cambria"/>
          <w:sz w:val="20"/>
          <w:szCs w:val="20"/>
          <w:lang w:val="es-ES"/>
        </w:rPr>
        <w:t>s</w:t>
      </w:r>
      <w:r w:rsidRPr="00B83D6A">
        <w:rPr>
          <w:rFonts w:ascii="Cambria" w:hAnsi="Cambria"/>
          <w:sz w:val="20"/>
          <w:szCs w:val="20"/>
          <w:lang w:val="es-ES"/>
        </w:rPr>
        <w:t xml:space="preserve"> artículo</w:t>
      </w:r>
      <w:r w:rsidR="00245230">
        <w:rPr>
          <w:rFonts w:ascii="Cambria" w:hAnsi="Cambria"/>
          <w:sz w:val="20"/>
          <w:szCs w:val="20"/>
          <w:lang w:val="es-ES"/>
        </w:rPr>
        <w:t>s</w:t>
      </w:r>
      <w:r w:rsidRPr="00B83D6A">
        <w:rPr>
          <w:rFonts w:ascii="Cambria" w:hAnsi="Cambria"/>
          <w:sz w:val="20"/>
          <w:szCs w:val="20"/>
          <w:lang w:val="es-ES"/>
        </w:rPr>
        <w:t xml:space="preserve"> 1.1</w:t>
      </w:r>
      <w:r w:rsidR="00245230">
        <w:rPr>
          <w:rFonts w:ascii="Cambria" w:hAnsi="Cambria"/>
          <w:sz w:val="20"/>
          <w:szCs w:val="20"/>
          <w:lang w:val="es-ES"/>
        </w:rPr>
        <w:t xml:space="preserve"> y 2</w:t>
      </w:r>
      <w:r w:rsidRPr="00B83D6A">
        <w:rPr>
          <w:rFonts w:ascii="Cambria" w:hAnsi="Cambria"/>
          <w:sz w:val="20"/>
          <w:szCs w:val="20"/>
          <w:lang w:val="es-ES"/>
        </w:rPr>
        <w:t>; en perjuicio de</w:t>
      </w:r>
      <w:r w:rsidR="00E6139A">
        <w:rPr>
          <w:rFonts w:ascii="Cambria" w:hAnsi="Cambria"/>
          <w:sz w:val="20"/>
          <w:szCs w:val="20"/>
          <w:lang w:val="es-ES"/>
        </w:rPr>
        <w:t xml:space="preserve"> la presunta víctima y</w:t>
      </w:r>
      <w:r w:rsidRPr="00B83D6A">
        <w:rPr>
          <w:rFonts w:ascii="Cambria" w:hAnsi="Cambria"/>
          <w:sz w:val="20"/>
          <w:szCs w:val="20"/>
          <w:lang w:val="es-ES"/>
        </w:rPr>
        <w:t xml:space="preserve"> sus familiares.</w:t>
      </w:r>
    </w:p>
    <w:p w:rsidR="008C47A0" w:rsidRPr="00B83D6A" w:rsidRDefault="008C47A0" w:rsidP="008C21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03FB">
        <w:rPr>
          <w:rFonts w:asciiTheme="majorHAnsi" w:hAnsiTheme="majorHAnsi"/>
          <w:sz w:val="20"/>
          <w:szCs w:val="20"/>
          <w:lang w:val="es-ES_tradnl"/>
        </w:rPr>
        <w:t xml:space="preserve">En cuanto al reclamo sobre la presunta violación del artículo </w:t>
      </w:r>
      <w:r>
        <w:rPr>
          <w:rFonts w:asciiTheme="majorHAnsi" w:hAnsiTheme="majorHAnsi"/>
          <w:sz w:val="20"/>
          <w:szCs w:val="20"/>
          <w:lang w:val="es-ES_tradnl"/>
        </w:rPr>
        <w:t>7</w:t>
      </w:r>
      <w:r w:rsidRPr="004B03FB">
        <w:rPr>
          <w:rFonts w:asciiTheme="majorHAnsi" w:hAnsiTheme="majorHAnsi"/>
          <w:bCs/>
          <w:sz w:val="20"/>
          <w:szCs w:val="20"/>
          <w:lang w:val="es-BO"/>
        </w:rPr>
        <w:t xml:space="preserve"> (</w:t>
      </w:r>
      <w:r>
        <w:rPr>
          <w:rFonts w:asciiTheme="majorHAnsi" w:hAnsiTheme="majorHAnsi"/>
          <w:bCs/>
          <w:sz w:val="20"/>
          <w:szCs w:val="20"/>
          <w:lang w:val="es-BO"/>
        </w:rPr>
        <w:t>libertad personal</w:t>
      </w:r>
      <w:r w:rsidRPr="004B03FB">
        <w:rPr>
          <w:rFonts w:asciiTheme="majorHAnsi" w:hAnsiTheme="majorHAnsi"/>
          <w:bCs/>
          <w:sz w:val="20"/>
          <w:szCs w:val="20"/>
          <w:lang w:val="es-BO"/>
        </w:rPr>
        <w:t xml:space="preserve">) </w:t>
      </w:r>
      <w:r w:rsidRPr="004B03FB">
        <w:rPr>
          <w:rFonts w:asciiTheme="majorHAnsi" w:hAnsiTheme="majorHAnsi"/>
          <w:sz w:val="20"/>
          <w:szCs w:val="20"/>
          <w:lang w:val="es-ES_tradnl"/>
        </w:rPr>
        <w:t xml:space="preserve">de la Convención Americana, la Comisión observa que los peticionarios no han ofrecido alegatos o sustento suficiente que permita considerar </w:t>
      </w:r>
      <w:r w:rsidRPr="004B03FB">
        <w:rPr>
          <w:rFonts w:asciiTheme="majorHAnsi" w:hAnsiTheme="majorHAnsi"/>
          <w:i/>
          <w:sz w:val="20"/>
          <w:szCs w:val="20"/>
          <w:lang w:val="es-ES_tradnl"/>
        </w:rPr>
        <w:t>prima facie</w:t>
      </w:r>
      <w:r w:rsidRPr="004B03FB">
        <w:rPr>
          <w:rFonts w:asciiTheme="majorHAnsi" w:hAnsiTheme="majorHAnsi"/>
          <w:sz w:val="20"/>
          <w:szCs w:val="20"/>
          <w:lang w:val="es-ES_tradnl"/>
        </w:rPr>
        <w:t xml:space="preserve"> su posible</w:t>
      </w:r>
    </w:p>
    <w:p w:rsidR="008C211D" w:rsidRPr="00B83D6A" w:rsidRDefault="008C211D" w:rsidP="008C21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83D6A">
        <w:rPr>
          <w:rFonts w:ascii="Cambria" w:hAnsi="Cambria"/>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8C211D" w:rsidRPr="00B83D6A" w:rsidRDefault="008C211D" w:rsidP="008C211D">
      <w:pPr>
        <w:pStyle w:val="ListParagraph"/>
        <w:spacing w:before="240" w:after="240"/>
        <w:jc w:val="both"/>
        <w:rPr>
          <w:rFonts w:asciiTheme="majorHAnsi" w:hAnsiTheme="majorHAnsi"/>
          <w:b/>
          <w:bCs/>
          <w:sz w:val="20"/>
          <w:szCs w:val="20"/>
          <w:lang w:val="es-ES"/>
        </w:rPr>
      </w:pPr>
      <w:r w:rsidRPr="00B83D6A">
        <w:rPr>
          <w:rFonts w:asciiTheme="majorHAnsi" w:hAnsiTheme="majorHAnsi"/>
          <w:b/>
          <w:bCs/>
          <w:sz w:val="20"/>
          <w:szCs w:val="20"/>
          <w:lang w:val="es-ES"/>
        </w:rPr>
        <w:t xml:space="preserve">VIII. </w:t>
      </w:r>
      <w:r w:rsidRPr="00B83D6A">
        <w:rPr>
          <w:rFonts w:asciiTheme="majorHAnsi" w:hAnsiTheme="majorHAnsi"/>
          <w:b/>
          <w:bCs/>
          <w:sz w:val="20"/>
          <w:szCs w:val="20"/>
          <w:lang w:val="es-ES"/>
        </w:rPr>
        <w:tab/>
        <w:t>DECISIÓN</w:t>
      </w:r>
    </w:p>
    <w:p w:rsidR="008C47A0" w:rsidRPr="008C47A0" w:rsidRDefault="008C211D" w:rsidP="008C47A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47A0">
        <w:rPr>
          <w:rFonts w:asciiTheme="majorHAnsi" w:hAnsiTheme="majorHAnsi"/>
          <w:sz w:val="20"/>
          <w:szCs w:val="20"/>
          <w:lang w:val="es-ES"/>
        </w:rPr>
        <w:t>Declarar admisible la presente petición en relación con los artículos 4, 5, 8</w:t>
      </w:r>
      <w:r w:rsidR="00E6139A" w:rsidRPr="008C47A0">
        <w:rPr>
          <w:rFonts w:asciiTheme="majorHAnsi" w:hAnsiTheme="majorHAnsi"/>
          <w:sz w:val="20"/>
          <w:szCs w:val="20"/>
          <w:lang w:val="es-ES"/>
        </w:rPr>
        <w:t>, 17</w:t>
      </w:r>
      <w:r w:rsidR="008C47A0" w:rsidRPr="008C47A0">
        <w:rPr>
          <w:rFonts w:asciiTheme="majorHAnsi" w:hAnsiTheme="majorHAnsi"/>
          <w:sz w:val="20"/>
          <w:szCs w:val="20"/>
          <w:lang w:val="es-ES"/>
        </w:rPr>
        <w:t xml:space="preserve">, 24 </w:t>
      </w:r>
      <w:r w:rsidRPr="008C47A0">
        <w:rPr>
          <w:rFonts w:asciiTheme="majorHAnsi" w:hAnsiTheme="majorHAnsi"/>
          <w:sz w:val="20"/>
          <w:szCs w:val="20"/>
          <w:lang w:val="es-ES"/>
        </w:rPr>
        <w:t>y 25 de la Convención Americana en concordancia con su</w:t>
      </w:r>
      <w:r w:rsidR="00E6139A" w:rsidRPr="008C47A0">
        <w:rPr>
          <w:rFonts w:asciiTheme="majorHAnsi" w:hAnsiTheme="majorHAnsi"/>
          <w:sz w:val="20"/>
          <w:szCs w:val="20"/>
          <w:lang w:val="es-ES"/>
        </w:rPr>
        <w:t>s</w:t>
      </w:r>
      <w:r w:rsidRPr="008C47A0">
        <w:rPr>
          <w:rFonts w:asciiTheme="majorHAnsi" w:hAnsiTheme="majorHAnsi"/>
          <w:sz w:val="20"/>
          <w:szCs w:val="20"/>
          <w:lang w:val="es-ES"/>
        </w:rPr>
        <w:t xml:space="preserve"> artículo</w:t>
      </w:r>
      <w:r w:rsidR="00E6139A" w:rsidRPr="008C47A0">
        <w:rPr>
          <w:rFonts w:asciiTheme="majorHAnsi" w:hAnsiTheme="majorHAnsi"/>
          <w:sz w:val="20"/>
          <w:szCs w:val="20"/>
          <w:lang w:val="es-ES"/>
        </w:rPr>
        <w:t>s</w:t>
      </w:r>
      <w:r w:rsidRPr="008C47A0">
        <w:rPr>
          <w:rFonts w:asciiTheme="majorHAnsi" w:hAnsiTheme="majorHAnsi"/>
          <w:sz w:val="20"/>
          <w:szCs w:val="20"/>
          <w:lang w:val="es-ES"/>
        </w:rPr>
        <w:t xml:space="preserve"> 1.1</w:t>
      </w:r>
      <w:r w:rsidR="00E6139A" w:rsidRPr="008C47A0">
        <w:rPr>
          <w:rFonts w:asciiTheme="majorHAnsi" w:hAnsiTheme="majorHAnsi"/>
          <w:sz w:val="20"/>
          <w:szCs w:val="20"/>
          <w:lang w:val="es-ES"/>
        </w:rPr>
        <w:t xml:space="preserve"> y 2</w:t>
      </w:r>
      <w:r w:rsidRPr="008C47A0">
        <w:rPr>
          <w:rFonts w:asciiTheme="majorHAnsi" w:hAnsiTheme="majorHAnsi"/>
          <w:sz w:val="20"/>
          <w:szCs w:val="20"/>
          <w:lang w:val="es-ES"/>
        </w:rPr>
        <w:t>;</w:t>
      </w:r>
    </w:p>
    <w:p w:rsidR="008C47A0" w:rsidRPr="008C47A0" w:rsidRDefault="008C47A0" w:rsidP="008C47A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47A0">
        <w:rPr>
          <w:rFonts w:asciiTheme="majorHAnsi" w:hAnsiTheme="majorHAnsi"/>
          <w:sz w:val="20"/>
          <w:szCs w:val="20"/>
          <w:lang w:val="es-ES"/>
        </w:rPr>
        <w:lastRenderedPageBreak/>
        <w:t>Declarar inadmisible la presente petición en relación con el artículo 7 de la Convención Americana;</w:t>
      </w:r>
      <w:r>
        <w:rPr>
          <w:rFonts w:asciiTheme="majorHAnsi" w:hAnsiTheme="majorHAnsi"/>
          <w:sz w:val="20"/>
          <w:szCs w:val="20"/>
          <w:lang w:val="es-ES"/>
        </w:rPr>
        <w:t xml:space="preserve"> </w:t>
      </w:r>
      <w:r w:rsidR="00BB3B19">
        <w:rPr>
          <w:rFonts w:asciiTheme="majorHAnsi" w:hAnsiTheme="majorHAnsi"/>
          <w:sz w:val="20"/>
          <w:szCs w:val="20"/>
          <w:lang w:val="es-ES"/>
        </w:rPr>
        <w:t>y</w:t>
      </w:r>
    </w:p>
    <w:p w:rsidR="008C211D" w:rsidRPr="008C47A0" w:rsidRDefault="008C211D" w:rsidP="00E6139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C47A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50704B" w:rsidRDefault="0050704B" w:rsidP="005070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7</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julio</w:t>
      </w:r>
      <w:r w:rsidRPr="00E75191">
        <w:rPr>
          <w:rFonts w:asciiTheme="majorHAnsi" w:hAnsiTheme="majorHAnsi"/>
          <w:sz w:val="20"/>
          <w:szCs w:val="20"/>
          <w:lang w:val="es-ES"/>
        </w:rPr>
        <w:t xml:space="preserve"> de 2018.  (Firmado): Margarette May Macaulay, Presidenta; Esmeralda E. Arosemena Bernal de Troitiño, Primera Vicepresidenta; Francisco José Eguiguren Praeli, Joel Hernández García, Antonia Urrejola, y Flávia Piovesan, Miembros de la Comisión.</w:t>
      </w:r>
    </w:p>
    <w:p w:rsidR="00936A16" w:rsidRPr="00936A16" w:rsidRDefault="0050704B" w:rsidP="006A37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p>
    <w:p w:rsidR="00722C9F" w:rsidRPr="00936A16" w:rsidRDefault="00722C9F" w:rsidP="00936A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pt-BR"/>
        </w:rPr>
      </w:pPr>
    </w:p>
    <w:sectPr w:rsidR="00722C9F" w:rsidRPr="00936A1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E2" w:rsidRDefault="002016E2">
      <w:r>
        <w:separator/>
      </w:r>
    </w:p>
  </w:endnote>
  <w:endnote w:type="continuationSeparator" w:id="0">
    <w:p w:rsidR="002016E2" w:rsidRDefault="002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48" w:rsidRDefault="00830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30E48">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E2" w:rsidRPr="000F35ED" w:rsidRDefault="002016E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016E2" w:rsidRPr="000F35ED" w:rsidRDefault="002016E2" w:rsidP="000F35ED">
      <w:pPr>
        <w:rPr>
          <w:rFonts w:asciiTheme="majorHAnsi" w:hAnsiTheme="majorHAnsi"/>
          <w:sz w:val="16"/>
          <w:szCs w:val="16"/>
        </w:rPr>
      </w:pPr>
      <w:r w:rsidRPr="000F35ED">
        <w:rPr>
          <w:rFonts w:asciiTheme="majorHAnsi" w:hAnsiTheme="majorHAnsi"/>
          <w:sz w:val="16"/>
          <w:szCs w:val="16"/>
        </w:rPr>
        <w:separator/>
      </w:r>
    </w:p>
    <w:p w:rsidR="002016E2" w:rsidRPr="000F35ED" w:rsidRDefault="002016E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016E2" w:rsidRPr="000F35ED" w:rsidRDefault="002016E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4A6A54" w:rsidRDefault="004A6A54" w:rsidP="007E7C82">
      <w:pPr>
        <w:pStyle w:val="FootnoteText"/>
        <w:ind w:firstLine="720"/>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00C40786">
        <w:rPr>
          <w:rFonts w:ascii="Cambria" w:hAnsi="Cambria"/>
          <w:sz w:val="16"/>
          <w:szCs w:val="16"/>
          <w:lang w:val="es-ES"/>
        </w:rPr>
        <w:t>Luis Ernesto Vargas Silva</w:t>
      </w:r>
      <w:r w:rsidRPr="009C56D9">
        <w:rPr>
          <w:rFonts w:ascii="Cambria" w:hAnsi="Cambria"/>
          <w:sz w:val="16"/>
          <w:szCs w:val="16"/>
          <w:lang w:val="es-ES"/>
        </w:rPr>
        <w:t xml:space="preserve"> de nacionalidad </w:t>
      </w:r>
      <w:r w:rsidR="00C40786">
        <w:rPr>
          <w:rFonts w:ascii="Cambria" w:hAnsi="Cambria"/>
          <w:sz w:val="16"/>
          <w:szCs w:val="16"/>
          <w:lang w:val="es-ES"/>
        </w:rPr>
        <w:t>colombiana</w:t>
      </w:r>
      <w:r w:rsidRPr="009C56D9">
        <w:rPr>
          <w:rFonts w:ascii="Cambria" w:hAnsi="Cambria"/>
          <w:sz w:val="16"/>
          <w:szCs w:val="16"/>
          <w:lang w:val="es-ES"/>
        </w:rPr>
        <w:t>, no participó en el debate ni en la decisión del presente asunto.</w:t>
      </w:r>
    </w:p>
  </w:footnote>
  <w:footnote w:id="3">
    <w:p w:rsidR="00D46703" w:rsidRPr="005E6F7A" w:rsidRDefault="00D46703" w:rsidP="00D46703">
      <w:pPr>
        <w:pStyle w:val="FootnoteText"/>
        <w:ind w:firstLine="720"/>
        <w:jc w:val="both"/>
        <w:rPr>
          <w:rFonts w:asciiTheme="majorHAnsi" w:hAnsiTheme="majorHAnsi"/>
          <w:sz w:val="16"/>
          <w:szCs w:val="16"/>
          <w:lang w:val="es-BO"/>
        </w:rPr>
      </w:pPr>
      <w:r w:rsidRPr="005E6F7A">
        <w:rPr>
          <w:rStyle w:val="FootnoteReference"/>
          <w:rFonts w:asciiTheme="majorHAnsi" w:hAnsiTheme="majorHAnsi"/>
          <w:sz w:val="16"/>
          <w:szCs w:val="16"/>
        </w:rPr>
        <w:footnoteRef/>
      </w:r>
      <w:r>
        <w:rPr>
          <w:rFonts w:asciiTheme="majorHAnsi" w:hAnsiTheme="majorHAnsi"/>
          <w:sz w:val="16"/>
          <w:szCs w:val="16"/>
          <w:lang w:val="es-ES"/>
        </w:rPr>
        <w:t xml:space="preserve"> </w:t>
      </w:r>
      <w:r w:rsidRPr="005E6F7A">
        <w:rPr>
          <w:rFonts w:asciiTheme="majorHAnsi" w:hAnsiTheme="majorHAnsi"/>
          <w:sz w:val="16"/>
          <w:szCs w:val="16"/>
          <w:lang w:val="es-ES"/>
        </w:rPr>
        <w:t>En adelante “Convención” o “Convención Americana”.</w:t>
      </w:r>
    </w:p>
  </w:footnote>
  <w:footnote w:id="4">
    <w:p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27391A" w:rsidRPr="00055D26" w:rsidRDefault="0027391A" w:rsidP="0027391A">
      <w:pPr>
        <w:pStyle w:val="FootnoteText"/>
        <w:ind w:firstLine="720"/>
        <w:jc w:val="both"/>
        <w:rPr>
          <w:rFonts w:asciiTheme="majorHAnsi" w:hAnsiTheme="majorHAnsi"/>
          <w:sz w:val="16"/>
          <w:szCs w:val="16"/>
          <w:lang w:val="es-BO"/>
        </w:rPr>
      </w:pPr>
      <w:r w:rsidRPr="00055D26">
        <w:rPr>
          <w:rStyle w:val="FootnoteReference"/>
          <w:rFonts w:asciiTheme="majorHAnsi" w:hAnsiTheme="majorHAnsi"/>
          <w:sz w:val="16"/>
          <w:szCs w:val="16"/>
        </w:rPr>
        <w:footnoteRef/>
      </w:r>
      <w:r w:rsidRPr="00055D26">
        <w:rPr>
          <w:rFonts w:asciiTheme="majorHAnsi" w:hAnsiTheme="majorHAnsi"/>
          <w:sz w:val="16"/>
          <w:szCs w:val="16"/>
          <w:lang w:val="es-BO"/>
        </w:rPr>
        <w:t xml:space="preserve"> CIDH, Informe Nº 55/13. Petición 375-07. Admisibilidad. Spencer </w:t>
      </w:r>
      <w:proofErr w:type="spellStart"/>
      <w:r w:rsidRPr="00055D26">
        <w:rPr>
          <w:rFonts w:asciiTheme="majorHAnsi" w:hAnsiTheme="majorHAnsi"/>
          <w:sz w:val="16"/>
          <w:szCs w:val="16"/>
          <w:lang w:val="es-BO"/>
        </w:rPr>
        <w:t>Friend</w:t>
      </w:r>
      <w:proofErr w:type="spellEnd"/>
      <w:r w:rsidRPr="00055D26">
        <w:rPr>
          <w:rFonts w:asciiTheme="majorHAnsi" w:hAnsiTheme="majorHAnsi"/>
          <w:sz w:val="16"/>
          <w:szCs w:val="16"/>
          <w:lang w:val="es-BO"/>
        </w:rPr>
        <w:t xml:space="preserve"> </w:t>
      </w:r>
      <w:proofErr w:type="spellStart"/>
      <w:r w:rsidRPr="00055D26">
        <w:rPr>
          <w:rFonts w:asciiTheme="majorHAnsi" w:hAnsiTheme="majorHAnsi"/>
          <w:sz w:val="16"/>
          <w:szCs w:val="16"/>
          <w:lang w:val="es-BO"/>
        </w:rPr>
        <w:t>Montehermoso</w:t>
      </w:r>
      <w:proofErr w:type="spellEnd"/>
      <w:r w:rsidRPr="00055D26">
        <w:rPr>
          <w:rFonts w:asciiTheme="majorHAnsi" w:hAnsiTheme="majorHAnsi"/>
          <w:sz w:val="16"/>
          <w:szCs w:val="16"/>
          <w:lang w:val="es-BO"/>
        </w:rPr>
        <w:t xml:space="preserve"> y otros. Guatemala. 16 de julio de 2013, párr. 31.</w:t>
      </w:r>
    </w:p>
  </w:footnote>
  <w:footnote w:id="6">
    <w:p w:rsidR="008C211D" w:rsidRPr="00055D26" w:rsidRDefault="008C211D" w:rsidP="008C211D">
      <w:pPr>
        <w:pStyle w:val="FootnoteText"/>
        <w:ind w:firstLine="720"/>
        <w:jc w:val="both"/>
        <w:rPr>
          <w:rFonts w:asciiTheme="majorHAnsi" w:hAnsiTheme="majorHAnsi"/>
          <w:sz w:val="16"/>
          <w:szCs w:val="16"/>
          <w:lang w:val="es-BO"/>
        </w:rPr>
      </w:pPr>
      <w:r w:rsidRPr="00055D26">
        <w:rPr>
          <w:rStyle w:val="FootnoteReference"/>
          <w:rFonts w:asciiTheme="majorHAnsi" w:hAnsiTheme="majorHAnsi"/>
          <w:sz w:val="16"/>
          <w:szCs w:val="16"/>
        </w:rPr>
        <w:footnoteRef/>
      </w:r>
      <w:r w:rsidRPr="00055D26">
        <w:rPr>
          <w:rFonts w:asciiTheme="majorHAnsi" w:hAnsiTheme="majorHAnsi"/>
          <w:sz w:val="16"/>
          <w:szCs w:val="16"/>
          <w:lang w:val="es-BO"/>
        </w:rPr>
        <w:t xml:space="preserve"> CIDH, Informe Nº 72/16. Petición 694-06. Admisibilidad. Onofre Antonio de La Hoz Montero y Familia. Colombia. 6 de diciembre de 2016,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016E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48" w:rsidRDefault="00830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42A"/>
    <w:rsid w:val="000254DC"/>
    <w:rsid w:val="000337EF"/>
    <w:rsid w:val="00040C3A"/>
    <w:rsid w:val="000419AD"/>
    <w:rsid w:val="000433C9"/>
    <w:rsid w:val="00043456"/>
    <w:rsid w:val="000716C5"/>
    <w:rsid w:val="00075E23"/>
    <w:rsid w:val="0009344A"/>
    <w:rsid w:val="000A392E"/>
    <w:rsid w:val="000A575F"/>
    <w:rsid w:val="000B0133"/>
    <w:rsid w:val="000D10DB"/>
    <w:rsid w:val="000E5EB5"/>
    <w:rsid w:val="000F35ED"/>
    <w:rsid w:val="001013E3"/>
    <w:rsid w:val="001028ED"/>
    <w:rsid w:val="00107131"/>
    <w:rsid w:val="0010736F"/>
    <w:rsid w:val="00113F73"/>
    <w:rsid w:val="00116ED4"/>
    <w:rsid w:val="00120FAE"/>
    <w:rsid w:val="00121CC2"/>
    <w:rsid w:val="00133EE5"/>
    <w:rsid w:val="0015163B"/>
    <w:rsid w:val="00154EB1"/>
    <w:rsid w:val="00167A34"/>
    <w:rsid w:val="00173325"/>
    <w:rsid w:val="001838CB"/>
    <w:rsid w:val="00183DCB"/>
    <w:rsid w:val="001928F5"/>
    <w:rsid w:val="001A7870"/>
    <w:rsid w:val="001B3A00"/>
    <w:rsid w:val="001C1B41"/>
    <w:rsid w:val="001D65EF"/>
    <w:rsid w:val="001E49E7"/>
    <w:rsid w:val="001E56F7"/>
    <w:rsid w:val="001F7201"/>
    <w:rsid w:val="002016E2"/>
    <w:rsid w:val="00210E51"/>
    <w:rsid w:val="00223A29"/>
    <w:rsid w:val="002250A3"/>
    <w:rsid w:val="00225469"/>
    <w:rsid w:val="00235217"/>
    <w:rsid w:val="00236D49"/>
    <w:rsid w:val="002430B1"/>
    <w:rsid w:val="00245230"/>
    <w:rsid w:val="00246D1F"/>
    <w:rsid w:val="00247403"/>
    <w:rsid w:val="00247542"/>
    <w:rsid w:val="00266B61"/>
    <w:rsid w:val="0026712A"/>
    <w:rsid w:val="002704DB"/>
    <w:rsid w:val="0027391A"/>
    <w:rsid w:val="002A0AAE"/>
    <w:rsid w:val="002A5820"/>
    <w:rsid w:val="002B716D"/>
    <w:rsid w:val="002D2B26"/>
    <w:rsid w:val="002D7EA2"/>
    <w:rsid w:val="002E187C"/>
    <w:rsid w:val="003022DC"/>
    <w:rsid w:val="00302733"/>
    <w:rsid w:val="0030615A"/>
    <w:rsid w:val="00312E25"/>
    <w:rsid w:val="00314078"/>
    <w:rsid w:val="0031535D"/>
    <w:rsid w:val="003239B8"/>
    <w:rsid w:val="00330237"/>
    <w:rsid w:val="0033169F"/>
    <w:rsid w:val="00344977"/>
    <w:rsid w:val="00346C95"/>
    <w:rsid w:val="00356185"/>
    <w:rsid w:val="00360380"/>
    <w:rsid w:val="0037519E"/>
    <w:rsid w:val="00380896"/>
    <w:rsid w:val="00386CF0"/>
    <w:rsid w:val="003961BC"/>
    <w:rsid w:val="003A3522"/>
    <w:rsid w:val="003B70FB"/>
    <w:rsid w:val="003C676B"/>
    <w:rsid w:val="003D3BC2"/>
    <w:rsid w:val="003E6CA1"/>
    <w:rsid w:val="004061A8"/>
    <w:rsid w:val="004065A8"/>
    <w:rsid w:val="004165C2"/>
    <w:rsid w:val="004217C1"/>
    <w:rsid w:val="00441ECB"/>
    <w:rsid w:val="00445193"/>
    <w:rsid w:val="00461819"/>
    <w:rsid w:val="00462C1B"/>
    <w:rsid w:val="00467B7E"/>
    <w:rsid w:val="00473BB4"/>
    <w:rsid w:val="00477592"/>
    <w:rsid w:val="00486F1C"/>
    <w:rsid w:val="0049419D"/>
    <w:rsid w:val="004A6A54"/>
    <w:rsid w:val="004C20D2"/>
    <w:rsid w:val="004C2312"/>
    <w:rsid w:val="004C43B1"/>
    <w:rsid w:val="004C4B62"/>
    <w:rsid w:val="004C54C9"/>
    <w:rsid w:val="004D24AC"/>
    <w:rsid w:val="004D4ABA"/>
    <w:rsid w:val="004D6025"/>
    <w:rsid w:val="004E1591"/>
    <w:rsid w:val="004E2649"/>
    <w:rsid w:val="00501399"/>
    <w:rsid w:val="00501533"/>
    <w:rsid w:val="0050633D"/>
    <w:rsid w:val="0050704B"/>
    <w:rsid w:val="00507BC4"/>
    <w:rsid w:val="005128E4"/>
    <w:rsid w:val="005133DB"/>
    <w:rsid w:val="00525560"/>
    <w:rsid w:val="00544C49"/>
    <w:rsid w:val="005516A1"/>
    <w:rsid w:val="00563557"/>
    <w:rsid w:val="0057402A"/>
    <w:rsid w:val="005771D0"/>
    <w:rsid w:val="0059191A"/>
    <w:rsid w:val="005921FF"/>
    <w:rsid w:val="0059652D"/>
    <w:rsid w:val="005A24ED"/>
    <w:rsid w:val="005A6D0E"/>
    <w:rsid w:val="005A774C"/>
    <w:rsid w:val="005B4B00"/>
    <w:rsid w:val="005B52B0"/>
    <w:rsid w:val="005B6806"/>
    <w:rsid w:val="005C4225"/>
    <w:rsid w:val="005E529E"/>
    <w:rsid w:val="005F0DAD"/>
    <w:rsid w:val="005F0F33"/>
    <w:rsid w:val="00600DEB"/>
    <w:rsid w:val="00627C9F"/>
    <w:rsid w:val="006311E9"/>
    <w:rsid w:val="00632354"/>
    <w:rsid w:val="00635508"/>
    <w:rsid w:val="00642810"/>
    <w:rsid w:val="006430B6"/>
    <w:rsid w:val="00644EBB"/>
    <w:rsid w:val="00652333"/>
    <w:rsid w:val="00664322"/>
    <w:rsid w:val="0068009E"/>
    <w:rsid w:val="00692219"/>
    <w:rsid w:val="006A17D2"/>
    <w:rsid w:val="006A3725"/>
    <w:rsid w:val="006A73E6"/>
    <w:rsid w:val="006B2D5C"/>
    <w:rsid w:val="006C4EB1"/>
    <w:rsid w:val="006D33E2"/>
    <w:rsid w:val="006E0166"/>
    <w:rsid w:val="006E7B34"/>
    <w:rsid w:val="006F31AB"/>
    <w:rsid w:val="0070697F"/>
    <w:rsid w:val="0072199C"/>
    <w:rsid w:val="00722C9F"/>
    <w:rsid w:val="007253B8"/>
    <w:rsid w:val="00735008"/>
    <w:rsid w:val="0073741F"/>
    <w:rsid w:val="00747807"/>
    <w:rsid w:val="0076643F"/>
    <w:rsid w:val="00777F63"/>
    <w:rsid w:val="00782758"/>
    <w:rsid w:val="007945AE"/>
    <w:rsid w:val="007A3D9B"/>
    <w:rsid w:val="007A5817"/>
    <w:rsid w:val="007A7787"/>
    <w:rsid w:val="007B05C4"/>
    <w:rsid w:val="007B60E9"/>
    <w:rsid w:val="007B6CC3"/>
    <w:rsid w:val="007B76D3"/>
    <w:rsid w:val="007C3334"/>
    <w:rsid w:val="007C4351"/>
    <w:rsid w:val="007D2B98"/>
    <w:rsid w:val="007D49BF"/>
    <w:rsid w:val="007E21BC"/>
    <w:rsid w:val="007E7C82"/>
    <w:rsid w:val="007F588D"/>
    <w:rsid w:val="00803F1C"/>
    <w:rsid w:val="0080600E"/>
    <w:rsid w:val="00817612"/>
    <w:rsid w:val="00830E48"/>
    <w:rsid w:val="008338A4"/>
    <w:rsid w:val="00834670"/>
    <w:rsid w:val="00834D49"/>
    <w:rsid w:val="00837C45"/>
    <w:rsid w:val="00840504"/>
    <w:rsid w:val="00844730"/>
    <w:rsid w:val="008457C2"/>
    <w:rsid w:val="00857A82"/>
    <w:rsid w:val="0087192A"/>
    <w:rsid w:val="00873836"/>
    <w:rsid w:val="008750E4"/>
    <w:rsid w:val="00885737"/>
    <w:rsid w:val="00890650"/>
    <w:rsid w:val="00897E12"/>
    <w:rsid w:val="008A7E0F"/>
    <w:rsid w:val="008B12F5"/>
    <w:rsid w:val="008C211D"/>
    <w:rsid w:val="008C47A0"/>
    <w:rsid w:val="008C4882"/>
    <w:rsid w:val="008D768D"/>
    <w:rsid w:val="008E3759"/>
    <w:rsid w:val="008E3BFE"/>
    <w:rsid w:val="008F1912"/>
    <w:rsid w:val="0090270B"/>
    <w:rsid w:val="009041DC"/>
    <w:rsid w:val="00917B5A"/>
    <w:rsid w:val="00920A58"/>
    <w:rsid w:val="00920A8C"/>
    <w:rsid w:val="00934A20"/>
    <w:rsid w:val="00934A2C"/>
    <w:rsid w:val="00936A16"/>
    <w:rsid w:val="00947BBF"/>
    <w:rsid w:val="0096706E"/>
    <w:rsid w:val="00974491"/>
    <w:rsid w:val="00975C4E"/>
    <w:rsid w:val="00981FBA"/>
    <w:rsid w:val="00997BC5"/>
    <w:rsid w:val="009A4F41"/>
    <w:rsid w:val="009A523A"/>
    <w:rsid w:val="009B381B"/>
    <w:rsid w:val="009C5BBB"/>
    <w:rsid w:val="009D0EFD"/>
    <w:rsid w:val="009D1753"/>
    <w:rsid w:val="009D3876"/>
    <w:rsid w:val="009D7611"/>
    <w:rsid w:val="009E0B61"/>
    <w:rsid w:val="009E4713"/>
    <w:rsid w:val="009E53DE"/>
    <w:rsid w:val="009F1D56"/>
    <w:rsid w:val="009F5A0B"/>
    <w:rsid w:val="00A11E44"/>
    <w:rsid w:val="00A1439F"/>
    <w:rsid w:val="00A23FD8"/>
    <w:rsid w:val="00A328B3"/>
    <w:rsid w:val="00A50FCF"/>
    <w:rsid w:val="00A513F5"/>
    <w:rsid w:val="00A528D1"/>
    <w:rsid w:val="00A539DC"/>
    <w:rsid w:val="00A610CD"/>
    <w:rsid w:val="00A758AA"/>
    <w:rsid w:val="00A866B6"/>
    <w:rsid w:val="00AA09A2"/>
    <w:rsid w:val="00AA7996"/>
    <w:rsid w:val="00AC19CB"/>
    <w:rsid w:val="00AC69DF"/>
    <w:rsid w:val="00AE5488"/>
    <w:rsid w:val="00AE6F91"/>
    <w:rsid w:val="00AF37D5"/>
    <w:rsid w:val="00AF5571"/>
    <w:rsid w:val="00B05225"/>
    <w:rsid w:val="00B0706E"/>
    <w:rsid w:val="00B072D3"/>
    <w:rsid w:val="00B07341"/>
    <w:rsid w:val="00B16039"/>
    <w:rsid w:val="00B30539"/>
    <w:rsid w:val="00B314DB"/>
    <w:rsid w:val="00B361F2"/>
    <w:rsid w:val="00B3718B"/>
    <w:rsid w:val="00B4632A"/>
    <w:rsid w:val="00B530F1"/>
    <w:rsid w:val="00B62C97"/>
    <w:rsid w:val="00BA276C"/>
    <w:rsid w:val="00BB306F"/>
    <w:rsid w:val="00BB3B19"/>
    <w:rsid w:val="00BD4B89"/>
    <w:rsid w:val="00BD5922"/>
    <w:rsid w:val="00BF02CB"/>
    <w:rsid w:val="00BF6FD8"/>
    <w:rsid w:val="00C03680"/>
    <w:rsid w:val="00C054DF"/>
    <w:rsid w:val="00C21762"/>
    <w:rsid w:val="00C21FEF"/>
    <w:rsid w:val="00C24543"/>
    <w:rsid w:val="00C256A2"/>
    <w:rsid w:val="00C40786"/>
    <w:rsid w:val="00C446A1"/>
    <w:rsid w:val="00C51515"/>
    <w:rsid w:val="00C5660B"/>
    <w:rsid w:val="00C66B72"/>
    <w:rsid w:val="00C80751"/>
    <w:rsid w:val="00C84A8B"/>
    <w:rsid w:val="00C87AC4"/>
    <w:rsid w:val="00C9567A"/>
    <w:rsid w:val="00CB212D"/>
    <w:rsid w:val="00CB2660"/>
    <w:rsid w:val="00CB5521"/>
    <w:rsid w:val="00CC5E90"/>
    <w:rsid w:val="00CD046C"/>
    <w:rsid w:val="00CE076C"/>
    <w:rsid w:val="00CE469C"/>
    <w:rsid w:val="00CE5199"/>
    <w:rsid w:val="00CE66D5"/>
    <w:rsid w:val="00CE6946"/>
    <w:rsid w:val="00CF637A"/>
    <w:rsid w:val="00D059DE"/>
    <w:rsid w:val="00D05ABD"/>
    <w:rsid w:val="00D13FCE"/>
    <w:rsid w:val="00D306D1"/>
    <w:rsid w:val="00D30800"/>
    <w:rsid w:val="00D3146E"/>
    <w:rsid w:val="00D34786"/>
    <w:rsid w:val="00D37BFC"/>
    <w:rsid w:val="00D46703"/>
    <w:rsid w:val="00D47A8E"/>
    <w:rsid w:val="00D52D14"/>
    <w:rsid w:val="00D712D3"/>
    <w:rsid w:val="00D71422"/>
    <w:rsid w:val="00D72DC6"/>
    <w:rsid w:val="00D7558D"/>
    <w:rsid w:val="00D81D92"/>
    <w:rsid w:val="00D833A2"/>
    <w:rsid w:val="00D85810"/>
    <w:rsid w:val="00D876F9"/>
    <w:rsid w:val="00DA7B5F"/>
    <w:rsid w:val="00DC11E7"/>
    <w:rsid w:val="00DC7023"/>
    <w:rsid w:val="00DC769A"/>
    <w:rsid w:val="00DD3D86"/>
    <w:rsid w:val="00DD4AD2"/>
    <w:rsid w:val="00DF1EC4"/>
    <w:rsid w:val="00DF39BB"/>
    <w:rsid w:val="00DF5B66"/>
    <w:rsid w:val="00E0340B"/>
    <w:rsid w:val="00E04A90"/>
    <w:rsid w:val="00E0551F"/>
    <w:rsid w:val="00E219C7"/>
    <w:rsid w:val="00E4118C"/>
    <w:rsid w:val="00E43157"/>
    <w:rsid w:val="00E461CE"/>
    <w:rsid w:val="00E5635D"/>
    <w:rsid w:val="00E6139A"/>
    <w:rsid w:val="00E720CA"/>
    <w:rsid w:val="00E7655A"/>
    <w:rsid w:val="00E84EB5"/>
    <w:rsid w:val="00E85662"/>
    <w:rsid w:val="00E8789F"/>
    <w:rsid w:val="00E97B71"/>
    <w:rsid w:val="00EA263E"/>
    <w:rsid w:val="00EA3D34"/>
    <w:rsid w:val="00EA5F55"/>
    <w:rsid w:val="00EB454D"/>
    <w:rsid w:val="00ED549D"/>
    <w:rsid w:val="00ED76BE"/>
    <w:rsid w:val="00EE00E9"/>
    <w:rsid w:val="00EF619B"/>
    <w:rsid w:val="00F00B55"/>
    <w:rsid w:val="00F02AD1"/>
    <w:rsid w:val="00F253CC"/>
    <w:rsid w:val="00F35678"/>
    <w:rsid w:val="00F37106"/>
    <w:rsid w:val="00F519CF"/>
    <w:rsid w:val="00F56BA5"/>
    <w:rsid w:val="00F60E22"/>
    <w:rsid w:val="00F81395"/>
    <w:rsid w:val="00F81BB8"/>
    <w:rsid w:val="00F853FF"/>
    <w:rsid w:val="00F903D4"/>
    <w:rsid w:val="00F917D1"/>
    <w:rsid w:val="00F9653B"/>
    <w:rsid w:val="00FB0408"/>
    <w:rsid w:val="00FB62CF"/>
    <w:rsid w:val="00FD3C3B"/>
    <w:rsid w:val="00FE07DD"/>
    <w:rsid w:val="00FE61D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DCB"/>
    <w:rPr>
      <w:sz w:val="16"/>
      <w:szCs w:val="16"/>
    </w:rPr>
  </w:style>
  <w:style w:type="paragraph" w:styleId="CommentText">
    <w:name w:val="annotation text"/>
    <w:basedOn w:val="Normal"/>
    <w:link w:val="CommentTextChar"/>
    <w:uiPriority w:val="99"/>
    <w:semiHidden/>
    <w:unhideWhenUsed/>
    <w:rsid w:val="00183DCB"/>
    <w:rPr>
      <w:sz w:val="20"/>
      <w:szCs w:val="20"/>
    </w:rPr>
  </w:style>
  <w:style w:type="character" w:customStyle="1" w:styleId="CommentTextChar">
    <w:name w:val="Comment Text Char"/>
    <w:basedOn w:val="DefaultParagraphFont"/>
    <w:link w:val="CommentText"/>
    <w:uiPriority w:val="99"/>
    <w:semiHidden/>
    <w:rsid w:val="00183DCB"/>
    <w:rPr>
      <w:lang w:val="en-US" w:eastAsia="en-US"/>
    </w:rPr>
  </w:style>
  <w:style w:type="paragraph" w:styleId="CommentSubject">
    <w:name w:val="annotation subject"/>
    <w:basedOn w:val="CommentText"/>
    <w:next w:val="CommentText"/>
    <w:link w:val="CommentSubjectChar"/>
    <w:uiPriority w:val="99"/>
    <w:semiHidden/>
    <w:unhideWhenUsed/>
    <w:rsid w:val="00183DCB"/>
    <w:rPr>
      <w:b/>
      <w:bCs/>
    </w:rPr>
  </w:style>
  <w:style w:type="character" w:customStyle="1" w:styleId="CommentSubjectChar">
    <w:name w:val="Comment Subject Char"/>
    <w:basedOn w:val="CommentTextChar"/>
    <w:link w:val="CommentSubject"/>
    <w:uiPriority w:val="99"/>
    <w:semiHidden/>
    <w:rsid w:val="00183DCB"/>
    <w:rPr>
      <w:b/>
      <w:bCs/>
      <w:lang w:val="en-US" w:eastAsia="en-US"/>
    </w:rPr>
  </w:style>
  <w:style w:type="paragraph" w:styleId="Revision">
    <w:name w:val="Revision"/>
    <w:hidden/>
    <w:uiPriority w:val="99"/>
    <w:semiHidden/>
    <w:rsid w:val="00183D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4530"/>
    <w:rsid w:val="000A2A3D"/>
    <w:rsid w:val="00200821"/>
    <w:rsid w:val="002573D2"/>
    <w:rsid w:val="00393C87"/>
    <w:rsid w:val="00394049"/>
    <w:rsid w:val="004F2DF8"/>
    <w:rsid w:val="005447CF"/>
    <w:rsid w:val="006C7821"/>
    <w:rsid w:val="007915C7"/>
    <w:rsid w:val="0082782A"/>
    <w:rsid w:val="009A261B"/>
    <w:rsid w:val="00AC15A4"/>
    <w:rsid w:val="00B0336C"/>
    <w:rsid w:val="00B3570A"/>
    <w:rsid w:val="00B6650D"/>
    <w:rsid w:val="00D50B1E"/>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AA5B-B3CE-4140-A94E-C7DFF61D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12545</Characters>
  <Application>Microsoft Office Word</Application>
  <DocSecurity>0</DocSecurity>
  <Lines>261</Lines>
  <Paragraphs>82</Paragraphs>
  <ScaleCrop>false</ScaleCrop>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81/18</dc:title>
  <dc:creator/>
  <cp:lastModifiedBy/>
  <cp:revision>1</cp:revision>
  <dcterms:created xsi:type="dcterms:W3CDTF">2018-09-14T19:07:00Z</dcterms:created>
  <dcterms:modified xsi:type="dcterms:W3CDTF">2018-09-14T19:08:00Z</dcterms:modified>
</cp:coreProperties>
</file>