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213F85" w:rsidRDefault="00D306D1" w:rsidP="00213F85">
      <w:pPr>
        <w:jc w:val="both"/>
        <w:rPr>
          <w:rFonts w:asciiTheme="majorHAnsi" w:hAnsiTheme="majorHAnsi" w:cs="Univers"/>
          <w:b/>
          <w:bCs/>
          <w:sz w:val="22"/>
          <w:szCs w:val="22"/>
          <w:lang w:val="es-ES_tradnl"/>
        </w:rPr>
      </w:pPr>
      <w:bookmarkStart w:id="0" w:name="_GoBack"/>
      <w:bookmarkEnd w:id="0"/>
      <w:r w:rsidRPr="00213F8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D0A2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13F8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BB0D26" w:rsidRDefault="00BB0D2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BB0D26" w:rsidRDefault="00BB0D2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213F85" w:rsidRDefault="00040C3A" w:rsidP="00213F85">
      <w:pPr>
        <w:tabs>
          <w:tab w:val="center" w:pos="5400"/>
        </w:tabs>
        <w:suppressAutoHyphens/>
        <w:jc w:val="both"/>
        <w:rPr>
          <w:rFonts w:asciiTheme="majorHAnsi" w:hAnsiTheme="majorHAnsi"/>
          <w:sz w:val="22"/>
          <w:szCs w:val="22"/>
          <w:lang w:val="es-ES"/>
        </w:rPr>
      </w:pPr>
    </w:p>
    <w:p w14:paraId="5A87E141" w14:textId="77777777" w:rsidR="00040C3A" w:rsidRPr="00213F85" w:rsidRDefault="00040C3A" w:rsidP="00213F85">
      <w:pPr>
        <w:tabs>
          <w:tab w:val="center" w:pos="5400"/>
        </w:tabs>
        <w:suppressAutoHyphens/>
        <w:jc w:val="both"/>
        <w:rPr>
          <w:rFonts w:asciiTheme="majorHAnsi" w:hAnsiTheme="majorHAnsi"/>
          <w:sz w:val="22"/>
          <w:szCs w:val="22"/>
          <w:lang w:val="es-ES"/>
        </w:rPr>
      </w:pPr>
    </w:p>
    <w:p w14:paraId="29D95BCC" w14:textId="77777777" w:rsidR="005128E4" w:rsidRPr="00213F85" w:rsidRDefault="005128E4" w:rsidP="00213F85">
      <w:pPr>
        <w:tabs>
          <w:tab w:val="center" w:pos="5400"/>
        </w:tabs>
        <w:suppressAutoHyphens/>
        <w:rPr>
          <w:rFonts w:asciiTheme="majorHAnsi" w:hAnsiTheme="majorHAnsi"/>
          <w:sz w:val="22"/>
          <w:szCs w:val="22"/>
          <w:lang w:val="es-ES_tradnl"/>
        </w:rPr>
      </w:pPr>
    </w:p>
    <w:p w14:paraId="12A36B24" w14:textId="77777777" w:rsidR="005128E4" w:rsidRPr="00213F85" w:rsidRDefault="005128E4" w:rsidP="00213F85">
      <w:pPr>
        <w:tabs>
          <w:tab w:val="center" w:pos="5400"/>
        </w:tabs>
        <w:suppressAutoHyphens/>
        <w:rPr>
          <w:rFonts w:asciiTheme="majorHAnsi" w:hAnsiTheme="majorHAnsi"/>
          <w:sz w:val="22"/>
          <w:szCs w:val="22"/>
          <w:lang w:val="es-ES_tradnl"/>
        </w:rPr>
      </w:pPr>
    </w:p>
    <w:p w14:paraId="2252093D" w14:textId="77777777" w:rsidR="005128E4" w:rsidRPr="00213F85" w:rsidRDefault="005128E4" w:rsidP="00213F85">
      <w:pPr>
        <w:tabs>
          <w:tab w:val="center" w:pos="5400"/>
        </w:tabs>
        <w:suppressAutoHyphens/>
        <w:rPr>
          <w:rFonts w:asciiTheme="majorHAnsi" w:hAnsiTheme="majorHAnsi"/>
          <w:sz w:val="22"/>
          <w:szCs w:val="22"/>
          <w:lang w:val="es-ES_tradnl"/>
        </w:rPr>
      </w:pPr>
    </w:p>
    <w:p w14:paraId="403935BD"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6DCF5F8F"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4791F13A" w14:textId="77777777" w:rsidR="005B52B0" w:rsidRPr="00213F85" w:rsidRDefault="005B52B0" w:rsidP="00213F85">
      <w:pPr>
        <w:tabs>
          <w:tab w:val="center" w:pos="5400"/>
        </w:tabs>
        <w:suppressAutoHyphens/>
        <w:jc w:val="center"/>
        <w:rPr>
          <w:rFonts w:asciiTheme="majorHAnsi" w:hAnsiTheme="majorHAnsi"/>
          <w:sz w:val="22"/>
          <w:szCs w:val="22"/>
          <w:lang w:val="es-ES_tradnl"/>
        </w:rPr>
      </w:pPr>
    </w:p>
    <w:p w14:paraId="44E016B6" w14:textId="77777777" w:rsidR="005B52B0" w:rsidRPr="00213F85" w:rsidRDefault="005B52B0" w:rsidP="00213F85">
      <w:pPr>
        <w:tabs>
          <w:tab w:val="center" w:pos="5400"/>
        </w:tabs>
        <w:suppressAutoHyphens/>
        <w:jc w:val="center"/>
        <w:rPr>
          <w:rFonts w:asciiTheme="majorHAnsi" w:hAnsiTheme="majorHAnsi"/>
          <w:sz w:val="22"/>
          <w:szCs w:val="22"/>
          <w:lang w:val="es-ES_tradnl"/>
        </w:rPr>
      </w:pPr>
    </w:p>
    <w:p w14:paraId="63D41962" w14:textId="77777777" w:rsidR="005B52B0" w:rsidRPr="00213F85" w:rsidRDefault="005B52B0" w:rsidP="00213F85">
      <w:pPr>
        <w:tabs>
          <w:tab w:val="center" w:pos="5400"/>
        </w:tabs>
        <w:suppressAutoHyphens/>
        <w:jc w:val="center"/>
        <w:rPr>
          <w:rFonts w:asciiTheme="majorHAnsi" w:hAnsiTheme="majorHAnsi"/>
          <w:sz w:val="22"/>
          <w:szCs w:val="22"/>
          <w:lang w:val="es-ES_tradnl"/>
        </w:rPr>
      </w:pPr>
    </w:p>
    <w:p w14:paraId="5ADEB990"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2D81B7E8"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64791D04" w14:textId="77777777" w:rsidR="00040C3A" w:rsidRPr="00213F85" w:rsidRDefault="003D3BC2" w:rsidP="00213F85">
      <w:pPr>
        <w:tabs>
          <w:tab w:val="center" w:pos="5400"/>
        </w:tabs>
        <w:suppressAutoHyphens/>
        <w:jc w:val="center"/>
        <w:rPr>
          <w:rFonts w:asciiTheme="majorHAnsi" w:hAnsiTheme="majorHAnsi"/>
          <w:sz w:val="22"/>
          <w:szCs w:val="22"/>
          <w:lang w:val="es-ES_tradnl"/>
        </w:rPr>
      </w:pPr>
      <w:r w:rsidRPr="00213F8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8341418" w:rsidR="00BB0D26" w:rsidRPr="004E2649" w:rsidRDefault="00BB0D2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F1FAE">
                              <w:rPr>
                                <w:rFonts w:asciiTheme="majorHAnsi" w:hAnsiTheme="majorHAnsi" w:cs="Arial"/>
                                <w:b/>
                                <w:bCs/>
                                <w:color w:val="0D0D0D" w:themeColor="text1" w:themeTint="F2"/>
                                <w:sz w:val="36"/>
                                <w:szCs w:val="22"/>
                                <w:lang w:val="es-ES_tradnl"/>
                              </w:rPr>
                              <w:t>75</w:t>
                            </w:r>
                            <w:r>
                              <w:rPr>
                                <w:rFonts w:asciiTheme="majorHAnsi" w:hAnsiTheme="majorHAnsi" w:cs="Arial"/>
                                <w:b/>
                                <w:bCs/>
                                <w:color w:val="0D0D0D" w:themeColor="text1" w:themeTint="F2"/>
                                <w:sz w:val="36"/>
                                <w:szCs w:val="22"/>
                                <w:lang w:val="es-ES_tradnl"/>
                              </w:rPr>
                              <w:t>/18</w:t>
                            </w:r>
                          </w:p>
                          <w:p w14:paraId="09C54AB3" w14:textId="00A1218D" w:rsidR="00BB0D26" w:rsidRDefault="00BB0D2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442-07</w:t>
                            </w:r>
                            <w:r w:rsidRPr="004E2649">
                              <w:rPr>
                                <w:rFonts w:asciiTheme="majorHAnsi" w:hAnsiTheme="majorHAnsi" w:cs="Arial"/>
                                <w:b/>
                                <w:color w:val="0D0D0D" w:themeColor="text1" w:themeTint="F2"/>
                                <w:sz w:val="36"/>
                                <w:szCs w:val="22"/>
                                <w:lang w:val="es-ES_tradnl"/>
                              </w:rPr>
                              <w:t xml:space="preserve"> </w:t>
                            </w:r>
                          </w:p>
                          <w:p w14:paraId="70CF6833" w14:textId="4090D080" w:rsidR="00BB0D26" w:rsidRPr="0010736F" w:rsidRDefault="00BB0D2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B0D26" w:rsidRPr="0010736F" w:rsidRDefault="00BB0D26"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EF28028" w14:textId="77777777" w:rsidR="00BB0D26" w:rsidRPr="00C744A6" w:rsidRDefault="001017FA" w:rsidP="00C744A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Arial"/>
                                <w:color w:val="0D0D0D" w:themeColor="text1" w:themeTint="F2"/>
                                <w:szCs w:val="22"/>
                                <w:bdr w:val="none" w:sz="0" w:space="0" w:color="auto"/>
                                <w:lang w:val="es-CO"/>
                              </w:rPr>
                            </w:pPr>
                            <w:sdt>
                              <w:sdtPr>
                                <w:rPr>
                                  <w:rFonts w:asciiTheme="majorHAnsi" w:hAnsiTheme="majorHAnsi" w:cs="Arial"/>
                                  <w:color w:val="0D0D0D" w:themeColor="text1" w:themeTint="F2"/>
                                  <w:szCs w:val="22"/>
                                  <w:bdr w:val="none" w:sz="0" w:space="0" w:color="auto"/>
                                  <w:lang w:val="es-ES_tradnl"/>
                                </w:rPr>
                                <w:alias w:val="NOMBRE (posiblemente seguido de &quot;y otros&quot; o &quot;y familia&quot;)"/>
                                <w:tag w:val="NOMBRE (posiblemente seguido de &quot;y otros&quot; o &quot;y familia&quot;)"/>
                                <w:id w:val="-1029095508"/>
                                <w:text/>
                              </w:sdtPr>
                              <w:sdtEndPr/>
                              <w:sdtContent>
                                <w:r w:rsidR="00BB0D26" w:rsidRPr="00C744A6">
                                  <w:rPr>
                                    <w:rFonts w:asciiTheme="majorHAnsi" w:hAnsiTheme="majorHAnsi" w:cs="Arial"/>
                                    <w:color w:val="0D0D0D" w:themeColor="text1" w:themeTint="F2"/>
                                    <w:szCs w:val="22"/>
                                    <w:bdr w:val="none" w:sz="0" w:space="0" w:color="auto"/>
                                    <w:lang w:val="es-ES_tradnl"/>
                                  </w:rPr>
                                  <w:t>JOSÉ HUMBERTO GÓMEZ HERRERA Y OTROS</w:t>
                                </w:r>
                              </w:sdtContent>
                            </w:sdt>
                          </w:p>
                          <w:p w14:paraId="082B487D" w14:textId="77777777" w:rsidR="00BB0D26" w:rsidRPr="00C744A6" w:rsidRDefault="001017FA" w:rsidP="00C744A6">
                            <w:pPr>
                              <w:pBdr>
                                <w:top w:val="none" w:sz="0" w:space="0" w:color="auto"/>
                                <w:left w:val="none" w:sz="0" w:space="0" w:color="auto"/>
                                <w:bottom w:val="none" w:sz="0" w:space="0" w:color="auto"/>
                                <w:right w:val="none" w:sz="0" w:space="0" w:color="auto"/>
                                <w:between w:val="none" w:sz="0" w:space="0" w:color="auto"/>
                                <w:bar w:val="none" w:sz="0" w:color="auto"/>
                              </w:pBdr>
                              <w:rPr>
                                <w:color w:val="0D0D0D" w:themeColor="text1" w:themeTint="F2"/>
                                <w:bdr w:val="none" w:sz="0" w:space="0" w:color="auto"/>
                                <w:lang w:val="es-ES_tradnl"/>
                              </w:rPr>
                            </w:pPr>
                            <w:sdt>
                              <w:sdtPr>
                                <w:rPr>
                                  <w:rFonts w:asciiTheme="majorHAnsi" w:hAnsiTheme="majorHAnsi" w:cs="Arial"/>
                                  <w:bCs/>
                                  <w:color w:val="0D0D0D" w:themeColor="text1" w:themeTint="F2"/>
                                  <w:szCs w:val="22"/>
                                  <w:bdr w:val="none" w:sz="0" w:space="0" w:color="auto"/>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B0D26" w:rsidRPr="00C744A6">
                                  <w:rPr>
                                    <w:rFonts w:asciiTheme="majorHAnsi" w:hAnsiTheme="majorHAnsi" w:cs="Arial"/>
                                    <w:bCs/>
                                    <w:color w:val="0D0D0D" w:themeColor="text1" w:themeTint="F2"/>
                                    <w:szCs w:val="22"/>
                                    <w:bdr w:val="none" w:sz="0" w:space="0" w:color="auto"/>
                                    <w:lang w:val="es-ES"/>
                                  </w:rPr>
                                  <w:t>COLOMBIA</w:t>
                                </w:r>
                              </w:sdtContent>
                            </w:sdt>
                          </w:p>
                          <w:p w14:paraId="575DFD52" w14:textId="77777777" w:rsidR="00BB0D26" w:rsidRPr="00AE5488" w:rsidRDefault="00BB0D2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8341418" w:rsidR="00BB0D26" w:rsidRPr="004E2649" w:rsidRDefault="00BB0D2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F1FAE">
                        <w:rPr>
                          <w:rFonts w:asciiTheme="majorHAnsi" w:hAnsiTheme="majorHAnsi" w:cs="Arial"/>
                          <w:b/>
                          <w:bCs/>
                          <w:color w:val="0D0D0D" w:themeColor="text1" w:themeTint="F2"/>
                          <w:sz w:val="36"/>
                          <w:szCs w:val="22"/>
                          <w:lang w:val="es-ES_tradnl"/>
                        </w:rPr>
                        <w:t>75</w:t>
                      </w:r>
                      <w:r>
                        <w:rPr>
                          <w:rFonts w:asciiTheme="majorHAnsi" w:hAnsiTheme="majorHAnsi" w:cs="Arial"/>
                          <w:b/>
                          <w:bCs/>
                          <w:color w:val="0D0D0D" w:themeColor="text1" w:themeTint="F2"/>
                          <w:sz w:val="36"/>
                          <w:szCs w:val="22"/>
                          <w:lang w:val="es-ES_tradnl"/>
                        </w:rPr>
                        <w:t>/18</w:t>
                      </w:r>
                    </w:p>
                    <w:p w14:paraId="09C54AB3" w14:textId="00A1218D" w:rsidR="00BB0D26" w:rsidRDefault="00BB0D2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442-07</w:t>
                      </w:r>
                      <w:r w:rsidRPr="004E2649">
                        <w:rPr>
                          <w:rFonts w:asciiTheme="majorHAnsi" w:hAnsiTheme="majorHAnsi" w:cs="Arial"/>
                          <w:b/>
                          <w:color w:val="0D0D0D" w:themeColor="text1" w:themeTint="F2"/>
                          <w:sz w:val="36"/>
                          <w:szCs w:val="22"/>
                          <w:lang w:val="es-ES_tradnl"/>
                        </w:rPr>
                        <w:t xml:space="preserve"> </w:t>
                      </w:r>
                    </w:p>
                    <w:p w14:paraId="70CF6833" w14:textId="4090D080" w:rsidR="00BB0D26" w:rsidRPr="0010736F" w:rsidRDefault="00BB0D2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B0D26" w:rsidRPr="0010736F" w:rsidRDefault="00BB0D26" w:rsidP="00997BC5">
                      <w:pPr>
                        <w:spacing w:line="276" w:lineRule="auto"/>
                        <w:rPr>
                          <w:rFonts w:asciiTheme="majorHAnsi" w:hAnsiTheme="majorHAnsi" w:cs="Arial"/>
                          <w:color w:val="0D0D0D" w:themeColor="text1" w:themeTint="F2"/>
                          <w:szCs w:val="22"/>
                          <w:lang w:val="es-ES_tradnl"/>
                        </w:rPr>
                      </w:pPr>
                      <w:bookmarkStart w:id="2" w:name="_ftnref1"/>
                    </w:p>
                    <w:bookmarkEnd w:id="2"/>
                    <w:p w14:paraId="0EF28028" w14:textId="77777777" w:rsidR="00BB0D26" w:rsidRPr="00C744A6" w:rsidRDefault="001017FA" w:rsidP="00C744A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Arial"/>
                          <w:color w:val="0D0D0D" w:themeColor="text1" w:themeTint="F2"/>
                          <w:szCs w:val="22"/>
                          <w:bdr w:val="none" w:sz="0" w:space="0" w:color="auto"/>
                          <w:lang w:val="es-CO"/>
                        </w:rPr>
                      </w:pPr>
                      <w:sdt>
                        <w:sdtPr>
                          <w:rPr>
                            <w:rFonts w:asciiTheme="majorHAnsi" w:hAnsiTheme="majorHAnsi" w:cs="Arial"/>
                            <w:color w:val="0D0D0D" w:themeColor="text1" w:themeTint="F2"/>
                            <w:szCs w:val="22"/>
                            <w:bdr w:val="none" w:sz="0" w:space="0" w:color="auto"/>
                            <w:lang w:val="es-ES_tradnl"/>
                          </w:rPr>
                          <w:alias w:val="NOMBRE (posiblemente seguido de &quot;y otros&quot; o &quot;y familia&quot;)"/>
                          <w:tag w:val="NOMBRE (posiblemente seguido de &quot;y otros&quot; o &quot;y familia&quot;)"/>
                          <w:id w:val="-1029095508"/>
                          <w:text/>
                        </w:sdtPr>
                        <w:sdtEndPr/>
                        <w:sdtContent>
                          <w:r w:rsidR="00BB0D26" w:rsidRPr="00C744A6">
                            <w:rPr>
                              <w:rFonts w:asciiTheme="majorHAnsi" w:hAnsiTheme="majorHAnsi" w:cs="Arial"/>
                              <w:color w:val="0D0D0D" w:themeColor="text1" w:themeTint="F2"/>
                              <w:szCs w:val="22"/>
                              <w:bdr w:val="none" w:sz="0" w:space="0" w:color="auto"/>
                              <w:lang w:val="es-ES_tradnl"/>
                            </w:rPr>
                            <w:t>JOSÉ HUMBERTO GÓMEZ HERRERA Y OTROS</w:t>
                          </w:r>
                        </w:sdtContent>
                      </w:sdt>
                    </w:p>
                    <w:p w14:paraId="082B487D" w14:textId="77777777" w:rsidR="00BB0D26" w:rsidRPr="00C744A6" w:rsidRDefault="001017FA" w:rsidP="00C744A6">
                      <w:pPr>
                        <w:pBdr>
                          <w:top w:val="none" w:sz="0" w:space="0" w:color="auto"/>
                          <w:left w:val="none" w:sz="0" w:space="0" w:color="auto"/>
                          <w:bottom w:val="none" w:sz="0" w:space="0" w:color="auto"/>
                          <w:right w:val="none" w:sz="0" w:space="0" w:color="auto"/>
                          <w:between w:val="none" w:sz="0" w:space="0" w:color="auto"/>
                          <w:bar w:val="none" w:sz="0" w:color="auto"/>
                        </w:pBdr>
                        <w:rPr>
                          <w:color w:val="0D0D0D" w:themeColor="text1" w:themeTint="F2"/>
                          <w:bdr w:val="none" w:sz="0" w:space="0" w:color="auto"/>
                          <w:lang w:val="es-ES_tradnl"/>
                        </w:rPr>
                      </w:pPr>
                      <w:sdt>
                        <w:sdtPr>
                          <w:rPr>
                            <w:rFonts w:asciiTheme="majorHAnsi" w:hAnsiTheme="majorHAnsi" w:cs="Arial"/>
                            <w:bCs/>
                            <w:color w:val="0D0D0D" w:themeColor="text1" w:themeTint="F2"/>
                            <w:szCs w:val="22"/>
                            <w:bdr w:val="none" w:sz="0" w:space="0" w:color="auto"/>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B0D26" w:rsidRPr="00C744A6">
                            <w:rPr>
                              <w:rFonts w:asciiTheme="majorHAnsi" w:hAnsiTheme="majorHAnsi" w:cs="Arial"/>
                              <w:bCs/>
                              <w:color w:val="0D0D0D" w:themeColor="text1" w:themeTint="F2"/>
                              <w:szCs w:val="22"/>
                              <w:bdr w:val="none" w:sz="0" w:space="0" w:color="auto"/>
                              <w:lang w:val="es-ES"/>
                            </w:rPr>
                            <w:t>COLOMBIA</w:t>
                          </w:r>
                        </w:sdtContent>
                      </w:sdt>
                    </w:p>
                    <w:p w14:paraId="575DFD52" w14:textId="77777777" w:rsidR="00BB0D26" w:rsidRPr="00AE5488" w:rsidRDefault="00BB0D26" w:rsidP="007A5817">
                      <w:pPr>
                        <w:rPr>
                          <w:color w:val="0D0D0D" w:themeColor="text1" w:themeTint="F2"/>
                          <w:lang w:val="es-ES_tradnl"/>
                        </w:rPr>
                      </w:pPr>
                    </w:p>
                  </w:txbxContent>
                </v:textbox>
              </v:shape>
            </w:pict>
          </mc:Fallback>
        </mc:AlternateContent>
      </w:r>
      <w:r w:rsidR="004E2649" w:rsidRPr="00213F8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8BF988C" w:rsidR="00BB0D26" w:rsidRPr="004E2649" w:rsidRDefault="00BB0D2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6D2DE85" w:rsidR="00BB0D26" w:rsidRPr="004E2649" w:rsidRDefault="00BB0D2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F1FAE">
                              <w:rPr>
                                <w:rFonts w:asciiTheme="minorHAnsi" w:hAnsiTheme="minorHAnsi"/>
                                <w:color w:val="FFFFFF" w:themeColor="background1"/>
                                <w:sz w:val="22"/>
                                <w:lang w:val="pt-BR"/>
                              </w:rPr>
                              <w:t>87</w:t>
                            </w:r>
                          </w:p>
                          <w:p w14:paraId="69373ED2" w14:textId="7369A620" w:rsidR="00BB0D26" w:rsidRPr="004E2649" w:rsidRDefault="005F1FA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21 </w:t>
                            </w:r>
                            <w:proofErr w:type="spellStart"/>
                            <w:r>
                              <w:rPr>
                                <w:rFonts w:asciiTheme="minorHAnsi" w:hAnsiTheme="minorHAnsi"/>
                                <w:color w:val="FFFFFF" w:themeColor="background1"/>
                                <w:sz w:val="22"/>
                              </w:rPr>
                              <w:t>junio</w:t>
                            </w:r>
                            <w:proofErr w:type="spellEnd"/>
                            <w:r w:rsidR="00BB0D26" w:rsidRPr="004E2649">
                              <w:rPr>
                                <w:rFonts w:asciiTheme="minorHAnsi" w:hAnsiTheme="minorHAnsi"/>
                                <w:color w:val="FFFFFF" w:themeColor="background1"/>
                                <w:sz w:val="22"/>
                              </w:rPr>
                              <w:t xml:space="preserve"> 201</w:t>
                            </w:r>
                            <w:r w:rsidR="00BB0D26">
                              <w:rPr>
                                <w:rFonts w:asciiTheme="minorHAnsi" w:hAnsiTheme="minorHAnsi"/>
                                <w:color w:val="FFFFFF" w:themeColor="background1"/>
                                <w:sz w:val="22"/>
                              </w:rPr>
                              <w:t>8</w:t>
                            </w:r>
                          </w:p>
                          <w:p w14:paraId="0771DB5B" w14:textId="77777777" w:rsidR="00BB0D26" w:rsidRPr="004E2649" w:rsidRDefault="00BB0D2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8BF988C" w:rsidR="00BB0D26" w:rsidRPr="004E2649" w:rsidRDefault="00BB0D2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6D2DE85" w:rsidR="00BB0D26" w:rsidRPr="004E2649" w:rsidRDefault="00BB0D2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F1FAE">
                        <w:rPr>
                          <w:rFonts w:asciiTheme="minorHAnsi" w:hAnsiTheme="minorHAnsi"/>
                          <w:color w:val="FFFFFF" w:themeColor="background1"/>
                          <w:sz w:val="22"/>
                          <w:lang w:val="pt-BR"/>
                        </w:rPr>
                        <w:t>87</w:t>
                      </w:r>
                    </w:p>
                    <w:p w14:paraId="69373ED2" w14:textId="7369A620" w:rsidR="00BB0D26" w:rsidRPr="004E2649" w:rsidRDefault="005F1FA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21 </w:t>
                      </w:r>
                      <w:proofErr w:type="spellStart"/>
                      <w:r>
                        <w:rPr>
                          <w:rFonts w:asciiTheme="minorHAnsi" w:hAnsiTheme="minorHAnsi"/>
                          <w:color w:val="FFFFFF" w:themeColor="background1"/>
                          <w:sz w:val="22"/>
                        </w:rPr>
                        <w:t>junio</w:t>
                      </w:r>
                      <w:proofErr w:type="spellEnd"/>
                      <w:r w:rsidR="00BB0D26" w:rsidRPr="004E2649">
                        <w:rPr>
                          <w:rFonts w:asciiTheme="minorHAnsi" w:hAnsiTheme="minorHAnsi"/>
                          <w:color w:val="FFFFFF" w:themeColor="background1"/>
                          <w:sz w:val="22"/>
                        </w:rPr>
                        <w:t xml:space="preserve"> 201</w:t>
                      </w:r>
                      <w:r w:rsidR="00BB0D26">
                        <w:rPr>
                          <w:rFonts w:asciiTheme="minorHAnsi" w:hAnsiTheme="minorHAnsi"/>
                          <w:color w:val="FFFFFF" w:themeColor="background1"/>
                          <w:sz w:val="22"/>
                        </w:rPr>
                        <w:t>8</w:t>
                      </w:r>
                    </w:p>
                    <w:p w14:paraId="0771DB5B" w14:textId="77777777" w:rsidR="00BB0D26" w:rsidRPr="004E2649" w:rsidRDefault="00BB0D2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5FE3AB87"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3C383BC0" w14:textId="77777777" w:rsidR="00040C3A" w:rsidRPr="00213F85" w:rsidRDefault="00040C3A" w:rsidP="00213F85">
      <w:pPr>
        <w:tabs>
          <w:tab w:val="center" w:pos="5400"/>
        </w:tabs>
        <w:suppressAutoHyphens/>
        <w:jc w:val="center"/>
        <w:rPr>
          <w:rFonts w:asciiTheme="majorHAnsi" w:hAnsiTheme="majorHAnsi" w:cs="Arial"/>
          <w:sz w:val="22"/>
          <w:szCs w:val="22"/>
          <w:lang w:val="es-ES_tradnl"/>
        </w:rPr>
      </w:pPr>
    </w:p>
    <w:p w14:paraId="54590931"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76C291D6"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2161B44F"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3C4EEE07"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3B0E4647" w14:textId="77777777" w:rsidR="005128E4" w:rsidRPr="00213F85" w:rsidRDefault="005128E4" w:rsidP="00213F85">
      <w:pPr>
        <w:tabs>
          <w:tab w:val="center" w:pos="5400"/>
        </w:tabs>
        <w:suppressAutoHyphens/>
        <w:jc w:val="center"/>
        <w:rPr>
          <w:rFonts w:asciiTheme="majorHAnsi" w:hAnsiTheme="majorHAnsi"/>
          <w:sz w:val="22"/>
          <w:szCs w:val="22"/>
          <w:lang w:val="es-ES_tradnl"/>
        </w:rPr>
      </w:pPr>
    </w:p>
    <w:p w14:paraId="2DAAF36D"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12496A14" w14:textId="77777777" w:rsidR="005128E4" w:rsidRPr="00213F85" w:rsidRDefault="005128E4" w:rsidP="00213F85">
      <w:pPr>
        <w:tabs>
          <w:tab w:val="center" w:pos="5400"/>
        </w:tabs>
        <w:suppressAutoHyphens/>
        <w:jc w:val="center"/>
        <w:rPr>
          <w:rFonts w:asciiTheme="majorHAnsi" w:hAnsiTheme="majorHAnsi"/>
          <w:sz w:val="22"/>
          <w:szCs w:val="22"/>
          <w:lang w:val="es-ES_tradnl"/>
        </w:rPr>
      </w:pPr>
    </w:p>
    <w:p w14:paraId="25772DB3" w14:textId="77777777" w:rsidR="005128E4" w:rsidRPr="00213F85" w:rsidRDefault="005128E4" w:rsidP="00213F85">
      <w:pPr>
        <w:tabs>
          <w:tab w:val="center" w:pos="5400"/>
        </w:tabs>
        <w:suppressAutoHyphens/>
        <w:jc w:val="center"/>
        <w:rPr>
          <w:rFonts w:asciiTheme="majorHAnsi" w:hAnsiTheme="majorHAnsi"/>
          <w:sz w:val="22"/>
          <w:szCs w:val="22"/>
          <w:lang w:val="es-ES_tradnl"/>
        </w:rPr>
      </w:pPr>
    </w:p>
    <w:p w14:paraId="6820FADA" w14:textId="77777777" w:rsidR="005128E4" w:rsidRPr="00213F85" w:rsidRDefault="005128E4" w:rsidP="00213F85">
      <w:pPr>
        <w:tabs>
          <w:tab w:val="center" w:pos="5400"/>
        </w:tabs>
        <w:suppressAutoHyphens/>
        <w:jc w:val="center"/>
        <w:rPr>
          <w:rFonts w:asciiTheme="majorHAnsi" w:hAnsiTheme="majorHAnsi"/>
          <w:sz w:val="22"/>
          <w:szCs w:val="22"/>
          <w:lang w:val="es-ES_tradnl"/>
        </w:rPr>
      </w:pPr>
    </w:p>
    <w:p w14:paraId="54445A55"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5D4A4040" w14:textId="77777777" w:rsidR="00040C3A" w:rsidRPr="00213F85" w:rsidRDefault="00040C3A" w:rsidP="00213F85">
      <w:pPr>
        <w:tabs>
          <w:tab w:val="center" w:pos="5400"/>
        </w:tabs>
        <w:suppressAutoHyphens/>
        <w:jc w:val="center"/>
        <w:rPr>
          <w:rFonts w:asciiTheme="majorHAnsi" w:hAnsiTheme="majorHAnsi"/>
          <w:sz w:val="22"/>
          <w:szCs w:val="22"/>
          <w:lang w:val="es-ES_tradnl"/>
        </w:rPr>
      </w:pPr>
    </w:p>
    <w:p w14:paraId="048FBB22"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190ABFB3"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4C690048"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733CA438"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7874DEEB"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3698D0D6"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1F907823"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045D9AC1"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16068EE5"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14A4A430"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0B3B735F"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02C5C441"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7806A2B0"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319C392B"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514A0182" w14:textId="77777777" w:rsidR="00A50FCF" w:rsidRPr="00213F85" w:rsidRDefault="0090270B" w:rsidP="00213F85">
      <w:pPr>
        <w:tabs>
          <w:tab w:val="center" w:pos="5400"/>
        </w:tabs>
        <w:suppressAutoHyphens/>
        <w:jc w:val="center"/>
        <w:rPr>
          <w:rFonts w:asciiTheme="majorHAnsi" w:hAnsiTheme="majorHAnsi"/>
          <w:sz w:val="18"/>
          <w:szCs w:val="22"/>
          <w:lang w:val="es-ES_tradnl"/>
        </w:rPr>
      </w:pPr>
      <w:r w:rsidRPr="00213F8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563DB7C3" w:rsidR="00BB0D26" w:rsidRPr="00890650" w:rsidRDefault="00BB0D2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5F1FAE">
                              <w:rPr>
                                <w:rFonts w:asciiTheme="majorHAnsi" w:hAnsiTheme="majorHAnsi"/>
                                <w:color w:val="0D0D0D" w:themeColor="text1" w:themeTint="F2"/>
                                <w:sz w:val="18"/>
                                <w:szCs w:val="20"/>
                                <w:lang w:val="es-ES"/>
                              </w:rPr>
                              <w:t>electr</w:t>
                            </w:r>
                            <w:r w:rsidR="005F1FAE" w:rsidRPr="005F1FAE">
                              <w:rPr>
                                <w:rFonts w:asciiTheme="majorHAnsi" w:hAnsiTheme="majorHAnsi"/>
                                <w:color w:val="0D0D0D" w:themeColor="text1" w:themeTint="F2"/>
                                <w:sz w:val="18"/>
                                <w:szCs w:val="20"/>
                                <w:lang w:val="es-ES"/>
                              </w:rPr>
                              <w:t xml:space="preserve">ónicamente </w:t>
                            </w:r>
                            <w:r w:rsidRPr="00890650">
                              <w:rPr>
                                <w:rFonts w:asciiTheme="majorHAnsi" w:hAnsiTheme="majorHAnsi"/>
                                <w:color w:val="0D0D0D" w:themeColor="text1" w:themeTint="F2"/>
                                <w:sz w:val="18"/>
                                <w:szCs w:val="20"/>
                                <w:lang w:val="es-ES"/>
                              </w:rPr>
                              <w:t xml:space="preserve">por la Comisión el </w:t>
                            </w:r>
                            <w:r w:rsidR="005F1FAE">
                              <w:rPr>
                                <w:rFonts w:asciiTheme="majorHAnsi" w:hAnsiTheme="majorHAnsi"/>
                                <w:color w:val="0D0D0D" w:themeColor="text1" w:themeTint="F2"/>
                                <w:sz w:val="18"/>
                                <w:szCs w:val="20"/>
                                <w:lang w:val="es-ES"/>
                              </w:rPr>
                              <w:t>21 de junio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C13D6C">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BB0D26" w:rsidRPr="007A5817" w:rsidRDefault="00BB0D2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B0D26" w:rsidRPr="00167A34" w:rsidRDefault="00BB0D2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563DB7C3" w:rsidR="00BB0D26" w:rsidRPr="00890650" w:rsidRDefault="00BB0D2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5F1FAE">
                        <w:rPr>
                          <w:rFonts w:asciiTheme="majorHAnsi" w:hAnsiTheme="majorHAnsi"/>
                          <w:color w:val="0D0D0D" w:themeColor="text1" w:themeTint="F2"/>
                          <w:sz w:val="18"/>
                          <w:szCs w:val="20"/>
                          <w:lang w:val="es-ES"/>
                        </w:rPr>
                        <w:t>electr</w:t>
                      </w:r>
                      <w:r w:rsidR="005F1FAE" w:rsidRPr="005F1FAE">
                        <w:rPr>
                          <w:rFonts w:asciiTheme="majorHAnsi" w:hAnsiTheme="majorHAnsi"/>
                          <w:color w:val="0D0D0D" w:themeColor="text1" w:themeTint="F2"/>
                          <w:sz w:val="18"/>
                          <w:szCs w:val="20"/>
                          <w:lang w:val="es-ES"/>
                        </w:rPr>
                        <w:t xml:space="preserve">ónicamente </w:t>
                      </w:r>
                      <w:r w:rsidRPr="00890650">
                        <w:rPr>
                          <w:rFonts w:asciiTheme="majorHAnsi" w:hAnsiTheme="majorHAnsi"/>
                          <w:color w:val="0D0D0D" w:themeColor="text1" w:themeTint="F2"/>
                          <w:sz w:val="18"/>
                          <w:szCs w:val="20"/>
                          <w:lang w:val="es-ES"/>
                        </w:rPr>
                        <w:t xml:space="preserve">por la Comisión el </w:t>
                      </w:r>
                      <w:r w:rsidR="005F1FAE">
                        <w:rPr>
                          <w:rFonts w:asciiTheme="majorHAnsi" w:hAnsiTheme="majorHAnsi"/>
                          <w:color w:val="0D0D0D" w:themeColor="text1" w:themeTint="F2"/>
                          <w:sz w:val="18"/>
                          <w:szCs w:val="20"/>
                          <w:lang w:val="es-ES"/>
                        </w:rPr>
                        <w:t>21 de junio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C13D6C">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4BDF3581" w14:textId="77777777" w:rsidR="00BB0D26" w:rsidRPr="007A5817" w:rsidRDefault="00BB0D2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B0D26" w:rsidRPr="00167A34" w:rsidRDefault="00BB0D2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7929D1FD"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5469D0BE"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7A79F059"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330672AE" w14:textId="77777777" w:rsidR="00A50FCF" w:rsidRPr="00213F85" w:rsidRDefault="0090270B" w:rsidP="00213F85">
      <w:pPr>
        <w:tabs>
          <w:tab w:val="center" w:pos="5400"/>
        </w:tabs>
        <w:suppressAutoHyphens/>
        <w:jc w:val="center"/>
        <w:rPr>
          <w:rFonts w:asciiTheme="majorHAnsi" w:hAnsiTheme="majorHAnsi"/>
          <w:sz w:val="18"/>
          <w:szCs w:val="22"/>
          <w:lang w:val="es-ES_tradnl"/>
        </w:rPr>
      </w:pPr>
      <w:r w:rsidRPr="00213F8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22FA150" w:rsidR="00BB0D26" w:rsidRPr="007B05C4" w:rsidRDefault="00BB0D2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45748" w:rsidRPr="00245748">
                              <w:rPr>
                                <w:rFonts w:asciiTheme="majorHAnsi" w:hAnsiTheme="majorHAnsi"/>
                                <w:color w:val="595959" w:themeColor="text1" w:themeTint="A6"/>
                                <w:sz w:val="18"/>
                                <w:szCs w:val="18"/>
                                <w:lang w:val="pt-BR"/>
                              </w:rPr>
                              <w:t>75/18</w:t>
                            </w:r>
                            <w:r w:rsidRPr="00245748">
                              <w:rPr>
                                <w:rFonts w:asciiTheme="majorHAnsi" w:hAnsiTheme="majorHAnsi"/>
                                <w:color w:val="595959" w:themeColor="text1" w:themeTint="A6"/>
                                <w:sz w:val="18"/>
                                <w:szCs w:val="18"/>
                                <w:lang w:val="pt-BR"/>
                              </w:rPr>
                              <w:t xml:space="preserve">. </w:t>
                            </w:r>
                            <w:r w:rsidR="002B1E8B">
                              <w:rPr>
                                <w:rFonts w:asciiTheme="majorHAnsi" w:hAnsiTheme="majorHAnsi"/>
                                <w:color w:val="595959" w:themeColor="text1" w:themeTint="A6"/>
                                <w:sz w:val="18"/>
                                <w:szCs w:val="18"/>
                                <w:lang w:val="es-ES_tradnl"/>
                              </w:rPr>
                              <w:t xml:space="preserve">Petición 442-07.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Pr="00C744A6">
                              <w:rPr>
                                <w:rFonts w:asciiTheme="majorHAnsi" w:hAnsiTheme="majorHAnsi"/>
                                <w:color w:val="595959" w:themeColor="text1" w:themeTint="A6"/>
                                <w:sz w:val="18"/>
                                <w:szCs w:val="18"/>
                                <w:lang w:val="es-ES_tradnl"/>
                              </w:rPr>
                              <w:t>José Humberto Gó</w:t>
                            </w:r>
                            <w:r>
                              <w:rPr>
                                <w:rFonts w:asciiTheme="majorHAnsi" w:hAnsiTheme="majorHAnsi"/>
                                <w:color w:val="595959" w:themeColor="text1" w:themeTint="A6"/>
                                <w:sz w:val="18"/>
                                <w:szCs w:val="18"/>
                                <w:lang w:val="es-ES_tradnl"/>
                              </w:rPr>
                              <w:t xml:space="preserve">mez Herrera y otros. Colombia. </w:t>
                            </w:r>
                            <w:r w:rsidR="00245748">
                              <w:rPr>
                                <w:rFonts w:asciiTheme="majorHAnsi" w:hAnsiTheme="majorHAnsi"/>
                                <w:color w:val="595959" w:themeColor="text1" w:themeTint="A6"/>
                                <w:sz w:val="18"/>
                                <w:szCs w:val="18"/>
                                <w:lang w:val="es-ES"/>
                              </w:rPr>
                              <w:t>21 de junio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22FA150" w:rsidR="00BB0D26" w:rsidRPr="007B05C4" w:rsidRDefault="00BB0D2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45748" w:rsidRPr="00245748">
                        <w:rPr>
                          <w:rFonts w:asciiTheme="majorHAnsi" w:hAnsiTheme="majorHAnsi"/>
                          <w:color w:val="595959" w:themeColor="text1" w:themeTint="A6"/>
                          <w:sz w:val="18"/>
                          <w:szCs w:val="18"/>
                          <w:lang w:val="pt-BR"/>
                        </w:rPr>
                        <w:t>75/18</w:t>
                      </w:r>
                      <w:r w:rsidRPr="00245748">
                        <w:rPr>
                          <w:rFonts w:asciiTheme="majorHAnsi" w:hAnsiTheme="majorHAnsi"/>
                          <w:color w:val="595959" w:themeColor="text1" w:themeTint="A6"/>
                          <w:sz w:val="18"/>
                          <w:szCs w:val="18"/>
                          <w:lang w:val="pt-BR"/>
                        </w:rPr>
                        <w:t xml:space="preserve">. </w:t>
                      </w:r>
                      <w:r w:rsidR="002B1E8B">
                        <w:rPr>
                          <w:rFonts w:asciiTheme="majorHAnsi" w:hAnsiTheme="majorHAnsi"/>
                          <w:color w:val="595959" w:themeColor="text1" w:themeTint="A6"/>
                          <w:sz w:val="18"/>
                          <w:szCs w:val="18"/>
                          <w:lang w:val="es-ES_tradnl"/>
                        </w:rPr>
                        <w:t xml:space="preserve">Petición 442-07.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Pr="00C744A6">
                        <w:rPr>
                          <w:rFonts w:asciiTheme="majorHAnsi" w:hAnsiTheme="majorHAnsi"/>
                          <w:color w:val="595959" w:themeColor="text1" w:themeTint="A6"/>
                          <w:sz w:val="18"/>
                          <w:szCs w:val="18"/>
                          <w:lang w:val="es-ES_tradnl"/>
                        </w:rPr>
                        <w:t>José Humberto Gó</w:t>
                      </w:r>
                      <w:r>
                        <w:rPr>
                          <w:rFonts w:asciiTheme="majorHAnsi" w:hAnsiTheme="majorHAnsi"/>
                          <w:color w:val="595959" w:themeColor="text1" w:themeTint="A6"/>
                          <w:sz w:val="18"/>
                          <w:szCs w:val="18"/>
                          <w:lang w:val="es-ES_tradnl"/>
                        </w:rPr>
                        <w:t xml:space="preserve">mez Herrera y otros. Colombia. </w:t>
                      </w:r>
                      <w:r w:rsidR="00245748">
                        <w:rPr>
                          <w:rFonts w:asciiTheme="majorHAnsi" w:hAnsiTheme="majorHAnsi"/>
                          <w:color w:val="595959" w:themeColor="text1" w:themeTint="A6"/>
                          <w:sz w:val="18"/>
                          <w:szCs w:val="18"/>
                          <w:lang w:val="es-ES"/>
                        </w:rPr>
                        <w:t>21 de junio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213F85" w:rsidRDefault="00A50FCF" w:rsidP="00213F85">
      <w:pPr>
        <w:tabs>
          <w:tab w:val="center" w:pos="5400"/>
        </w:tabs>
        <w:suppressAutoHyphens/>
        <w:jc w:val="center"/>
        <w:rPr>
          <w:rFonts w:asciiTheme="majorHAnsi" w:hAnsiTheme="majorHAnsi"/>
          <w:sz w:val="18"/>
          <w:szCs w:val="22"/>
          <w:lang w:val="es-ES_tradnl"/>
        </w:rPr>
      </w:pPr>
    </w:p>
    <w:p w14:paraId="1DA07629" w14:textId="77777777" w:rsidR="0090270B" w:rsidRPr="00213F85" w:rsidRDefault="00D306D1" w:rsidP="00213F85">
      <w:pPr>
        <w:tabs>
          <w:tab w:val="center" w:pos="5400"/>
        </w:tabs>
        <w:suppressAutoHyphens/>
        <w:jc w:val="center"/>
        <w:rPr>
          <w:rFonts w:asciiTheme="majorHAnsi" w:hAnsiTheme="majorHAnsi"/>
          <w:b/>
          <w:sz w:val="20"/>
          <w:lang w:val="es-ES_tradnl"/>
        </w:rPr>
      </w:pPr>
      <w:r w:rsidRPr="00213F8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BB0D26" w:rsidRPr="00D72DC6" w:rsidRDefault="00BB0D2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BB0D26" w:rsidRPr="00D72DC6" w:rsidRDefault="00BB0D2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213F8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BB0D26" w:rsidRPr="004B7EB6" w:rsidRDefault="00BB0D2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BB0D26" w:rsidRPr="004B7EB6" w:rsidRDefault="00BB0D2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213F85" w:rsidRDefault="004A6A54" w:rsidP="00213F85">
      <w:pPr>
        <w:tabs>
          <w:tab w:val="center" w:pos="5400"/>
        </w:tabs>
        <w:suppressAutoHyphens/>
        <w:jc w:val="center"/>
        <w:rPr>
          <w:rFonts w:asciiTheme="majorHAnsi" w:hAnsiTheme="majorHAnsi"/>
          <w:b/>
          <w:sz w:val="20"/>
          <w:lang w:val="es-ES_tradnl"/>
        </w:rPr>
        <w:sectPr w:rsidR="0070697F" w:rsidRPr="00213F8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213F85">
        <w:rPr>
          <w:rFonts w:asciiTheme="majorHAnsi" w:hAnsiTheme="majorHAnsi"/>
          <w:b/>
          <w:sz w:val="20"/>
          <w:lang w:val="es-ES_tradnl"/>
        </w:rPr>
        <w:tab/>
      </w:r>
    </w:p>
    <w:p w14:paraId="376DDC8B" w14:textId="77777777" w:rsidR="003239B8" w:rsidRPr="00213F85" w:rsidRDefault="003239B8" w:rsidP="00213F85">
      <w:pPr>
        <w:spacing w:after="240"/>
        <w:ind w:firstLine="720"/>
        <w:jc w:val="both"/>
        <w:rPr>
          <w:rFonts w:asciiTheme="majorHAnsi" w:hAnsiTheme="majorHAnsi"/>
          <w:b/>
          <w:bCs/>
          <w:sz w:val="20"/>
          <w:szCs w:val="20"/>
          <w:lang w:val="es-ES"/>
        </w:rPr>
      </w:pPr>
      <w:r w:rsidRPr="00213F85">
        <w:rPr>
          <w:rFonts w:asciiTheme="majorHAnsi" w:hAnsiTheme="majorHAnsi"/>
          <w:b/>
          <w:bCs/>
          <w:sz w:val="20"/>
          <w:szCs w:val="20"/>
          <w:lang w:val="es-ES"/>
        </w:rPr>
        <w:lastRenderedPageBreak/>
        <w:t>I.</w:t>
      </w:r>
      <w:r w:rsidRPr="00213F8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13D6C"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13F85" w:rsidRDefault="003239B8" w:rsidP="00213F85">
            <w:pPr>
              <w:jc w:val="center"/>
              <w:rPr>
                <w:rFonts w:ascii="Cambria" w:hAnsi="Cambria"/>
                <w:b/>
                <w:bCs/>
                <w:color w:val="FFFFFF" w:themeColor="background1"/>
                <w:sz w:val="20"/>
                <w:szCs w:val="20"/>
              </w:rPr>
            </w:pPr>
            <w:r w:rsidRPr="00213F85">
              <w:rPr>
                <w:rFonts w:ascii="Cambria" w:hAnsi="Cambria"/>
                <w:b/>
                <w:bCs/>
                <w:color w:val="FFFFFF" w:themeColor="background1"/>
                <w:sz w:val="20"/>
                <w:szCs w:val="20"/>
              </w:rPr>
              <w:t>Parte peticionaria:</w:t>
            </w:r>
          </w:p>
        </w:tc>
        <w:tc>
          <w:tcPr>
            <w:tcW w:w="5760" w:type="dxa"/>
            <w:vAlign w:val="center"/>
          </w:tcPr>
          <w:p w14:paraId="3C5315D8" w14:textId="1E483683" w:rsidR="003239B8" w:rsidRPr="00213F85" w:rsidRDefault="00C744A6" w:rsidP="00213F85">
            <w:pPr>
              <w:jc w:val="both"/>
              <w:rPr>
                <w:rFonts w:ascii="Cambria" w:hAnsi="Cambria"/>
                <w:bCs/>
                <w:sz w:val="20"/>
                <w:szCs w:val="20"/>
                <w:lang w:val="es-ES"/>
              </w:rPr>
            </w:pPr>
            <w:r w:rsidRPr="00213F85">
              <w:rPr>
                <w:rFonts w:ascii="Cambria" w:hAnsi="Cambria"/>
                <w:bCs/>
                <w:sz w:val="20"/>
                <w:szCs w:val="20"/>
                <w:lang w:val="es-ES"/>
              </w:rPr>
              <w:t>José Humberto Gómez Herrera y Lyda Esperanza Martin</w:t>
            </w:r>
          </w:p>
        </w:tc>
      </w:tr>
      <w:tr w:rsidR="003239B8" w:rsidRPr="00C13D6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13F85" w:rsidRDefault="001017F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13F85">
                  <w:rPr>
                    <w:rFonts w:ascii="Cambria" w:hAnsi="Cambria"/>
                    <w:b/>
                    <w:bCs/>
                    <w:color w:val="FFFFFF" w:themeColor="background1"/>
                    <w:sz w:val="20"/>
                    <w:szCs w:val="20"/>
                  </w:rPr>
                  <w:t>Presunta víctima</w:t>
                </w:r>
              </w:sdtContent>
            </w:sdt>
            <w:r w:rsidR="003239B8" w:rsidRPr="00213F85">
              <w:rPr>
                <w:rFonts w:ascii="Cambria" w:hAnsi="Cambria"/>
                <w:b/>
                <w:bCs/>
                <w:color w:val="FFFFFF" w:themeColor="background1"/>
                <w:sz w:val="20"/>
                <w:szCs w:val="20"/>
              </w:rPr>
              <w:t>:</w:t>
            </w:r>
          </w:p>
        </w:tc>
        <w:tc>
          <w:tcPr>
            <w:tcW w:w="5760" w:type="dxa"/>
            <w:vAlign w:val="center"/>
          </w:tcPr>
          <w:p w14:paraId="4AEBF59E" w14:textId="0F4B5961" w:rsidR="003239B8" w:rsidRPr="00213F85" w:rsidRDefault="00C744A6">
            <w:pPr>
              <w:jc w:val="both"/>
              <w:rPr>
                <w:rFonts w:ascii="Cambria" w:hAnsi="Cambria"/>
                <w:bCs/>
                <w:sz w:val="20"/>
                <w:szCs w:val="20"/>
                <w:lang w:val="es-ES"/>
              </w:rPr>
            </w:pPr>
            <w:r w:rsidRPr="00213F85">
              <w:rPr>
                <w:rFonts w:asciiTheme="majorHAnsi" w:hAnsiTheme="majorHAnsi"/>
                <w:bCs/>
                <w:sz w:val="20"/>
                <w:szCs w:val="20"/>
                <w:lang w:val="es-CO"/>
              </w:rPr>
              <w:t>José Humberto Gómez Herrera y otros</w:t>
            </w:r>
            <w:r w:rsidRPr="00213F85">
              <w:rPr>
                <w:rFonts w:asciiTheme="majorHAnsi" w:hAnsiTheme="majorHAnsi"/>
                <w:bCs/>
                <w:sz w:val="20"/>
                <w:szCs w:val="20"/>
                <w:vertAlign w:val="superscript"/>
                <w:lang w:val="es-CO"/>
              </w:rPr>
              <w:footnoteReference w:id="2"/>
            </w:r>
          </w:p>
        </w:tc>
      </w:tr>
      <w:tr w:rsidR="003239B8" w:rsidRPr="00213F85"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213F85" w:rsidRDefault="003239B8">
            <w:pPr>
              <w:jc w:val="center"/>
              <w:rPr>
                <w:rFonts w:ascii="Cambria" w:hAnsi="Cambria"/>
                <w:b/>
                <w:bCs/>
                <w:color w:val="FFFFFF" w:themeColor="background1"/>
                <w:sz w:val="20"/>
                <w:szCs w:val="20"/>
              </w:rPr>
            </w:pPr>
            <w:r w:rsidRPr="00213F85">
              <w:rPr>
                <w:rFonts w:ascii="Cambria" w:hAnsi="Cambria"/>
                <w:b/>
                <w:bCs/>
                <w:color w:val="FFFFFF" w:themeColor="background1"/>
                <w:sz w:val="20"/>
                <w:szCs w:val="20"/>
              </w:rPr>
              <w:t xml:space="preserve">Estado </w:t>
            </w:r>
            <w:proofErr w:type="spellStart"/>
            <w:r w:rsidRPr="00213F85">
              <w:rPr>
                <w:rFonts w:ascii="Cambria" w:hAnsi="Cambria"/>
                <w:b/>
                <w:bCs/>
                <w:color w:val="FFFFFF" w:themeColor="background1"/>
                <w:sz w:val="20"/>
                <w:szCs w:val="20"/>
              </w:rPr>
              <w:t>denunciado</w:t>
            </w:r>
            <w:proofErr w:type="spellEnd"/>
            <w:r w:rsidRPr="00213F85">
              <w:rPr>
                <w:rFonts w:ascii="Cambria" w:hAnsi="Cambria"/>
                <w:b/>
                <w:bCs/>
                <w:color w:val="FFFFFF" w:themeColor="background1"/>
                <w:sz w:val="20"/>
                <w:szCs w:val="20"/>
              </w:rPr>
              <w:t>:</w:t>
            </w:r>
          </w:p>
        </w:tc>
        <w:tc>
          <w:tcPr>
            <w:tcW w:w="5760" w:type="dxa"/>
            <w:vAlign w:val="center"/>
          </w:tcPr>
          <w:p w14:paraId="274C8A50" w14:textId="71B06EA0" w:rsidR="003239B8" w:rsidRPr="00213F85" w:rsidRDefault="00C744A6">
            <w:pPr>
              <w:jc w:val="both"/>
              <w:rPr>
                <w:rFonts w:ascii="Cambria" w:hAnsi="Cambria"/>
                <w:bCs/>
                <w:sz w:val="20"/>
                <w:szCs w:val="20"/>
              </w:rPr>
            </w:pPr>
            <w:r w:rsidRPr="00213F85">
              <w:rPr>
                <w:rFonts w:ascii="Cambria" w:hAnsi="Cambria"/>
                <w:bCs/>
                <w:sz w:val="20"/>
                <w:szCs w:val="20"/>
              </w:rPr>
              <w:t xml:space="preserve">Colombia </w:t>
            </w:r>
            <w:r w:rsidR="004A6A54" w:rsidRPr="00213F85">
              <w:rPr>
                <w:rStyle w:val="FootnoteReference"/>
                <w:rFonts w:ascii="Cambria" w:hAnsi="Cambria"/>
                <w:bCs/>
                <w:sz w:val="20"/>
                <w:szCs w:val="20"/>
              </w:rPr>
              <w:footnoteReference w:id="3"/>
            </w:r>
          </w:p>
        </w:tc>
      </w:tr>
      <w:tr w:rsidR="00223A29" w:rsidRPr="00C13D6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213F85" w:rsidRDefault="001B3A00">
            <w:pPr>
              <w:jc w:val="center"/>
              <w:rPr>
                <w:rFonts w:ascii="Cambria" w:hAnsi="Cambria"/>
                <w:b/>
                <w:bCs/>
                <w:color w:val="FFFFFF" w:themeColor="background1"/>
                <w:sz w:val="20"/>
                <w:szCs w:val="20"/>
              </w:rPr>
            </w:pPr>
            <w:r w:rsidRPr="00213F85">
              <w:rPr>
                <w:rFonts w:ascii="Cambria" w:hAnsi="Cambria"/>
                <w:b/>
                <w:bCs/>
                <w:color w:val="FFFFFF" w:themeColor="background1"/>
                <w:sz w:val="20"/>
                <w:szCs w:val="20"/>
              </w:rPr>
              <w:t xml:space="preserve">Derechos </w:t>
            </w:r>
            <w:r w:rsidR="00E4118C" w:rsidRPr="00213F85">
              <w:rPr>
                <w:rFonts w:ascii="Cambria" w:hAnsi="Cambria"/>
                <w:b/>
                <w:bCs/>
                <w:color w:val="FFFFFF" w:themeColor="background1"/>
                <w:sz w:val="20"/>
                <w:szCs w:val="20"/>
              </w:rPr>
              <w:t>invocados</w:t>
            </w:r>
            <w:r w:rsidRPr="00213F85">
              <w:rPr>
                <w:rFonts w:ascii="Cambria" w:hAnsi="Cambria"/>
                <w:b/>
                <w:bCs/>
                <w:color w:val="FFFFFF" w:themeColor="background1"/>
                <w:sz w:val="20"/>
                <w:szCs w:val="20"/>
              </w:rPr>
              <w:t>:</w:t>
            </w:r>
          </w:p>
        </w:tc>
        <w:tc>
          <w:tcPr>
            <w:tcW w:w="5760" w:type="dxa"/>
            <w:vAlign w:val="center"/>
          </w:tcPr>
          <w:p w14:paraId="6DEE1EEB" w14:textId="234AE5F9" w:rsidR="00223A29" w:rsidRPr="00213F85" w:rsidRDefault="00C744A6" w:rsidP="00565871">
            <w:pPr>
              <w:jc w:val="both"/>
              <w:rPr>
                <w:rFonts w:ascii="Cambria" w:hAnsi="Cambria"/>
                <w:bCs/>
                <w:sz w:val="20"/>
                <w:szCs w:val="20"/>
                <w:lang w:val="es-ES"/>
              </w:rPr>
            </w:pPr>
            <w:r w:rsidRPr="00213F85">
              <w:rPr>
                <w:rFonts w:ascii="Cambria" w:hAnsi="Cambria"/>
                <w:bCs/>
                <w:sz w:val="20"/>
                <w:szCs w:val="20"/>
                <w:lang w:val="es-ES"/>
              </w:rPr>
              <w:t>Artículos 4 (vida), 8 (garantías judiciales), 11 (honra y dignidad), 14 (rectificación o respuesta), 17 (familia), 19 (</w:t>
            </w:r>
            <w:r w:rsidR="001C3DEF" w:rsidRPr="00213F85">
              <w:rPr>
                <w:rFonts w:ascii="Cambria" w:hAnsi="Cambria"/>
                <w:bCs/>
                <w:sz w:val="20"/>
                <w:szCs w:val="20"/>
                <w:lang w:val="es-ES"/>
              </w:rPr>
              <w:t>derechos del niño</w:t>
            </w:r>
            <w:r w:rsidRPr="00213F85">
              <w:rPr>
                <w:rFonts w:ascii="Cambria" w:hAnsi="Cambria"/>
                <w:bCs/>
                <w:sz w:val="20"/>
                <w:szCs w:val="20"/>
                <w:lang w:val="es-ES"/>
              </w:rPr>
              <w:t>), 24 (igualdad ante la ley) y 25 (protección judicial) de la Convención Americana sobre Derechos Huma</w:t>
            </w:r>
            <w:r w:rsidR="00565871">
              <w:rPr>
                <w:rFonts w:ascii="Cambria" w:hAnsi="Cambria"/>
                <w:bCs/>
                <w:sz w:val="20"/>
                <w:szCs w:val="20"/>
                <w:lang w:val="es-ES"/>
              </w:rPr>
              <w:t>nos</w:t>
            </w:r>
            <w:r w:rsidRPr="00213F85">
              <w:rPr>
                <w:rStyle w:val="FootnoteReference"/>
                <w:rFonts w:ascii="Cambria" w:hAnsi="Cambria"/>
                <w:bCs/>
                <w:sz w:val="20"/>
                <w:szCs w:val="20"/>
                <w:lang w:val="es-ES"/>
              </w:rPr>
              <w:footnoteReference w:id="4"/>
            </w:r>
            <w:r w:rsidRPr="00213F85">
              <w:rPr>
                <w:rFonts w:ascii="Cambria" w:hAnsi="Cambria"/>
                <w:bCs/>
                <w:sz w:val="20"/>
                <w:szCs w:val="20"/>
                <w:lang w:val="es-ES"/>
              </w:rPr>
              <w:t xml:space="preserve"> en concordancia con su artículo 1.1 (obligación de respetar los derechos) y otros tratados internacionales</w:t>
            </w:r>
            <w:r w:rsidRPr="00213F85">
              <w:rPr>
                <w:rFonts w:ascii="Cambria" w:hAnsi="Cambria"/>
                <w:bCs/>
                <w:sz w:val="20"/>
                <w:szCs w:val="20"/>
                <w:vertAlign w:val="superscript"/>
                <w:lang w:val="es-ES"/>
              </w:rPr>
              <w:footnoteReference w:id="5"/>
            </w:r>
            <w:r w:rsidRPr="00213F85">
              <w:rPr>
                <w:rFonts w:ascii="Cambria" w:hAnsi="Cambria"/>
                <w:bCs/>
                <w:sz w:val="20"/>
                <w:szCs w:val="20"/>
                <w:lang w:val="es-ES"/>
              </w:rPr>
              <w:t xml:space="preserve">  </w:t>
            </w:r>
          </w:p>
        </w:tc>
      </w:tr>
    </w:tbl>
    <w:p w14:paraId="20263696" w14:textId="77777777" w:rsidR="003239B8" w:rsidRPr="00213F85" w:rsidRDefault="003239B8">
      <w:pPr>
        <w:spacing w:before="240" w:after="240"/>
        <w:ind w:firstLine="720"/>
        <w:jc w:val="both"/>
        <w:rPr>
          <w:rFonts w:asciiTheme="majorHAnsi" w:hAnsiTheme="majorHAnsi"/>
          <w:b/>
          <w:bCs/>
          <w:sz w:val="20"/>
          <w:szCs w:val="20"/>
          <w:lang w:val="es-ES"/>
        </w:rPr>
      </w:pPr>
      <w:r w:rsidRPr="00213F85">
        <w:rPr>
          <w:rFonts w:asciiTheme="majorHAnsi" w:hAnsiTheme="majorHAnsi"/>
          <w:b/>
          <w:bCs/>
          <w:sz w:val="20"/>
          <w:szCs w:val="20"/>
          <w:lang w:val="es-ES"/>
        </w:rPr>
        <w:t>II.</w:t>
      </w:r>
      <w:r w:rsidRPr="00213F85">
        <w:rPr>
          <w:rFonts w:asciiTheme="majorHAnsi" w:hAnsiTheme="majorHAnsi"/>
          <w:b/>
          <w:bCs/>
          <w:sz w:val="20"/>
          <w:szCs w:val="20"/>
          <w:lang w:val="es-ES"/>
        </w:rPr>
        <w:tab/>
        <w:t>TRÁMITE ANTE LA CIDH</w:t>
      </w:r>
      <w:r w:rsidR="008E3BFE" w:rsidRPr="00213F85">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13F85"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13F85" w:rsidRDefault="004A6A54">
            <w:pPr>
              <w:jc w:val="center"/>
              <w:rPr>
                <w:rFonts w:ascii="Cambria" w:hAnsi="Cambria"/>
                <w:b/>
                <w:bCs/>
                <w:color w:val="FFFFFF" w:themeColor="background1"/>
                <w:sz w:val="20"/>
                <w:szCs w:val="20"/>
                <w:lang w:val="es-ES"/>
              </w:rPr>
            </w:pPr>
            <w:r w:rsidRPr="00213F85">
              <w:rPr>
                <w:rFonts w:ascii="Cambria" w:hAnsi="Cambria"/>
                <w:b/>
                <w:bCs/>
                <w:color w:val="FFFFFF" w:themeColor="background1"/>
                <w:sz w:val="20"/>
                <w:szCs w:val="20"/>
                <w:lang w:val="es-ES"/>
              </w:rPr>
              <w:t>P</w:t>
            </w:r>
            <w:r w:rsidR="004C2312" w:rsidRPr="00213F85">
              <w:rPr>
                <w:rFonts w:ascii="Cambria" w:hAnsi="Cambria"/>
                <w:b/>
                <w:bCs/>
                <w:color w:val="FFFFFF" w:themeColor="background1"/>
                <w:sz w:val="20"/>
                <w:szCs w:val="20"/>
                <w:lang w:val="es-ES"/>
              </w:rPr>
              <w:t>resentación de la petición:</w:t>
            </w:r>
          </w:p>
        </w:tc>
        <w:tc>
          <w:tcPr>
            <w:tcW w:w="5760" w:type="dxa"/>
            <w:vAlign w:val="center"/>
          </w:tcPr>
          <w:p w14:paraId="6E579153" w14:textId="72143613" w:rsidR="004C2312" w:rsidRPr="00213F85" w:rsidRDefault="00C744A6">
            <w:pPr>
              <w:jc w:val="both"/>
              <w:rPr>
                <w:rFonts w:ascii="Cambria" w:hAnsi="Cambria"/>
                <w:bCs/>
                <w:sz w:val="20"/>
                <w:szCs w:val="20"/>
                <w:lang w:val="es-ES"/>
              </w:rPr>
            </w:pPr>
            <w:r w:rsidRPr="00213F85">
              <w:rPr>
                <w:rFonts w:ascii="Cambria" w:hAnsi="Cambria"/>
                <w:bCs/>
                <w:sz w:val="20"/>
                <w:szCs w:val="20"/>
                <w:lang w:val="es-ES"/>
              </w:rPr>
              <w:t>11 de abril de 2007</w:t>
            </w:r>
          </w:p>
        </w:tc>
      </w:tr>
      <w:tr w:rsidR="001E49E7" w:rsidRPr="00C13D6C"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213F85" w:rsidRDefault="001E49E7">
            <w:pPr>
              <w:jc w:val="center"/>
              <w:rPr>
                <w:rFonts w:ascii="Cambria" w:hAnsi="Cambria"/>
                <w:b/>
                <w:bCs/>
                <w:color w:val="FFFFFF" w:themeColor="background1"/>
                <w:sz w:val="20"/>
                <w:szCs w:val="20"/>
                <w:lang w:val="es-ES"/>
              </w:rPr>
            </w:pPr>
            <w:r w:rsidRPr="00213F85">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29A7E9E5" w:rsidR="001E49E7" w:rsidRPr="00213F85" w:rsidRDefault="00C744A6">
            <w:pPr>
              <w:jc w:val="center"/>
              <w:rPr>
                <w:rFonts w:ascii="Cambria" w:hAnsi="Cambria"/>
                <w:b/>
                <w:bCs/>
                <w:color w:val="FFFFFF" w:themeColor="background1"/>
                <w:sz w:val="20"/>
                <w:szCs w:val="20"/>
                <w:lang w:val="es-AR"/>
              </w:rPr>
            </w:pPr>
            <w:r w:rsidRPr="00213F85">
              <w:rPr>
                <w:rFonts w:ascii="Cambria" w:hAnsi="Cambria"/>
                <w:bCs/>
                <w:sz w:val="20"/>
                <w:szCs w:val="20"/>
                <w:lang w:val="es-AR"/>
              </w:rPr>
              <w:t>27 de abril de 2007; 30 de abril de 2009 y 6 de octubre de 2011</w:t>
            </w:r>
          </w:p>
        </w:tc>
      </w:tr>
      <w:tr w:rsidR="004C2312" w:rsidRPr="00213F8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13F85" w:rsidRDefault="004A6A54">
            <w:pPr>
              <w:jc w:val="center"/>
              <w:rPr>
                <w:rFonts w:ascii="Cambria" w:hAnsi="Cambria"/>
                <w:b/>
                <w:bCs/>
                <w:color w:val="FFFFFF" w:themeColor="background1"/>
                <w:sz w:val="20"/>
                <w:szCs w:val="20"/>
                <w:lang w:val="es-ES"/>
              </w:rPr>
            </w:pPr>
            <w:r w:rsidRPr="00213F85">
              <w:rPr>
                <w:rFonts w:ascii="Cambria" w:hAnsi="Cambria"/>
                <w:b/>
                <w:color w:val="FFFFFF" w:themeColor="background1"/>
                <w:sz w:val="20"/>
                <w:szCs w:val="20"/>
                <w:lang w:val="es-ES"/>
              </w:rPr>
              <w:t>N</w:t>
            </w:r>
            <w:r w:rsidR="004C2312" w:rsidRPr="00213F85">
              <w:rPr>
                <w:rFonts w:ascii="Cambria" w:hAnsi="Cambria"/>
                <w:b/>
                <w:color w:val="FFFFFF" w:themeColor="background1"/>
                <w:sz w:val="20"/>
                <w:szCs w:val="20"/>
                <w:lang w:val="es-ES"/>
              </w:rPr>
              <w:t>otificación de la petición al Estado:</w:t>
            </w:r>
          </w:p>
        </w:tc>
        <w:tc>
          <w:tcPr>
            <w:tcW w:w="5760" w:type="dxa"/>
            <w:vAlign w:val="center"/>
          </w:tcPr>
          <w:p w14:paraId="1519DA6A" w14:textId="15AFDA5E" w:rsidR="004C2312" w:rsidRPr="00213F85" w:rsidRDefault="00C744A6">
            <w:pPr>
              <w:jc w:val="both"/>
              <w:rPr>
                <w:rFonts w:ascii="Cambria" w:hAnsi="Cambria"/>
                <w:bCs/>
                <w:sz w:val="20"/>
                <w:szCs w:val="20"/>
                <w:lang w:val="es-ES"/>
              </w:rPr>
            </w:pPr>
            <w:r w:rsidRPr="00213F85">
              <w:rPr>
                <w:rFonts w:ascii="Cambria" w:hAnsi="Cambria"/>
                <w:bCs/>
                <w:sz w:val="20"/>
                <w:szCs w:val="20"/>
                <w:lang w:val="es-ES"/>
              </w:rPr>
              <w:t>29 de agosto de 2013</w:t>
            </w:r>
          </w:p>
        </w:tc>
      </w:tr>
      <w:tr w:rsidR="004C2312" w:rsidRPr="00213F85"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213F85" w:rsidRDefault="004A6A54">
            <w:pPr>
              <w:jc w:val="center"/>
              <w:rPr>
                <w:rFonts w:ascii="Cambria" w:hAnsi="Cambria"/>
                <w:b/>
                <w:bCs/>
                <w:color w:val="FFFFFF" w:themeColor="background1"/>
                <w:sz w:val="20"/>
                <w:szCs w:val="20"/>
                <w:lang w:val="es-ES"/>
              </w:rPr>
            </w:pPr>
            <w:r w:rsidRPr="00213F85">
              <w:rPr>
                <w:rFonts w:ascii="Cambria" w:hAnsi="Cambria"/>
                <w:b/>
                <w:color w:val="FFFFFF" w:themeColor="background1"/>
                <w:sz w:val="20"/>
                <w:szCs w:val="20"/>
                <w:lang w:val="es-ES"/>
              </w:rPr>
              <w:t>P</w:t>
            </w:r>
            <w:r w:rsidR="004C2312" w:rsidRPr="00213F85">
              <w:rPr>
                <w:rFonts w:ascii="Cambria" w:hAnsi="Cambria"/>
                <w:b/>
                <w:color w:val="FFFFFF" w:themeColor="background1"/>
                <w:sz w:val="20"/>
                <w:szCs w:val="20"/>
                <w:lang w:val="es-ES"/>
              </w:rPr>
              <w:t>rimera respuesta del Estado:</w:t>
            </w:r>
          </w:p>
        </w:tc>
        <w:tc>
          <w:tcPr>
            <w:tcW w:w="5760" w:type="dxa"/>
            <w:vAlign w:val="center"/>
          </w:tcPr>
          <w:p w14:paraId="1972B99E" w14:textId="7B185BD4" w:rsidR="004C2312" w:rsidRPr="00213F85" w:rsidRDefault="00C744A6">
            <w:pPr>
              <w:jc w:val="both"/>
              <w:rPr>
                <w:rFonts w:ascii="Cambria" w:hAnsi="Cambria"/>
                <w:bCs/>
                <w:sz w:val="20"/>
                <w:szCs w:val="20"/>
                <w:lang w:val="es-ES"/>
              </w:rPr>
            </w:pPr>
            <w:r w:rsidRPr="00213F85">
              <w:rPr>
                <w:rFonts w:ascii="Cambria" w:hAnsi="Cambria"/>
                <w:bCs/>
                <w:sz w:val="20"/>
                <w:szCs w:val="20"/>
                <w:lang w:val="es-ES"/>
              </w:rPr>
              <w:t>30 de enero de 2014</w:t>
            </w:r>
          </w:p>
        </w:tc>
      </w:tr>
      <w:tr w:rsidR="004C2312" w:rsidRPr="00C13D6C"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213F85" w:rsidRDefault="008E3BFE">
            <w:pPr>
              <w:jc w:val="center"/>
              <w:rPr>
                <w:rFonts w:ascii="Cambria" w:hAnsi="Cambria"/>
                <w:b/>
                <w:bCs/>
                <w:color w:val="FFFFFF" w:themeColor="background1"/>
                <w:sz w:val="20"/>
                <w:szCs w:val="20"/>
                <w:lang w:val="es-ES"/>
              </w:rPr>
            </w:pPr>
            <w:r w:rsidRPr="00213F85">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D19CC1F" w:rsidR="004C2312" w:rsidRPr="00213F85" w:rsidRDefault="00C744A6">
            <w:pPr>
              <w:jc w:val="both"/>
              <w:rPr>
                <w:rFonts w:ascii="Cambria" w:hAnsi="Cambria"/>
                <w:bCs/>
                <w:sz w:val="20"/>
                <w:szCs w:val="20"/>
                <w:lang w:val="es-ES"/>
              </w:rPr>
            </w:pPr>
            <w:r w:rsidRPr="00213F85">
              <w:rPr>
                <w:rFonts w:ascii="Cambria" w:hAnsi="Cambria"/>
                <w:bCs/>
                <w:sz w:val="20"/>
                <w:szCs w:val="20"/>
                <w:lang w:val="es-ES"/>
              </w:rPr>
              <w:t>8 y 18 de febrero, 4 de abril, 27 de mayo, 3 de junio, 2 de julio, 4 de septiembre, 24 y 28 de octubre y  18 de noviembre de 2014; 17 y 28 de abril, 8 de julio y 2 de diciembre</w:t>
            </w:r>
            <w:r w:rsidR="00E67201" w:rsidRPr="00213F85">
              <w:rPr>
                <w:rFonts w:ascii="Cambria" w:hAnsi="Cambria"/>
                <w:bCs/>
                <w:sz w:val="20"/>
                <w:szCs w:val="20"/>
                <w:lang w:val="es-ES"/>
              </w:rPr>
              <w:t xml:space="preserve"> de 2015; 8 de febrero</w:t>
            </w:r>
            <w:r w:rsidRPr="00213F85">
              <w:rPr>
                <w:rFonts w:ascii="Cambria" w:hAnsi="Cambria"/>
                <w:bCs/>
                <w:sz w:val="20"/>
                <w:szCs w:val="20"/>
                <w:lang w:val="es-ES"/>
              </w:rPr>
              <w:t xml:space="preserve">  14 de marzo </w:t>
            </w:r>
            <w:r w:rsidR="00E67201" w:rsidRPr="00213F85">
              <w:rPr>
                <w:rFonts w:ascii="Cambria" w:hAnsi="Cambria"/>
                <w:bCs/>
                <w:sz w:val="20"/>
                <w:szCs w:val="20"/>
                <w:lang w:val="es-ES"/>
              </w:rPr>
              <w:t xml:space="preserve">y 1 de junio </w:t>
            </w:r>
            <w:r w:rsidRPr="00565871">
              <w:rPr>
                <w:rFonts w:ascii="Cambria" w:hAnsi="Cambria"/>
                <w:bCs/>
                <w:sz w:val="20"/>
                <w:szCs w:val="20"/>
                <w:lang w:val="es-ES"/>
              </w:rPr>
              <w:t>de 2016</w:t>
            </w:r>
            <w:r w:rsidR="00E67201" w:rsidRPr="00213F85">
              <w:rPr>
                <w:rFonts w:ascii="Cambria" w:hAnsi="Cambria"/>
                <w:bCs/>
                <w:sz w:val="20"/>
                <w:szCs w:val="20"/>
                <w:lang w:val="es-ES"/>
              </w:rPr>
              <w:t>;</w:t>
            </w:r>
            <w:r w:rsidR="005B4D83" w:rsidRPr="00213F85">
              <w:rPr>
                <w:rFonts w:ascii="Cambria" w:hAnsi="Cambria"/>
                <w:bCs/>
                <w:sz w:val="20"/>
                <w:szCs w:val="20"/>
                <w:lang w:val="es-ES"/>
              </w:rPr>
              <w:t xml:space="preserve"> 15 de enero,</w:t>
            </w:r>
            <w:r w:rsidR="00E67201" w:rsidRPr="00213F85">
              <w:rPr>
                <w:rFonts w:ascii="Cambria" w:hAnsi="Cambria"/>
                <w:bCs/>
                <w:sz w:val="20"/>
                <w:szCs w:val="20"/>
                <w:lang w:val="es-ES"/>
              </w:rPr>
              <w:t xml:space="preserve"> 19</w:t>
            </w:r>
            <w:r w:rsidR="005B4D83" w:rsidRPr="00565871">
              <w:rPr>
                <w:rFonts w:ascii="Cambria" w:hAnsi="Cambria"/>
                <w:bCs/>
                <w:sz w:val="20"/>
                <w:szCs w:val="20"/>
                <w:lang w:val="es-ES"/>
              </w:rPr>
              <w:t>, 20, 22</w:t>
            </w:r>
            <w:r w:rsidR="00864D6D" w:rsidRPr="00565871">
              <w:rPr>
                <w:rFonts w:ascii="Cambria" w:hAnsi="Cambria"/>
                <w:bCs/>
                <w:sz w:val="20"/>
                <w:szCs w:val="20"/>
                <w:lang w:val="es-ES"/>
              </w:rPr>
              <w:t xml:space="preserve">, </w:t>
            </w:r>
            <w:r w:rsidR="005B4D83" w:rsidRPr="00565871">
              <w:rPr>
                <w:rFonts w:ascii="Cambria" w:hAnsi="Cambria"/>
                <w:bCs/>
                <w:sz w:val="20"/>
                <w:szCs w:val="20"/>
                <w:lang w:val="es-ES"/>
              </w:rPr>
              <w:t>25</w:t>
            </w:r>
            <w:r w:rsidR="00864D6D" w:rsidRPr="00565871">
              <w:rPr>
                <w:rFonts w:ascii="Cambria" w:hAnsi="Cambria"/>
                <w:bCs/>
                <w:sz w:val="20"/>
                <w:szCs w:val="20"/>
                <w:lang w:val="es-ES"/>
              </w:rPr>
              <w:t xml:space="preserve"> y 26</w:t>
            </w:r>
            <w:r w:rsidR="005B4D83" w:rsidRPr="00565871">
              <w:rPr>
                <w:rFonts w:ascii="Cambria" w:hAnsi="Cambria"/>
                <w:bCs/>
                <w:sz w:val="20"/>
                <w:szCs w:val="20"/>
                <w:lang w:val="es-ES"/>
              </w:rPr>
              <w:t xml:space="preserve"> </w:t>
            </w:r>
            <w:r w:rsidR="00E67201" w:rsidRPr="00565871">
              <w:rPr>
                <w:rFonts w:ascii="Cambria" w:hAnsi="Cambria"/>
                <w:bCs/>
                <w:sz w:val="20"/>
                <w:szCs w:val="20"/>
                <w:lang w:val="es-ES"/>
              </w:rPr>
              <w:t>de febrero de 2018</w:t>
            </w:r>
          </w:p>
        </w:tc>
      </w:tr>
      <w:tr w:rsidR="004C2312" w:rsidRPr="00C13D6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213F85" w:rsidRDefault="004C2312">
            <w:pPr>
              <w:jc w:val="center"/>
              <w:rPr>
                <w:rFonts w:ascii="Cambria" w:hAnsi="Cambria"/>
                <w:b/>
                <w:bCs/>
                <w:color w:val="FFFFFF" w:themeColor="background1"/>
                <w:sz w:val="20"/>
                <w:szCs w:val="20"/>
              </w:rPr>
            </w:pPr>
            <w:proofErr w:type="spellStart"/>
            <w:r w:rsidRPr="00213F85">
              <w:rPr>
                <w:rFonts w:ascii="Cambria" w:hAnsi="Cambria"/>
                <w:b/>
                <w:bCs/>
                <w:color w:val="FFFFFF" w:themeColor="background1"/>
                <w:sz w:val="20"/>
                <w:szCs w:val="20"/>
              </w:rPr>
              <w:t>Observaciones</w:t>
            </w:r>
            <w:proofErr w:type="spellEnd"/>
            <w:r w:rsidRPr="00213F85">
              <w:rPr>
                <w:rFonts w:ascii="Cambria" w:hAnsi="Cambria"/>
                <w:b/>
                <w:bCs/>
                <w:color w:val="FFFFFF" w:themeColor="background1"/>
                <w:sz w:val="20"/>
                <w:szCs w:val="20"/>
              </w:rPr>
              <w:t xml:space="preserve"> </w:t>
            </w:r>
            <w:proofErr w:type="spellStart"/>
            <w:r w:rsidRPr="00213F85">
              <w:rPr>
                <w:rFonts w:ascii="Cambria" w:hAnsi="Cambria"/>
                <w:b/>
                <w:bCs/>
                <w:color w:val="FFFFFF" w:themeColor="background1"/>
                <w:sz w:val="20"/>
                <w:szCs w:val="20"/>
              </w:rPr>
              <w:t>adicionales</w:t>
            </w:r>
            <w:proofErr w:type="spellEnd"/>
            <w:r w:rsidRPr="00213F85">
              <w:rPr>
                <w:rFonts w:ascii="Cambria" w:hAnsi="Cambria"/>
                <w:b/>
                <w:bCs/>
                <w:color w:val="FFFFFF" w:themeColor="background1"/>
                <w:sz w:val="20"/>
                <w:szCs w:val="20"/>
              </w:rPr>
              <w:t xml:space="preserve"> del Estado:</w:t>
            </w:r>
          </w:p>
        </w:tc>
        <w:tc>
          <w:tcPr>
            <w:tcW w:w="5760" w:type="dxa"/>
            <w:vAlign w:val="center"/>
          </w:tcPr>
          <w:p w14:paraId="3CE49AFE" w14:textId="3310370D" w:rsidR="004C2312" w:rsidRPr="00213F85" w:rsidRDefault="00C744A6">
            <w:pPr>
              <w:jc w:val="both"/>
              <w:rPr>
                <w:rFonts w:ascii="Cambria" w:hAnsi="Cambria"/>
                <w:bCs/>
                <w:sz w:val="20"/>
                <w:szCs w:val="20"/>
                <w:lang w:val="es-ES"/>
              </w:rPr>
            </w:pPr>
            <w:r w:rsidRPr="00213F85">
              <w:rPr>
                <w:rFonts w:ascii="Cambria" w:hAnsi="Cambria"/>
                <w:bCs/>
                <w:sz w:val="20"/>
                <w:szCs w:val="20"/>
                <w:lang w:val="es-ES"/>
              </w:rPr>
              <w:t>4 de febrero y 24 de abril de 2015</w:t>
            </w:r>
          </w:p>
        </w:tc>
      </w:tr>
    </w:tbl>
    <w:p w14:paraId="21DAA666" w14:textId="77777777" w:rsidR="003239B8" w:rsidRPr="00213F85" w:rsidRDefault="003239B8">
      <w:pPr>
        <w:spacing w:before="240" w:after="240"/>
        <w:ind w:firstLine="720"/>
        <w:jc w:val="both"/>
        <w:rPr>
          <w:rFonts w:asciiTheme="majorHAnsi" w:hAnsiTheme="majorHAnsi"/>
          <w:b/>
          <w:bCs/>
          <w:sz w:val="20"/>
          <w:szCs w:val="20"/>
          <w:lang w:val="es-ES"/>
        </w:rPr>
      </w:pPr>
      <w:r w:rsidRPr="00213F85">
        <w:rPr>
          <w:rFonts w:asciiTheme="majorHAnsi" w:hAnsiTheme="majorHAnsi"/>
          <w:b/>
          <w:bCs/>
          <w:sz w:val="20"/>
          <w:szCs w:val="20"/>
          <w:lang w:val="es-ES"/>
        </w:rPr>
        <w:t xml:space="preserve">III. </w:t>
      </w:r>
      <w:r w:rsidRPr="00213F85">
        <w:rPr>
          <w:rFonts w:asciiTheme="majorHAnsi" w:hAnsiTheme="majorHAnsi"/>
          <w:b/>
          <w:bCs/>
          <w:sz w:val="20"/>
          <w:szCs w:val="20"/>
          <w:lang w:val="es-ES"/>
        </w:rPr>
        <w:tab/>
        <w:t>COMPETENCIA</w:t>
      </w:r>
      <w:r w:rsidR="00EE00E9" w:rsidRPr="00213F8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13F85"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213F85" w:rsidRDefault="003239B8">
            <w:pPr>
              <w:jc w:val="center"/>
              <w:rPr>
                <w:rFonts w:ascii="Cambria" w:hAnsi="Cambria"/>
                <w:b/>
                <w:bCs/>
                <w:i/>
                <w:color w:val="FFFFFF" w:themeColor="background1"/>
                <w:sz w:val="20"/>
                <w:szCs w:val="20"/>
              </w:rPr>
            </w:pPr>
            <w:r w:rsidRPr="00213F85">
              <w:rPr>
                <w:rFonts w:ascii="Cambria" w:hAnsi="Cambria"/>
                <w:b/>
                <w:bCs/>
                <w:color w:val="FFFFFF" w:themeColor="background1"/>
                <w:sz w:val="20"/>
                <w:szCs w:val="20"/>
              </w:rPr>
              <w:t>Competencia</w:t>
            </w:r>
            <w:r w:rsidRPr="00213F85">
              <w:rPr>
                <w:rFonts w:ascii="Cambria" w:hAnsi="Cambria"/>
                <w:b/>
                <w:bCs/>
                <w:i/>
                <w:color w:val="FFFFFF" w:themeColor="background1"/>
                <w:sz w:val="20"/>
                <w:szCs w:val="20"/>
              </w:rPr>
              <w:t xml:space="preserve"> Ratione personae:</w:t>
            </w:r>
          </w:p>
        </w:tc>
        <w:tc>
          <w:tcPr>
            <w:tcW w:w="5760" w:type="dxa"/>
            <w:vAlign w:val="center"/>
          </w:tcPr>
          <w:p w14:paraId="7707F3E9" w14:textId="05D90849" w:rsidR="003239B8" w:rsidRPr="00213F85" w:rsidRDefault="00C744A6">
            <w:pPr>
              <w:rPr>
                <w:rFonts w:ascii="Cambria" w:hAnsi="Cambria"/>
                <w:bCs/>
                <w:sz w:val="20"/>
                <w:szCs w:val="20"/>
              </w:rPr>
            </w:pPr>
            <w:r w:rsidRPr="002067F3">
              <w:rPr>
                <w:rFonts w:ascii="Cambria" w:hAnsi="Cambria"/>
                <w:bCs/>
                <w:sz w:val="20"/>
                <w:szCs w:val="20"/>
                <w:lang w:val="es-ES"/>
              </w:rPr>
              <w:t>Sí</w:t>
            </w:r>
          </w:p>
        </w:tc>
      </w:tr>
      <w:tr w:rsidR="003239B8" w:rsidRPr="00213F85"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213F85" w:rsidRDefault="003239B8">
            <w:pPr>
              <w:jc w:val="center"/>
              <w:rPr>
                <w:rFonts w:ascii="Cambria" w:hAnsi="Cambria"/>
                <w:b/>
                <w:bCs/>
                <w:color w:val="FFFFFF" w:themeColor="background1"/>
                <w:sz w:val="20"/>
                <w:szCs w:val="20"/>
              </w:rPr>
            </w:pPr>
            <w:r w:rsidRPr="00213F85">
              <w:rPr>
                <w:rFonts w:ascii="Cambria" w:hAnsi="Cambria"/>
                <w:b/>
                <w:bCs/>
                <w:color w:val="FFFFFF" w:themeColor="background1"/>
                <w:sz w:val="20"/>
                <w:szCs w:val="20"/>
              </w:rPr>
              <w:t>Competencia</w:t>
            </w:r>
            <w:r w:rsidRPr="00213F85">
              <w:rPr>
                <w:rFonts w:ascii="Cambria" w:hAnsi="Cambria"/>
                <w:b/>
                <w:bCs/>
                <w:i/>
                <w:color w:val="FFFFFF" w:themeColor="background1"/>
                <w:sz w:val="20"/>
                <w:szCs w:val="20"/>
              </w:rPr>
              <w:t xml:space="preserve"> Ratione loci</w:t>
            </w:r>
            <w:r w:rsidRPr="00213F85">
              <w:rPr>
                <w:rFonts w:ascii="Cambria" w:hAnsi="Cambria"/>
                <w:b/>
                <w:bCs/>
                <w:color w:val="FFFFFF" w:themeColor="background1"/>
                <w:sz w:val="20"/>
                <w:szCs w:val="20"/>
              </w:rPr>
              <w:t>:</w:t>
            </w:r>
          </w:p>
        </w:tc>
        <w:tc>
          <w:tcPr>
            <w:tcW w:w="5760" w:type="dxa"/>
            <w:vAlign w:val="center"/>
          </w:tcPr>
          <w:p w14:paraId="12C931CB" w14:textId="721F82A0" w:rsidR="003239B8" w:rsidRPr="00213F85" w:rsidRDefault="00C744A6">
            <w:pPr>
              <w:rPr>
                <w:rFonts w:ascii="Cambria" w:hAnsi="Cambria"/>
                <w:bCs/>
                <w:sz w:val="20"/>
                <w:szCs w:val="20"/>
              </w:rPr>
            </w:pPr>
            <w:r w:rsidRPr="002067F3">
              <w:rPr>
                <w:rFonts w:ascii="Cambria" w:hAnsi="Cambria"/>
                <w:bCs/>
                <w:sz w:val="20"/>
                <w:szCs w:val="20"/>
                <w:lang w:val="es-ES"/>
              </w:rPr>
              <w:t>Sí</w:t>
            </w:r>
          </w:p>
        </w:tc>
      </w:tr>
      <w:tr w:rsidR="003239B8" w:rsidRPr="00213F85"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213F85" w:rsidRDefault="003239B8">
            <w:pPr>
              <w:jc w:val="center"/>
              <w:rPr>
                <w:rFonts w:ascii="Cambria" w:hAnsi="Cambria"/>
                <w:b/>
                <w:bCs/>
                <w:color w:val="FFFFFF" w:themeColor="background1"/>
                <w:sz w:val="20"/>
                <w:szCs w:val="20"/>
              </w:rPr>
            </w:pPr>
            <w:r w:rsidRPr="00213F85">
              <w:rPr>
                <w:rFonts w:ascii="Cambria" w:hAnsi="Cambria"/>
                <w:b/>
                <w:bCs/>
                <w:color w:val="FFFFFF" w:themeColor="background1"/>
                <w:sz w:val="20"/>
                <w:szCs w:val="20"/>
              </w:rPr>
              <w:t>Competencia</w:t>
            </w:r>
            <w:r w:rsidRPr="00213F85">
              <w:rPr>
                <w:rFonts w:ascii="Cambria" w:hAnsi="Cambria"/>
                <w:b/>
                <w:bCs/>
                <w:i/>
                <w:color w:val="FFFFFF" w:themeColor="background1"/>
                <w:sz w:val="20"/>
                <w:szCs w:val="20"/>
              </w:rPr>
              <w:t xml:space="preserve"> Ratione temporis</w:t>
            </w:r>
            <w:r w:rsidRPr="00213F85">
              <w:rPr>
                <w:rFonts w:ascii="Cambria" w:hAnsi="Cambria"/>
                <w:b/>
                <w:bCs/>
                <w:color w:val="FFFFFF" w:themeColor="background1"/>
                <w:sz w:val="20"/>
                <w:szCs w:val="20"/>
              </w:rPr>
              <w:t>:</w:t>
            </w:r>
          </w:p>
        </w:tc>
        <w:tc>
          <w:tcPr>
            <w:tcW w:w="5760" w:type="dxa"/>
            <w:vAlign w:val="center"/>
          </w:tcPr>
          <w:p w14:paraId="6F8B059B" w14:textId="3F0F790D" w:rsidR="003239B8" w:rsidRPr="00213F85" w:rsidRDefault="00C744A6">
            <w:pPr>
              <w:rPr>
                <w:bCs/>
                <w:sz w:val="20"/>
                <w:szCs w:val="20"/>
              </w:rPr>
            </w:pPr>
            <w:r w:rsidRPr="002067F3">
              <w:rPr>
                <w:rFonts w:ascii="Cambria" w:hAnsi="Cambria"/>
                <w:bCs/>
                <w:sz w:val="20"/>
                <w:szCs w:val="20"/>
                <w:lang w:val="es-ES"/>
              </w:rPr>
              <w:t>Sí</w:t>
            </w:r>
          </w:p>
        </w:tc>
      </w:tr>
      <w:tr w:rsidR="003239B8" w:rsidRPr="00C13D6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213F85" w:rsidRDefault="003239B8">
            <w:pPr>
              <w:jc w:val="center"/>
              <w:rPr>
                <w:rFonts w:ascii="Cambria" w:hAnsi="Cambria"/>
                <w:b/>
                <w:bCs/>
                <w:color w:val="FFFFFF" w:themeColor="background1"/>
                <w:sz w:val="20"/>
                <w:szCs w:val="20"/>
              </w:rPr>
            </w:pPr>
            <w:r w:rsidRPr="00213F85">
              <w:rPr>
                <w:rFonts w:ascii="Cambria" w:hAnsi="Cambria"/>
                <w:b/>
                <w:bCs/>
                <w:color w:val="FFFFFF" w:themeColor="background1"/>
                <w:sz w:val="20"/>
                <w:szCs w:val="20"/>
              </w:rPr>
              <w:t>Competencia</w:t>
            </w:r>
            <w:r w:rsidRPr="00213F85">
              <w:rPr>
                <w:rFonts w:ascii="Cambria" w:hAnsi="Cambria"/>
                <w:b/>
                <w:bCs/>
                <w:i/>
                <w:color w:val="FFFFFF" w:themeColor="background1"/>
                <w:sz w:val="20"/>
                <w:szCs w:val="20"/>
              </w:rPr>
              <w:t xml:space="preserve"> Ratione materia</w:t>
            </w:r>
            <w:r w:rsidR="00EE00E9" w:rsidRPr="00213F85">
              <w:rPr>
                <w:rFonts w:ascii="Cambria" w:hAnsi="Cambria"/>
                <w:b/>
                <w:bCs/>
                <w:i/>
                <w:color w:val="FFFFFF" w:themeColor="background1"/>
                <w:sz w:val="20"/>
                <w:szCs w:val="20"/>
              </w:rPr>
              <w:t>e</w:t>
            </w:r>
            <w:r w:rsidRPr="00213F85">
              <w:rPr>
                <w:rFonts w:ascii="Cambria" w:hAnsi="Cambria"/>
                <w:b/>
                <w:bCs/>
                <w:color w:val="FFFFFF" w:themeColor="background1"/>
                <w:sz w:val="20"/>
                <w:szCs w:val="20"/>
              </w:rPr>
              <w:t>:</w:t>
            </w:r>
          </w:p>
        </w:tc>
        <w:tc>
          <w:tcPr>
            <w:tcW w:w="5760" w:type="dxa"/>
            <w:vAlign w:val="center"/>
          </w:tcPr>
          <w:p w14:paraId="0C122F44" w14:textId="77ACD36C" w:rsidR="003239B8" w:rsidRPr="00213F85" w:rsidRDefault="00C744A6">
            <w:pPr>
              <w:jc w:val="both"/>
              <w:rPr>
                <w:rFonts w:ascii="Cambria" w:hAnsi="Cambria"/>
                <w:bCs/>
                <w:sz w:val="20"/>
                <w:szCs w:val="20"/>
                <w:lang w:val="es-ES"/>
              </w:rPr>
            </w:pPr>
            <w:r w:rsidRPr="00213F85">
              <w:rPr>
                <w:rFonts w:ascii="Cambria" w:hAnsi="Cambria"/>
                <w:bCs/>
                <w:sz w:val="20"/>
                <w:szCs w:val="20"/>
                <w:lang w:val="es-ES"/>
              </w:rPr>
              <w:t>Sí, Convención Americana (depósito de instrumento realizado el 31 de julio de 1973)</w:t>
            </w:r>
          </w:p>
        </w:tc>
      </w:tr>
    </w:tbl>
    <w:p w14:paraId="4E92C444" w14:textId="1DAF1B79" w:rsidR="003239B8" w:rsidRPr="00213F85" w:rsidRDefault="003239B8">
      <w:pPr>
        <w:spacing w:before="240" w:after="240"/>
        <w:ind w:firstLine="720"/>
        <w:jc w:val="both"/>
        <w:rPr>
          <w:rFonts w:asciiTheme="majorHAnsi" w:hAnsiTheme="majorHAnsi"/>
          <w:b/>
          <w:bCs/>
          <w:sz w:val="20"/>
          <w:szCs w:val="20"/>
          <w:lang w:val="es-ES"/>
        </w:rPr>
      </w:pPr>
      <w:r w:rsidRPr="00213F85">
        <w:rPr>
          <w:rFonts w:asciiTheme="majorHAnsi" w:hAnsiTheme="majorHAnsi"/>
          <w:b/>
          <w:bCs/>
          <w:sz w:val="20"/>
          <w:szCs w:val="20"/>
          <w:lang w:val="es-ES"/>
        </w:rPr>
        <w:t xml:space="preserve">IV. </w:t>
      </w:r>
      <w:r w:rsidRPr="00213F85">
        <w:rPr>
          <w:rFonts w:asciiTheme="majorHAnsi" w:hAnsiTheme="majorHAnsi"/>
          <w:b/>
          <w:bCs/>
          <w:sz w:val="20"/>
          <w:szCs w:val="20"/>
          <w:lang w:val="es-ES"/>
        </w:rPr>
        <w:tab/>
      </w:r>
      <w:r w:rsidR="00EE00E9" w:rsidRPr="00213F85">
        <w:rPr>
          <w:rFonts w:asciiTheme="majorHAnsi" w:hAnsiTheme="majorHAnsi"/>
          <w:b/>
          <w:bCs/>
          <w:sz w:val="20"/>
          <w:szCs w:val="20"/>
          <w:lang w:val="es-ES"/>
        </w:rPr>
        <w:t>DUPLICACIÓN</w:t>
      </w:r>
      <w:r w:rsidR="00EE00E9" w:rsidRPr="00213F85">
        <w:rPr>
          <w:rFonts w:asciiTheme="majorHAnsi" w:hAnsiTheme="majorHAnsi"/>
          <w:b/>
          <w:bCs/>
          <w:color w:val="FFFFFF" w:themeColor="background1"/>
          <w:sz w:val="20"/>
          <w:szCs w:val="20"/>
          <w:lang w:val="es-ES"/>
        </w:rPr>
        <w:t xml:space="preserve"> </w:t>
      </w:r>
      <w:r w:rsidR="00EE00E9" w:rsidRPr="00213F85">
        <w:rPr>
          <w:rFonts w:asciiTheme="majorHAnsi" w:hAnsiTheme="majorHAnsi"/>
          <w:b/>
          <w:bCs/>
          <w:sz w:val="20"/>
          <w:szCs w:val="20"/>
          <w:lang w:val="es-ES"/>
        </w:rPr>
        <w:t>DE PROCEDIMIENTOS Y COSA JUZGADA</w:t>
      </w:r>
      <w:r w:rsidR="00EE00E9" w:rsidRPr="00213F85">
        <w:rPr>
          <w:rFonts w:asciiTheme="majorHAnsi" w:hAnsiTheme="majorHAnsi"/>
          <w:b/>
          <w:bCs/>
          <w:i/>
          <w:sz w:val="20"/>
          <w:szCs w:val="20"/>
          <w:lang w:val="es-ES"/>
        </w:rPr>
        <w:t xml:space="preserve"> </w:t>
      </w:r>
      <w:r w:rsidR="00EE00E9" w:rsidRPr="00213F85">
        <w:rPr>
          <w:rFonts w:asciiTheme="majorHAnsi" w:hAnsiTheme="majorHAnsi"/>
          <w:b/>
          <w:bCs/>
          <w:sz w:val="20"/>
          <w:szCs w:val="20"/>
          <w:lang w:val="es-ES"/>
        </w:rPr>
        <w:t xml:space="preserve">INTERNACIONAL, </w:t>
      </w:r>
      <w:r w:rsidRPr="00213F85">
        <w:rPr>
          <w:rFonts w:asciiTheme="majorHAnsi" w:hAnsiTheme="majorHAnsi"/>
          <w:b/>
          <w:bCs/>
          <w:sz w:val="20"/>
          <w:szCs w:val="20"/>
          <w:lang w:val="es-ES"/>
        </w:rPr>
        <w:t xml:space="preserve"> CARACTERIZACIÓN, </w:t>
      </w:r>
      <w:r w:rsidRPr="00213F8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13F8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213F85" w:rsidRDefault="00EE00E9">
            <w:pPr>
              <w:jc w:val="center"/>
              <w:rPr>
                <w:rFonts w:ascii="Cambria" w:hAnsi="Cambria"/>
                <w:b/>
                <w:bCs/>
                <w:color w:val="FFFFFF" w:themeColor="background1"/>
                <w:sz w:val="20"/>
                <w:szCs w:val="20"/>
                <w:lang w:val="es-ES"/>
              </w:rPr>
            </w:pPr>
            <w:r w:rsidRPr="00213F85">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9C47E7F" w:rsidR="00EE00E9" w:rsidRPr="00213F85" w:rsidRDefault="00C744A6">
            <w:pPr>
              <w:jc w:val="both"/>
              <w:rPr>
                <w:rFonts w:ascii="Cambria" w:hAnsi="Cambria"/>
                <w:bCs/>
                <w:sz w:val="20"/>
                <w:szCs w:val="20"/>
                <w:lang w:val="es-ES"/>
              </w:rPr>
            </w:pPr>
            <w:r w:rsidRPr="00213F85">
              <w:rPr>
                <w:rFonts w:ascii="Cambria" w:hAnsi="Cambria"/>
                <w:bCs/>
                <w:sz w:val="20"/>
                <w:szCs w:val="20"/>
                <w:lang w:val="es-ES"/>
              </w:rPr>
              <w:t>No</w:t>
            </w:r>
          </w:p>
        </w:tc>
      </w:tr>
      <w:tr w:rsidR="003239B8" w:rsidRPr="00C13D6C"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213F85" w:rsidRDefault="003239B8">
            <w:pPr>
              <w:jc w:val="center"/>
              <w:rPr>
                <w:rFonts w:ascii="Cambria" w:hAnsi="Cambria"/>
                <w:b/>
                <w:bCs/>
                <w:i/>
                <w:color w:val="FFFFFF" w:themeColor="background1"/>
                <w:sz w:val="20"/>
                <w:szCs w:val="20"/>
              </w:rPr>
            </w:pPr>
            <w:r w:rsidRPr="00213F85">
              <w:rPr>
                <w:rFonts w:ascii="Cambria" w:hAnsi="Cambria"/>
                <w:b/>
                <w:bCs/>
                <w:color w:val="FFFFFF" w:themeColor="background1"/>
                <w:sz w:val="20"/>
                <w:szCs w:val="20"/>
              </w:rPr>
              <w:t>Derechos declarados admisibles</w:t>
            </w:r>
            <w:r w:rsidRPr="00213F85">
              <w:rPr>
                <w:rFonts w:ascii="Cambria" w:hAnsi="Cambria"/>
                <w:b/>
                <w:bCs/>
                <w:i/>
                <w:color w:val="FFFFFF" w:themeColor="background1"/>
                <w:sz w:val="20"/>
                <w:szCs w:val="20"/>
              </w:rPr>
              <w:t>:</w:t>
            </w:r>
          </w:p>
        </w:tc>
        <w:tc>
          <w:tcPr>
            <w:tcW w:w="5760" w:type="dxa"/>
            <w:vAlign w:val="center"/>
          </w:tcPr>
          <w:p w14:paraId="6310C8F7" w14:textId="5380F553" w:rsidR="003239B8" w:rsidRPr="00213F85" w:rsidRDefault="00C744A6">
            <w:pPr>
              <w:jc w:val="both"/>
              <w:rPr>
                <w:rFonts w:ascii="Cambria" w:hAnsi="Cambria"/>
                <w:bCs/>
                <w:sz w:val="20"/>
                <w:szCs w:val="20"/>
                <w:lang w:val="es-ES"/>
              </w:rPr>
            </w:pPr>
            <w:r w:rsidRPr="00213F85">
              <w:rPr>
                <w:rFonts w:ascii="Cambria" w:hAnsi="Cambria"/>
                <w:bCs/>
                <w:sz w:val="20"/>
                <w:szCs w:val="20"/>
                <w:lang w:val="es-ES"/>
              </w:rPr>
              <w:t>Artículos 4 (vida), 5 (integridad personal), 8 (garantías judiciales),  19 (</w:t>
            </w:r>
            <w:r w:rsidR="001C3DEF" w:rsidRPr="00213F85">
              <w:rPr>
                <w:rFonts w:ascii="Cambria" w:hAnsi="Cambria"/>
                <w:bCs/>
                <w:sz w:val="20"/>
                <w:szCs w:val="20"/>
                <w:lang w:val="es-ES"/>
              </w:rPr>
              <w:t>derechos del niño</w:t>
            </w:r>
            <w:r w:rsidRPr="00213F85">
              <w:rPr>
                <w:rFonts w:ascii="Cambria" w:hAnsi="Cambria"/>
                <w:bCs/>
                <w:sz w:val="20"/>
                <w:szCs w:val="20"/>
                <w:lang w:val="es-ES"/>
              </w:rPr>
              <w:t xml:space="preserve">), </w:t>
            </w:r>
            <w:r w:rsidR="00565871" w:rsidRPr="00565871">
              <w:rPr>
                <w:rFonts w:ascii="Cambria" w:hAnsi="Cambria"/>
                <w:bCs/>
                <w:sz w:val="20"/>
                <w:szCs w:val="20"/>
                <w:lang w:val="es-ES"/>
              </w:rPr>
              <w:t xml:space="preserve">22(circulación y residencia), </w:t>
            </w:r>
            <w:r w:rsidRPr="00213F85">
              <w:rPr>
                <w:rFonts w:ascii="Cambria" w:hAnsi="Cambria"/>
                <w:bCs/>
                <w:sz w:val="20"/>
                <w:szCs w:val="20"/>
                <w:lang w:val="es-ES"/>
              </w:rPr>
              <w:t>25 (protección judicial) y 26 (derechos económicos, sociales y culturales) de la Convención en relación con sus artículos 1.1 (obligación de respetar los derechos) y 2 (deber de adoptar disposiciones de derecho interno)</w:t>
            </w:r>
          </w:p>
        </w:tc>
      </w:tr>
      <w:tr w:rsidR="003239B8" w:rsidRPr="00C13D6C"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213F85" w:rsidRDefault="003239B8">
            <w:pPr>
              <w:jc w:val="center"/>
              <w:rPr>
                <w:rFonts w:ascii="Cambria" w:hAnsi="Cambria"/>
                <w:b/>
                <w:bCs/>
                <w:color w:val="FFFFFF" w:themeColor="background1"/>
                <w:sz w:val="20"/>
                <w:szCs w:val="20"/>
                <w:lang w:val="es-ES"/>
              </w:rPr>
            </w:pPr>
            <w:r w:rsidRPr="00213F85">
              <w:rPr>
                <w:rFonts w:ascii="Cambria" w:hAnsi="Cambria"/>
                <w:b/>
                <w:bCs/>
                <w:color w:val="FFFFFF" w:themeColor="background1"/>
                <w:sz w:val="20"/>
                <w:szCs w:val="20"/>
                <w:lang w:val="es-ES"/>
              </w:rPr>
              <w:lastRenderedPageBreak/>
              <w:t>Agotamiento de recursos internos</w:t>
            </w:r>
            <w:r w:rsidR="00EE00E9" w:rsidRPr="00213F85">
              <w:rPr>
                <w:rFonts w:ascii="Cambria" w:hAnsi="Cambria"/>
                <w:b/>
                <w:bCs/>
                <w:color w:val="FFFFFF" w:themeColor="background1"/>
                <w:sz w:val="20"/>
                <w:szCs w:val="20"/>
                <w:lang w:val="es-ES"/>
              </w:rPr>
              <w:t xml:space="preserve"> o procedencia de una excepción</w:t>
            </w:r>
            <w:r w:rsidRPr="00213F85">
              <w:rPr>
                <w:rFonts w:ascii="Cambria" w:hAnsi="Cambria"/>
                <w:b/>
                <w:bCs/>
                <w:color w:val="FFFFFF" w:themeColor="background1"/>
                <w:sz w:val="20"/>
                <w:szCs w:val="20"/>
                <w:lang w:val="es-ES"/>
              </w:rPr>
              <w:t>:</w:t>
            </w:r>
          </w:p>
        </w:tc>
        <w:tc>
          <w:tcPr>
            <w:tcW w:w="5760" w:type="dxa"/>
            <w:vAlign w:val="center"/>
          </w:tcPr>
          <w:p w14:paraId="69C53E8A" w14:textId="69D8858F" w:rsidR="003239B8" w:rsidRPr="00213F85" w:rsidRDefault="00C744A6">
            <w:pPr>
              <w:rPr>
                <w:rFonts w:ascii="Cambria" w:hAnsi="Cambria"/>
                <w:bCs/>
                <w:sz w:val="20"/>
                <w:szCs w:val="20"/>
                <w:lang w:val="es-ES"/>
              </w:rPr>
            </w:pPr>
            <w:r w:rsidRPr="00213F85">
              <w:rPr>
                <w:rFonts w:ascii="Cambria" w:hAnsi="Cambria"/>
                <w:bCs/>
                <w:sz w:val="20"/>
                <w:szCs w:val="20"/>
                <w:lang w:val="es-ES"/>
              </w:rPr>
              <w:t>Sí, en los términos de la sección VI</w:t>
            </w:r>
          </w:p>
        </w:tc>
      </w:tr>
      <w:tr w:rsidR="003239B8" w:rsidRPr="00C13D6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213F85" w:rsidRDefault="003239B8">
            <w:pPr>
              <w:jc w:val="center"/>
              <w:rPr>
                <w:rFonts w:ascii="Cambria" w:hAnsi="Cambria"/>
                <w:b/>
                <w:bCs/>
                <w:color w:val="FFFFFF" w:themeColor="background1"/>
                <w:sz w:val="20"/>
                <w:szCs w:val="20"/>
              </w:rPr>
            </w:pPr>
            <w:proofErr w:type="spellStart"/>
            <w:r w:rsidRPr="00213F85">
              <w:rPr>
                <w:rFonts w:ascii="Cambria" w:hAnsi="Cambria"/>
                <w:b/>
                <w:bCs/>
                <w:color w:val="FFFFFF" w:themeColor="background1"/>
                <w:sz w:val="20"/>
                <w:szCs w:val="20"/>
              </w:rPr>
              <w:t>Presentación</w:t>
            </w:r>
            <w:proofErr w:type="spellEnd"/>
            <w:r w:rsidRPr="00213F85">
              <w:rPr>
                <w:rFonts w:ascii="Cambria" w:hAnsi="Cambria"/>
                <w:b/>
                <w:bCs/>
                <w:color w:val="FFFFFF" w:themeColor="background1"/>
                <w:sz w:val="20"/>
                <w:szCs w:val="20"/>
              </w:rPr>
              <w:t xml:space="preserve"> </w:t>
            </w:r>
            <w:proofErr w:type="spellStart"/>
            <w:r w:rsidRPr="00213F85">
              <w:rPr>
                <w:rFonts w:ascii="Cambria" w:hAnsi="Cambria"/>
                <w:b/>
                <w:bCs/>
                <w:color w:val="FFFFFF" w:themeColor="background1"/>
                <w:sz w:val="20"/>
                <w:szCs w:val="20"/>
              </w:rPr>
              <w:t>dentro</w:t>
            </w:r>
            <w:proofErr w:type="spellEnd"/>
            <w:r w:rsidRPr="00213F85">
              <w:rPr>
                <w:rFonts w:ascii="Cambria" w:hAnsi="Cambria"/>
                <w:b/>
                <w:bCs/>
                <w:color w:val="FFFFFF" w:themeColor="background1"/>
                <w:sz w:val="20"/>
                <w:szCs w:val="20"/>
              </w:rPr>
              <w:t xml:space="preserve"> de </w:t>
            </w:r>
            <w:proofErr w:type="spellStart"/>
            <w:r w:rsidRPr="00213F85">
              <w:rPr>
                <w:rFonts w:ascii="Cambria" w:hAnsi="Cambria"/>
                <w:b/>
                <w:bCs/>
                <w:color w:val="FFFFFF" w:themeColor="background1"/>
                <w:sz w:val="20"/>
                <w:szCs w:val="20"/>
              </w:rPr>
              <w:t>plazo</w:t>
            </w:r>
            <w:proofErr w:type="spellEnd"/>
            <w:r w:rsidRPr="00213F85">
              <w:rPr>
                <w:rFonts w:ascii="Cambria" w:hAnsi="Cambria"/>
                <w:b/>
                <w:bCs/>
                <w:color w:val="FFFFFF" w:themeColor="background1"/>
                <w:sz w:val="20"/>
                <w:szCs w:val="20"/>
              </w:rPr>
              <w:t>:</w:t>
            </w:r>
          </w:p>
        </w:tc>
        <w:tc>
          <w:tcPr>
            <w:tcW w:w="5760" w:type="dxa"/>
            <w:vAlign w:val="center"/>
          </w:tcPr>
          <w:p w14:paraId="4A2A4569" w14:textId="322096FC" w:rsidR="003239B8" w:rsidRPr="00213F85" w:rsidRDefault="00C744A6">
            <w:pPr>
              <w:rPr>
                <w:bCs/>
                <w:sz w:val="20"/>
                <w:szCs w:val="20"/>
                <w:lang w:val="es-ES"/>
              </w:rPr>
            </w:pPr>
            <w:r w:rsidRPr="00213F85">
              <w:rPr>
                <w:rFonts w:ascii="Cambria" w:hAnsi="Cambria"/>
                <w:bCs/>
                <w:sz w:val="20"/>
                <w:szCs w:val="20"/>
                <w:lang w:val="es-ES"/>
              </w:rPr>
              <w:t>Sí, en los términos de la sección VI</w:t>
            </w:r>
          </w:p>
        </w:tc>
      </w:tr>
    </w:tbl>
    <w:p w14:paraId="3EC30742" w14:textId="4FB400FE" w:rsidR="00C744A6" w:rsidRPr="00213F85" w:rsidRDefault="00223A29">
      <w:pPr>
        <w:spacing w:before="240" w:after="240"/>
        <w:ind w:firstLine="720"/>
        <w:jc w:val="both"/>
        <w:rPr>
          <w:rFonts w:asciiTheme="majorHAnsi" w:hAnsiTheme="majorHAnsi"/>
          <w:b/>
          <w:sz w:val="20"/>
          <w:szCs w:val="20"/>
          <w:lang w:val="es-UY"/>
        </w:rPr>
      </w:pPr>
      <w:r w:rsidRPr="00213F85">
        <w:rPr>
          <w:rFonts w:asciiTheme="majorHAnsi" w:hAnsiTheme="majorHAnsi"/>
          <w:b/>
          <w:sz w:val="20"/>
          <w:szCs w:val="20"/>
          <w:lang w:val="es-UY"/>
        </w:rPr>
        <w:t xml:space="preserve">V. </w:t>
      </w:r>
      <w:r w:rsidRPr="00213F85">
        <w:rPr>
          <w:rFonts w:asciiTheme="majorHAnsi" w:hAnsiTheme="majorHAnsi"/>
          <w:b/>
          <w:sz w:val="20"/>
          <w:szCs w:val="20"/>
          <w:lang w:val="es-UY"/>
        </w:rPr>
        <w:tab/>
      </w:r>
      <w:r w:rsidR="003239B8" w:rsidRPr="00213F85">
        <w:rPr>
          <w:rFonts w:asciiTheme="majorHAnsi" w:hAnsiTheme="majorHAnsi"/>
          <w:b/>
          <w:sz w:val="20"/>
          <w:szCs w:val="20"/>
          <w:lang w:val="es-UY"/>
        </w:rPr>
        <w:t xml:space="preserve">HECHOS ALEGADOS </w:t>
      </w:r>
    </w:p>
    <w:p w14:paraId="27A55938" w14:textId="0B69F402" w:rsidR="00C744A6" w:rsidRPr="00213F85" w:rsidRDefault="00C744A6">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Los peticionarios presentan la petición, en representación de 226 presuntas víctimas y sus familias. Indican ser personas provenientes de diversas regiones de Colombia que, debido al conflicto armado interno, debieron desplazarse a Bogotá para salvaguardar sus vidas. Sostienen que, ante la negativa de protección y asistencia por parte de las autoridades estatales, el 14 de diciembre de 1999 formaron parte de las 500 familias desplazadas que ocuparon las instalaciones del Comité Internacional de la Cruz Roja (CICR) con el objeto de logar un diálogo con las autoridades. Señalan que en dicho grupo de familias había mujeres embarazadas, niños, niñas, adolescentes y personas adultas mayores. Refieren que, tras semanas en condiciones extremas de precariedad y hacinamiento, sin contar con acceso a centros hospitalarios, ni colegios, el Defensor del Pueblo interpuso una acción de tutela con el fin de obtener la protección inmediata de los derechos fundamentales de 208 de las familias desplazadas que participaban de la ocupación. </w:t>
      </w:r>
    </w:p>
    <w:p w14:paraId="7AC296B6" w14:textId="77777777" w:rsidR="00C744A6" w:rsidRPr="00213F85" w:rsidRDefault="00C744A6">
      <w:pPr>
        <w:pStyle w:val="ListParagraph"/>
        <w:jc w:val="both"/>
        <w:rPr>
          <w:rFonts w:eastAsia="Arial Unicode MS" w:cs="Times New Roman"/>
          <w:color w:val="auto"/>
          <w:sz w:val="20"/>
          <w:szCs w:val="20"/>
          <w:lang w:val="es-ES" w:eastAsia="en-US"/>
        </w:rPr>
      </w:pPr>
    </w:p>
    <w:p w14:paraId="661221DB" w14:textId="2EA9486A" w:rsidR="00C744A6" w:rsidRPr="00213F85" w:rsidRDefault="00C744A6">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Manifiestan que la tutela fue rechazada por el Juzgado 37 Penal del Circuito de </w:t>
      </w:r>
      <w:r w:rsidR="008A1A6E" w:rsidRPr="00213F85">
        <w:rPr>
          <w:rFonts w:eastAsia="Arial Unicode MS" w:cs="Times New Roman"/>
          <w:color w:val="auto"/>
          <w:sz w:val="20"/>
          <w:szCs w:val="20"/>
          <w:lang w:val="es-ES" w:eastAsia="en-US"/>
        </w:rPr>
        <w:t xml:space="preserve">Bogotá el 24 de marzo de 2000. Indican, sin embargo, que el tribunal expresamente reconoció que las niñas y niños se encontraban en deficiente estado nutricional, que vivían en condiciones muy precarias, y que presentaban afectaciones físicas y psíquicas. Refieren que el rechazó </w:t>
      </w:r>
      <w:r w:rsidRPr="00213F85">
        <w:rPr>
          <w:rFonts w:eastAsia="Arial Unicode MS" w:cs="Times New Roman"/>
          <w:color w:val="auto"/>
          <w:sz w:val="20"/>
          <w:szCs w:val="20"/>
          <w:lang w:val="es-ES" w:eastAsia="en-US"/>
        </w:rPr>
        <w:t>fue</w:t>
      </w:r>
      <w:r w:rsidR="008A1A6E" w:rsidRPr="00213F85">
        <w:rPr>
          <w:rFonts w:eastAsia="Arial Unicode MS" w:cs="Times New Roman"/>
          <w:color w:val="auto"/>
          <w:sz w:val="20"/>
          <w:szCs w:val="20"/>
          <w:lang w:val="es-ES" w:eastAsia="en-US"/>
        </w:rPr>
        <w:t xml:space="preserve"> confirmado</w:t>
      </w:r>
      <w:r w:rsidRPr="00213F85">
        <w:rPr>
          <w:rFonts w:eastAsia="Arial Unicode MS" w:cs="Times New Roman"/>
          <w:color w:val="auto"/>
          <w:sz w:val="20"/>
          <w:szCs w:val="20"/>
          <w:lang w:val="es-ES" w:eastAsia="en-US"/>
        </w:rPr>
        <w:t xml:space="preserve"> por la Sala Penal del Tribunal Superior d</w:t>
      </w:r>
      <w:r w:rsidR="008A1A6E" w:rsidRPr="00213F85">
        <w:rPr>
          <w:rFonts w:eastAsia="Arial Unicode MS" w:cs="Times New Roman"/>
          <w:color w:val="auto"/>
          <w:sz w:val="20"/>
          <w:szCs w:val="20"/>
          <w:lang w:val="es-ES" w:eastAsia="en-US"/>
        </w:rPr>
        <w:t>e Bogotá el 16 de mayo de 2000,</w:t>
      </w:r>
      <w:r w:rsidRPr="00213F85">
        <w:rPr>
          <w:rFonts w:eastAsia="Arial Unicode MS" w:cs="Times New Roman"/>
          <w:color w:val="auto"/>
          <w:sz w:val="20"/>
          <w:szCs w:val="20"/>
          <w:lang w:val="es-ES" w:eastAsia="en-US"/>
        </w:rPr>
        <w:t xml:space="preserve"> resolución</w:t>
      </w:r>
      <w:r w:rsidR="008A1A6E" w:rsidRPr="00213F85">
        <w:rPr>
          <w:rFonts w:eastAsia="Arial Unicode MS" w:cs="Times New Roman"/>
          <w:color w:val="auto"/>
          <w:sz w:val="20"/>
          <w:szCs w:val="20"/>
          <w:lang w:val="es-ES" w:eastAsia="en-US"/>
        </w:rPr>
        <w:t xml:space="preserve"> que</w:t>
      </w:r>
      <w:r w:rsidRPr="00213F85">
        <w:rPr>
          <w:rFonts w:eastAsia="Arial Unicode MS" w:cs="Times New Roman"/>
          <w:color w:val="auto"/>
          <w:sz w:val="20"/>
          <w:szCs w:val="20"/>
          <w:lang w:val="es-ES" w:eastAsia="en-US"/>
        </w:rPr>
        <w:t xml:space="preserve"> fue revisada el 27 de noviembre de 2000 por la Corte Constitucional que concedió la tutela mediante sentencia T-1635-00. En dicha sentencia la Corte declaró que la omisión de las autoridades públicas había vulnerado diversos derechos constitucionales de las personas incluidas en la tutela, ordenando al Presidente de la República y a diversas autoridades que en un plazo de 30 días otorgaran una solución definitiva, eficaz y pacífica a la situación creada por la ocupación de la sede del CICR. La sentencia ordenó a las autoridades reubicar a las familias y atender sus necesidades de alimentación, trabajo, vestuario, salud, vivienda y educación. Señalan que en ejecución de lo ordenado por la Corte, el 29 de enero de 2001 las autoridades estatales les presentaron una “oferta institucional” consistente en el pago de hasta $762.547 pesos colombianos (aproximadamente USD 331.54 de la época) por familia por concepto de ayuda humanitaria, montos que arbitrariamente se dejaron de otorgar el 21 de agosto de 2001. </w:t>
      </w:r>
    </w:p>
    <w:p w14:paraId="1A044F36" w14:textId="77777777" w:rsidR="00C744A6" w:rsidRPr="00213F85" w:rsidRDefault="00C744A6">
      <w:pPr>
        <w:pStyle w:val="ListParagraph"/>
        <w:jc w:val="both"/>
        <w:rPr>
          <w:rFonts w:eastAsia="Arial Unicode MS" w:cs="Times New Roman"/>
          <w:color w:val="auto"/>
          <w:sz w:val="20"/>
          <w:szCs w:val="20"/>
          <w:lang w:val="es-ES" w:eastAsia="en-US"/>
        </w:rPr>
      </w:pPr>
    </w:p>
    <w:p w14:paraId="2E06D480" w14:textId="77777777" w:rsidR="00C27069" w:rsidRPr="00213F85" w:rsidRDefault="00C27069">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Indican que no recibieron soluciones efectivas de vivienda, siendo presionados por funcionarios del Gobierno a recibir insuficientes subsidios del ex Instituto Colombiano de Vivienda e Interés Social y Reforma Urbana (INURBE), actual Fondo Nacional de Vivienda, por la suma de $7.150.000 pesos colombianos (aproximadamente USD 3,108.69 de la época), bajo amenazas de que serían suspendidos los beneficios complementarios incluidos en la “oferta institucional”, explican que al menos a  tres de las familias beneficiarias se les revocaron los beneficios por no haberlo aceptado. Sostienen que el INURBE les exigió una serie de requisitos adicionales para la adquisición de propiedades mediante el subsidio, indican que las propiedades debían estar libre de todo gravamen, estar ubicadas en zonas seguras y legalizadas, y las transferencias debían realizarse a título propio por el vendedor. Alegan que tales requisitos sumados a lo exiguo del subsidio, les hizo imposible adquirir viviendas en condiciones dignas  en los términos ordenados por la Corte Constitucional. Agregan que fueron coaccionados a adquirir préstamos del Banco Agrario de $3.600.000 pesos colombianos (aproximadamente USD 1,565.217 de la época), que fueron entregados en cuotas y en algunos casos no fueron totalmente entregados. Alegan que esos préstamos se otorgaron para iniciar proyectos productivos, sin realizar estudios apropiados de la factibilidad del emprendimiento de los negocios y por tanto solo generaron deudas adicionales. </w:t>
      </w:r>
    </w:p>
    <w:p w14:paraId="6B4A195E" w14:textId="77777777" w:rsidR="005D78B8" w:rsidRPr="00213F85" w:rsidRDefault="005D78B8">
      <w:pPr>
        <w:pStyle w:val="ListParagraph"/>
        <w:jc w:val="both"/>
        <w:rPr>
          <w:rFonts w:eastAsia="Arial Unicode MS" w:cs="Times New Roman"/>
          <w:color w:val="auto"/>
          <w:sz w:val="20"/>
          <w:szCs w:val="20"/>
          <w:lang w:val="es-ES" w:eastAsia="en-US"/>
        </w:rPr>
      </w:pPr>
    </w:p>
    <w:p w14:paraId="48682EAA" w14:textId="259DF2AD" w:rsidR="005D78B8" w:rsidRPr="00213F85" w:rsidRDefault="005D78B8">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Los peticionarios alegan que, a pesar de que la Corte Constitucional ordenó concertar una salida pacífica de la ex sede del CICR, el 21 de diciembre de 2002 más de tres mil agentes policiales allanaron el recinto, agrediendo y desalojando a las familias ocupantes. Señalan que, tras el desalojo presentaron siete incidentes de desacato ante el Juzgado 37 por incumplimiento de la sentencia T-1635-00. Indica que el Juzgado, luego de negar el otorgamiento de audiencias y valorando exclusivamente informes de la agencias estatales, rechazó los incidentes sosteniendo que las presuntas víctimas recibieron soluciones definitivas. El </w:t>
      </w:r>
      <w:r w:rsidRPr="00213F85">
        <w:rPr>
          <w:rFonts w:eastAsia="Arial Unicode MS" w:cs="Times New Roman"/>
          <w:color w:val="auto"/>
          <w:sz w:val="20"/>
          <w:szCs w:val="20"/>
          <w:lang w:val="es-ES" w:eastAsia="en-US"/>
        </w:rPr>
        <w:lastRenderedPageBreak/>
        <w:t xml:space="preserve">último rechazo se dictó el 1 de junio de 2005 y los peticionarios afirman que se tratan de resoluciones irrecurribles.  </w:t>
      </w:r>
    </w:p>
    <w:p w14:paraId="02AAA59D" w14:textId="77777777" w:rsidR="005D78B8" w:rsidRPr="00213F85" w:rsidRDefault="005D78B8">
      <w:pPr>
        <w:pStyle w:val="ListParagraph"/>
        <w:rPr>
          <w:rFonts w:eastAsia="Arial Unicode MS" w:cs="Times New Roman"/>
          <w:color w:val="auto"/>
          <w:sz w:val="20"/>
          <w:szCs w:val="20"/>
          <w:lang w:val="es-ES" w:eastAsia="en-US"/>
        </w:rPr>
      </w:pPr>
    </w:p>
    <w:p w14:paraId="7D0D0E06" w14:textId="77777777" w:rsidR="005D78B8" w:rsidRPr="00213F85" w:rsidRDefault="005D78B8">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Adicionalmente, los peticionarios interpusieron diversas denuncias ante la Fiscalía General por fraude en resolución judicial, acumuladas bajo los números 5829 y 707926. Sostienen que el Fiscal se abstuvo de dar curso a las investigaciones, decisiones que fueron oportunamente apeladas y tras ser confirmadas por el Fiscal General, las denuncias fueron archivadas, la última de ellas mediante resolución de 23 de febrero de 2004. Ante tales resultados, instauraron acción de tutela contra el Juzgado 37, la Procuraduría, la Defensoría y la Fiscalía, la cual fue rechazada por el Tribunal Superior del Distrito Judicial de Bogotá el 2 de mayo de 2006. Esta decisión fue recurrida por los peticionarios ante la Sala de Casación Penal de la Corte Suprema de Justicia, que resolvió en su contra el 15 de agosto de 2006. Manifiestan que el 29 de septiembre de 2006 la Corte Constitucional decidió no revisar la acción de tutela rechazada, por lo que el 12 y 31 de octubre de 2006 interpusieron solicitudes de insistencia y de petición, la última de ellas rechazada el 12 de diciembre de 2006. Los peticionarios enfatizan que, debido al incumplimiento de la sentencia T-1635-00, viven en zonas inseguras y carentes de servicios básicos, son amenazados y agredidos en los lugares en que han sido ubicados, las deudas que adquirieron con el Banco Agrario continúan creciendo y algunas de las presuntas víctimas han sido embargadas y sus escasos bienes rematados. Con base en lo anterior, los peticionarios afirman que la actuación del Estado constituye una violación a la vida, el debido proceso, la honra y la dignidad, el derecho de rectificación, la familia, los derechos del niño, la igualdad ante la ley y la protección judicial. </w:t>
      </w:r>
    </w:p>
    <w:p w14:paraId="0F95D8CB" w14:textId="77777777" w:rsidR="005D78B8" w:rsidRPr="00213F85" w:rsidRDefault="005D78B8">
      <w:pPr>
        <w:pStyle w:val="ListParagraph"/>
        <w:jc w:val="both"/>
        <w:rPr>
          <w:rFonts w:eastAsia="Arial Unicode MS" w:cs="Times New Roman"/>
          <w:color w:val="auto"/>
          <w:sz w:val="20"/>
          <w:szCs w:val="20"/>
          <w:lang w:val="es-ES" w:eastAsia="en-US"/>
        </w:rPr>
      </w:pPr>
    </w:p>
    <w:p w14:paraId="1828E108" w14:textId="2E3229A9" w:rsidR="00E67201" w:rsidRPr="00213F85" w:rsidRDefault="005D78B8">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Por otra parte señalan que, a raíz de una demanda presentada por ellos el 18 de abril de 2007, la Corte Constitucional pronunció la sentencia C-278-07 que amplió el límite temporal de la entrega de ayuda humanitaria para la población desplazada. Los peticionarios denuncian que, a raíz de esta sentencia, los hostigamientos y amenazas en contra de sus líderes se incrementaron, especialmente mediante comunicaciones intimidatorias, intentos de falsos allanamientos por parte de funcionarios del Departamento Administrativo de Seguridad (DAS). Los peticionarios presentan documentación sobre denuncias ante la Fiscalía por amenazas sufridas por José Sayas Jiménez, las que fueron archivadas, la última el 29 de septiembre de 2014. Alegan también que Víctor Manuel Ochoa Martínez, quien fue líder de la ocupación y cuya familia fue beneficiaria de la sentencia T-1635-00, recibió continuas amenazas, las que denunció ante las autoridades, quienes le negaron protección. Indican que el señor Víctor Ochoa fue asesinado en presencia de su familia el 2 de agosto de 2006. Alegan que, aunque las autoridades calificaron su muerte como un homicidio violento a consecuencia de su trabajo como líder de la población desplazada, persiste una investigación inconclusa ante la Fiscalía 47 de Bogotá. Sostienen que durante años han denunciado estos ilícitos ante Ministerio del Interior, la Policía Nacional, el Ministerio de Defensa y el Departamento de Acción Social, sin que se adoptaran medidas de protección y a la fecha nadie ha sido responsabilizado penalmente. Finalmente, respecto a la solicitud del Estado de que los peticionarios individualicen a todas las presuntas víctimas e integrantes de sus núcleos familiares, sostienen que si bien han hecho un esfuerzo por aportar la mayor cantidad de antecedentes a su disposición, es el Estado el que dispone de dicha  información, en especial la Unidad para la Atención y Reparación Integral a las Víctimas de la Violencia.</w:t>
      </w:r>
    </w:p>
    <w:p w14:paraId="557504D2" w14:textId="3CED1361" w:rsidR="00E67201" w:rsidRPr="00213F85" w:rsidRDefault="00E67201">
      <w:pPr>
        <w:pStyle w:val="ListParagraph"/>
        <w:jc w:val="both"/>
        <w:rPr>
          <w:rFonts w:eastAsia="Arial Unicode MS" w:cs="Times New Roman"/>
          <w:color w:val="auto"/>
          <w:sz w:val="20"/>
          <w:szCs w:val="20"/>
          <w:lang w:val="es-ES" w:eastAsia="en-US"/>
        </w:rPr>
      </w:pPr>
    </w:p>
    <w:p w14:paraId="0546D09F" w14:textId="04748CFA" w:rsidR="00E67201" w:rsidRPr="00565871" w:rsidRDefault="009F07DA">
      <w:pPr>
        <w:pStyle w:val="ListParagraph"/>
        <w:numPr>
          <w:ilvl w:val="0"/>
          <w:numId w:val="55"/>
        </w:numPr>
        <w:jc w:val="both"/>
        <w:rPr>
          <w:rFonts w:eastAsia="Arial Unicode MS" w:cs="Times New Roman"/>
          <w:color w:val="auto"/>
          <w:sz w:val="20"/>
          <w:szCs w:val="20"/>
          <w:lang w:val="es-ES" w:eastAsia="en-US"/>
        </w:rPr>
      </w:pPr>
      <w:r w:rsidRPr="00565871">
        <w:rPr>
          <w:rFonts w:eastAsia="Arial Unicode MS" w:cs="Times New Roman"/>
          <w:color w:val="auto"/>
          <w:sz w:val="20"/>
          <w:szCs w:val="20"/>
          <w:lang w:val="es-ES" w:eastAsia="en-US"/>
        </w:rPr>
        <w:t xml:space="preserve">De igual forma, indican haber presentado el 16 de mayo de 2016, acción de petición </w:t>
      </w:r>
      <w:r w:rsidR="0062552F" w:rsidRPr="00565871">
        <w:rPr>
          <w:rFonts w:eastAsia="Arial Unicode MS" w:cs="Times New Roman"/>
          <w:color w:val="auto"/>
          <w:sz w:val="20"/>
          <w:szCs w:val="20"/>
          <w:lang w:val="es-ES" w:eastAsia="en-US"/>
        </w:rPr>
        <w:t xml:space="preserve">ante la </w:t>
      </w:r>
      <w:r w:rsidR="00010CA8" w:rsidRPr="00565871">
        <w:rPr>
          <w:rFonts w:eastAsia="Arial Unicode MS" w:cs="Times New Roman"/>
          <w:color w:val="auto"/>
          <w:sz w:val="20"/>
          <w:szCs w:val="20"/>
          <w:lang w:val="es-ES" w:eastAsia="en-US"/>
        </w:rPr>
        <w:t xml:space="preserve"> </w:t>
      </w:r>
      <w:r w:rsidR="0062552F" w:rsidRPr="00565871">
        <w:rPr>
          <w:rFonts w:eastAsia="Arial Unicode MS" w:cs="Times New Roman"/>
          <w:color w:val="auto"/>
          <w:sz w:val="20"/>
          <w:szCs w:val="20"/>
          <w:lang w:val="es-ES" w:eastAsia="en-US"/>
        </w:rPr>
        <w:t>Agencia Nacional de Defensa Jurídica solicitando su intervención</w:t>
      </w:r>
      <w:r w:rsidRPr="00565871">
        <w:rPr>
          <w:rFonts w:eastAsia="Arial Unicode MS" w:cs="Times New Roman"/>
          <w:color w:val="auto"/>
          <w:sz w:val="20"/>
          <w:szCs w:val="20"/>
          <w:lang w:val="es-ES" w:eastAsia="en-US"/>
        </w:rPr>
        <w:t xml:space="preserve"> ante el</w:t>
      </w:r>
      <w:r w:rsidR="004F769A" w:rsidRPr="00565871">
        <w:rPr>
          <w:rFonts w:eastAsia="Arial Unicode MS" w:cs="Times New Roman"/>
          <w:color w:val="auto"/>
          <w:sz w:val="20"/>
          <w:szCs w:val="20"/>
          <w:lang w:val="es-ES" w:eastAsia="en-US"/>
        </w:rPr>
        <w:t xml:space="preserve"> Fondo</w:t>
      </w:r>
      <w:r w:rsidR="0062552F" w:rsidRPr="00565871">
        <w:rPr>
          <w:rFonts w:eastAsia="Arial Unicode MS" w:cs="Times New Roman"/>
          <w:color w:val="auto"/>
          <w:sz w:val="20"/>
          <w:szCs w:val="20"/>
          <w:lang w:val="es-ES" w:eastAsia="en-US"/>
        </w:rPr>
        <w:t xml:space="preserve"> Nacional de Vivienda para que las presuntas víctimas calificadas por dicha institución y beneficiadas por la</w:t>
      </w:r>
      <w:r w:rsidR="00F958E5" w:rsidRPr="00565871">
        <w:rPr>
          <w:lang w:val="es-ES"/>
        </w:rPr>
        <w:t xml:space="preserve"> </w:t>
      </w:r>
      <w:r w:rsidR="00F958E5" w:rsidRPr="00565871">
        <w:rPr>
          <w:rFonts w:eastAsia="Arial Unicode MS" w:cs="Times New Roman"/>
          <w:color w:val="auto"/>
          <w:sz w:val="20"/>
          <w:szCs w:val="20"/>
          <w:lang w:val="es-ES" w:eastAsia="en-US"/>
        </w:rPr>
        <w:t>sentencia T-1635-00</w:t>
      </w:r>
      <w:r w:rsidR="0062552F" w:rsidRPr="00565871">
        <w:rPr>
          <w:rFonts w:eastAsia="Arial Unicode MS" w:cs="Times New Roman"/>
          <w:color w:val="auto"/>
          <w:sz w:val="20"/>
          <w:szCs w:val="20"/>
          <w:lang w:val="es-ES" w:eastAsia="en-US"/>
        </w:rPr>
        <w:t xml:space="preserve"> accedan a una solución de vivienda</w:t>
      </w:r>
      <w:r w:rsidR="00864D6D" w:rsidRPr="00565871">
        <w:rPr>
          <w:rFonts w:eastAsia="Arial Unicode MS" w:cs="Times New Roman"/>
          <w:color w:val="auto"/>
          <w:sz w:val="20"/>
          <w:szCs w:val="20"/>
          <w:lang w:val="es-ES" w:eastAsia="en-US"/>
        </w:rPr>
        <w:t xml:space="preserve">, </w:t>
      </w:r>
      <w:r w:rsidR="00CA1F6C" w:rsidRPr="00565871">
        <w:rPr>
          <w:rFonts w:eastAsia="Arial Unicode MS" w:cs="Times New Roman"/>
          <w:color w:val="auto"/>
          <w:sz w:val="20"/>
          <w:szCs w:val="20"/>
          <w:lang w:val="es-ES" w:eastAsia="en-US"/>
        </w:rPr>
        <w:t>petición</w:t>
      </w:r>
      <w:r w:rsidR="00126E94" w:rsidRPr="00565871">
        <w:rPr>
          <w:rFonts w:eastAsia="Arial Unicode MS" w:cs="Times New Roman"/>
          <w:color w:val="auto"/>
          <w:sz w:val="20"/>
          <w:szCs w:val="20"/>
          <w:lang w:val="es-ES" w:eastAsia="en-US"/>
        </w:rPr>
        <w:t xml:space="preserve"> </w:t>
      </w:r>
      <w:r w:rsidR="00864D6D" w:rsidRPr="00565871">
        <w:rPr>
          <w:rFonts w:eastAsia="Arial Unicode MS" w:cs="Times New Roman"/>
          <w:color w:val="auto"/>
          <w:sz w:val="20"/>
          <w:szCs w:val="20"/>
          <w:lang w:val="es-ES" w:eastAsia="en-US"/>
        </w:rPr>
        <w:t>de la que no habrían obtenido respuesta</w:t>
      </w:r>
      <w:r w:rsidR="0062552F" w:rsidRPr="00565871">
        <w:rPr>
          <w:rFonts w:eastAsia="Arial Unicode MS" w:cs="Times New Roman"/>
          <w:color w:val="auto"/>
          <w:sz w:val="20"/>
          <w:szCs w:val="20"/>
          <w:lang w:val="es-ES" w:eastAsia="en-US"/>
        </w:rPr>
        <w:t>.</w:t>
      </w:r>
      <w:r w:rsidR="008A5A4A" w:rsidRPr="00565871">
        <w:rPr>
          <w:rFonts w:eastAsia="Arial Unicode MS" w:cs="Times New Roman"/>
          <w:color w:val="auto"/>
          <w:sz w:val="20"/>
          <w:szCs w:val="20"/>
          <w:lang w:val="es-ES" w:eastAsia="en-US"/>
        </w:rPr>
        <w:t xml:space="preserve"> Adicionalmente, denuncian que la Corte Constitucional  en respuesta a las solicitudes elevadas por las directoras de la Unidad para las Víctimas y la Agencia Nacional de Defensa Jurídica, </w:t>
      </w:r>
      <w:r w:rsidR="004F769A" w:rsidRPr="00565871">
        <w:rPr>
          <w:rFonts w:eastAsia="Arial Unicode MS" w:cs="Times New Roman"/>
          <w:color w:val="auto"/>
          <w:sz w:val="20"/>
          <w:szCs w:val="20"/>
          <w:lang w:val="es-ES" w:eastAsia="en-US"/>
        </w:rPr>
        <w:t>habría resuelto</w:t>
      </w:r>
      <w:r w:rsidR="008A5A4A" w:rsidRPr="00565871">
        <w:rPr>
          <w:rFonts w:eastAsia="Arial Unicode MS" w:cs="Times New Roman"/>
          <w:color w:val="auto"/>
          <w:sz w:val="20"/>
          <w:szCs w:val="20"/>
          <w:lang w:val="es-ES" w:eastAsia="en-US"/>
        </w:rPr>
        <w:t xml:space="preserve"> mediante auto </w:t>
      </w:r>
      <w:r w:rsidR="004F769A" w:rsidRPr="00565871">
        <w:rPr>
          <w:rFonts w:eastAsia="Arial Unicode MS" w:cs="Times New Roman"/>
          <w:color w:val="auto"/>
          <w:sz w:val="20"/>
          <w:szCs w:val="20"/>
          <w:lang w:val="es-ES" w:eastAsia="en-US"/>
        </w:rPr>
        <w:t>de 28 de abril de 2017,</w:t>
      </w:r>
      <w:r w:rsidR="008A5A4A" w:rsidRPr="00565871">
        <w:rPr>
          <w:rFonts w:eastAsia="Arial Unicode MS" w:cs="Times New Roman"/>
          <w:color w:val="auto"/>
          <w:sz w:val="20"/>
          <w:szCs w:val="20"/>
          <w:lang w:val="es-ES" w:eastAsia="en-US"/>
        </w:rPr>
        <w:t xml:space="preserve"> </w:t>
      </w:r>
      <w:r w:rsidR="00B0531C" w:rsidRPr="00565871">
        <w:rPr>
          <w:rFonts w:eastAsia="Arial Unicode MS" w:cs="Times New Roman"/>
          <w:color w:val="auto"/>
          <w:sz w:val="20"/>
          <w:szCs w:val="20"/>
          <w:lang w:val="es-ES" w:eastAsia="en-US"/>
        </w:rPr>
        <w:t>exhortar a todos los jueces de la República para que, en lo concerniente a la indemnización administrativa de las víctimas de desplazamiento, se abstengan de impartir órdenes relacionadas c</w:t>
      </w:r>
      <w:r w:rsidR="004F769A" w:rsidRPr="00565871">
        <w:rPr>
          <w:rFonts w:eastAsia="Arial Unicode MS" w:cs="Times New Roman"/>
          <w:color w:val="auto"/>
          <w:sz w:val="20"/>
          <w:szCs w:val="20"/>
          <w:lang w:val="es-ES" w:eastAsia="en-US"/>
        </w:rPr>
        <w:t>on reconocimientos económicos</w:t>
      </w:r>
      <w:r w:rsidR="00B0531C" w:rsidRPr="00565871">
        <w:rPr>
          <w:rFonts w:eastAsia="Arial Unicode MS" w:cs="Times New Roman"/>
          <w:color w:val="auto"/>
          <w:sz w:val="20"/>
          <w:szCs w:val="20"/>
          <w:lang w:val="es-ES" w:eastAsia="en-US"/>
        </w:rPr>
        <w:t xml:space="preserve">, </w:t>
      </w:r>
      <w:r w:rsidR="004F769A" w:rsidRPr="00565871">
        <w:rPr>
          <w:rFonts w:eastAsia="Arial Unicode MS" w:cs="Times New Roman"/>
          <w:color w:val="auto"/>
          <w:sz w:val="20"/>
          <w:szCs w:val="20"/>
          <w:lang w:val="es-ES" w:eastAsia="en-US"/>
        </w:rPr>
        <w:t>y para que</w:t>
      </w:r>
      <w:r w:rsidR="00B0531C" w:rsidRPr="00565871">
        <w:rPr>
          <w:rFonts w:eastAsia="Arial Unicode MS" w:cs="Times New Roman"/>
          <w:color w:val="auto"/>
          <w:sz w:val="20"/>
          <w:szCs w:val="20"/>
          <w:lang w:val="es-ES" w:eastAsia="en-US"/>
        </w:rPr>
        <w:t xml:space="preserve"> suspendan</w:t>
      </w:r>
      <w:r w:rsidR="008A5A4A" w:rsidRPr="00565871">
        <w:rPr>
          <w:rFonts w:eastAsia="Arial Unicode MS" w:cs="Times New Roman"/>
          <w:color w:val="auto"/>
          <w:sz w:val="20"/>
          <w:szCs w:val="20"/>
          <w:lang w:val="es-ES" w:eastAsia="en-US"/>
        </w:rPr>
        <w:t xml:space="preserve"> los tr</w:t>
      </w:r>
      <w:r w:rsidR="00974A52" w:rsidRPr="00565871">
        <w:rPr>
          <w:rFonts w:eastAsia="Arial Unicode MS" w:cs="Times New Roman"/>
          <w:color w:val="auto"/>
          <w:sz w:val="20"/>
          <w:szCs w:val="20"/>
          <w:lang w:val="es-ES" w:eastAsia="en-US"/>
        </w:rPr>
        <w:t>á</w:t>
      </w:r>
      <w:r w:rsidR="008A5A4A" w:rsidRPr="00565871">
        <w:rPr>
          <w:rFonts w:eastAsia="Arial Unicode MS" w:cs="Times New Roman"/>
          <w:color w:val="auto"/>
          <w:sz w:val="20"/>
          <w:szCs w:val="20"/>
          <w:lang w:val="es-ES" w:eastAsia="en-US"/>
        </w:rPr>
        <w:t xml:space="preserve">mites y </w:t>
      </w:r>
      <w:r w:rsidR="00B0531C" w:rsidRPr="00565871">
        <w:rPr>
          <w:rFonts w:eastAsia="Arial Unicode MS" w:cs="Times New Roman"/>
          <w:color w:val="auto"/>
          <w:sz w:val="20"/>
          <w:szCs w:val="20"/>
          <w:lang w:val="es-ES" w:eastAsia="en-US"/>
        </w:rPr>
        <w:t xml:space="preserve">levanten </w:t>
      </w:r>
      <w:r w:rsidR="004F769A" w:rsidRPr="00565871">
        <w:rPr>
          <w:rFonts w:eastAsia="Arial Unicode MS" w:cs="Times New Roman"/>
          <w:color w:val="auto"/>
          <w:sz w:val="20"/>
          <w:szCs w:val="20"/>
          <w:lang w:val="es-ES" w:eastAsia="en-US"/>
        </w:rPr>
        <w:t xml:space="preserve">las sanciones por desacato, resueltas a raíz de las acciones de tutela </w:t>
      </w:r>
      <w:r w:rsidR="008A5A4A" w:rsidRPr="00565871">
        <w:rPr>
          <w:rFonts w:eastAsia="Arial Unicode MS" w:cs="Times New Roman"/>
          <w:color w:val="auto"/>
          <w:sz w:val="20"/>
          <w:szCs w:val="20"/>
          <w:lang w:val="es-ES" w:eastAsia="en-US"/>
        </w:rPr>
        <w:t xml:space="preserve">que han protegido los derechos a las víctimas de la violencia. </w:t>
      </w:r>
      <w:r w:rsidR="00864D6D" w:rsidRPr="00565871">
        <w:rPr>
          <w:rFonts w:eastAsia="Arial Unicode MS" w:cs="Times New Roman"/>
          <w:color w:val="auto"/>
          <w:sz w:val="20"/>
          <w:szCs w:val="20"/>
          <w:lang w:val="es-ES" w:eastAsia="en-US"/>
        </w:rPr>
        <w:t xml:space="preserve">Finalmente, informan que durante la tramitación de la </w:t>
      </w:r>
      <w:r w:rsidR="00CA1F6C" w:rsidRPr="00565871">
        <w:rPr>
          <w:rFonts w:eastAsia="Arial Unicode MS" w:cs="Times New Roman"/>
          <w:color w:val="auto"/>
          <w:sz w:val="20"/>
          <w:szCs w:val="20"/>
          <w:lang w:val="es-ES" w:eastAsia="en-US"/>
        </w:rPr>
        <w:t>presente petición han realizado diversas</w:t>
      </w:r>
      <w:r w:rsidR="00C712E3" w:rsidRPr="00565871">
        <w:rPr>
          <w:rFonts w:eastAsia="Arial Unicode MS" w:cs="Times New Roman"/>
          <w:color w:val="auto"/>
          <w:sz w:val="20"/>
          <w:szCs w:val="20"/>
          <w:lang w:val="es-ES" w:eastAsia="en-US"/>
        </w:rPr>
        <w:t xml:space="preserve"> acciones de petición</w:t>
      </w:r>
      <w:r w:rsidR="00CA1F6C" w:rsidRPr="00565871">
        <w:rPr>
          <w:rFonts w:eastAsia="Arial Unicode MS" w:cs="Times New Roman"/>
          <w:color w:val="auto"/>
          <w:sz w:val="20"/>
          <w:szCs w:val="20"/>
          <w:lang w:val="es-ES" w:eastAsia="en-US"/>
        </w:rPr>
        <w:t xml:space="preserve"> </w:t>
      </w:r>
      <w:r w:rsidR="00864D6D" w:rsidRPr="00565871">
        <w:rPr>
          <w:rFonts w:eastAsia="Arial Unicode MS" w:cs="Times New Roman"/>
          <w:color w:val="auto"/>
          <w:sz w:val="20"/>
          <w:szCs w:val="20"/>
          <w:lang w:val="es-ES" w:eastAsia="en-US"/>
        </w:rPr>
        <w:t>ante el Procurador General de la República,</w:t>
      </w:r>
      <w:r w:rsidR="00CA1F6C" w:rsidRPr="00565871">
        <w:rPr>
          <w:rFonts w:eastAsia="Arial Unicode MS" w:cs="Times New Roman"/>
          <w:color w:val="auto"/>
          <w:sz w:val="20"/>
          <w:szCs w:val="20"/>
          <w:lang w:val="es-ES" w:eastAsia="en-US"/>
        </w:rPr>
        <w:t xml:space="preserve"> quien de conf</w:t>
      </w:r>
      <w:r w:rsidR="003A2D13" w:rsidRPr="00565871">
        <w:rPr>
          <w:rFonts w:eastAsia="Arial Unicode MS" w:cs="Times New Roman"/>
          <w:color w:val="auto"/>
          <w:sz w:val="20"/>
          <w:szCs w:val="20"/>
          <w:lang w:val="es-ES" w:eastAsia="en-US"/>
        </w:rPr>
        <w:t xml:space="preserve">ormidad </w:t>
      </w:r>
      <w:r w:rsidR="00974A52" w:rsidRPr="00565871">
        <w:rPr>
          <w:rFonts w:eastAsia="Arial Unicode MS" w:cs="Times New Roman"/>
          <w:color w:val="auto"/>
          <w:sz w:val="20"/>
          <w:szCs w:val="20"/>
          <w:lang w:val="es-ES" w:eastAsia="en-US"/>
        </w:rPr>
        <w:t>con</w:t>
      </w:r>
      <w:r w:rsidR="003A2D13" w:rsidRPr="00565871">
        <w:rPr>
          <w:rFonts w:eastAsia="Arial Unicode MS" w:cs="Times New Roman"/>
          <w:color w:val="auto"/>
          <w:sz w:val="20"/>
          <w:szCs w:val="20"/>
          <w:lang w:val="es-ES" w:eastAsia="en-US"/>
        </w:rPr>
        <w:t xml:space="preserve"> la sentencia T-1635-</w:t>
      </w:r>
      <w:r w:rsidR="00CA1F6C" w:rsidRPr="00565871">
        <w:rPr>
          <w:rFonts w:eastAsia="Arial Unicode MS" w:cs="Times New Roman"/>
          <w:color w:val="auto"/>
          <w:sz w:val="20"/>
          <w:szCs w:val="20"/>
          <w:lang w:val="es-ES" w:eastAsia="en-US"/>
        </w:rPr>
        <w:t>00 debía ser el encargado d</w:t>
      </w:r>
      <w:r w:rsidR="00C712E3" w:rsidRPr="00565871">
        <w:rPr>
          <w:rFonts w:eastAsia="Arial Unicode MS" w:cs="Times New Roman"/>
          <w:color w:val="auto"/>
          <w:sz w:val="20"/>
          <w:szCs w:val="20"/>
          <w:lang w:val="es-ES" w:eastAsia="en-US"/>
        </w:rPr>
        <w:t>e vigilar el cumplimiento de lo</w:t>
      </w:r>
      <w:r w:rsidR="00CA1F6C" w:rsidRPr="00565871">
        <w:rPr>
          <w:rFonts w:eastAsia="Arial Unicode MS" w:cs="Times New Roman"/>
          <w:color w:val="auto"/>
          <w:sz w:val="20"/>
          <w:szCs w:val="20"/>
          <w:lang w:val="es-ES" w:eastAsia="en-US"/>
        </w:rPr>
        <w:t xml:space="preserve"> ordenado</w:t>
      </w:r>
      <w:r w:rsidR="00C712E3" w:rsidRPr="00565871">
        <w:rPr>
          <w:rFonts w:eastAsia="Arial Unicode MS" w:cs="Times New Roman"/>
          <w:color w:val="auto"/>
          <w:sz w:val="20"/>
          <w:szCs w:val="20"/>
          <w:lang w:val="es-ES" w:eastAsia="en-US"/>
        </w:rPr>
        <w:t>. Refieren que</w:t>
      </w:r>
      <w:r w:rsidR="00974A52" w:rsidRPr="00565871">
        <w:rPr>
          <w:rFonts w:eastAsia="Arial Unicode MS" w:cs="Times New Roman"/>
          <w:color w:val="auto"/>
          <w:sz w:val="20"/>
          <w:szCs w:val="20"/>
          <w:lang w:val="es-ES" w:eastAsia="en-US"/>
        </w:rPr>
        <w:t>,</w:t>
      </w:r>
      <w:r w:rsidR="00864D6D" w:rsidRPr="00565871">
        <w:rPr>
          <w:rFonts w:eastAsia="Arial Unicode MS" w:cs="Times New Roman"/>
          <w:color w:val="auto"/>
          <w:sz w:val="20"/>
          <w:szCs w:val="20"/>
          <w:lang w:val="es-ES" w:eastAsia="en-US"/>
        </w:rPr>
        <w:t xml:space="preserve"> al no obtener </w:t>
      </w:r>
      <w:r w:rsidR="00C712E3" w:rsidRPr="00565871">
        <w:rPr>
          <w:rFonts w:eastAsia="Arial Unicode MS" w:cs="Times New Roman"/>
          <w:color w:val="auto"/>
          <w:sz w:val="20"/>
          <w:szCs w:val="20"/>
          <w:lang w:val="es-ES" w:eastAsia="en-US"/>
        </w:rPr>
        <w:t xml:space="preserve">una </w:t>
      </w:r>
      <w:r w:rsidR="00864D6D" w:rsidRPr="00565871">
        <w:rPr>
          <w:rFonts w:eastAsia="Arial Unicode MS" w:cs="Times New Roman"/>
          <w:color w:val="auto"/>
          <w:sz w:val="20"/>
          <w:szCs w:val="20"/>
          <w:lang w:val="es-ES" w:eastAsia="en-US"/>
        </w:rPr>
        <w:t>adecuada respuesta</w:t>
      </w:r>
      <w:r w:rsidR="00974A52" w:rsidRPr="00565871">
        <w:rPr>
          <w:rFonts w:eastAsia="Arial Unicode MS" w:cs="Times New Roman"/>
          <w:color w:val="auto"/>
          <w:sz w:val="20"/>
          <w:szCs w:val="20"/>
          <w:lang w:val="es-ES" w:eastAsia="en-US"/>
        </w:rPr>
        <w:t>,</w:t>
      </w:r>
      <w:r w:rsidR="00864D6D" w:rsidRPr="00565871">
        <w:rPr>
          <w:rFonts w:eastAsia="Arial Unicode MS" w:cs="Times New Roman"/>
          <w:color w:val="auto"/>
          <w:sz w:val="20"/>
          <w:szCs w:val="20"/>
          <w:lang w:val="es-ES" w:eastAsia="en-US"/>
        </w:rPr>
        <w:t xml:space="preserve"> </w:t>
      </w:r>
      <w:r w:rsidR="00C712E3" w:rsidRPr="00565871">
        <w:rPr>
          <w:rFonts w:eastAsia="Arial Unicode MS" w:cs="Times New Roman"/>
          <w:color w:val="auto"/>
          <w:sz w:val="20"/>
          <w:szCs w:val="20"/>
          <w:lang w:val="es-ES" w:eastAsia="en-US"/>
        </w:rPr>
        <w:t>presentaron</w:t>
      </w:r>
      <w:r w:rsidR="00864D6D" w:rsidRPr="00565871">
        <w:rPr>
          <w:rFonts w:eastAsia="Arial Unicode MS" w:cs="Times New Roman"/>
          <w:color w:val="auto"/>
          <w:sz w:val="20"/>
          <w:szCs w:val="20"/>
          <w:lang w:val="es-ES" w:eastAsia="en-US"/>
        </w:rPr>
        <w:t xml:space="preserve"> tutela por </w:t>
      </w:r>
      <w:r w:rsidR="00CA1F6C" w:rsidRPr="00565871">
        <w:rPr>
          <w:rFonts w:eastAsia="Arial Unicode MS" w:cs="Times New Roman"/>
          <w:color w:val="auto"/>
          <w:sz w:val="20"/>
          <w:szCs w:val="20"/>
          <w:lang w:val="es-ES" w:eastAsia="en-US"/>
        </w:rPr>
        <w:lastRenderedPageBreak/>
        <w:t>vulneraciones a sus derechos de</w:t>
      </w:r>
      <w:r w:rsidR="00864D6D" w:rsidRPr="00565871">
        <w:rPr>
          <w:rFonts w:eastAsia="Arial Unicode MS" w:cs="Times New Roman"/>
          <w:color w:val="auto"/>
          <w:sz w:val="20"/>
          <w:szCs w:val="20"/>
          <w:lang w:val="es-ES" w:eastAsia="en-US"/>
        </w:rPr>
        <w:t xml:space="preserve"> petición, debido proceso y acceso a la administración de justicia, tutela que fue rechazada por el Tribunal Administrativo de Cundinamarca el 19 de febrero de 2018.  </w:t>
      </w:r>
    </w:p>
    <w:p w14:paraId="727EA327" w14:textId="77777777" w:rsidR="005D78B8" w:rsidRPr="00213F85" w:rsidRDefault="005D78B8">
      <w:pPr>
        <w:pStyle w:val="ListParagraph"/>
        <w:jc w:val="both"/>
        <w:rPr>
          <w:rFonts w:eastAsia="Arial Unicode MS" w:cs="Times New Roman"/>
          <w:color w:val="auto"/>
          <w:sz w:val="20"/>
          <w:szCs w:val="20"/>
          <w:lang w:val="es-ES" w:eastAsia="en-US"/>
        </w:rPr>
      </w:pPr>
    </w:p>
    <w:p w14:paraId="3CC87A20" w14:textId="77777777" w:rsidR="005D78B8" w:rsidRPr="00213F85" w:rsidRDefault="005D78B8">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Por su parte, el Estado sostiene que las acciones llevadas a cabo para asegurar el desalojo de las instalaciones del CICR estuvieron encaminadas a recuperar el edificio del organismo con el fin de, garantizar la integridad de la sede y sus funcionarios. Afirma que realizó las gestiones correspondientes para la asistencia humanitaria, restablecimiento socioeconómico, apoyo en transporte, proyectos productivos, créditos del Banco Agrario y subsidio de vivienda, en favor de cada beneficiario de la sentencia T-1635-00. Afirma que el alegado incumplimiento de la sentencia de la Corte Constitucional fue debidamente evaluado y fallado dentro de la jurisdicción constitucional en dos instancias distintas. Señala que la Sala de Decisión Penal del Tribunal Superior del Distrito Judicial de Bogotá y la Sala de Casación Penal de la Corte Suprema de Justicia concluyeron que el Estado se esforzó por erogar los emolumentos para dar cumplimiento a los compromisos de ayuda humanitaria, por lo que, de admitirse la petición, se configuraría una cuarta instancia. Agrega que si los peticionarios consideraron que los beneficios eran insuficientes, debieron haber iniciado las acciones administrativas o judiciales pertinentes, con lo que se exceptúa la responsabilidad del Estado. Adicionalmente, solicita una individualización detalladas de todas las presuntas víctimas y no solo de representantes por familia. </w:t>
      </w:r>
    </w:p>
    <w:p w14:paraId="64BDEEC9" w14:textId="77777777" w:rsidR="005D78B8" w:rsidRPr="00213F85" w:rsidRDefault="005D78B8">
      <w:pPr>
        <w:pStyle w:val="ListParagraph"/>
        <w:jc w:val="both"/>
        <w:rPr>
          <w:rFonts w:eastAsia="Arial Unicode MS" w:cs="Times New Roman"/>
          <w:color w:val="auto"/>
          <w:sz w:val="20"/>
          <w:szCs w:val="20"/>
          <w:lang w:val="es-ES" w:eastAsia="en-US"/>
        </w:rPr>
      </w:pPr>
    </w:p>
    <w:p w14:paraId="23ADCC37" w14:textId="77777777" w:rsidR="005D78B8" w:rsidRPr="00213F85" w:rsidRDefault="005D78B8">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Respecto de la muerte del señor Víctor Ochoa, el Estado considera que esta ampliación no guarda relación con la petición y solicita su desglose.  Por último, respecto de los procesos penales y en lo relativo a las denuncias penales que las presuntas víctimas habrían intentado por fraude a resolución judicial ante el alegado incumplimiento de la sentencia T-1635-00, el Estado sostiene, en términos generales, que de los documentos acompañados por los peticionarios no es posible establecer de manera clara si los recursos internos fueron agotados. </w:t>
      </w:r>
    </w:p>
    <w:p w14:paraId="0CAEF772" w14:textId="77777777" w:rsidR="005D78B8" w:rsidRPr="00213F85" w:rsidRDefault="003239B8">
      <w:pPr>
        <w:spacing w:before="240" w:after="240"/>
        <w:ind w:firstLine="720"/>
        <w:jc w:val="both"/>
        <w:rPr>
          <w:rFonts w:asciiTheme="majorHAnsi" w:eastAsia="Cambria" w:hAnsiTheme="majorHAnsi" w:cs="Cambria"/>
          <w:b/>
          <w:bCs/>
          <w:color w:val="000000"/>
          <w:sz w:val="20"/>
          <w:szCs w:val="20"/>
          <w:u w:color="000000"/>
          <w:lang w:val="es-ES" w:eastAsia="es-ES"/>
        </w:rPr>
      </w:pPr>
      <w:r w:rsidRPr="00213F85">
        <w:rPr>
          <w:rFonts w:asciiTheme="majorHAnsi" w:eastAsia="Cambria" w:hAnsiTheme="majorHAnsi" w:cs="Cambria"/>
          <w:b/>
          <w:bCs/>
          <w:color w:val="000000"/>
          <w:sz w:val="20"/>
          <w:szCs w:val="20"/>
          <w:u w:color="000000"/>
          <w:lang w:val="es-ES" w:eastAsia="es-ES"/>
        </w:rPr>
        <w:t>VI.</w:t>
      </w:r>
      <w:r w:rsidRPr="00213F85">
        <w:rPr>
          <w:rFonts w:asciiTheme="majorHAnsi" w:eastAsia="Cambria" w:hAnsiTheme="majorHAnsi" w:cs="Cambria"/>
          <w:b/>
          <w:bCs/>
          <w:color w:val="000000"/>
          <w:sz w:val="20"/>
          <w:szCs w:val="20"/>
          <w:u w:color="000000"/>
          <w:lang w:val="es-ES" w:eastAsia="es-ES"/>
        </w:rPr>
        <w:tab/>
      </w:r>
      <w:r w:rsidR="004A6A54" w:rsidRPr="00213F85">
        <w:rPr>
          <w:rFonts w:asciiTheme="majorHAnsi" w:hAnsiTheme="majorHAnsi"/>
          <w:b/>
          <w:bCs/>
          <w:sz w:val="20"/>
          <w:szCs w:val="20"/>
          <w:lang w:val="es-ES_tradnl"/>
        </w:rPr>
        <w:t xml:space="preserve">ANÁLISIS DE </w:t>
      </w:r>
      <w:r w:rsidR="00C21FEF" w:rsidRPr="00213F85">
        <w:rPr>
          <w:rFonts w:asciiTheme="majorHAnsi" w:hAnsiTheme="majorHAnsi"/>
          <w:b/>
          <w:sz w:val="20"/>
          <w:szCs w:val="20"/>
          <w:lang w:val="es-ES"/>
        </w:rPr>
        <w:t>AGOTAMIENTO DE LOS RECURSOS INTERNOS Y PLAZO DE PRESENTACIÓN</w:t>
      </w:r>
      <w:r w:rsidR="00C21FEF" w:rsidRPr="00213F85">
        <w:rPr>
          <w:rFonts w:asciiTheme="majorHAnsi" w:eastAsia="Cambria" w:hAnsiTheme="majorHAnsi" w:cs="Cambria"/>
          <w:b/>
          <w:bCs/>
          <w:color w:val="000000"/>
          <w:sz w:val="20"/>
          <w:szCs w:val="20"/>
          <w:u w:color="000000"/>
          <w:lang w:val="es-ES" w:eastAsia="es-ES"/>
        </w:rPr>
        <w:t xml:space="preserve"> </w:t>
      </w:r>
    </w:p>
    <w:p w14:paraId="07D3C757" w14:textId="1BAB81D7" w:rsidR="005D78B8" w:rsidRPr="00213F85" w:rsidRDefault="005D78B8">
      <w:pPr>
        <w:pStyle w:val="ListParagraph"/>
        <w:numPr>
          <w:ilvl w:val="0"/>
          <w:numId w:val="55"/>
        </w:numPr>
        <w:spacing w:before="240" w:after="240"/>
        <w:jc w:val="both"/>
        <w:rPr>
          <w:sz w:val="20"/>
          <w:szCs w:val="20"/>
          <w:lang w:val="es-UY"/>
        </w:rPr>
      </w:pPr>
      <w:r w:rsidRPr="00213F85">
        <w:rPr>
          <w:sz w:val="20"/>
          <w:szCs w:val="20"/>
          <w:lang w:val="es-UY"/>
        </w:rPr>
        <w:t xml:space="preserve">Los peticionarios alegan que, contra el incumplimiento de la </w:t>
      </w:r>
      <w:r w:rsidRPr="00213F85">
        <w:rPr>
          <w:sz w:val="20"/>
          <w:szCs w:val="20"/>
          <w:lang w:val="es-ES"/>
        </w:rPr>
        <w:t>sentencia T-1635-00</w:t>
      </w:r>
      <w:r w:rsidRPr="00213F85">
        <w:rPr>
          <w:sz w:val="20"/>
          <w:szCs w:val="20"/>
          <w:lang w:val="es-UY"/>
        </w:rPr>
        <w:t xml:space="preserve"> de la Corte Constitucional de 27 de noviembre de 2000, interpusieron los siguientes recursos: (1) diversas denuncias penales por fraude en resolución judicial, las cuales fueron archivadas por la Fiscalía entre los años 2002 y 2005; (2) siete incidentes de desacato ante el ante el Juzgado 37, los que fueron rechazados, el último de ellos el 1 de junio de 2005; y (3) una acción de tutela, rechazada el 2 de mayo de 2006 por el Tribunal Superior de Bogotá. Esta última decisión fue impugnada y el 15 de agosto de 2006  la Corte Suprema de Justicia confirmó el rechazo y remitió el expediente ante la Corte Constitucional, la cual el 29 de septiembre de 2006 decidió no seleccionar el fallo para revisión</w:t>
      </w:r>
      <w:r w:rsidRPr="00213F85">
        <w:rPr>
          <w:rFonts w:asciiTheme="majorHAnsi" w:hAnsiTheme="majorHAnsi"/>
          <w:sz w:val="20"/>
          <w:szCs w:val="20"/>
          <w:lang w:val="es-ES" w:eastAsia="en-US"/>
        </w:rPr>
        <w:t>.</w:t>
      </w:r>
      <w:r w:rsidRPr="00213F85">
        <w:rPr>
          <w:sz w:val="20"/>
          <w:szCs w:val="20"/>
          <w:lang w:val="es-UY"/>
        </w:rPr>
        <w:t xml:space="preserve"> Frente a esta decisión, los peticionarios presentaron diversas insistencias que fueron rechazadas, la última </w:t>
      </w:r>
      <w:r w:rsidRPr="00213F85">
        <w:rPr>
          <w:rFonts w:asciiTheme="majorHAnsi" w:hAnsiTheme="majorHAnsi"/>
          <w:sz w:val="20"/>
          <w:szCs w:val="20"/>
          <w:lang w:val="es-ES" w:eastAsia="en-US"/>
        </w:rPr>
        <w:t xml:space="preserve">de ellas notificadas </w:t>
      </w:r>
      <w:r w:rsidRPr="00213F85">
        <w:rPr>
          <w:sz w:val="20"/>
          <w:szCs w:val="20"/>
          <w:lang w:val="es-UY"/>
        </w:rPr>
        <w:t xml:space="preserve">el 12 de diciembre de 2006, dando los peticionarios por agotados los recursos internos con esta fecha. </w:t>
      </w:r>
      <w:r w:rsidR="009F07DA" w:rsidRPr="00213F85">
        <w:rPr>
          <w:rFonts w:asciiTheme="majorHAnsi" w:hAnsiTheme="majorHAnsi"/>
          <w:sz w:val="20"/>
          <w:szCs w:val="20"/>
          <w:lang w:val="es-ES" w:eastAsia="en-US"/>
        </w:rPr>
        <w:t>M</w:t>
      </w:r>
      <w:r w:rsidRPr="00213F85">
        <w:rPr>
          <w:rFonts w:asciiTheme="majorHAnsi" w:hAnsiTheme="majorHAnsi"/>
          <w:sz w:val="20"/>
          <w:szCs w:val="20"/>
          <w:lang w:val="es-ES" w:eastAsia="en-US"/>
        </w:rPr>
        <w:t xml:space="preserve">anifiestan que los alegados hostigamientos y amenazas fueron denunciados ante el Ministerio del Interior, la Policía Nacional, el Ministerio de Defensa y el Departamento de Acción Social, obteniendo como respuesta, en abril y mayo de 2011, que los hechos estaban siendo investigados por los organismos competentes. </w:t>
      </w:r>
      <w:r w:rsidR="00471C62" w:rsidRPr="00565871">
        <w:rPr>
          <w:rFonts w:asciiTheme="majorHAnsi" w:hAnsiTheme="majorHAnsi"/>
          <w:sz w:val="20"/>
          <w:szCs w:val="20"/>
          <w:lang w:val="es-ES" w:eastAsia="en-US"/>
        </w:rPr>
        <w:t>Agregan que</w:t>
      </w:r>
      <w:r w:rsidR="009F07DA" w:rsidRPr="00565871">
        <w:rPr>
          <w:rFonts w:asciiTheme="majorHAnsi" w:hAnsiTheme="majorHAnsi"/>
          <w:sz w:val="20"/>
          <w:szCs w:val="20"/>
          <w:lang w:val="es-ES" w:eastAsia="en-US"/>
        </w:rPr>
        <w:t>,</w:t>
      </w:r>
      <w:r w:rsidR="00471C62" w:rsidRPr="00565871">
        <w:rPr>
          <w:rFonts w:asciiTheme="majorHAnsi" w:hAnsiTheme="majorHAnsi"/>
          <w:sz w:val="20"/>
          <w:szCs w:val="20"/>
          <w:lang w:val="es-ES" w:eastAsia="en-US"/>
        </w:rPr>
        <w:t xml:space="preserve"> durante la tramitación de la presente petición</w:t>
      </w:r>
      <w:r w:rsidR="00CA7964" w:rsidRPr="00565871">
        <w:rPr>
          <w:rFonts w:asciiTheme="majorHAnsi" w:hAnsiTheme="majorHAnsi"/>
          <w:sz w:val="20"/>
          <w:szCs w:val="20"/>
          <w:lang w:val="es-ES" w:eastAsia="en-US"/>
        </w:rPr>
        <w:t>,</w:t>
      </w:r>
      <w:r w:rsidR="00471C62" w:rsidRPr="00565871">
        <w:rPr>
          <w:rFonts w:asciiTheme="majorHAnsi" w:hAnsiTheme="majorHAnsi"/>
          <w:sz w:val="20"/>
          <w:szCs w:val="20"/>
          <w:lang w:val="es-ES" w:eastAsia="en-US"/>
        </w:rPr>
        <w:t xml:space="preserve"> han</w:t>
      </w:r>
      <w:r w:rsidR="009F07DA" w:rsidRPr="00565871">
        <w:rPr>
          <w:rFonts w:asciiTheme="majorHAnsi" w:hAnsiTheme="majorHAnsi"/>
          <w:sz w:val="20"/>
          <w:szCs w:val="20"/>
          <w:lang w:val="es-ES" w:eastAsia="en-US"/>
        </w:rPr>
        <w:t xml:space="preserve"> realizado diversas acciones </w:t>
      </w:r>
      <w:r w:rsidR="00471C62" w:rsidRPr="00565871">
        <w:rPr>
          <w:rFonts w:asciiTheme="majorHAnsi" w:hAnsiTheme="majorHAnsi"/>
          <w:sz w:val="20"/>
          <w:szCs w:val="20"/>
          <w:lang w:val="es-ES" w:eastAsia="en-US"/>
        </w:rPr>
        <w:t>ante la Procur</w:t>
      </w:r>
      <w:r w:rsidR="009F07DA" w:rsidRPr="00565871">
        <w:rPr>
          <w:rFonts w:asciiTheme="majorHAnsi" w:hAnsiTheme="majorHAnsi"/>
          <w:sz w:val="20"/>
          <w:szCs w:val="20"/>
          <w:lang w:val="es-ES" w:eastAsia="en-US"/>
        </w:rPr>
        <w:t>aduría General de la República e interpuesto</w:t>
      </w:r>
      <w:r w:rsidR="003A027A" w:rsidRPr="00565871">
        <w:rPr>
          <w:rFonts w:asciiTheme="majorHAnsi" w:hAnsiTheme="majorHAnsi"/>
          <w:sz w:val="20"/>
          <w:szCs w:val="20"/>
          <w:lang w:val="es-ES" w:eastAsia="en-US"/>
        </w:rPr>
        <w:t xml:space="preserve"> una tutela</w:t>
      </w:r>
      <w:r w:rsidR="009F07DA" w:rsidRPr="00565871">
        <w:rPr>
          <w:rFonts w:asciiTheme="majorHAnsi" w:hAnsiTheme="majorHAnsi"/>
          <w:sz w:val="20"/>
          <w:szCs w:val="20"/>
          <w:lang w:val="es-ES" w:eastAsia="en-US"/>
        </w:rPr>
        <w:t>,</w:t>
      </w:r>
      <w:r w:rsidR="003A027A" w:rsidRPr="00565871">
        <w:rPr>
          <w:rFonts w:asciiTheme="majorHAnsi" w:hAnsiTheme="majorHAnsi"/>
          <w:sz w:val="20"/>
          <w:szCs w:val="20"/>
          <w:lang w:val="es-ES" w:eastAsia="en-US"/>
        </w:rPr>
        <w:t xml:space="preserve"> </w:t>
      </w:r>
      <w:r w:rsidR="009F07DA" w:rsidRPr="00565871">
        <w:rPr>
          <w:rFonts w:asciiTheme="majorHAnsi" w:hAnsiTheme="majorHAnsi"/>
          <w:sz w:val="20"/>
          <w:szCs w:val="20"/>
          <w:lang w:val="es-ES" w:eastAsia="en-US"/>
        </w:rPr>
        <w:t xml:space="preserve">que fue </w:t>
      </w:r>
      <w:r w:rsidR="003A027A" w:rsidRPr="00565871">
        <w:rPr>
          <w:rFonts w:asciiTheme="majorHAnsi" w:hAnsiTheme="majorHAnsi"/>
          <w:sz w:val="20"/>
          <w:szCs w:val="20"/>
          <w:lang w:val="es-ES" w:eastAsia="en-US"/>
        </w:rPr>
        <w:t xml:space="preserve">rechazada </w:t>
      </w:r>
      <w:r w:rsidR="00C712E3" w:rsidRPr="00565871">
        <w:rPr>
          <w:rFonts w:asciiTheme="majorHAnsi" w:hAnsiTheme="majorHAnsi"/>
          <w:sz w:val="20"/>
          <w:szCs w:val="20"/>
          <w:lang w:val="es-ES" w:eastAsia="en-US"/>
        </w:rPr>
        <w:t>por el Tribunal Administrativo de Cundinamarca el 19 de febrero de 2018</w:t>
      </w:r>
      <w:r w:rsidR="00471C62" w:rsidRPr="00213F85">
        <w:rPr>
          <w:rFonts w:asciiTheme="majorHAnsi" w:hAnsiTheme="majorHAnsi"/>
          <w:sz w:val="20"/>
          <w:szCs w:val="20"/>
          <w:lang w:val="es-ES" w:eastAsia="en-US"/>
        </w:rPr>
        <w:t xml:space="preserve">. </w:t>
      </w:r>
      <w:r w:rsidRPr="00213F85">
        <w:rPr>
          <w:rFonts w:asciiTheme="majorHAnsi" w:hAnsiTheme="majorHAnsi"/>
          <w:sz w:val="20"/>
          <w:szCs w:val="20"/>
          <w:lang w:val="es-ES" w:eastAsia="en-US"/>
        </w:rPr>
        <w:t xml:space="preserve">Por su parte, el Estado alega que si los peticionarios consideraron que los beneficios otorgados eran insuficientes, debieron haber iniciado las acciones administrativas y judiciales pertinentes. </w:t>
      </w:r>
      <w:r w:rsidR="009F07DA" w:rsidRPr="00213F85">
        <w:rPr>
          <w:rFonts w:asciiTheme="majorHAnsi" w:hAnsiTheme="majorHAnsi"/>
          <w:sz w:val="20"/>
          <w:szCs w:val="20"/>
          <w:lang w:val="es-ES" w:eastAsia="en-US"/>
        </w:rPr>
        <w:t xml:space="preserve">Sostienen </w:t>
      </w:r>
      <w:r w:rsidRPr="00213F85">
        <w:rPr>
          <w:rFonts w:asciiTheme="majorHAnsi" w:hAnsiTheme="majorHAnsi"/>
          <w:sz w:val="20"/>
          <w:szCs w:val="20"/>
          <w:lang w:val="es-ES" w:eastAsia="en-US"/>
        </w:rPr>
        <w:t xml:space="preserve">que, de acuerdo a la información aportada por los peticionarios, no se puede establecer si han agotado los recursos internos frente a los procesos penales. </w:t>
      </w:r>
    </w:p>
    <w:p w14:paraId="67249920" w14:textId="5B802F7C" w:rsidR="005D78B8" w:rsidRPr="00213F85" w:rsidRDefault="005D78B8">
      <w:pPr>
        <w:pStyle w:val="ListParagraph"/>
        <w:numPr>
          <w:ilvl w:val="0"/>
          <w:numId w:val="55"/>
        </w:numPr>
        <w:jc w:val="both"/>
        <w:rPr>
          <w:sz w:val="20"/>
          <w:szCs w:val="20"/>
          <w:lang w:val="es-ES"/>
        </w:rPr>
      </w:pPr>
      <w:r w:rsidRPr="00213F85">
        <w:rPr>
          <w:sz w:val="20"/>
          <w:szCs w:val="20"/>
          <w:lang w:val="es-ES"/>
        </w:rPr>
        <w:t>Respecto al alegado incumplimiento de la sentencia T-1635-00, a los efectos del análisis de agotamiento, la Comisión distingue dos grupos de presuntas víctimas: (1) beneficiarios de la sentencia T-1635-00</w:t>
      </w:r>
      <w:r w:rsidR="001F63C4" w:rsidRPr="00213F85">
        <w:rPr>
          <w:rStyle w:val="FootnoteReference"/>
          <w:sz w:val="20"/>
          <w:szCs w:val="20"/>
          <w:lang w:val="es-ES"/>
        </w:rPr>
        <w:footnoteReference w:id="7"/>
      </w:r>
      <w:r w:rsidRPr="00213F85">
        <w:rPr>
          <w:sz w:val="20"/>
          <w:szCs w:val="20"/>
          <w:lang w:val="es-ES"/>
        </w:rPr>
        <w:t xml:space="preserve">  y autos posteriores; y (2) ocupantes de la sede del CICR que no </w:t>
      </w:r>
      <w:r w:rsidR="00ED5DD7" w:rsidRPr="00565871">
        <w:rPr>
          <w:sz w:val="20"/>
          <w:szCs w:val="20"/>
          <w:lang w:val="es-ES"/>
        </w:rPr>
        <w:t>fueron expresamente incluidos en la referida sentencia</w:t>
      </w:r>
      <w:r w:rsidRPr="00565871">
        <w:rPr>
          <w:sz w:val="20"/>
          <w:szCs w:val="20"/>
          <w:lang w:val="es-ES"/>
        </w:rPr>
        <w:t xml:space="preserve">, algunos debido a que, de forma alegadamente arbitraria, no habrían sido incorporados </w:t>
      </w:r>
      <w:r w:rsidRPr="00565871">
        <w:rPr>
          <w:sz w:val="20"/>
          <w:szCs w:val="20"/>
          <w:lang w:val="es-ES"/>
        </w:rPr>
        <w:lastRenderedPageBreak/>
        <w:t>en el Registro Único de Víctimas</w:t>
      </w:r>
      <w:r w:rsidR="001F63C4" w:rsidRPr="00213F85">
        <w:rPr>
          <w:rStyle w:val="FootnoteReference"/>
          <w:sz w:val="20"/>
          <w:szCs w:val="20"/>
          <w:lang w:val="es-ES"/>
        </w:rPr>
        <w:footnoteReference w:id="8"/>
      </w:r>
      <w:r w:rsidRPr="00213F85">
        <w:rPr>
          <w:sz w:val="20"/>
          <w:szCs w:val="20"/>
          <w:lang w:val="es-ES"/>
        </w:rPr>
        <w:t xml:space="preserve">. Respecto del primer grupo, la CIDH concluye que los recursos idóneos fueron agotados con la interposición del recurso de insistencia ante la Corte Constitucional, cuyo rechazo fue notificado el 12 de diciembre de 2006. Dado que la petición fue presentada el 11 de abril de 2007, la Comisión concluye que la misma cumple con el requisito del artículo 46.1.b de la Convención. Respecto del segundo grupo </w:t>
      </w:r>
      <w:r w:rsidRPr="00213F85">
        <w:rPr>
          <w:sz w:val="20"/>
          <w:szCs w:val="20"/>
          <w:lang w:val="es-UY"/>
        </w:rPr>
        <w:t>la CIDH, en especial atención al contexto de vulnerabilidad</w:t>
      </w:r>
      <w:r w:rsidRPr="00213F85">
        <w:rPr>
          <w:rStyle w:val="FootnoteReference"/>
          <w:sz w:val="20"/>
          <w:szCs w:val="20"/>
          <w:lang w:val="es-UY"/>
        </w:rPr>
        <w:footnoteReference w:id="9"/>
      </w:r>
      <w:r w:rsidRPr="00213F85">
        <w:rPr>
          <w:sz w:val="20"/>
          <w:szCs w:val="20"/>
          <w:lang w:val="es-UY"/>
        </w:rPr>
        <w:t xml:space="preserve"> en que se encuentran como presuntas víctimas de desplazamiento forzado, considera aplicable la excepción consagrada en el artículo 46.2.b de la Convención. Sobre el particular, la Comisión observa que las </w:t>
      </w:r>
      <w:r w:rsidR="00CA7964" w:rsidRPr="00213F85">
        <w:rPr>
          <w:sz w:val="20"/>
          <w:szCs w:val="20"/>
          <w:lang w:val="es-UY"/>
        </w:rPr>
        <w:t xml:space="preserve">alegadas </w:t>
      </w:r>
      <w:r w:rsidRPr="00213F85">
        <w:rPr>
          <w:sz w:val="20"/>
          <w:szCs w:val="20"/>
          <w:lang w:val="es-UY"/>
        </w:rPr>
        <w:t xml:space="preserve">violaciones de derechos que las presuntas víctimas </w:t>
      </w:r>
      <w:r w:rsidR="00CA7964" w:rsidRPr="00213F85">
        <w:rPr>
          <w:sz w:val="20"/>
          <w:szCs w:val="20"/>
          <w:lang w:val="es-UY"/>
        </w:rPr>
        <w:t xml:space="preserve">consideran </w:t>
      </w:r>
      <w:r w:rsidRPr="00213F85">
        <w:rPr>
          <w:sz w:val="20"/>
          <w:szCs w:val="20"/>
          <w:lang w:val="es-UY"/>
        </w:rPr>
        <w:t xml:space="preserve">se derivan del incumplimiento de la sentencia T-1635-00 fueron oportunamente puestas en conocimiento de la autoridades estatales en diversas instancias judiciales, otorgando al Estado la posibilidad de remediar las alegadas violaciones de derechos humanos. </w:t>
      </w:r>
    </w:p>
    <w:p w14:paraId="29AD443E" w14:textId="77777777" w:rsidR="00ED5DD7" w:rsidRPr="00213F85" w:rsidRDefault="00ED5DD7">
      <w:pPr>
        <w:pStyle w:val="ListParagraph"/>
        <w:jc w:val="both"/>
        <w:rPr>
          <w:sz w:val="20"/>
          <w:szCs w:val="20"/>
          <w:lang w:val="es-ES"/>
        </w:rPr>
      </w:pPr>
    </w:p>
    <w:p w14:paraId="23948E75" w14:textId="67D1BEF8" w:rsidR="005D78B8" w:rsidRPr="00213F85" w:rsidRDefault="005D78B8">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En cuanto a las vulneraciones denunciadas a consecuencia del alegado desalojo violento, seguido de amenazas y hostigamientos de las presuntas víctimas, así como el denunciado homicidio de Víctor Manuel Ochoa Martínez, la CIDH observa que las presuntas víctimas alegan haber denunciado los ilícitos en repetidas ocasiones ante diversas autoridades. Sin embargo, de la información brindada por las partes, no surge que a la fecha se hayan esclarecido los hechos ni juzgado a los responsables. En este sentido, la Comisión considera que se ha verificado un retardo injustificado en la investigación de un delito perseguible de oficio</w:t>
      </w:r>
      <w:r w:rsidRPr="00213F85">
        <w:rPr>
          <w:rStyle w:val="FootnoteReference"/>
          <w:rFonts w:eastAsia="Arial Unicode MS" w:cs="Times New Roman"/>
          <w:color w:val="auto"/>
          <w:sz w:val="20"/>
          <w:szCs w:val="20"/>
          <w:lang w:val="es-ES" w:eastAsia="en-US"/>
        </w:rPr>
        <w:footnoteReference w:id="10"/>
      </w:r>
      <w:r w:rsidRPr="00213F85">
        <w:rPr>
          <w:rFonts w:eastAsia="Arial Unicode MS" w:cs="Times New Roman"/>
          <w:color w:val="auto"/>
          <w:sz w:val="20"/>
          <w:szCs w:val="20"/>
          <w:lang w:val="es-ES" w:eastAsia="en-US"/>
        </w:rPr>
        <w:t xml:space="preserve">, por lo cual resulta aplicable la excepción al requisito de agotamiento de los recursos internos establecida en el artículo 46.2.c de la Convención. </w:t>
      </w:r>
    </w:p>
    <w:p w14:paraId="318FE300" w14:textId="77777777" w:rsidR="005D78B8" w:rsidRPr="00213F85" w:rsidRDefault="005D78B8">
      <w:pPr>
        <w:pStyle w:val="ListParagraph"/>
        <w:jc w:val="both"/>
        <w:rPr>
          <w:rFonts w:eastAsia="Arial Unicode MS" w:cs="Times New Roman"/>
          <w:color w:val="auto"/>
          <w:sz w:val="20"/>
          <w:szCs w:val="20"/>
          <w:lang w:val="es-ES" w:eastAsia="en-US"/>
        </w:rPr>
      </w:pPr>
    </w:p>
    <w:p w14:paraId="7C998C48" w14:textId="77777777" w:rsidR="005D78B8" w:rsidRPr="00213F85" w:rsidRDefault="005D78B8">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En el presente caso, la petición fue recibida el 11 de abril de 2007, y los hechos materia de reclamo se iniciaron el 14 de diciembre de 1999, y los efectos de los hechos materia de reclamo se extenderían hasta el presente, por lo que la CIDH concluye que la petición fue presentada dentro de un plazo razonable y da por satisfecho el requisito del artículo 32.2 del Reglamento. </w:t>
      </w:r>
    </w:p>
    <w:p w14:paraId="701975BA" w14:textId="77777777" w:rsidR="005D78B8" w:rsidRPr="00213F85" w:rsidRDefault="005D78B8">
      <w:pPr>
        <w:pStyle w:val="ListParagraph"/>
        <w:rPr>
          <w:rFonts w:eastAsia="Arial Unicode MS" w:cs="Times New Roman"/>
          <w:color w:val="auto"/>
          <w:sz w:val="20"/>
          <w:szCs w:val="20"/>
          <w:lang w:val="es-ES" w:eastAsia="en-US"/>
        </w:rPr>
      </w:pPr>
    </w:p>
    <w:p w14:paraId="4C18D7BE" w14:textId="1CA0ED1B" w:rsidR="005D78B8" w:rsidRPr="00213F85" w:rsidRDefault="005D78B8">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En cuanto a los alegatos del Estado en relación al desglose de la petición, la Comisión observa que el objeto de la petición es la falta de ejecución de la sentencia de la Corte Constitucional y, en el marco de la exigibilidad de su cumplimiento, los beneficiarios presuntamente sufrieron persecuciones por su labor, situación de la cual el Estado no se pronunció. Por lo tanto, la CIDH concluye que la petición no cumple con los requisitos establecidos en el artículo 29.4 de su Reglamento, por lo que no procede realizar el desglose solicitado por el Estado.</w:t>
      </w:r>
    </w:p>
    <w:p w14:paraId="4FFBE378" w14:textId="64322DE9" w:rsidR="003239B8" w:rsidRPr="00213F85" w:rsidRDefault="003239B8">
      <w:pPr>
        <w:pStyle w:val="ListParagraph"/>
        <w:spacing w:before="240" w:after="240"/>
        <w:jc w:val="both"/>
        <w:rPr>
          <w:rFonts w:asciiTheme="majorHAnsi" w:hAnsiTheme="majorHAnsi"/>
          <w:b/>
          <w:sz w:val="20"/>
          <w:szCs w:val="20"/>
          <w:lang w:val="es-ES"/>
        </w:rPr>
      </w:pPr>
      <w:r w:rsidRPr="00213F85">
        <w:rPr>
          <w:rFonts w:asciiTheme="majorHAnsi" w:hAnsiTheme="majorHAnsi"/>
          <w:b/>
          <w:bCs/>
          <w:sz w:val="20"/>
          <w:szCs w:val="20"/>
          <w:lang w:val="es-ES"/>
        </w:rPr>
        <w:t>VII.</w:t>
      </w:r>
      <w:r w:rsidRPr="00213F85">
        <w:rPr>
          <w:rFonts w:asciiTheme="majorHAnsi" w:hAnsiTheme="majorHAnsi"/>
          <w:b/>
          <w:bCs/>
          <w:sz w:val="20"/>
          <w:szCs w:val="20"/>
          <w:lang w:val="es-ES"/>
        </w:rPr>
        <w:tab/>
      </w:r>
      <w:r w:rsidR="004A6A54" w:rsidRPr="00213F85">
        <w:rPr>
          <w:rFonts w:asciiTheme="majorHAnsi" w:hAnsiTheme="majorHAnsi"/>
          <w:b/>
          <w:bCs/>
          <w:sz w:val="20"/>
          <w:szCs w:val="20"/>
          <w:lang w:val="es-ES_tradnl"/>
        </w:rPr>
        <w:t xml:space="preserve">ANÁLISIS DE </w:t>
      </w:r>
      <w:r w:rsidR="00C21FEF" w:rsidRPr="00213F85">
        <w:rPr>
          <w:rFonts w:asciiTheme="majorHAnsi" w:hAnsiTheme="majorHAnsi"/>
          <w:b/>
          <w:bCs/>
          <w:sz w:val="20"/>
          <w:szCs w:val="20"/>
          <w:lang w:val="es-ES"/>
        </w:rPr>
        <w:t xml:space="preserve">CARACTERIZACIÓN </w:t>
      </w:r>
      <w:r w:rsidR="00C21FEF" w:rsidRPr="00213F85">
        <w:rPr>
          <w:rFonts w:asciiTheme="majorHAnsi" w:hAnsiTheme="majorHAnsi"/>
          <w:b/>
          <w:bCs/>
          <w:sz w:val="20"/>
          <w:szCs w:val="20"/>
          <w:lang w:val="es-UY"/>
        </w:rPr>
        <w:t>DE LOS HECHOS ALEGADOS</w:t>
      </w:r>
    </w:p>
    <w:p w14:paraId="2CC85609" w14:textId="015B3C86" w:rsidR="005B7764" w:rsidRPr="005B7764" w:rsidRDefault="005D78B8" w:rsidP="005B7764">
      <w:pPr>
        <w:pStyle w:val="ListParagraph"/>
        <w:numPr>
          <w:ilvl w:val="0"/>
          <w:numId w:val="55"/>
        </w:numPr>
        <w:jc w:val="both"/>
        <w:rPr>
          <w:rFonts w:eastAsia="Times New Roman" w:cs="Times New Roman"/>
          <w:color w:val="auto"/>
          <w:sz w:val="20"/>
          <w:szCs w:val="20"/>
          <w:bdr w:val="none" w:sz="0" w:space="0" w:color="auto"/>
          <w:lang w:val="es-ES" w:eastAsia="en-US"/>
        </w:rPr>
      </w:pPr>
      <w:r w:rsidRPr="005B7764">
        <w:rPr>
          <w:rFonts w:eastAsia="Times New Roman" w:cs="Times New Roman"/>
          <w:color w:val="auto"/>
          <w:sz w:val="20"/>
          <w:szCs w:val="20"/>
          <w:bdr w:val="none" w:sz="0" w:space="0" w:color="auto"/>
          <w:lang w:val="es-ES" w:eastAsia="en-US"/>
        </w:rPr>
        <w:t>En vista de los elementos de hecho y de derecho presentados por los peticionarios y la naturaleza del asunto puesto bajo su conocimiento, la CIDH considera que, de ser probados, los alegatos relativos al incumplimiento de la sentencia T-1635-00 y los efectos de tal incumplimiento, podrían caracterizar posibles violaciones a los derechos protegidos en los artículos 5 (integridad personal), 8 (garantías judiciales), 19 (</w:t>
      </w:r>
      <w:r w:rsidR="00ED5DD7" w:rsidRPr="005B7764">
        <w:rPr>
          <w:rFonts w:eastAsia="Times New Roman" w:cs="Times New Roman"/>
          <w:color w:val="auto"/>
          <w:sz w:val="20"/>
          <w:szCs w:val="20"/>
          <w:bdr w:val="none" w:sz="0" w:space="0" w:color="auto"/>
          <w:lang w:val="es-ES" w:eastAsia="en-US"/>
        </w:rPr>
        <w:t>derechos del niño</w:t>
      </w:r>
      <w:r w:rsidRPr="005B7764">
        <w:rPr>
          <w:rFonts w:eastAsia="Times New Roman" w:cs="Times New Roman"/>
          <w:color w:val="auto"/>
          <w:sz w:val="20"/>
          <w:szCs w:val="20"/>
          <w:bdr w:val="none" w:sz="0" w:space="0" w:color="auto"/>
          <w:lang w:val="es-ES" w:eastAsia="en-US"/>
        </w:rPr>
        <w:t xml:space="preserve">), </w:t>
      </w:r>
      <w:r w:rsidR="00565871" w:rsidRPr="005B7764">
        <w:rPr>
          <w:rFonts w:eastAsia="Times New Roman" w:cs="Times New Roman"/>
          <w:color w:val="auto"/>
          <w:sz w:val="20"/>
          <w:szCs w:val="20"/>
          <w:bdr w:val="none" w:sz="0" w:space="0" w:color="auto"/>
          <w:lang w:val="es-ES" w:eastAsia="en-US"/>
        </w:rPr>
        <w:t>22</w:t>
      </w:r>
      <w:r w:rsidR="002067F3" w:rsidRPr="005B7764">
        <w:rPr>
          <w:rFonts w:eastAsia="Times New Roman" w:cs="Times New Roman"/>
          <w:color w:val="auto"/>
          <w:sz w:val="20"/>
          <w:szCs w:val="20"/>
          <w:bdr w:val="none" w:sz="0" w:space="0" w:color="auto"/>
          <w:lang w:val="es-ES" w:eastAsia="en-US"/>
        </w:rPr>
        <w:t xml:space="preserve"> </w:t>
      </w:r>
      <w:r w:rsidR="00565871" w:rsidRPr="005B7764">
        <w:rPr>
          <w:rFonts w:eastAsia="Times New Roman" w:cs="Times New Roman"/>
          <w:color w:val="auto"/>
          <w:sz w:val="20"/>
          <w:szCs w:val="20"/>
          <w:bdr w:val="none" w:sz="0" w:space="0" w:color="auto"/>
          <w:lang w:val="es-ES" w:eastAsia="en-US"/>
        </w:rPr>
        <w:t>(circulación y residencia),</w:t>
      </w:r>
      <w:r w:rsidRPr="005B7764">
        <w:rPr>
          <w:rFonts w:eastAsia="Times New Roman" w:cs="Times New Roman"/>
          <w:color w:val="auto"/>
          <w:sz w:val="20"/>
          <w:szCs w:val="20"/>
          <w:bdr w:val="none" w:sz="0" w:space="0" w:color="auto"/>
          <w:lang w:val="es-ES" w:eastAsia="en-US"/>
        </w:rPr>
        <w:t xml:space="preserve"> 25 (protección judicial) y 26 (derechos económicos, sociales y culturales) de la Convención, en relación con los artículos 1.1 y 2 del mismo instrumento. </w:t>
      </w:r>
      <w:r w:rsidR="005B7764" w:rsidRPr="005B7764">
        <w:rPr>
          <w:rFonts w:cstheme="minorHAnsi"/>
          <w:sz w:val="20"/>
          <w:szCs w:val="20"/>
          <w:lang w:val="es-ES"/>
        </w:rPr>
        <w:t xml:space="preserve">Teniendo en cuenta que el artículo 26 de la Convención hace una referencia general a los derechos económicos, sociales y culturales, y que estos deben ser determinados en conexión con la Carta de la OEA, la Comisión considera que </w:t>
      </w:r>
      <w:r w:rsidR="005B7764" w:rsidRPr="005B7764">
        <w:rPr>
          <w:sz w:val="20"/>
          <w:szCs w:val="20"/>
          <w:lang w:val="es-ES_tradnl"/>
        </w:rPr>
        <w:t>en casos donde se identifique una posible caracterización por vulneración a dicho artículo, corresponderá utilizar en la etapa de fondo aquellos instrumentos en la materia aplicables al Estado concernido.</w:t>
      </w:r>
    </w:p>
    <w:p w14:paraId="440B4290" w14:textId="77777777" w:rsidR="005B7764" w:rsidRDefault="005B7764" w:rsidP="005B7764">
      <w:pPr>
        <w:pStyle w:val="ListParagraph"/>
        <w:jc w:val="both"/>
        <w:rPr>
          <w:rFonts w:eastAsia="Times New Roman" w:cs="Times New Roman"/>
          <w:color w:val="auto"/>
          <w:sz w:val="20"/>
          <w:szCs w:val="20"/>
          <w:bdr w:val="none" w:sz="0" w:space="0" w:color="auto"/>
          <w:lang w:val="es-ES" w:eastAsia="en-US"/>
        </w:rPr>
      </w:pPr>
    </w:p>
    <w:p w14:paraId="50BC4AB9" w14:textId="5800ABB6" w:rsidR="005D78B8" w:rsidRPr="00213F85" w:rsidRDefault="005D78B8">
      <w:pPr>
        <w:pStyle w:val="ListParagraph"/>
        <w:numPr>
          <w:ilvl w:val="0"/>
          <w:numId w:val="55"/>
        </w:numPr>
        <w:jc w:val="both"/>
        <w:rPr>
          <w:rFonts w:eastAsia="Times New Roman" w:cs="Times New Roman"/>
          <w:color w:val="auto"/>
          <w:sz w:val="20"/>
          <w:szCs w:val="20"/>
          <w:bdr w:val="none" w:sz="0" w:space="0" w:color="auto"/>
          <w:lang w:val="es-ES" w:eastAsia="en-US"/>
        </w:rPr>
      </w:pPr>
      <w:r w:rsidRPr="00213F85">
        <w:rPr>
          <w:rFonts w:eastAsia="Times New Roman" w:cs="Times New Roman"/>
          <w:color w:val="auto"/>
          <w:sz w:val="20"/>
          <w:szCs w:val="20"/>
          <w:bdr w:val="none" w:sz="0" w:space="0" w:color="auto"/>
          <w:lang w:val="es-ES" w:eastAsia="en-US"/>
        </w:rPr>
        <w:t>Asimismo, los alegados actos de violencia, hostigamientos, amenazas perpetrados en contra de los peticionarios y en especial el asesinato de Víctor Manuel Ochoa Martínez, así como la falta de investigación apropiada podrían caracterizar posibles violaciones de</w:t>
      </w:r>
      <w:r w:rsidR="00CA7964" w:rsidRPr="00213F85">
        <w:rPr>
          <w:rFonts w:eastAsia="Times New Roman" w:cs="Times New Roman"/>
          <w:color w:val="auto"/>
          <w:sz w:val="20"/>
          <w:szCs w:val="20"/>
          <w:bdr w:val="none" w:sz="0" w:space="0" w:color="auto"/>
          <w:lang w:val="es-ES" w:eastAsia="en-US"/>
        </w:rPr>
        <w:t xml:space="preserve"> </w:t>
      </w:r>
      <w:r w:rsidRPr="00213F85">
        <w:rPr>
          <w:rFonts w:eastAsia="Times New Roman" w:cs="Times New Roman"/>
          <w:color w:val="auto"/>
          <w:sz w:val="20"/>
          <w:szCs w:val="20"/>
          <w:bdr w:val="none" w:sz="0" w:space="0" w:color="auto"/>
          <w:lang w:val="es-ES" w:eastAsia="en-US"/>
        </w:rPr>
        <w:t>l</w:t>
      </w:r>
      <w:r w:rsidR="00CA7964" w:rsidRPr="00213F85">
        <w:rPr>
          <w:rFonts w:eastAsia="Times New Roman" w:cs="Times New Roman"/>
          <w:color w:val="auto"/>
          <w:sz w:val="20"/>
          <w:szCs w:val="20"/>
          <w:bdr w:val="none" w:sz="0" w:space="0" w:color="auto"/>
          <w:lang w:val="es-ES" w:eastAsia="en-US"/>
        </w:rPr>
        <w:t>os</w:t>
      </w:r>
      <w:r w:rsidRPr="00213F85">
        <w:rPr>
          <w:rFonts w:eastAsia="Times New Roman" w:cs="Times New Roman"/>
          <w:color w:val="auto"/>
          <w:sz w:val="20"/>
          <w:szCs w:val="20"/>
          <w:bdr w:val="none" w:sz="0" w:space="0" w:color="auto"/>
          <w:lang w:val="es-ES" w:eastAsia="en-US"/>
        </w:rPr>
        <w:t xml:space="preserve"> artículo</w:t>
      </w:r>
      <w:r w:rsidR="00CA7964" w:rsidRPr="00213F85">
        <w:rPr>
          <w:rFonts w:eastAsia="Times New Roman" w:cs="Times New Roman"/>
          <w:color w:val="auto"/>
          <w:sz w:val="20"/>
          <w:szCs w:val="20"/>
          <w:bdr w:val="none" w:sz="0" w:space="0" w:color="auto"/>
          <w:lang w:val="es-ES" w:eastAsia="en-US"/>
        </w:rPr>
        <w:t>s</w:t>
      </w:r>
      <w:r w:rsidRPr="00213F85">
        <w:rPr>
          <w:rFonts w:eastAsia="Times New Roman" w:cs="Times New Roman"/>
          <w:color w:val="auto"/>
          <w:sz w:val="20"/>
          <w:szCs w:val="20"/>
          <w:bdr w:val="none" w:sz="0" w:space="0" w:color="auto"/>
          <w:lang w:val="es-ES" w:eastAsia="en-US"/>
        </w:rPr>
        <w:t xml:space="preserve"> 4 (derecho a la vida), 5 (derecho a la integridad), 8 (garantías judiciales) y 25 (protección judicial) de la Convención, en relación con su artículo 1.1. </w:t>
      </w:r>
    </w:p>
    <w:p w14:paraId="124C4093" w14:textId="77777777" w:rsidR="005D78B8" w:rsidRPr="00213F85" w:rsidRDefault="005D78B8">
      <w:pPr>
        <w:pStyle w:val="ListParagraph"/>
        <w:jc w:val="both"/>
        <w:rPr>
          <w:rFonts w:eastAsia="Times New Roman" w:cs="Times New Roman"/>
          <w:color w:val="auto"/>
          <w:sz w:val="20"/>
          <w:szCs w:val="20"/>
          <w:bdr w:val="none" w:sz="0" w:space="0" w:color="auto"/>
          <w:lang w:val="es-ES" w:eastAsia="en-US"/>
        </w:rPr>
      </w:pPr>
    </w:p>
    <w:p w14:paraId="3709849E" w14:textId="12D7FACC" w:rsidR="005D78B8" w:rsidRPr="00213F85" w:rsidRDefault="005D78B8">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En cuanto al reclamo de los peticionarios sobre la presunta violación de los artículos 11 (honra y dignidad), 14 (rectificación) y 24 (igualdad ante la ley) de la Convención Americana, la Comisión observa que los peticionarios no ofrecen alegatos o sustento para su presunta violación por lo que no corresponde declarar dicha pretensión admisible. </w:t>
      </w:r>
      <w:r w:rsidR="00592FCF" w:rsidRPr="00592FCF">
        <w:rPr>
          <w:rFonts w:eastAsia="Arial Unicode MS" w:cs="Times New Roman"/>
          <w:color w:val="auto"/>
          <w:sz w:val="20"/>
          <w:szCs w:val="20"/>
          <w:lang w:val="es-ES" w:eastAsia="en-US"/>
        </w:rPr>
        <w:t>Dado que los alegatos referidos a la afectación de las familias serán analizados en el marco del artículo 5, la Comisión observa que los peticionarios no ha</w:t>
      </w:r>
      <w:r w:rsidR="00592FCF">
        <w:rPr>
          <w:rFonts w:eastAsia="Arial Unicode MS" w:cs="Times New Roman"/>
          <w:color w:val="auto"/>
          <w:sz w:val="20"/>
          <w:szCs w:val="20"/>
          <w:lang w:val="es-ES" w:eastAsia="en-US"/>
        </w:rPr>
        <w:t>n</w:t>
      </w:r>
      <w:r w:rsidR="00592FCF" w:rsidRPr="00592FCF">
        <w:rPr>
          <w:rFonts w:eastAsia="Arial Unicode MS" w:cs="Times New Roman"/>
          <w:color w:val="auto"/>
          <w:sz w:val="20"/>
          <w:szCs w:val="20"/>
          <w:lang w:val="es-ES" w:eastAsia="en-US"/>
        </w:rPr>
        <w:t xml:space="preserve"> ofrecido información que permita identificar </w:t>
      </w:r>
      <w:r w:rsidR="00592FCF" w:rsidRPr="00592FCF">
        <w:rPr>
          <w:rFonts w:eastAsia="Arial Unicode MS" w:cs="Times New Roman"/>
          <w:i/>
          <w:color w:val="auto"/>
          <w:sz w:val="20"/>
          <w:szCs w:val="20"/>
          <w:lang w:val="es-ES" w:eastAsia="en-US"/>
        </w:rPr>
        <w:t>prima facie</w:t>
      </w:r>
      <w:r w:rsidR="00592FCF" w:rsidRPr="00592FCF">
        <w:rPr>
          <w:rFonts w:eastAsia="Arial Unicode MS" w:cs="Times New Roman"/>
          <w:color w:val="auto"/>
          <w:sz w:val="20"/>
          <w:szCs w:val="20"/>
          <w:lang w:val="es-ES" w:eastAsia="en-US"/>
        </w:rPr>
        <w:t xml:space="preserve"> algún contenido específico o autónomo para considerar la posible violación del artículo 17 </w:t>
      </w:r>
      <w:r w:rsidR="00592FCF">
        <w:rPr>
          <w:rFonts w:eastAsia="Arial Unicode MS" w:cs="Times New Roman"/>
          <w:color w:val="auto"/>
          <w:sz w:val="20"/>
          <w:szCs w:val="20"/>
          <w:lang w:val="es-ES" w:eastAsia="en-US"/>
        </w:rPr>
        <w:t xml:space="preserve">(familia) </w:t>
      </w:r>
      <w:r w:rsidR="00592FCF" w:rsidRPr="00592FCF">
        <w:rPr>
          <w:rFonts w:eastAsia="Arial Unicode MS" w:cs="Times New Roman"/>
          <w:color w:val="auto"/>
          <w:sz w:val="20"/>
          <w:szCs w:val="20"/>
          <w:lang w:val="es-ES" w:eastAsia="en-US"/>
        </w:rPr>
        <w:t xml:space="preserve">de la Convención. </w:t>
      </w:r>
      <w:r w:rsidRPr="00213F85">
        <w:rPr>
          <w:rFonts w:eastAsia="Arial Unicode MS" w:cs="Times New Roman"/>
          <w:color w:val="auto"/>
          <w:sz w:val="20"/>
          <w:szCs w:val="20"/>
          <w:lang w:val="es-ES" w:eastAsia="en-US"/>
        </w:rPr>
        <w:t>Respecto al artículo 11 del Pacto Internacional de Derechos Económicos, Sociales y Culturales, de conformidad con el artículo 29 de la Convención, la Comisión puede considerarlo para interpretar y aplicar la Convención Americana.</w:t>
      </w:r>
    </w:p>
    <w:p w14:paraId="2A362184" w14:textId="77777777" w:rsidR="005D78B8" w:rsidRPr="00213F85" w:rsidRDefault="005D78B8">
      <w:pPr>
        <w:pStyle w:val="ListParagraph"/>
        <w:rPr>
          <w:rFonts w:eastAsia="Arial Unicode MS" w:cs="Times New Roman"/>
          <w:color w:val="auto"/>
          <w:sz w:val="20"/>
          <w:szCs w:val="20"/>
          <w:lang w:val="es-ES" w:eastAsia="en-US"/>
        </w:rPr>
      </w:pPr>
    </w:p>
    <w:p w14:paraId="1730122E" w14:textId="1097F2E1" w:rsidR="005D78B8" w:rsidRPr="00213F85" w:rsidRDefault="001F63C4">
      <w:pPr>
        <w:pStyle w:val="ListParagraph"/>
        <w:numPr>
          <w:ilvl w:val="0"/>
          <w:numId w:val="55"/>
        </w:numPr>
        <w:jc w:val="both"/>
        <w:rPr>
          <w:rFonts w:eastAsia="Arial Unicode MS" w:cs="Times New Roman"/>
          <w:color w:val="auto"/>
          <w:sz w:val="20"/>
          <w:szCs w:val="20"/>
          <w:lang w:val="es-ES" w:eastAsia="en-US"/>
        </w:rPr>
      </w:pPr>
      <w:r w:rsidRPr="00213F85">
        <w:rPr>
          <w:rFonts w:eastAsia="Arial Unicode MS" w:cs="Times New Roman"/>
          <w:color w:val="auto"/>
          <w:sz w:val="20"/>
          <w:szCs w:val="20"/>
          <w:lang w:val="es-ES" w:eastAsia="en-US"/>
        </w:rPr>
        <w:t xml:space="preserve">Por último, respecto al alegato del Estado de cuarta instancia, la Comisión observa que al admitir esta petición no pretende suplantar la competencia de las autoridades judiciales domésticas. La CIDH  analizará en la etapa de fondo de la presente petición, si los procesos judiciales internos cumplieron con las garantías del debido proceso y protección judicial, y ofreció las debidas garantías de acceso a la justicia a los peticionarios en los términos de la Convención Americana. </w:t>
      </w:r>
    </w:p>
    <w:p w14:paraId="29BB41F5" w14:textId="77777777" w:rsidR="003239B8" w:rsidRPr="00213F85" w:rsidRDefault="003239B8">
      <w:pPr>
        <w:pStyle w:val="ListParagraph"/>
        <w:spacing w:before="240" w:after="240"/>
        <w:jc w:val="both"/>
        <w:rPr>
          <w:rFonts w:asciiTheme="majorHAnsi" w:hAnsiTheme="majorHAnsi"/>
          <w:b/>
          <w:bCs/>
          <w:sz w:val="20"/>
          <w:szCs w:val="20"/>
          <w:lang w:val="es-ES"/>
        </w:rPr>
      </w:pPr>
      <w:r w:rsidRPr="00213F85">
        <w:rPr>
          <w:rFonts w:asciiTheme="majorHAnsi" w:hAnsiTheme="majorHAnsi"/>
          <w:b/>
          <w:bCs/>
          <w:sz w:val="20"/>
          <w:szCs w:val="20"/>
          <w:lang w:val="es-ES"/>
        </w:rPr>
        <w:t xml:space="preserve">VIII. </w:t>
      </w:r>
      <w:r w:rsidRPr="00213F85">
        <w:rPr>
          <w:rFonts w:asciiTheme="majorHAnsi" w:hAnsiTheme="majorHAnsi"/>
          <w:b/>
          <w:bCs/>
          <w:sz w:val="20"/>
          <w:szCs w:val="20"/>
          <w:lang w:val="es-ES"/>
        </w:rPr>
        <w:tab/>
        <w:t>DECISIÓN</w:t>
      </w:r>
    </w:p>
    <w:p w14:paraId="0FDE1D10" w14:textId="2CF283F1" w:rsidR="003239B8" w:rsidRPr="00213F85" w:rsidRDefault="003239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85">
        <w:rPr>
          <w:rFonts w:asciiTheme="majorHAnsi" w:hAnsiTheme="majorHAnsi"/>
          <w:sz w:val="20"/>
          <w:szCs w:val="20"/>
          <w:lang w:val="es-ES"/>
        </w:rPr>
        <w:t xml:space="preserve">Declarar admisible la presente petición en relación con </w:t>
      </w:r>
      <w:sdt>
        <w:sdtPr>
          <w:rPr>
            <w:rFonts w:asciiTheme="majorHAnsi" w:hAnsiTheme="majorHAnsi"/>
            <w:sz w:val="20"/>
            <w:szCs w:val="20"/>
            <w:lang w:val="es-ES"/>
          </w:rPr>
          <w:id w:val="1233819830"/>
          <w:dropDownList>
            <w:listItem w:value="Choose an item."/>
            <w:listItem w:displayText="el artículo" w:value="el artículo"/>
            <w:listItem w:displayText="los artículos" w:value="los artículos"/>
          </w:dropDownList>
        </w:sdtPr>
        <w:sdtEndPr/>
        <w:sdtContent>
          <w:r w:rsidR="001F63C4" w:rsidRPr="00213F85">
            <w:rPr>
              <w:rFonts w:asciiTheme="majorHAnsi" w:hAnsiTheme="majorHAnsi"/>
              <w:sz w:val="20"/>
              <w:szCs w:val="20"/>
              <w:lang w:val="es-ES"/>
            </w:rPr>
            <w:t>los artículos</w:t>
          </w:r>
        </w:sdtContent>
      </w:sdt>
      <w:r w:rsidR="001F63C4" w:rsidRPr="00213F85">
        <w:rPr>
          <w:rFonts w:asciiTheme="majorHAnsi" w:hAnsiTheme="majorHAnsi"/>
          <w:sz w:val="20"/>
          <w:szCs w:val="20"/>
          <w:lang w:val="es-ES"/>
        </w:rPr>
        <w:t xml:space="preserve"> 4, 5, 8, 19, </w:t>
      </w:r>
      <w:r w:rsidR="00565871">
        <w:rPr>
          <w:rFonts w:asciiTheme="majorHAnsi" w:hAnsiTheme="majorHAnsi"/>
          <w:sz w:val="20"/>
          <w:szCs w:val="20"/>
          <w:lang w:val="es-ES"/>
        </w:rPr>
        <w:t xml:space="preserve">22, </w:t>
      </w:r>
      <w:r w:rsidR="001F63C4" w:rsidRPr="00213F85">
        <w:rPr>
          <w:rFonts w:asciiTheme="majorHAnsi" w:hAnsiTheme="majorHAnsi"/>
          <w:sz w:val="20"/>
          <w:szCs w:val="20"/>
          <w:lang w:val="es-ES"/>
        </w:rPr>
        <w:t>25 y 26 de la Convención Americana en concordancia con el artículo 1.1 y 2 del mismo instrumento;</w:t>
      </w:r>
    </w:p>
    <w:p w14:paraId="570DA61C" w14:textId="0508656A" w:rsidR="000419AD" w:rsidRPr="00213F85" w:rsidRDefault="001F63C4">
      <w:pPr>
        <w:pStyle w:val="ListParagraph"/>
        <w:numPr>
          <w:ilvl w:val="0"/>
          <w:numId w:val="57"/>
        </w:numPr>
        <w:jc w:val="both"/>
        <w:rPr>
          <w:rFonts w:asciiTheme="majorHAnsi" w:hAnsiTheme="majorHAnsi"/>
          <w:sz w:val="20"/>
          <w:szCs w:val="20"/>
          <w:lang w:val="es-ES"/>
        </w:rPr>
      </w:pPr>
      <w:r w:rsidRPr="00213F85">
        <w:rPr>
          <w:rFonts w:asciiTheme="majorHAnsi" w:hAnsiTheme="majorHAnsi"/>
          <w:sz w:val="20"/>
          <w:szCs w:val="20"/>
          <w:lang w:val="es-ES"/>
        </w:rPr>
        <w:t>Declarar inadmisible la presente petición en relación con los artículos 11, 14, 17 y 24 de la Convención Americana; y</w:t>
      </w:r>
    </w:p>
    <w:p w14:paraId="41AA5BF6" w14:textId="77777777" w:rsidR="000419AD" w:rsidRPr="00213F85" w:rsidRDefault="000419AD">
      <w:pPr>
        <w:pStyle w:val="ListParagraph"/>
        <w:rPr>
          <w:rFonts w:eastAsia="Arial Unicode MS" w:cs="Times New Roman"/>
          <w:color w:val="auto"/>
          <w:sz w:val="20"/>
          <w:szCs w:val="20"/>
          <w:lang w:val="es-ES" w:eastAsia="en-US"/>
        </w:rPr>
      </w:pPr>
    </w:p>
    <w:p w14:paraId="12A7002C" w14:textId="77777777" w:rsidR="004A6A54" w:rsidRPr="00213F85" w:rsidRDefault="004A6A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13F8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ABA5956" w14:textId="7CF44106" w:rsidR="00245748" w:rsidRDefault="00245748" w:rsidP="002457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A</w:t>
      </w:r>
      <w:r w:rsidRPr="00E75191">
        <w:rPr>
          <w:rFonts w:asciiTheme="majorHAnsi" w:hAnsiTheme="majorHAnsi"/>
          <w:sz w:val="20"/>
          <w:szCs w:val="20"/>
          <w:lang w:val="es-ES"/>
        </w:rPr>
        <w:t xml:space="preserve">probado por la Comisión Interamericana de Derechos Humanos a los </w:t>
      </w:r>
      <w:r>
        <w:rPr>
          <w:rFonts w:asciiTheme="majorHAnsi" w:hAnsiTheme="majorHAnsi"/>
          <w:sz w:val="20"/>
          <w:szCs w:val="20"/>
          <w:lang w:val="es-ES"/>
        </w:rPr>
        <w:t>21</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junio</w:t>
      </w:r>
      <w:r w:rsidRPr="00E75191">
        <w:rPr>
          <w:rFonts w:asciiTheme="majorHAnsi" w:hAnsiTheme="majorHAnsi"/>
          <w:sz w:val="20"/>
          <w:szCs w:val="20"/>
          <w:lang w:val="es-ES"/>
        </w:rPr>
        <w:t xml:space="preserve"> de 2018.  (Firmado): Margarette May Macaulay, Presidenta; Esmeralda E. Arosemena Bernal de Troitiño, Primera Vicepresidenta; Francisco José Eguiguren Praeli, Joel Hernández García, Antonia Urrejola, y Flávia Piovesan, Miembros de la Comisión.</w:t>
      </w:r>
    </w:p>
    <w:p w14:paraId="6DDEC3EA" w14:textId="77777777" w:rsidR="00C13D6C" w:rsidRDefault="00245748" w:rsidP="00C13D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sectPr w:rsidR="00C13D6C" w:rsidSect="00934A2C">
          <w:type w:val="oddPage"/>
          <w:pgSz w:w="12240" w:h="15840"/>
          <w:pgMar w:top="1440" w:right="1440" w:bottom="1440" w:left="1440" w:header="720" w:footer="720" w:gutter="0"/>
          <w:pgNumType w:start="1"/>
          <w:cols w:space="720"/>
          <w:docGrid w:linePitch="326"/>
        </w:sectPr>
      </w:pPr>
      <w:r>
        <w:rPr>
          <w:rFonts w:asciiTheme="majorHAnsi" w:hAnsiTheme="majorHAnsi"/>
          <w:sz w:val="20"/>
          <w:szCs w:val="20"/>
          <w:lang w:val="es-ES"/>
        </w:rPr>
        <w:tab/>
      </w:r>
    </w:p>
    <w:p w14:paraId="7CB78E05" w14:textId="2ED649ED" w:rsidR="001F63C4" w:rsidRPr="00213F85" w:rsidRDefault="001F63C4" w:rsidP="00C13D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p>
    <w:p w14:paraId="5CF9A8F3" w14:textId="59D68972" w:rsidR="00974A52" w:rsidRPr="00213F85" w:rsidRDefault="00974A52">
      <w:pPr>
        <w:rPr>
          <w:rFonts w:asciiTheme="majorHAnsi" w:hAnsiTheme="majorHAnsi"/>
          <w:b/>
          <w:sz w:val="20"/>
          <w:szCs w:val="20"/>
          <w:bdr w:val="none" w:sz="0" w:space="0" w:color="auto"/>
          <w:lang w:val="es-ES"/>
        </w:rPr>
      </w:pPr>
    </w:p>
    <w:p w14:paraId="3DB0BC1B" w14:textId="272F4F15" w:rsidR="001F63C4" w:rsidRPr="00213F85" w:rsidRDefault="001F63C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bdr w:val="none" w:sz="0" w:space="0" w:color="auto"/>
          <w:lang w:val="es-ES"/>
        </w:rPr>
      </w:pPr>
      <w:r w:rsidRPr="00213F85">
        <w:rPr>
          <w:rFonts w:asciiTheme="majorHAnsi" w:hAnsiTheme="majorHAnsi"/>
          <w:b/>
          <w:sz w:val="20"/>
          <w:szCs w:val="20"/>
          <w:bdr w:val="none" w:sz="0" w:space="0" w:color="auto"/>
          <w:lang w:val="es-ES"/>
        </w:rPr>
        <w:t>Anexo 1</w:t>
      </w:r>
      <w:r w:rsidRPr="00213F85">
        <w:rPr>
          <w:rFonts w:asciiTheme="majorHAnsi" w:hAnsiTheme="majorHAnsi"/>
          <w:b/>
          <w:sz w:val="20"/>
          <w:szCs w:val="20"/>
          <w:bdr w:val="none" w:sz="0" w:space="0" w:color="auto"/>
          <w:lang w:val="es-ES"/>
        </w:rPr>
        <w:br/>
        <w:t>LISTA DE LAS PRESUNTAS VÍCTIMAS</w:t>
      </w:r>
    </w:p>
    <w:p w14:paraId="402D2715" w14:textId="77777777" w:rsidR="001F63C4" w:rsidRPr="00213F85" w:rsidRDefault="001F63C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bdr w:val="none" w:sz="0" w:space="0" w:color="auto"/>
          <w:lang w:val="es-ES"/>
        </w:rPr>
      </w:pPr>
      <w:r w:rsidRPr="00213F85">
        <w:rPr>
          <w:rFonts w:asciiTheme="majorHAnsi" w:hAnsiTheme="majorHAnsi"/>
          <w:b/>
          <w:sz w:val="20"/>
          <w:szCs w:val="20"/>
          <w:bdr w:val="none" w:sz="0" w:space="0" w:color="auto"/>
          <w:lang w:val="es-ES"/>
        </w:rPr>
        <w:t>Personas beneficiadas por la sentencia T-1635-2000</w:t>
      </w:r>
    </w:p>
    <w:p w14:paraId="1F413137"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Alba Luz Silva Ortega</w:t>
      </w:r>
    </w:p>
    <w:p w14:paraId="2309C3A1" w14:textId="3EC595CD" w:rsidR="001F63C4" w:rsidRPr="00213F85" w:rsidRDefault="00BB0D2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José Marí</w:t>
      </w:r>
      <w:r w:rsidR="001F63C4" w:rsidRPr="00213F85">
        <w:rPr>
          <w:rFonts w:asciiTheme="majorHAnsi" w:eastAsia="Cambria" w:hAnsiTheme="majorHAnsi" w:cs="Cambria"/>
          <w:color w:val="000000"/>
          <w:sz w:val="20"/>
          <w:szCs w:val="20"/>
          <w:u w:color="000000"/>
          <w:lang w:val="pt-BR" w:eastAsia="es-ES"/>
        </w:rPr>
        <w:t>a Forero Castro</w:t>
      </w:r>
    </w:p>
    <w:p w14:paraId="48A2B741"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Jose Licinio Álvarez López</w:t>
      </w:r>
    </w:p>
    <w:p w14:paraId="255D023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Luz Mery Paso Gutiérrez</w:t>
      </w:r>
    </w:p>
    <w:p w14:paraId="7C29F9DF" w14:textId="6AF2371D" w:rsidR="001F63C4" w:rsidRPr="00213F85" w:rsidRDefault="006722A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Rosalba G</w:t>
      </w:r>
      <w:r w:rsidR="001F63C4" w:rsidRPr="00213F85">
        <w:rPr>
          <w:rFonts w:asciiTheme="majorHAnsi" w:eastAsia="Cambria" w:hAnsiTheme="majorHAnsi" w:cs="Cambria"/>
          <w:color w:val="000000"/>
          <w:sz w:val="20"/>
          <w:szCs w:val="20"/>
          <w:u w:color="000000"/>
          <w:lang w:val="pt-BR" w:eastAsia="es-ES"/>
        </w:rPr>
        <w:t>e</w:t>
      </w:r>
      <w:r w:rsidRPr="00213F85">
        <w:rPr>
          <w:rFonts w:asciiTheme="majorHAnsi" w:eastAsia="Cambria" w:hAnsiTheme="majorHAnsi" w:cs="Cambria"/>
          <w:color w:val="000000"/>
          <w:sz w:val="20"/>
          <w:szCs w:val="20"/>
          <w:u w:color="000000"/>
          <w:lang w:val="pt-BR" w:eastAsia="es-ES"/>
        </w:rPr>
        <w:t>l</w:t>
      </w:r>
      <w:r w:rsidR="001F63C4" w:rsidRPr="00213F85">
        <w:rPr>
          <w:rFonts w:asciiTheme="majorHAnsi" w:eastAsia="Cambria" w:hAnsiTheme="majorHAnsi" w:cs="Cambria"/>
          <w:color w:val="000000"/>
          <w:sz w:val="20"/>
          <w:szCs w:val="20"/>
          <w:u w:color="000000"/>
          <w:lang w:val="pt-BR" w:eastAsia="es-ES"/>
        </w:rPr>
        <w:t>vez Serrano</w:t>
      </w:r>
    </w:p>
    <w:p w14:paraId="7163EBAD" w14:textId="396A7E01"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Segundo</w:t>
      </w:r>
      <w:r w:rsidR="006722A2" w:rsidRPr="00213F85">
        <w:rPr>
          <w:rFonts w:asciiTheme="majorHAnsi" w:eastAsia="Cambria" w:hAnsiTheme="majorHAnsi" w:cs="Cambria"/>
          <w:color w:val="000000"/>
          <w:sz w:val="20"/>
          <w:szCs w:val="20"/>
          <w:u w:color="000000"/>
          <w:lang w:val="pt-BR" w:eastAsia="es-ES"/>
        </w:rPr>
        <w:t xml:space="preserve"> Oliverio Rios Alarcó</w:t>
      </w:r>
      <w:r w:rsidRPr="00213F85">
        <w:rPr>
          <w:rFonts w:asciiTheme="majorHAnsi" w:eastAsia="Cambria" w:hAnsiTheme="majorHAnsi" w:cs="Cambria"/>
          <w:color w:val="000000"/>
          <w:sz w:val="20"/>
          <w:szCs w:val="20"/>
          <w:u w:color="000000"/>
          <w:lang w:val="pt-BR" w:eastAsia="es-ES"/>
        </w:rPr>
        <w:t>n</w:t>
      </w:r>
    </w:p>
    <w:p w14:paraId="21553BDE"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Solangel Bautista Padilla</w:t>
      </w:r>
    </w:p>
    <w:p w14:paraId="5DE67C67" w14:textId="71A4004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Rogelio Ríos Alarcón </w:t>
      </w:r>
    </w:p>
    <w:p w14:paraId="6E3F6391"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Reyni Toledo Macana</w:t>
      </w:r>
    </w:p>
    <w:p w14:paraId="10DB9DF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Rafael Peláez Castañeda</w:t>
      </w:r>
    </w:p>
    <w:p w14:paraId="544738E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Rafael Ríos Alarcón</w:t>
      </w:r>
    </w:p>
    <w:p w14:paraId="4B5E2C7D"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Nubia Ríos Alarcón</w:t>
      </w:r>
    </w:p>
    <w:p w14:paraId="76DD90F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Oscar Armando Acevedo Pérez</w:t>
      </w:r>
    </w:p>
    <w:p w14:paraId="2D0E9671"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Marlene San Juan Trillos</w:t>
      </w:r>
    </w:p>
    <w:p w14:paraId="23AE3090"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Marta Portillo Lozano </w:t>
      </w:r>
    </w:p>
    <w:p w14:paraId="6C89D10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Marina Álvarez Calvo</w:t>
      </w:r>
    </w:p>
    <w:p w14:paraId="7E254678" w14:textId="3F9A6398"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Maria Delfa Fernández</w:t>
      </w:r>
      <w:r w:rsidR="007B65C3" w:rsidRPr="00213F85">
        <w:rPr>
          <w:rFonts w:asciiTheme="majorHAnsi" w:eastAsia="Cambria" w:hAnsiTheme="majorHAnsi" w:cs="Cambria"/>
          <w:color w:val="000000"/>
          <w:sz w:val="20"/>
          <w:szCs w:val="20"/>
          <w:u w:color="000000"/>
          <w:lang w:val="es-ES" w:eastAsia="es-ES"/>
        </w:rPr>
        <w:t xml:space="preserve"> </w:t>
      </w:r>
    </w:p>
    <w:p w14:paraId="770D61B3" w14:textId="19E74A9E" w:rsidR="001F63C4" w:rsidRPr="00213F85" w:rsidRDefault="00DA5B7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Maria Dolores Muñ</w:t>
      </w:r>
      <w:r w:rsidR="001F63C4" w:rsidRPr="00213F85">
        <w:rPr>
          <w:rFonts w:asciiTheme="majorHAnsi" w:eastAsia="Cambria" w:hAnsiTheme="majorHAnsi" w:cs="Cambria"/>
          <w:color w:val="000000"/>
          <w:sz w:val="20"/>
          <w:szCs w:val="20"/>
          <w:u w:color="000000"/>
          <w:lang w:val="pt-BR" w:eastAsia="es-ES"/>
        </w:rPr>
        <w:t>oz</w:t>
      </w:r>
    </w:p>
    <w:p w14:paraId="576A16D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Julio Pérez Chavarria</w:t>
      </w:r>
    </w:p>
    <w:p w14:paraId="1BFA6DCD"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 xml:space="preserve">Liliana Maria Chavarria </w:t>
      </w:r>
    </w:p>
    <w:p w14:paraId="7153207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Juan Antonio Flórez Suarez</w:t>
      </w:r>
    </w:p>
    <w:p w14:paraId="1D10A07D" w14:textId="0AA258B3"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 xml:space="preserve">José Eduardo Romero Sandoval </w:t>
      </w:r>
    </w:p>
    <w:p w14:paraId="21E9A49E"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Jorge Lozano García</w:t>
      </w:r>
    </w:p>
    <w:p w14:paraId="1B5D06A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Jairo Marín Majarres</w:t>
      </w:r>
    </w:p>
    <w:p w14:paraId="5AD4486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lastRenderedPageBreak/>
        <w:t>Jaime Sierra  Hernández</w:t>
      </w:r>
    </w:p>
    <w:p w14:paraId="1CEA38D7" w14:textId="77777777" w:rsidR="001F63C4" w:rsidRPr="00213F85" w:rsidRDefault="001F63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hAnsiTheme="majorHAnsi"/>
          <w:sz w:val="20"/>
          <w:szCs w:val="20"/>
          <w:bdr w:val="none" w:sz="0" w:space="0" w:color="auto"/>
          <w:lang w:val="pt-BR"/>
        </w:rPr>
      </w:pPr>
    </w:p>
    <w:p w14:paraId="60934407"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Hernán Cohen Torres</w:t>
      </w:r>
    </w:p>
    <w:p w14:paraId="0CA5BC07"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Gustavo Eduardo Cepeda Urquijo</w:t>
      </w:r>
    </w:p>
    <w:p w14:paraId="4D2B193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Elbert Rodrigo Marín Lozano</w:t>
      </w:r>
    </w:p>
    <w:p w14:paraId="0972D6BB"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Elberts Marín Alba</w:t>
      </w:r>
    </w:p>
    <w:p w14:paraId="15A47A8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Eber Morales Rodríguez</w:t>
      </w:r>
    </w:p>
    <w:p w14:paraId="61FE8362" w14:textId="754B4524"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Blanca Cecilia Gaitán Miranda </w:t>
      </w:r>
    </w:p>
    <w:p w14:paraId="7C0332B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Blanca Nubia Zapata</w:t>
      </w:r>
    </w:p>
    <w:p w14:paraId="21BDC12B" w14:textId="3521105E" w:rsidR="001F63C4" w:rsidRPr="00213F85" w:rsidRDefault="00BA7A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Ana Luisa Balo</w:t>
      </w:r>
      <w:r w:rsidR="006722A2" w:rsidRPr="00213F85">
        <w:rPr>
          <w:rFonts w:asciiTheme="majorHAnsi" w:eastAsia="Cambria" w:hAnsiTheme="majorHAnsi" w:cs="Cambria"/>
          <w:color w:val="000000"/>
          <w:sz w:val="20"/>
          <w:szCs w:val="20"/>
          <w:u w:color="000000"/>
          <w:lang w:val="es-CO" w:eastAsia="es-ES"/>
        </w:rPr>
        <w:t>y</w:t>
      </w:r>
      <w:r w:rsidR="001F63C4" w:rsidRPr="00213F85">
        <w:rPr>
          <w:rFonts w:asciiTheme="majorHAnsi" w:eastAsia="Cambria" w:hAnsiTheme="majorHAnsi" w:cs="Cambria"/>
          <w:color w:val="000000"/>
          <w:sz w:val="20"/>
          <w:szCs w:val="20"/>
          <w:u w:color="000000"/>
          <w:lang w:val="es-CO" w:eastAsia="es-ES"/>
        </w:rPr>
        <w:t>es</w:t>
      </w:r>
    </w:p>
    <w:p w14:paraId="07A85FEC" w14:textId="0EAA096D"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Ángel Custodio Camacho</w:t>
      </w:r>
      <w:r w:rsidR="00E15DCB" w:rsidRPr="00213F85">
        <w:rPr>
          <w:rFonts w:asciiTheme="majorHAnsi" w:eastAsia="Cambria" w:hAnsiTheme="majorHAnsi" w:cs="Cambria"/>
          <w:color w:val="000000"/>
          <w:sz w:val="20"/>
          <w:szCs w:val="20"/>
          <w:u w:color="000000"/>
          <w:lang w:val="es-CO" w:eastAsia="es-ES"/>
        </w:rPr>
        <w:t xml:space="preserve"> Ariza</w:t>
      </w:r>
    </w:p>
    <w:p w14:paraId="6174974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Abelino Garzón Caballero</w:t>
      </w:r>
    </w:p>
    <w:p w14:paraId="50DC87FC"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Jose Eriel Sayas Jiménez</w:t>
      </w:r>
    </w:p>
    <w:p w14:paraId="3759BEC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Gustavo Alberto Muñoz </w:t>
      </w:r>
    </w:p>
    <w:p w14:paraId="08F928F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Gustavo Rojas Perilla</w:t>
      </w:r>
    </w:p>
    <w:p w14:paraId="59A586E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Sigifredo Ospina Flórez</w:t>
      </w:r>
    </w:p>
    <w:p w14:paraId="3E358A2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Ana Esperanza Alarcón Cañón</w:t>
      </w:r>
    </w:p>
    <w:p w14:paraId="270227DB" w14:textId="25185201" w:rsidR="001F63C4" w:rsidRPr="00213F85" w:rsidRDefault="00051B4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Luber Zayas Correa</w:t>
      </w:r>
      <w:r w:rsidR="001F63C4" w:rsidRPr="00213F85">
        <w:rPr>
          <w:rFonts w:asciiTheme="majorHAnsi" w:eastAsia="Cambria" w:hAnsiTheme="majorHAnsi" w:cs="Cambria"/>
          <w:color w:val="000000"/>
          <w:sz w:val="20"/>
          <w:szCs w:val="20"/>
          <w:u w:color="000000"/>
          <w:lang w:val="es-CO" w:eastAsia="es-ES"/>
        </w:rPr>
        <w:t xml:space="preserve"> </w:t>
      </w:r>
    </w:p>
    <w:p w14:paraId="18BFB1A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Antonio Ramírez Rivera</w:t>
      </w:r>
    </w:p>
    <w:p w14:paraId="0D10581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Luis Ferney Jiménez Parra</w:t>
      </w:r>
    </w:p>
    <w:p w14:paraId="4710828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Edilma Rosa Rainzar Bastidas</w:t>
      </w:r>
    </w:p>
    <w:p w14:paraId="5F6C983C" w14:textId="2B1D74F3"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Jose Falconery Fori Balanta </w:t>
      </w:r>
    </w:p>
    <w:p w14:paraId="6419272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Jose María Molina Castañeda</w:t>
      </w:r>
    </w:p>
    <w:p w14:paraId="3400494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Carlos Gilberto Méndez Segura</w:t>
      </w:r>
    </w:p>
    <w:p w14:paraId="0A080C87"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Víctor Manuel Méndez Segura</w:t>
      </w:r>
    </w:p>
    <w:p w14:paraId="71D54173" w14:textId="6A3DA500"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 xml:space="preserve">Rubiela de Jesús Guzmán </w:t>
      </w:r>
      <w:r w:rsidR="006722A2" w:rsidRPr="00213F85">
        <w:rPr>
          <w:rFonts w:asciiTheme="majorHAnsi" w:eastAsia="Cambria" w:hAnsiTheme="majorHAnsi" w:cs="Cambria"/>
          <w:color w:val="000000"/>
          <w:sz w:val="20"/>
          <w:szCs w:val="20"/>
          <w:u w:color="000000"/>
          <w:lang w:val="pt-BR" w:eastAsia="es-ES"/>
        </w:rPr>
        <w:t>He</w:t>
      </w:r>
      <w:r w:rsidRPr="00213F85">
        <w:rPr>
          <w:rFonts w:asciiTheme="majorHAnsi" w:eastAsia="Cambria" w:hAnsiTheme="majorHAnsi" w:cs="Cambria"/>
          <w:color w:val="000000"/>
          <w:sz w:val="20"/>
          <w:szCs w:val="20"/>
          <w:u w:color="000000"/>
          <w:lang w:val="pt-BR" w:eastAsia="es-ES"/>
        </w:rPr>
        <w:t>nao</w:t>
      </w:r>
    </w:p>
    <w:p w14:paraId="1D3CD1A4"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Zoilo Ferla Gutierrez</w:t>
      </w:r>
    </w:p>
    <w:p w14:paraId="4143339B" w14:textId="1C276CC8"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lastRenderedPageBreak/>
        <w:t xml:space="preserve">Héctor </w:t>
      </w:r>
      <w:r w:rsidR="007B65C3" w:rsidRPr="00213F85">
        <w:rPr>
          <w:rFonts w:asciiTheme="majorHAnsi" w:eastAsia="Cambria" w:hAnsiTheme="majorHAnsi" w:cs="Cambria"/>
          <w:color w:val="000000"/>
          <w:sz w:val="20"/>
          <w:szCs w:val="20"/>
          <w:u w:color="000000"/>
          <w:lang w:val="pt-BR" w:eastAsia="es-ES"/>
        </w:rPr>
        <w:t xml:space="preserve">Arnulfo </w:t>
      </w:r>
      <w:r w:rsidRPr="00213F85">
        <w:rPr>
          <w:rFonts w:asciiTheme="majorHAnsi" w:eastAsia="Cambria" w:hAnsiTheme="majorHAnsi" w:cs="Cambria"/>
          <w:color w:val="000000"/>
          <w:sz w:val="20"/>
          <w:szCs w:val="20"/>
          <w:u w:color="000000"/>
          <w:lang w:val="pt-BR" w:eastAsia="es-ES"/>
        </w:rPr>
        <w:t>Novoa</w:t>
      </w:r>
      <w:r w:rsidR="007B65C3" w:rsidRPr="00213F85">
        <w:rPr>
          <w:rFonts w:asciiTheme="majorHAnsi" w:eastAsia="Cambria" w:hAnsiTheme="majorHAnsi" w:cs="Cambria"/>
          <w:color w:val="000000"/>
          <w:sz w:val="20"/>
          <w:szCs w:val="20"/>
          <w:u w:color="000000"/>
          <w:lang w:val="pt-BR" w:eastAsia="es-ES"/>
        </w:rPr>
        <w:t xml:space="preserve"> Acero</w:t>
      </w:r>
    </w:p>
    <w:p w14:paraId="4A1F8F89" w14:textId="00FB32E8" w:rsidR="001F63C4" w:rsidRPr="00213F85" w:rsidRDefault="00BB0D2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Rubiela Suá</w:t>
      </w:r>
      <w:r w:rsidR="001F63C4" w:rsidRPr="00213F85">
        <w:rPr>
          <w:rFonts w:asciiTheme="majorHAnsi" w:eastAsia="Cambria" w:hAnsiTheme="majorHAnsi" w:cs="Cambria"/>
          <w:color w:val="000000"/>
          <w:sz w:val="20"/>
          <w:szCs w:val="20"/>
          <w:u w:color="000000"/>
          <w:lang w:val="pt-BR" w:eastAsia="es-ES"/>
        </w:rPr>
        <w:t>rez Ortiz</w:t>
      </w:r>
    </w:p>
    <w:p w14:paraId="37D24686" w14:textId="66AF2E62" w:rsidR="001F63C4" w:rsidRPr="00213F85" w:rsidRDefault="00BB0D2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Filiberto Suá</w:t>
      </w:r>
      <w:r w:rsidR="001F63C4" w:rsidRPr="00213F85">
        <w:rPr>
          <w:rFonts w:asciiTheme="majorHAnsi" w:eastAsia="Cambria" w:hAnsiTheme="majorHAnsi" w:cs="Cambria"/>
          <w:color w:val="000000"/>
          <w:sz w:val="20"/>
          <w:szCs w:val="20"/>
          <w:u w:color="000000"/>
          <w:lang w:val="pt-BR" w:eastAsia="es-ES"/>
        </w:rPr>
        <w:t>rez</w:t>
      </w:r>
      <w:r w:rsidRPr="00213F85">
        <w:rPr>
          <w:rFonts w:asciiTheme="majorHAnsi" w:eastAsia="Cambria" w:hAnsiTheme="majorHAnsi" w:cs="Cambria"/>
          <w:color w:val="000000"/>
          <w:sz w:val="20"/>
          <w:szCs w:val="20"/>
          <w:u w:color="000000"/>
          <w:lang w:val="pt-BR" w:eastAsia="es-ES"/>
        </w:rPr>
        <w:t xml:space="preserve"> Ortiz</w:t>
      </w:r>
    </w:p>
    <w:p w14:paraId="18E84EA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José Romero Castañeda</w:t>
      </w:r>
    </w:p>
    <w:p w14:paraId="231E63E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Maritza Olivares</w:t>
      </w:r>
    </w:p>
    <w:p w14:paraId="5FEBDC86" w14:textId="0C073C4D" w:rsidR="001F63C4" w:rsidRPr="00213F85" w:rsidRDefault="009866C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Hilda González Guevara </w:t>
      </w:r>
      <w:r w:rsidR="001F63C4" w:rsidRPr="00213F85">
        <w:rPr>
          <w:rFonts w:asciiTheme="majorHAnsi" w:eastAsia="Cambria" w:hAnsiTheme="majorHAnsi" w:cs="Cambria"/>
          <w:color w:val="000000"/>
          <w:sz w:val="20"/>
          <w:szCs w:val="20"/>
          <w:u w:color="000000"/>
          <w:lang w:val="es-CO" w:eastAsia="es-ES"/>
        </w:rPr>
        <w:t xml:space="preserve"> </w:t>
      </w:r>
    </w:p>
    <w:p w14:paraId="7677FCA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Simón Martínez Quiñonez</w:t>
      </w:r>
    </w:p>
    <w:p w14:paraId="7425B70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Argemiro David Torres</w:t>
      </w:r>
    </w:p>
    <w:p w14:paraId="65EAEE71" w14:textId="19955A73"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Rosalba Guzmán </w:t>
      </w:r>
      <w:r w:rsidR="006722A2" w:rsidRPr="00213F85">
        <w:rPr>
          <w:rFonts w:asciiTheme="majorHAnsi" w:eastAsia="Cambria" w:hAnsiTheme="majorHAnsi" w:cs="Cambria"/>
          <w:color w:val="000000"/>
          <w:sz w:val="20"/>
          <w:szCs w:val="20"/>
          <w:u w:color="000000"/>
          <w:lang w:val="es-ES" w:eastAsia="es-ES"/>
        </w:rPr>
        <w:t>He</w:t>
      </w:r>
      <w:r w:rsidRPr="00213F85">
        <w:rPr>
          <w:rFonts w:asciiTheme="majorHAnsi" w:eastAsia="Cambria" w:hAnsiTheme="majorHAnsi" w:cs="Cambria"/>
          <w:color w:val="000000"/>
          <w:sz w:val="20"/>
          <w:szCs w:val="20"/>
          <w:u w:color="000000"/>
          <w:lang w:val="es-ES" w:eastAsia="es-ES"/>
        </w:rPr>
        <w:t>nao</w:t>
      </w:r>
    </w:p>
    <w:p w14:paraId="00CA44BD"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Bertha Rosa Ospina de Tabares</w:t>
      </w:r>
    </w:p>
    <w:p w14:paraId="6ABBB86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Nancy Yaneth Miranda</w:t>
      </w:r>
    </w:p>
    <w:p w14:paraId="3E9E855D"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Pedro Jose Osorio Guisao</w:t>
      </w:r>
    </w:p>
    <w:p w14:paraId="626F115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Yamile Becerra de Diego</w:t>
      </w:r>
    </w:p>
    <w:p w14:paraId="59F8CDD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Francisca de Diego Palomeque</w:t>
      </w:r>
    </w:p>
    <w:p w14:paraId="38FD4A0F" w14:textId="6CABA8C2"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Jair De Jesús Arboleda</w:t>
      </w:r>
      <w:r w:rsidR="006722A2" w:rsidRPr="00213F85">
        <w:rPr>
          <w:rFonts w:asciiTheme="majorHAnsi" w:eastAsia="Cambria" w:hAnsiTheme="majorHAnsi" w:cs="Cambria"/>
          <w:color w:val="000000"/>
          <w:sz w:val="20"/>
          <w:szCs w:val="20"/>
          <w:u w:color="000000"/>
          <w:lang w:val="es-ES" w:eastAsia="es-ES"/>
        </w:rPr>
        <w:t xml:space="preserve"> </w:t>
      </w:r>
      <w:r w:rsidR="00BA7A84" w:rsidRPr="00213F85">
        <w:rPr>
          <w:rFonts w:asciiTheme="majorHAnsi" w:eastAsia="Cambria" w:hAnsiTheme="majorHAnsi" w:cs="Cambria"/>
          <w:color w:val="000000"/>
          <w:sz w:val="20"/>
          <w:szCs w:val="20"/>
          <w:u w:color="000000"/>
          <w:lang w:val="es-ES" w:eastAsia="es-ES"/>
        </w:rPr>
        <w:t>Guzmán</w:t>
      </w:r>
    </w:p>
    <w:p w14:paraId="680EE794" w14:textId="6EB8267E" w:rsidR="001F63C4" w:rsidRPr="00213F85" w:rsidRDefault="00BA7A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Lucila Padilla Moren</w:t>
      </w:r>
      <w:r w:rsidR="001F63C4" w:rsidRPr="00213F85">
        <w:rPr>
          <w:rFonts w:asciiTheme="majorHAnsi" w:eastAsia="Cambria" w:hAnsiTheme="majorHAnsi" w:cs="Cambria"/>
          <w:color w:val="000000"/>
          <w:sz w:val="20"/>
          <w:szCs w:val="20"/>
          <w:u w:color="000000"/>
          <w:lang w:val="es-ES" w:eastAsia="es-ES"/>
        </w:rPr>
        <w:t>o</w:t>
      </w:r>
    </w:p>
    <w:p w14:paraId="1ED7199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Álvaro Grau Romero</w:t>
      </w:r>
    </w:p>
    <w:p w14:paraId="3CFCB2BB" w14:textId="43480E55"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Álvaro Alexander Calderón</w:t>
      </w:r>
      <w:r w:rsidR="00DA5B7E" w:rsidRPr="00213F85">
        <w:rPr>
          <w:rFonts w:asciiTheme="majorHAnsi" w:eastAsia="Cambria" w:hAnsiTheme="majorHAnsi" w:cs="Cambria"/>
          <w:color w:val="000000"/>
          <w:sz w:val="20"/>
          <w:szCs w:val="20"/>
          <w:u w:color="000000"/>
          <w:lang w:val="es-ES" w:eastAsia="es-ES"/>
        </w:rPr>
        <w:t xml:space="preserve"> Gutiérrez</w:t>
      </w:r>
    </w:p>
    <w:p w14:paraId="45618EB8" w14:textId="230B79BD"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Margot Farfán </w:t>
      </w:r>
      <w:r w:rsidR="00DA5B7E" w:rsidRPr="00213F85">
        <w:rPr>
          <w:rFonts w:asciiTheme="majorHAnsi" w:eastAsia="Cambria" w:hAnsiTheme="majorHAnsi" w:cs="Cambria"/>
          <w:color w:val="000000"/>
          <w:sz w:val="20"/>
          <w:szCs w:val="20"/>
          <w:u w:color="000000"/>
          <w:lang w:val="es-CO" w:eastAsia="es-ES"/>
        </w:rPr>
        <w:t xml:space="preserve">Osorio </w:t>
      </w:r>
    </w:p>
    <w:p w14:paraId="4AACFA11" w14:textId="679153AC" w:rsidR="001F63C4" w:rsidRPr="00213F85" w:rsidRDefault="00BB0D2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Maria Mirian</w:t>
      </w:r>
      <w:r w:rsidR="001F63C4" w:rsidRPr="00213F85">
        <w:rPr>
          <w:rFonts w:asciiTheme="majorHAnsi" w:eastAsia="Cambria" w:hAnsiTheme="majorHAnsi" w:cs="Cambria"/>
          <w:color w:val="000000"/>
          <w:sz w:val="20"/>
          <w:szCs w:val="20"/>
          <w:u w:color="000000"/>
          <w:lang w:val="es-CO" w:eastAsia="es-ES"/>
        </w:rPr>
        <w:t xml:space="preserve"> Lozano</w:t>
      </w:r>
    </w:p>
    <w:p w14:paraId="6902341E"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Ricaurte Javier Soto Palomo</w:t>
      </w:r>
    </w:p>
    <w:p w14:paraId="149649D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Guillermo León Correa Correa</w:t>
      </w:r>
    </w:p>
    <w:p w14:paraId="649BF9B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Nidia Rojas Cadena</w:t>
      </w:r>
    </w:p>
    <w:p w14:paraId="4EC7292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Anicio Anzola González</w:t>
      </w:r>
    </w:p>
    <w:p w14:paraId="4981E6C7"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Jose Maria Mosquera</w:t>
      </w:r>
    </w:p>
    <w:p w14:paraId="177F299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Nelson Guerrero Campo</w:t>
      </w:r>
    </w:p>
    <w:p w14:paraId="046AB89C"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Cesar Iván Perea Palomino</w:t>
      </w:r>
    </w:p>
    <w:p w14:paraId="0D38E1BC"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lastRenderedPageBreak/>
        <w:t>Maria Dioselina Chapal</w:t>
      </w:r>
    </w:p>
    <w:p w14:paraId="5A38B174"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Mercedes Maria Puerta Arroyo</w:t>
      </w:r>
    </w:p>
    <w:p w14:paraId="4BFC85E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Rómulo Galindo</w:t>
      </w:r>
    </w:p>
    <w:p w14:paraId="31A9FC2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Diego Luis Ramos Heredia</w:t>
      </w:r>
    </w:p>
    <w:p w14:paraId="613B736E"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Miguel Ángel Zapata David</w:t>
      </w:r>
    </w:p>
    <w:p w14:paraId="40C82830"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Aurora Pérez de Lozano</w:t>
      </w:r>
    </w:p>
    <w:p w14:paraId="59BAA27C"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Ana de Jesús Bedoya</w:t>
      </w:r>
    </w:p>
    <w:p w14:paraId="67F8623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Hermides Cuenca Matoma</w:t>
      </w:r>
    </w:p>
    <w:p w14:paraId="3EDC926D"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Blanca Edilia Torres Guzmán</w:t>
      </w:r>
    </w:p>
    <w:p w14:paraId="2EEA2D2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Nibia Hoyos  Orozco</w:t>
      </w:r>
    </w:p>
    <w:p w14:paraId="68D2E491"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Gloria Patricia Ochoa Acosta</w:t>
      </w:r>
    </w:p>
    <w:p w14:paraId="7D977FBD"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Maricela Lenis</w:t>
      </w:r>
    </w:p>
    <w:p w14:paraId="380C798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Elfer Aponte Vaca</w:t>
      </w:r>
    </w:p>
    <w:p w14:paraId="519F4A9F" w14:textId="0D70C2D6"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Reinaldo</w:t>
      </w:r>
      <w:r w:rsidR="00F958E5" w:rsidRPr="00213F85">
        <w:rPr>
          <w:rFonts w:asciiTheme="majorHAnsi" w:eastAsia="Cambria" w:hAnsiTheme="majorHAnsi" w:cs="Cambria"/>
          <w:color w:val="000000"/>
          <w:sz w:val="20"/>
          <w:szCs w:val="20"/>
          <w:u w:color="000000"/>
          <w:lang w:val="pt-BR" w:eastAsia="es-ES"/>
        </w:rPr>
        <w:t xml:space="preserve"> (Ricardo)</w:t>
      </w:r>
      <w:r w:rsidRPr="00213F85">
        <w:rPr>
          <w:rFonts w:asciiTheme="majorHAnsi" w:eastAsia="Cambria" w:hAnsiTheme="majorHAnsi" w:cs="Cambria"/>
          <w:color w:val="000000"/>
          <w:sz w:val="20"/>
          <w:szCs w:val="20"/>
          <w:u w:color="000000"/>
          <w:lang w:val="pt-BR" w:eastAsia="es-ES"/>
        </w:rPr>
        <w:t xml:space="preserve"> Franco Trillera</w:t>
      </w:r>
    </w:p>
    <w:p w14:paraId="66FE850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Luz Marina Mosquera</w:t>
      </w:r>
    </w:p>
    <w:p w14:paraId="4D428ADA" w14:textId="11BB9F75"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Maria Ligia Ramos</w:t>
      </w:r>
      <w:r w:rsidR="006722A2" w:rsidRPr="00213F85">
        <w:rPr>
          <w:rFonts w:asciiTheme="majorHAnsi" w:eastAsia="Cambria" w:hAnsiTheme="majorHAnsi" w:cs="Cambria"/>
          <w:color w:val="000000"/>
          <w:sz w:val="20"/>
          <w:szCs w:val="20"/>
          <w:u w:color="000000"/>
          <w:lang w:val="pt-BR" w:eastAsia="es-ES"/>
        </w:rPr>
        <w:t xml:space="preserve"> Mendigaño</w:t>
      </w:r>
    </w:p>
    <w:p w14:paraId="0CD5AC3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Rosalba Bastidas Pérez</w:t>
      </w:r>
    </w:p>
    <w:p w14:paraId="7C3C2D04"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Edil Antonio Navia Zúñiga</w:t>
      </w:r>
    </w:p>
    <w:p w14:paraId="2B97E26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Jose Humberto Gómez Herrera</w:t>
      </w:r>
    </w:p>
    <w:p w14:paraId="7CD524C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Neftalí Capera Rodríguez</w:t>
      </w:r>
    </w:p>
    <w:p w14:paraId="17F0588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Hugo Ernesto Ballesteros Alvis</w:t>
      </w:r>
    </w:p>
    <w:p w14:paraId="1C5F880E" w14:textId="241C54A3" w:rsidR="006D4A69"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Esther Gualtero Rubio</w:t>
      </w:r>
    </w:p>
    <w:p w14:paraId="4F803B0C" w14:textId="6DE7BA31" w:rsidR="006D4A69" w:rsidRPr="00213F85" w:rsidRDefault="001F63C4" w:rsidP="005658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Jose Ariel Saya Jiménez</w:t>
      </w:r>
    </w:p>
    <w:p w14:paraId="06BC43D8" w14:textId="77777777" w:rsidR="001F63C4" w:rsidRPr="00213F85" w:rsidRDefault="001F63C4" w:rsidP="005658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Lili Mera</w:t>
      </w:r>
    </w:p>
    <w:p w14:paraId="7F83592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Maria Eugenia Urrutia</w:t>
      </w:r>
    </w:p>
    <w:p w14:paraId="6CFF58D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Yolanda Luna Narváez</w:t>
      </w:r>
    </w:p>
    <w:p w14:paraId="1B015607"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Jose Alvaro Oviedo</w:t>
      </w:r>
    </w:p>
    <w:p w14:paraId="1D4E1D7E"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lastRenderedPageBreak/>
        <w:t>Jaiden Sanabria Pineda</w:t>
      </w:r>
    </w:p>
    <w:p w14:paraId="58CE212C" w14:textId="77777777" w:rsidR="001F63C4" w:rsidRPr="00213F85" w:rsidRDefault="001F63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hAnsiTheme="majorHAnsi"/>
          <w:sz w:val="20"/>
          <w:szCs w:val="20"/>
          <w:bdr w:val="none" w:sz="0" w:space="0" w:color="auto"/>
          <w:lang w:val="pt-BR"/>
        </w:rPr>
      </w:pPr>
    </w:p>
    <w:p w14:paraId="76DB69E0"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Maria  Sofía Rivas Asprilla</w:t>
      </w:r>
    </w:p>
    <w:p w14:paraId="5A79AEDC"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Gledis Nuriel Guerra Díaz</w:t>
      </w:r>
    </w:p>
    <w:p w14:paraId="09360AC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Jose Alirio Ortiz Carrera</w:t>
      </w:r>
    </w:p>
    <w:p w14:paraId="7947905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Maria Elvia Amado Parra</w:t>
      </w:r>
    </w:p>
    <w:p w14:paraId="4979279B"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John Fredy Ordoñez Mora</w:t>
      </w:r>
    </w:p>
    <w:p w14:paraId="47F1429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Manuel Ortiz Carrera</w:t>
      </w:r>
    </w:p>
    <w:p w14:paraId="0D94A08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Celmira Idarraga Torres</w:t>
      </w:r>
    </w:p>
    <w:p w14:paraId="19DF36A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Maria Presentación Guisao de Osorio</w:t>
      </w:r>
    </w:p>
    <w:p w14:paraId="234190AC"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Fernando Mejía Angarita</w:t>
      </w:r>
    </w:p>
    <w:p w14:paraId="2557D9B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Andrea Guiza Patiño</w:t>
      </w:r>
    </w:p>
    <w:p w14:paraId="364758E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Javier González Posada</w:t>
      </w:r>
    </w:p>
    <w:p w14:paraId="6A299A0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Guillermo Hernández</w:t>
      </w:r>
    </w:p>
    <w:p w14:paraId="590827FC"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Luz Elena Gualtero Ortegón</w:t>
      </w:r>
    </w:p>
    <w:p w14:paraId="28F2D60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Amalia Mena</w:t>
      </w:r>
    </w:p>
    <w:p w14:paraId="0709781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Elver Marín Alaba</w:t>
      </w:r>
    </w:p>
    <w:p w14:paraId="115141B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Cecilia Gaitán Miranda</w:t>
      </w:r>
    </w:p>
    <w:p w14:paraId="7552826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Abigail Sierra Chaguala</w:t>
      </w:r>
    </w:p>
    <w:p w14:paraId="7962D9AD"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Alfonso Trujillo Suárez</w:t>
      </w:r>
    </w:p>
    <w:p w14:paraId="6045BDB4"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Ana Ligia Jiménez de Guerra</w:t>
      </w:r>
    </w:p>
    <w:p w14:paraId="6E8B85F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Aura Celina Quintero Ascanio </w:t>
      </w:r>
    </w:p>
    <w:p w14:paraId="799F644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Aura Marín de Rojas</w:t>
      </w:r>
    </w:p>
    <w:p w14:paraId="72D76BFB"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Bernardo Alonso Carrera</w:t>
      </w:r>
    </w:p>
    <w:p w14:paraId="4D567B30"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Carlos Alberto Contreras</w:t>
      </w:r>
    </w:p>
    <w:p w14:paraId="09C0B5C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Carlos Quintero</w:t>
      </w:r>
    </w:p>
    <w:p w14:paraId="410A8F3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Carlos Gualteros</w:t>
      </w:r>
    </w:p>
    <w:p w14:paraId="4D25682E"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lastRenderedPageBreak/>
        <w:t>Carvilio Guzmán Barragán</w:t>
      </w:r>
    </w:p>
    <w:p w14:paraId="2F1A8AD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Clara Maria Causil León</w:t>
      </w:r>
    </w:p>
    <w:p w14:paraId="284C798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Delio Vázquez Serrato</w:t>
      </w:r>
    </w:p>
    <w:p w14:paraId="18DEDE5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Dennis Sánchez</w:t>
      </w:r>
    </w:p>
    <w:p w14:paraId="3904DFE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Diana Paola Hile</w:t>
      </w:r>
    </w:p>
    <w:p w14:paraId="0B0ED6D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Diocelina Quintero Ascanio</w:t>
      </w:r>
    </w:p>
    <w:p w14:paraId="5354F73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Edilmar Rosa Quintero</w:t>
      </w:r>
    </w:p>
    <w:p w14:paraId="7D9C84D1"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Elías Bain Quintero Ballesteros</w:t>
      </w:r>
    </w:p>
    <w:p w14:paraId="78A03A9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Enrique de Jesús Linero</w:t>
      </w:r>
    </w:p>
    <w:p w14:paraId="35F485A7"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Ernesto Rodríguez Martínez</w:t>
      </w:r>
    </w:p>
    <w:p w14:paraId="00B82692"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Fabiola Peláez Castañeda</w:t>
      </w:r>
    </w:p>
    <w:p w14:paraId="33AC6CC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German Dimas Garcia</w:t>
      </w:r>
    </w:p>
    <w:p w14:paraId="78D601E8" w14:textId="6DDEE6DB"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Georgina Guzmán Henao</w:t>
      </w:r>
    </w:p>
    <w:p w14:paraId="45141109"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Gilberto León Hernández</w:t>
      </w:r>
    </w:p>
    <w:p w14:paraId="2DDE702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Gloria Piñeros Díaz</w:t>
      </w:r>
    </w:p>
    <w:p w14:paraId="4981082B" w14:textId="53632401"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Héctor Aníbal Flórez </w:t>
      </w:r>
      <w:r w:rsidR="006722A2" w:rsidRPr="00213F85">
        <w:rPr>
          <w:rFonts w:asciiTheme="majorHAnsi" w:eastAsia="Cambria" w:hAnsiTheme="majorHAnsi" w:cs="Cambria"/>
          <w:color w:val="000000"/>
          <w:sz w:val="20"/>
          <w:szCs w:val="20"/>
          <w:u w:color="000000"/>
          <w:lang w:val="es-CO" w:eastAsia="es-ES"/>
        </w:rPr>
        <w:t>Guzmán</w:t>
      </w:r>
    </w:p>
    <w:p w14:paraId="7623337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Héctor Hernández Hoyos</w:t>
      </w:r>
    </w:p>
    <w:p w14:paraId="3F7A078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Hermida Ramírez Parra</w:t>
      </w:r>
    </w:p>
    <w:p w14:paraId="4780128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Hernán León Hernández</w:t>
      </w:r>
    </w:p>
    <w:p w14:paraId="17536CE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Hilda Canchila Polanco</w:t>
      </w:r>
    </w:p>
    <w:p w14:paraId="7685CC0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Isidro Mendoza Majarres</w:t>
      </w:r>
    </w:p>
    <w:p w14:paraId="05F14140"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Jesús Elias Quintero</w:t>
      </w:r>
    </w:p>
    <w:p w14:paraId="1360EEC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Jesús Maria Masías</w:t>
      </w:r>
    </w:p>
    <w:p w14:paraId="08B4D017"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Jose Ignacio Romero Alvis</w:t>
      </w:r>
    </w:p>
    <w:p w14:paraId="1B9FB1A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Juan Andres Muñoz</w:t>
      </w:r>
    </w:p>
    <w:p w14:paraId="586E854B"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Juan Antonio Archila Otero</w:t>
      </w:r>
    </w:p>
    <w:p w14:paraId="22FC683D"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Livin Masías Andrade</w:t>
      </w:r>
    </w:p>
    <w:p w14:paraId="4837A56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lastRenderedPageBreak/>
        <w:t>Luis Antonio Mosquera</w:t>
      </w:r>
    </w:p>
    <w:p w14:paraId="19D157EE"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Luz Ángela Malpu Malpu</w:t>
      </w:r>
    </w:p>
    <w:p w14:paraId="0F271470"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Luz Mery Orozco </w:t>
      </w:r>
    </w:p>
    <w:p w14:paraId="6947D165"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Maria del Rosario Buitrago</w:t>
      </w:r>
    </w:p>
    <w:p w14:paraId="0338FF30"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 xml:space="preserve">Maria Elvia Miranda Martinez </w:t>
      </w:r>
    </w:p>
    <w:p w14:paraId="3CA292B4"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Marino Galvis Sanabria</w:t>
      </w:r>
    </w:p>
    <w:p w14:paraId="43E2DB0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 xml:space="preserve">Miguel Angel Sanchez Rodriguez </w:t>
      </w:r>
    </w:p>
    <w:p w14:paraId="70FAACDB"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Nancy Ceneida Masias Masias</w:t>
      </w:r>
    </w:p>
    <w:p w14:paraId="5BC648AA"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Nelson Piñeros Rodríguez</w:t>
      </w:r>
    </w:p>
    <w:p w14:paraId="60DE8C61" w14:textId="01D6D4A6" w:rsidR="001F63C4" w:rsidRPr="00213F85" w:rsidRDefault="00BA7A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Nelson Rios Alarcó</w:t>
      </w:r>
      <w:r w:rsidR="001F63C4" w:rsidRPr="00213F85">
        <w:rPr>
          <w:rFonts w:asciiTheme="majorHAnsi" w:eastAsia="Cambria" w:hAnsiTheme="majorHAnsi" w:cs="Cambria"/>
          <w:color w:val="000000"/>
          <w:sz w:val="20"/>
          <w:szCs w:val="20"/>
          <w:u w:color="000000"/>
          <w:lang w:val="pt-BR" w:eastAsia="es-ES"/>
        </w:rPr>
        <w:t>n</w:t>
      </w:r>
    </w:p>
    <w:p w14:paraId="54BC5149" w14:textId="7E1EE0D2"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Nubia Lucia Araque</w:t>
      </w:r>
      <w:r w:rsidR="006C677D" w:rsidRPr="00213F85">
        <w:rPr>
          <w:rFonts w:asciiTheme="majorHAnsi" w:eastAsia="Cambria" w:hAnsiTheme="majorHAnsi" w:cs="Cambria"/>
          <w:color w:val="000000"/>
          <w:sz w:val="20"/>
          <w:szCs w:val="20"/>
          <w:u w:color="000000"/>
          <w:lang w:val="pt-BR" w:eastAsia="es-ES"/>
        </w:rPr>
        <w:t xml:space="preserve"> Diaz</w:t>
      </w:r>
    </w:p>
    <w:p w14:paraId="5787348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Oscar Eduardo Villalobos</w:t>
      </w:r>
    </w:p>
    <w:p w14:paraId="78F65B01"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Oscar Emiro Quintero</w:t>
      </w:r>
    </w:p>
    <w:p w14:paraId="1E0E3844"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Ovidio Antonio Quintero</w:t>
      </w:r>
    </w:p>
    <w:p w14:paraId="229148C5" w14:textId="2B02FE27" w:rsidR="001F63C4" w:rsidRPr="00213F85" w:rsidRDefault="00E15DC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Ovi</w:t>
      </w:r>
      <w:r w:rsidR="001F63C4" w:rsidRPr="00213F85">
        <w:rPr>
          <w:rFonts w:asciiTheme="majorHAnsi" w:eastAsia="Cambria" w:hAnsiTheme="majorHAnsi" w:cs="Cambria"/>
          <w:color w:val="000000"/>
          <w:sz w:val="20"/>
          <w:szCs w:val="20"/>
          <w:u w:color="000000"/>
          <w:lang w:val="pt-BR" w:eastAsia="es-ES"/>
        </w:rPr>
        <w:t>dio Ortiz Ortiz</w:t>
      </w:r>
    </w:p>
    <w:p w14:paraId="3AA16CA8"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Ramiro Arturo Correa</w:t>
      </w:r>
    </w:p>
    <w:p w14:paraId="5DD2409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Robert Indaburo Martínez</w:t>
      </w:r>
    </w:p>
    <w:p w14:paraId="6605FA90"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Roberto Carlos González de la Ossa</w:t>
      </w:r>
    </w:p>
    <w:p w14:paraId="0E6A483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Rubertney Mongui Cardona</w:t>
      </w:r>
    </w:p>
    <w:p w14:paraId="1E625BE0"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Rubiela Oyola Rubio</w:t>
      </w:r>
    </w:p>
    <w:p w14:paraId="3E6B62B0" w14:textId="5A023DD8"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Rubiela Gualteros</w:t>
      </w:r>
      <w:r w:rsidR="00DA5B7E" w:rsidRPr="00213F85">
        <w:rPr>
          <w:rFonts w:asciiTheme="majorHAnsi" w:eastAsia="Cambria" w:hAnsiTheme="majorHAnsi" w:cs="Cambria"/>
          <w:color w:val="000000"/>
          <w:sz w:val="20"/>
          <w:szCs w:val="20"/>
          <w:u w:color="000000"/>
          <w:lang w:val="pt-BR" w:eastAsia="es-ES"/>
        </w:rPr>
        <w:t xml:space="preserve"> Rubio</w:t>
      </w:r>
    </w:p>
    <w:p w14:paraId="38B5CA43"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Teodomiro Salas </w:t>
      </w:r>
    </w:p>
    <w:p w14:paraId="311D3B64"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Valentina Llantén de Urrea</w:t>
      </w:r>
    </w:p>
    <w:p w14:paraId="497C3701"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Victoria Lara Palencia</w:t>
      </w:r>
    </w:p>
    <w:p w14:paraId="3D570CBC"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Yuri Ríos Ibarguen</w:t>
      </w:r>
    </w:p>
    <w:p w14:paraId="4F906D4D" w14:textId="4C9E4A11"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CO" w:eastAsia="es-ES"/>
        </w:rPr>
      </w:pPr>
      <w:r w:rsidRPr="00213F85">
        <w:rPr>
          <w:rFonts w:asciiTheme="majorHAnsi" w:eastAsia="Cambria" w:hAnsiTheme="majorHAnsi" w:cs="Cambria"/>
          <w:color w:val="000000"/>
          <w:sz w:val="20"/>
          <w:szCs w:val="20"/>
          <w:u w:color="000000"/>
          <w:lang w:val="es-CO" w:eastAsia="es-ES"/>
        </w:rPr>
        <w:t xml:space="preserve">Onofre Calderón Guzmán </w:t>
      </w:r>
    </w:p>
    <w:p w14:paraId="72BDF71D"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 xml:space="preserve">Lupe Ramírez </w:t>
      </w:r>
    </w:p>
    <w:p w14:paraId="7CBE130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lastRenderedPageBreak/>
        <w:t>Daniel Duarte Rangel</w:t>
      </w:r>
    </w:p>
    <w:p w14:paraId="22EE2C7F"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 xml:space="preserve">Jose Apóstol Cárdenas Rubio </w:t>
      </w:r>
    </w:p>
    <w:p w14:paraId="262DDC54"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Abelardo Hernández Murcia </w:t>
      </w:r>
    </w:p>
    <w:p w14:paraId="486A545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José de Dios Rodríguez</w:t>
      </w:r>
    </w:p>
    <w:p w14:paraId="32324E92" w14:textId="4D43D15D"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Luz Mery Moya</w:t>
      </w:r>
      <w:r w:rsidR="00BB0D26" w:rsidRPr="00213F85">
        <w:rPr>
          <w:rFonts w:asciiTheme="majorHAnsi" w:eastAsia="Cambria" w:hAnsiTheme="majorHAnsi" w:cs="Cambria"/>
          <w:color w:val="000000"/>
          <w:sz w:val="20"/>
          <w:szCs w:val="20"/>
          <w:u w:color="000000"/>
          <w:lang w:val="es-ES" w:eastAsia="es-ES"/>
        </w:rPr>
        <w:t xml:space="preserve"> Pedraza</w:t>
      </w:r>
    </w:p>
    <w:p w14:paraId="4EFCFD06"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Liliana Maria Aguirre</w:t>
      </w:r>
    </w:p>
    <w:p w14:paraId="5A839BAE" w14:textId="77777777" w:rsidR="001F63C4" w:rsidRPr="00213F85" w:rsidRDefault="001F63C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pt-BR" w:eastAsia="es-ES"/>
        </w:rPr>
      </w:pPr>
      <w:r w:rsidRPr="00213F85">
        <w:rPr>
          <w:rFonts w:asciiTheme="majorHAnsi" w:eastAsia="Cambria" w:hAnsiTheme="majorHAnsi" w:cs="Cambria"/>
          <w:color w:val="000000"/>
          <w:sz w:val="20"/>
          <w:szCs w:val="20"/>
          <w:u w:color="000000"/>
          <w:lang w:val="pt-BR" w:eastAsia="es-ES"/>
        </w:rPr>
        <w:t>Yamir Alexis Salas Hernandez</w:t>
      </w:r>
    </w:p>
    <w:p w14:paraId="1F2F926F" w14:textId="77777777" w:rsidR="006D4A69" w:rsidRPr="00213F85" w:rsidRDefault="006D4A69">
      <w:pPr>
        <w:rPr>
          <w:rFonts w:asciiTheme="majorHAnsi" w:hAnsiTheme="majorHAnsi"/>
          <w:b/>
          <w:sz w:val="20"/>
          <w:szCs w:val="20"/>
          <w:bdr w:val="none" w:sz="0" w:space="0" w:color="auto"/>
          <w:lang w:val="es-ES"/>
        </w:rPr>
      </w:pPr>
      <w:r w:rsidRPr="00213F85">
        <w:rPr>
          <w:rFonts w:asciiTheme="majorHAnsi" w:hAnsiTheme="majorHAnsi"/>
          <w:b/>
          <w:sz w:val="20"/>
          <w:szCs w:val="20"/>
          <w:bdr w:val="none" w:sz="0" w:space="0" w:color="auto"/>
          <w:lang w:val="es-ES"/>
        </w:rPr>
        <w:br w:type="page"/>
      </w:r>
    </w:p>
    <w:p w14:paraId="05F84D83" w14:textId="17B53E9C" w:rsidR="001F63C4" w:rsidRPr="00213F85" w:rsidRDefault="001F63C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bdr w:val="none" w:sz="0" w:space="0" w:color="auto"/>
          <w:lang w:val="es-ES"/>
        </w:rPr>
      </w:pPr>
      <w:r w:rsidRPr="00213F85">
        <w:rPr>
          <w:rFonts w:asciiTheme="majorHAnsi" w:hAnsiTheme="majorHAnsi"/>
          <w:b/>
          <w:sz w:val="20"/>
          <w:szCs w:val="20"/>
          <w:bdr w:val="none" w:sz="0" w:space="0" w:color="auto"/>
          <w:lang w:val="es-ES"/>
        </w:rPr>
        <w:lastRenderedPageBreak/>
        <w:t>Anexo 2</w:t>
      </w:r>
      <w:r w:rsidRPr="00213F85">
        <w:rPr>
          <w:rFonts w:asciiTheme="majorHAnsi" w:hAnsiTheme="majorHAnsi"/>
          <w:b/>
          <w:sz w:val="20"/>
          <w:szCs w:val="20"/>
          <w:bdr w:val="none" w:sz="0" w:space="0" w:color="auto"/>
          <w:lang w:val="es-ES"/>
        </w:rPr>
        <w:br/>
        <w:t xml:space="preserve">LISTA DE LAS PRESUNTAS VÍCTIMAS QUE NO </w:t>
      </w:r>
      <w:r w:rsidR="00B0531C" w:rsidRPr="00213F85">
        <w:rPr>
          <w:rFonts w:asciiTheme="majorHAnsi" w:hAnsiTheme="majorHAnsi"/>
          <w:b/>
          <w:sz w:val="20"/>
          <w:szCs w:val="20"/>
          <w:bdr w:val="none" w:sz="0" w:space="0" w:color="auto"/>
          <w:lang w:val="es-ES"/>
        </w:rPr>
        <w:t>FUERON EXPRESAMENTE PROTEGIDAS POR LA SENTENCIA T-1635-2000</w:t>
      </w:r>
    </w:p>
    <w:p w14:paraId="21C25244" w14:textId="30D18533" w:rsidR="001F63C4" w:rsidRPr="00213F85" w:rsidRDefault="001F63C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sz w:val="20"/>
          <w:szCs w:val="20"/>
          <w:bdr w:val="none" w:sz="0" w:space="0" w:color="auto"/>
          <w:lang w:val="es-ES"/>
        </w:rPr>
      </w:pPr>
      <w:r w:rsidRPr="00213F85">
        <w:rPr>
          <w:rFonts w:asciiTheme="majorHAnsi" w:hAnsiTheme="majorHAnsi"/>
          <w:b/>
          <w:sz w:val="20"/>
          <w:szCs w:val="20"/>
          <w:bdr w:val="none" w:sz="0" w:space="0" w:color="auto"/>
          <w:lang w:val="es-ES"/>
        </w:rPr>
        <w:t>Personas desplazadas que permanecieron en la ocupación del CICR</w:t>
      </w:r>
    </w:p>
    <w:p w14:paraId="7E1C8F18"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Dora María Bustos </w:t>
      </w:r>
    </w:p>
    <w:p w14:paraId="28AA954A"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Maria  Argenis Guzmán Vidal</w:t>
      </w:r>
    </w:p>
    <w:p w14:paraId="332DFE3E"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Marina Guzmán Vidal</w:t>
      </w:r>
    </w:p>
    <w:p w14:paraId="067F5982"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Carlos Antonio Asprilla Asprilla</w:t>
      </w:r>
    </w:p>
    <w:p w14:paraId="5E99808E"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Antonio Hernández Patiño </w:t>
      </w:r>
    </w:p>
    <w:p w14:paraId="41E5A77F"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Emérita Cubillos</w:t>
      </w:r>
    </w:p>
    <w:p w14:paraId="225779CC"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Ana Ermilda Holguín de Durango</w:t>
      </w:r>
    </w:p>
    <w:p w14:paraId="10E8459A"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Blanca Olivia Durango Holguín </w:t>
      </w:r>
    </w:p>
    <w:p w14:paraId="39C2EB27"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Jose Alirio Vázquez Arévalo</w:t>
      </w:r>
    </w:p>
    <w:p w14:paraId="05C41894"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Jose Duvan Naranjo Zarate</w:t>
      </w:r>
    </w:p>
    <w:p w14:paraId="4EEF9E56"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Jose Ignacio Martínez Agudelo </w:t>
      </w:r>
    </w:p>
    <w:p w14:paraId="599A2866" w14:textId="558AB7A0" w:rsidR="001F63C4" w:rsidRPr="00213F85" w:rsidRDefault="00471C6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Gladys Ló</w:t>
      </w:r>
      <w:r w:rsidR="001F63C4" w:rsidRPr="00213F85">
        <w:rPr>
          <w:rFonts w:asciiTheme="majorHAnsi" w:eastAsia="Cambria" w:hAnsiTheme="majorHAnsi" w:cs="Cambria"/>
          <w:color w:val="000000"/>
          <w:sz w:val="20"/>
          <w:szCs w:val="20"/>
          <w:u w:color="000000"/>
          <w:lang w:val="es-ES" w:eastAsia="es-ES"/>
        </w:rPr>
        <w:t>pez Enciso</w:t>
      </w:r>
    </w:p>
    <w:p w14:paraId="0A0CC51F"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Saúl Gaitán Miranda</w:t>
      </w:r>
    </w:p>
    <w:p w14:paraId="26F2F79A" w14:textId="34CBB5A5"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Luz Yaneth Tabares Ospina </w:t>
      </w:r>
    </w:p>
    <w:p w14:paraId="52119168"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Luz Mery Moya</w:t>
      </w:r>
    </w:p>
    <w:p w14:paraId="0704210B"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Fredy Ríos Alarcón</w:t>
      </w:r>
    </w:p>
    <w:p w14:paraId="447469CE" w14:textId="6F0FF002"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Yiver Andres Ríos Alarcón  </w:t>
      </w:r>
    </w:p>
    <w:p w14:paraId="410BD043"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Nancy Yamile Calderón</w:t>
      </w:r>
    </w:p>
    <w:p w14:paraId="7D417EAA"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Nancy Morales Osorio</w:t>
      </w:r>
    </w:p>
    <w:p w14:paraId="54A54847"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Rubiela Marín</w:t>
      </w:r>
    </w:p>
    <w:p w14:paraId="63D2A3AF"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Crisanto Cuevas</w:t>
      </w:r>
    </w:p>
    <w:p w14:paraId="22DE4CE3"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Jairo Preciado</w:t>
      </w:r>
    </w:p>
    <w:p w14:paraId="453871E9"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Odilia Sifuentes </w:t>
      </w:r>
    </w:p>
    <w:p w14:paraId="2176E27F"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Yasmina Valoyes Asprilla</w:t>
      </w:r>
    </w:p>
    <w:p w14:paraId="68DBD65C"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Rigoberto Llantén </w:t>
      </w:r>
    </w:p>
    <w:p w14:paraId="54BB786A"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lastRenderedPageBreak/>
        <w:t>Olga Maribel Chaparro Vargas</w:t>
      </w:r>
    </w:p>
    <w:p w14:paraId="3707510D"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Maria Lugo Castañeda</w:t>
      </w:r>
    </w:p>
    <w:p w14:paraId="2EBD31B2"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Fray Manuel Murillo Popo</w:t>
      </w:r>
    </w:p>
    <w:p w14:paraId="2B284891"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Fidel Ruiz Rueda</w:t>
      </w:r>
    </w:p>
    <w:p w14:paraId="4374A06B"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Fanny Bermúdez </w:t>
      </w:r>
    </w:p>
    <w:p w14:paraId="6C3AF61F" w14:textId="7AB9FFBE" w:rsidR="001F63C4" w:rsidRPr="00213F85" w:rsidRDefault="00471C6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Dora Emilse</w:t>
      </w:r>
    </w:p>
    <w:p w14:paraId="2D00E784"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Benjamín Urrea Garavito</w:t>
      </w:r>
    </w:p>
    <w:p w14:paraId="16BE8E25"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Ana Carrillo de Velásquez</w:t>
      </w:r>
    </w:p>
    <w:p w14:paraId="275FD718"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 xml:space="preserve">Ana Sofia Triviño Gomez </w:t>
      </w:r>
    </w:p>
    <w:p w14:paraId="22CB694B" w14:textId="77777777" w:rsidR="001F63C4" w:rsidRPr="00213F85" w:rsidRDefault="001F63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40" w:hanging="720"/>
        <w:rPr>
          <w:rFonts w:asciiTheme="majorHAnsi" w:eastAsia="Cambria" w:hAnsiTheme="majorHAnsi" w:cs="Cambria"/>
          <w:color w:val="000000"/>
          <w:sz w:val="20"/>
          <w:szCs w:val="20"/>
          <w:u w:color="000000"/>
          <w:lang w:val="es-ES" w:eastAsia="es-ES"/>
        </w:rPr>
      </w:pPr>
      <w:r w:rsidRPr="00213F85">
        <w:rPr>
          <w:rFonts w:asciiTheme="majorHAnsi" w:eastAsia="Cambria" w:hAnsiTheme="majorHAnsi" w:cs="Cambria"/>
          <w:color w:val="000000"/>
          <w:sz w:val="20"/>
          <w:szCs w:val="20"/>
          <w:u w:color="000000"/>
          <w:lang w:val="es-ES" w:eastAsia="es-ES"/>
        </w:rPr>
        <w:t>Jose Jaime Peña</w:t>
      </w:r>
    </w:p>
    <w:p w14:paraId="70933736" w14:textId="77777777" w:rsidR="001F63C4" w:rsidRPr="001F63C4" w:rsidRDefault="001F63C4">
      <w:pPr>
        <w:suppressAutoHyphens/>
        <w:spacing w:before="240" w:after="240"/>
        <w:ind w:left="720"/>
        <w:rPr>
          <w:rFonts w:asciiTheme="majorHAnsi" w:eastAsia="Cambria" w:hAnsiTheme="majorHAnsi" w:cs="Cambria"/>
          <w:color w:val="000000"/>
          <w:sz w:val="20"/>
          <w:szCs w:val="20"/>
          <w:u w:color="000000"/>
          <w:lang w:val="es-ES" w:eastAsia="es-ES"/>
        </w:rPr>
      </w:pPr>
    </w:p>
    <w:p w14:paraId="5ABA1212" w14:textId="77777777" w:rsidR="001F63C4" w:rsidRPr="001F63C4" w:rsidRDefault="001F63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rPr>
          <w:rFonts w:asciiTheme="majorHAnsi" w:hAnsiTheme="majorHAnsi"/>
          <w:sz w:val="20"/>
          <w:szCs w:val="20"/>
          <w:bdr w:val="none" w:sz="0" w:space="0" w:color="auto"/>
          <w:lang w:val="es-ES"/>
        </w:rPr>
      </w:pPr>
    </w:p>
    <w:p w14:paraId="2F541555" w14:textId="77777777" w:rsidR="001F63C4" w:rsidRPr="001F63C4" w:rsidRDefault="001F63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rPr>
          <w:rFonts w:asciiTheme="majorHAnsi" w:hAnsiTheme="majorHAnsi"/>
          <w:sz w:val="20"/>
          <w:szCs w:val="20"/>
          <w:bdr w:val="none" w:sz="0" w:space="0" w:color="auto"/>
          <w:lang w:val="es-ES"/>
        </w:rPr>
      </w:pPr>
    </w:p>
    <w:p w14:paraId="47C31AB8" w14:textId="77777777" w:rsidR="001F63C4" w:rsidRPr="001F63C4" w:rsidRDefault="001F63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rPr>
          <w:rFonts w:asciiTheme="majorHAnsi" w:hAnsiTheme="majorHAnsi"/>
          <w:b/>
          <w:sz w:val="20"/>
          <w:szCs w:val="20"/>
          <w:bdr w:val="none" w:sz="0" w:space="0" w:color="auto"/>
          <w:lang w:val="es-ES"/>
        </w:rPr>
      </w:pPr>
    </w:p>
    <w:p w14:paraId="22E4F191" w14:textId="77777777" w:rsidR="001F63C4" w:rsidRPr="001F63C4" w:rsidRDefault="001F63C4">
      <w:pPr>
        <w:rPr>
          <w:rFonts w:asciiTheme="majorHAnsi" w:hAnsiTheme="majorHAnsi"/>
          <w:b/>
          <w:sz w:val="20"/>
          <w:szCs w:val="20"/>
          <w:bdr w:val="none" w:sz="0" w:space="0" w:color="auto"/>
          <w:lang w:val="es-ES"/>
        </w:rPr>
      </w:pPr>
    </w:p>
    <w:p w14:paraId="48A31659" w14:textId="77777777" w:rsidR="001F63C4" w:rsidRPr="00974491" w:rsidRDefault="001F63C4">
      <w:pPr>
        <w:rPr>
          <w:rFonts w:ascii="Cambria" w:hAnsi="Cambria" w:cs="Calibri"/>
          <w:sz w:val="20"/>
          <w:szCs w:val="20"/>
          <w:lang w:val="es-ES"/>
        </w:rPr>
      </w:pPr>
    </w:p>
    <w:sectPr w:rsidR="001F63C4" w:rsidRPr="00974491" w:rsidSect="00C13D6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836AF" w14:textId="77777777" w:rsidR="001017FA" w:rsidRDefault="001017FA">
      <w:r>
        <w:separator/>
      </w:r>
    </w:p>
  </w:endnote>
  <w:endnote w:type="continuationSeparator" w:id="0">
    <w:p w14:paraId="48C012D3" w14:textId="77777777" w:rsidR="001017FA" w:rsidRDefault="0010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1A16F" w14:textId="77777777" w:rsidR="006A1033" w:rsidRDefault="006A1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BB0D26" w:rsidRPr="00934A2C" w:rsidRDefault="00BB0D2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A1033">
          <w:rPr>
            <w:noProof/>
            <w:sz w:val="16"/>
            <w:szCs w:val="22"/>
          </w:rPr>
          <w:t>3</w:t>
        </w:r>
        <w:r w:rsidRPr="00934A2C">
          <w:rPr>
            <w:noProof/>
            <w:sz w:val="16"/>
            <w:szCs w:val="22"/>
          </w:rPr>
          <w:fldChar w:fldCharType="end"/>
        </w:r>
      </w:p>
    </w:sdtContent>
  </w:sdt>
  <w:p w14:paraId="68530E6A" w14:textId="77777777" w:rsidR="00BB0D26" w:rsidRDefault="00BB0D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BB0D26" w:rsidRPr="00934A2C" w:rsidRDefault="00BB0D26">
    <w:pPr>
      <w:pStyle w:val="Footer"/>
      <w:jc w:val="center"/>
      <w:rPr>
        <w:sz w:val="16"/>
        <w:szCs w:val="22"/>
      </w:rPr>
    </w:pPr>
  </w:p>
  <w:p w14:paraId="49059CE3" w14:textId="77777777" w:rsidR="00BB0D26" w:rsidRDefault="00BB0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9BDD3" w14:textId="77777777" w:rsidR="001017FA" w:rsidRPr="000F35ED" w:rsidRDefault="001017F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7605B8" w14:textId="77777777" w:rsidR="001017FA" w:rsidRPr="000F35ED" w:rsidRDefault="001017FA" w:rsidP="000F35ED">
      <w:pPr>
        <w:rPr>
          <w:rFonts w:asciiTheme="majorHAnsi" w:hAnsiTheme="majorHAnsi"/>
          <w:sz w:val="16"/>
          <w:szCs w:val="16"/>
        </w:rPr>
      </w:pPr>
      <w:r w:rsidRPr="000F35ED">
        <w:rPr>
          <w:rFonts w:asciiTheme="majorHAnsi" w:hAnsiTheme="majorHAnsi"/>
          <w:sz w:val="16"/>
          <w:szCs w:val="16"/>
        </w:rPr>
        <w:separator/>
      </w:r>
    </w:p>
    <w:p w14:paraId="77C61D3C" w14:textId="77777777" w:rsidR="001017FA" w:rsidRPr="000F35ED" w:rsidRDefault="001017F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77D13B2" w14:textId="77777777" w:rsidR="001017FA" w:rsidRPr="000F35ED" w:rsidRDefault="001017F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8B09EC0" w14:textId="77777777" w:rsidR="00BB0D26" w:rsidRPr="003B125E" w:rsidRDefault="00BB0D26" w:rsidP="00C744A6">
      <w:pPr>
        <w:pStyle w:val="FootnoteText"/>
        <w:ind w:firstLine="720"/>
        <w:jc w:val="both"/>
        <w:rPr>
          <w:rFonts w:asciiTheme="majorHAnsi" w:hAnsiTheme="majorHAnsi"/>
          <w:sz w:val="16"/>
          <w:szCs w:val="16"/>
          <w:lang w:val="es-CO"/>
        </w:rPr>
      </w:pPr>
      <w:r w:rsidRPr="003B125E">
        <w:rPr>
          <w:rStyle w:val="FootnoteReference"/>
          <w:rFonts w:asciiTheme="majorHAnsi" w:hAnsiTheme="majorHAnsi"/>
          <w:sz w:val="16"/>
          <w:szCs w:val="16"/>
        </w:rPr>
        <w:footnoteRef/>
      </w:r>
      <w:r w:rsidRPr="003B125E">
        <w:rPr>
          <w:rFonts w:asciiTheme="majorHAnsi" w:hAnsiTheme="majorHAnsi"/>
          <w:sz w:val="16"/>
          <w:szCs w:val="16"/>
          <w:lang w:val="es-CO"/>
        </w:rPr>
        <w:t xml:space="preserve"> Las presuntas víctimas se individualizan mediante documento anexo. </w:t>
      </w:r>
      <w:r w:rsidRPr="003B125E">
        <w:rPr>
          <w:rFonts w:asciiTheme="majorHAnsi" w:hAnsiTheme="majorHAnsi"/>
          <w:color w:val="auto"/>
          <w:sz w:val="16"/>
          <w:szCs w:val="16"/>
          <w:lang w:val="es-CO"/>
        </w:rPr>
        <w:t xml:space="preserve">La petición inicial incluía 88 presuntas víctimas y sus familias, durante el procedimiento ante la CIDH fueron incorporadas un total de 226 presuntas víctimas y sus familias. </w:t>
      </w:r>
    </w:p>
  </w:footnote>
  <w:footnote w:id="3">
    <w:p w14:paraId="06C1BEFA" w14:textId="4B46FF30" w:rsidR="00BB0D26" w:rsidRPr="003B125E" w:rsidRDefault="00BB0D26" w:rsidP="00C744A6">
      <w:pPr>
        <w:pStyle w:val="FootnoteText"/>
        <w:ind w:firstLine="720"/>
        <w:jc w:val="both"/>
        <w:rPr>
          <w:rFonts w:asciiTheme="majorHAnsi" w:hAnsiTheme="majorHAnsi"/>
          <w:lang w:val="es-ES"/>
        </w:rPr>
      </w:pPr>
      <w:r w:rsidRPr="00565871">
        <w:rPr>
          <w:rStyle w:val="FootnoteReference"/>
          <w:rFonts w:asciiTheme="majorHAnsi" w:hAnsiTheme="majorHAnsi"/>
          <w:sz w:val="16"/>
          <w:szCs w:val="16"/>
        </w:rPr>
        <w:footnoteRef/>
      </w:r>
      <w:r w:rsidRPr="00565871">
        <w:rPr>
          <w:rFonts w:asciiTheme="majorHAnsi" w:hAnsiTheme="majorHAnsi"/>
          <w:sz w:val="16"/>
          <w:szCs w:val="16"/>
          <w:lang w:val="es-ES"/>
        </w:rPr>
        <w:t xml:space="preserve"> </w:t>
      </w:r>
      <w:r w:rsidRPr="003B125E">
        <w:rPr>
          <w:rFonts w:asciiTheme="majorHAnsi" w:hAnsiTheme="majorHAnsi"/>
          <w:sz w:val="16"/>
          <w:szCs w:val="16"/>
          <w:lang w:val="es-ES"/>
        </w:rPr>
        <w:t>Conforme a lo dispuesto en el artículo 17.2.a del Reglamento de la Comisión, el Comisionado Luis Ernesto Vargas Silva, de nacionalidad colombiana, no participó en el debate ni en la decisión del presente asunto.</w:t>
      </w:r>
    </w:p>
  </w:footnote>
  <w:footnote w:id="4">
    <w:p w14:paraId="7C2398C3" w14:textId="77777777" w:rsidR="00BB0D26" w:rsidRPr="003B125E" w:rsidRDefault="00BB0D26" w:rsidP="00C744A6">
      <w:pPr>
        <w:pStyle w:val="FootnoteText"/>
        <w:ind w:firstLine="720"/>
        <w:jc w:val="both"/>
        <w:rPr>
          <w:rFonts w:asciiTheme="majorHAnsi" w:hAnsiTheme="majorHAnsi"/>
          <w:sz w:val="16"/>
          <w:szCs w:val="16"/>
          <w:lang w:val="es-ES"/>
        </w:rPr>
      </w:pPr>
      <w:r w:rsidRPr="003B125E">
        <w:rPr>
          <w:rStyle w:val="FootnoteReference"/>
          <w:rFonts w:asciiTheme="majorHAnsi" w:hAnsiTheme="majorHAnsi"/>
          <w:sz w:val="16"/>
          <w:szCs w:val="16"/>
        </w:rPr>
        <w:footnoteRef/>
      </w:r>
      <w:r w:rsidRPr="003B125E">
        <w:rPr>
          <w:rFonts w:asciiTheme="majorHAnsi" w:hAnsiTheme="majorHAnsi"/>
          <w:sz w:val="16"/>
          <w:szCs w:val="16"/>
          <w:lang w:val="es-ES"/>
        </w:rPr>
        <w:t xml:space="preserve"> En adelante “Convención” o Convención Americana”.</w:t>
      </w:r>
    </w:p>
  </w:footnote>
  <w:footnote w:id="5">
    <w:p w14:paraId="7CA86E57" w14:textId="77777777" w:rsidR="00BB0D26" w:rsidRPr="003B125E" w:rsidRDefault="00BB0D26" w:rsidP="00C744A6">
      <w:pPr>
        <w:pStyle w:val="FootnoteText"/>
        <w:ind w:firstLine="720"/>
        <w:jc w:val="both"/>
        <w:rPr>
          <w:rFonts w:asciiTheme="majorHAnsi" w:hAnsiTheme="majorHAnsi"/>
          <w:sz w:val="16"/>
          <w:szCs w:val="16"/>
          <w:lang w:val="es-ES"/>
        </w:rPr>
      </w:pPr>
      <w:r w:rsidRPr="003B125E">
        <w:rPr>
          <w:rStyle w:val="FootnoteReference"/>
          <w:rFonts w:asciiTheme="majorHAnsi" w:hAnsiTheme="majorHAnsi"/>
          <w:sz w:val="16"/>
          <w:szCs w:val="16"/>
        </w:rPr>
        <w:footnoteRef/>
      </w:r>
      <w:r w:rsidRPr="003B125E">
        <w:rPr>
          <w:rFonts w:asciiTheme="majorHAnsi" w:hAnsiTheme="majorHAnsi"/>
          <w:sz w:val="16"/>
          <w:szCs w:val="16"/>
          <w:lang w:val="es-ES"/>
        </w:rPr>
        <w:t xml:space="preserve"> Artículo 11 del Pacto Internacional de Derechos Económicos, Sociales y Culturales.</w:t>
      </w:r>
    </w:p>
  </w:footnote>
  <w:footnote w:id="6">
    <w:p w14:paraId="79F07139" w14:textId="77777777" w:rsidR="00BB0D26" w:rsidRPr="00537490" w:rsidRDefault="00BB0D26" w:rsidP="00C744A6">
      <w:pPr>
        <w:pStyle w:val="FootnoteText"/>
        <w:spacing w:after="120"/>
        <w:ind w:firstLine="720"/>
        <w:jc w:val="both"/>
        <w:rPr>
          <w:rFonts w:ascii="Cambria" w:hAnsi="Cambria"/>
          <w:sz w:val="16"/>
          <w:szCs w:val="16"/>
          <w:lang w:val="es-ES"/>
        </w:rPr>
      </w:pPr>
      <w:r w:rsidRPr="003B125E">
        <w:rPr>
          <w:rStyle w:val="FootnoteReference"/>
          <w:rFonts w:asciiTheme="majorHAnsi" w:hAnsiTheme="majorHAnsi"/>
          <w:sz w:val="16"/>
          <w:szCs w:val="16"/>
        </w:rPr>
        <w:footnoteRef/>
      </w:r>
      <w:r w:rsidRPr="003B125E">
        <w:rPr>
          <w:rFonts w:asciiTheme="majorHAnsi" w:hAnsiTheme="majorHAnsi"/>
          <w:sz w:val="16"/>
          <w:szCs w:val="16"/>
          <w:lang w:val="es-ES"/>
        </w:rPr>
        <w:t xml:space="preserve"> Las observaciones de cada parte fueron debidamente trasladadas a la parte contraria.</w:t>
      </w:r>
    </w:p>
  </w:footnote>
  <w:footnote w:id="7">
    <w:p w14:paraId="31E178E2" w14:textId="1870B2D0" w:rsidR="00BB0D26" w:rsidRPr="001F63C4" w:rsidRDefault="00BB0D26" w:rsidP="001F63C4">
      <w:pPr>
        <w:pStyle w:val="FootnoteText"/>
        <w:ind w:firstLine="720"/>
        <w:rPr>
          <w:lang w:val="es-ES"/>
        </w:rPr>
      </w:pPr>
      <w:r w:rsidRPr="00565871">
        <w:rPr>
          <w:rStyle w:val="FootnoteReference"/>
          <w:rFonts w:asciiTheme="majorHAnsi" w:hAnsiTheme="majorHAnsi"/>
          <w:sz w:val="16"/>
          <w:szCs w:val="16"/>
        </w:rPr>
        <w:footnoteRef/>
      </w:r>
      <w:r w:rsidRPr="00565871">
        <w:rPr>
          <w:rFonts w:asciiTheme="majorHAnsi" w:hAnsiTheme="majorHAnsi"/>
          <w:sz w:val="16"/>
          <w:szCs w:val="16"/>
          <w:lang w:val="es-ES"/>
        </w:rPr>
        <w:t xml:space="preserve"> </w:t>
      </w:r>
      <w:r>
        <w:rPr>
          <w:rFonts w:asciiTheme="majorHAnsi" w:hAnsiTheme="majorHAnsi"/>
          <w:sz w:val="16"/>
          <w:szCs w:val="16"/>
          <w:lang w:val="es-CO"/>
        </w:rPr>
        <w:t>Presuntas víctimas identificadas en el Anexo 1.</w:t>
      </w:r>
    </w:p>
  </w:footnote>
  <w:footnote w:id="8">
    <w:p w14:paraId="7DC5F0B3" w14:textId="264613AF" w:rsidR="00BB0D26" w:rsidRPr="001F63C4" w:rsidRDefault="00BB0D26" w:rsidP="001F63C4">
      <w:pPr>
        <w:pStyle w:val="FootnoteText"/>
        <w:ind w:firstLine="720"/>
        <w:rPr>
          <w:lang w:val="es-ES"/>
        </w:rPr>
      </w:pPr>
      <w:r w:rsidRPr="00565871">
        <w:rPr>
          <w:rStyle w:val="FootnoteReference"/>
          <w:rFonts w:asciiTheme="majorHAnsi" w:hAnsiTheme="majorHAnsi"/>
          <w:sz w:val="16"/>
          <w:szCs w:val="16"/>
        </w:rPr>
        <w:footnoteRef/>
      </w:r>
      <w:r w:rsidRPr="00565871">
        <w:rPr>
          <w:rFonts w:asciiTheme="majorHAnsi" w:hAnsiTheme="majorHAnsi"/>
          <w:sz w:val="16"/>
          <w:szCs w:val="16"/>
          <w:lang w:val="es-ES"/>
        </w:rPr>
        <w:t xml:space="preserve"> </w:t>
      </w:r>
      <w:r>
        <w:rPr>
          <w:rFonts w:asciiTheme="majorHAnsi" w:hAnsiTheme="majorHAnsi"/>
          <w:sz w:val="16"/>
          <w:szCs w:val="16"/>
          <w:lang w:val="es-CO"/>
        </w:rPr>
        <w:t>Presuntas víctimas identificadas en el Anexo 2.</w:t>
      </w:r>
    </w:p>
  </w:footnote>
  <w:footnote w:id="9">
    <w:p w14:paraId="3C79568F" w14:textId="77777777" w:rsidR="00BB0D26" w:rsidRPr="008B5D70" w:rsidRDefault="00BB0D26" w:rsidP="001F63C4">
      <w:pPr>
        <w:pStyle w:val="FootnoteText"/>
        <w:ind w:firstLine="720"/>
        <w:jc w:val="both"/>
        <w:rPr>
          <w:rFonts w:asciiTheme="majorHAnsi" w:hAnsiTheme="majorHAnsi"/>
          <w:sz w:val="16"/>
          <w:szCs w:val="16"/>
          <w:lang w:val="es-ES"/>
        </w:rPr>
      </w:pPr>
      <w:r w:rsidRPr="008B5D70">
        <w:rPr>
          <w:rStyle w:val="FootnoteReference"/>
          <w:rFonts w:asciiTheme="majorHAnsi" w:hAnsiTheme="majorHAnsi"/>
          <w:sz w:val="16"/>
          <w:szCs w:val="16"/>
        </w:rPr>
        <w:footnoteRef/>
      </w:r>
      <w:r w:rsidRPr="008B5D70">
        <w:rPr>
          <w:rFonts w:asciiTheme="majorHAnsi" w:hAnsiTheme="majorHAnsi"/>
          <w:sz w:val="16"/>
          <w:szCs w:val="16"/>
          <w:lang w:val="es-ES"/>
        </w:rPr>
        <w:t xml:space="preserve"> </w:t>
      </w:r>
      <w:r w:rsidRPr="00E15FDE">
        <w:rPr>
          <w:rFonts w:asciiTheme="majorHAnsi" w:hAnsiTheme="majorHAnsi"/>
          <w:sz w:val="16"/>
          <w:szCs w:val="16"/>
          <w:lang w:val="es-ES"/>
        </w:rPr>
        <w:t>CIDH</w:t>
      </w:r>
      <w:r w:rsidRPr="00612603">
        <w:rPr>
          <w:rFonts w:asciiTheme="majorHAnsi" w:hAnsiTheme="majorHAnsi"/>
          <w:sz w:val="16"/>
          <w:szCs w:val="16"/>
          <w:lang w:val="es-ES"/>
        </w:rPr>
        <w:t>, Verdad, justicia y reparación</w:t>
      </w:r>
      <w:r>
        <w:rPr>
          <w:rFonts w:asciiTheme="majorHAnsi" w:hAnsiTheme="majorHAnsi"/>
          <w:sz w:val="16"/>
          <w:szCs w:val="16"/>
          <w:lang w:val="es-ES"/>
        </w:rPr>
        <w:t>: Cuarto informe sobre la situación de los derechos humanos en Colombia, 2013, párr.</w:t>
      </w:r>
      <w:r w:rsidRPr="008B5D70">
        <w:rPr>
          <w:rFonts w:asciiTheme="majorHAnsi" w:hAnsiTheme="majorHAnsi"/>
          <w:sz w:val="16"/>
          <w:szCs w:val="16"/>
          <w:lang w:val="es-ES"/>
        </w:rPr>
        <w:t xml:space="preserve"> 553</w:t>
      </w:r>
      <w:r>
        <w:rPr>
          <w:rFonts w:asciiTheme="majorHAnsi" w:hAnsiTheme="majorHAnsi"/>
          <w:sz w:val="16"/>
          <w:szCs w:val="16"/>
          <w:lang w:val="es-ES"/>
        </w:rPr>
        <w:t>.</w:t>
      </w:r>
    </w:p>
  </w:footnote>
  <w:footnote w:id="10">
    <w:p w14:paraId="74981ADD" w14:textId="64B4E7DE" w:rsidR="00BB0D26" w:rsidRPr="001F63C4" w:rsidRDefault="00BB0D26" w:rsidP="001F63C4">
      <w:pPr>
        <w:pStyle w:val="FootnoteText"/>
        <w:ind w:firstLine="720"/>
        <w:jc w:val="both"/>
        <w:rPr>
          <w:rFonts w:asciiTheme="majorHAnsi" w:hAnsiTheme="majorHAnsi"/>
          <w:sz w:val="16"/>
          <w:szCs w:val="16"/>
          <w:lang w:val="es-CO"/>
        </w:rPr>
      </w:pPr>
      <w:r w:rsidRPr="00565871">
        <w:rPr>
          <w:rStyle w:val="FootnoteReference"/>
          <w:rFonts w:asciiTheme="majorHAnsi" w:hAnsiTheme="majorHAnsi"/>
          <w:sz w:val="16"/>
          <w:szCs w:val="16"/>
        </w:rPr>
        <w:footnoteRef/>
      </w:r>
      <w:r w:rsidRPr="00565871">
        <w:rPr>
          <w:rFonts w:asciiTheme="majorHAnsi" w:hAnsiTheme="majorHAnsi"/>
          <w:sz w:val="16"/>
          <w:szCs w:val="16"/>
          <w:lang w:val="es-ES"/>
        </w:rPr>
        <w:t xml:space="preserve"> </w:t>
      </w:r>
      <w:r w:rsidRPr="008B5D70">
        <w:rPr>
          <w:rFonts w:asciiTheme="majorHAnsi" w:hAnsiTheme="majorHAnsi"/>
          <w:sz w:val="16"/>
          <w:szCs w:val="16"/>
          <w:lang w:val="es-CO"/>
        </w:rPr>
        <w:t>CIDH, Informe No. 65/15, Petición 1511/2009,</w:t>
      </w:r>
      <w:r>
        <w:rPr>
          <w:rFonts w:asciiTheme="majorHAnsi" w:hAnsiTheme="majorHAnsi"/>
          <w:sz w:val="16"/>
          <w:szCs w:val="16"/>
          <w:lang w:val="es-CO"/>
        </w:rPr>
        <w:t xml:space="preserve"> Admisibilidad, </w:t>
      </w:r>
      <w:proofErr w:type="spellStart"/>
      <w:r>
        <w:rPr>
          <w:rFonts w:asciiTheme="majorHAnsi" w:hAnsiTheme="majorHAnsi"/>
          <w:sz w:val="16"/>
          <w:szCs w:val="16"/>
          <w:lang w:val="es-CO"/>
        </w:rPr>
        <w:t>Hollman</w:t>
      </w:r>
      <w:proofErr w:type="spellEnd"/>
      <w:r>
        <w:rPr>
          <w:rFonts w:asciiTheme="majorHAnsi" w:hAnsiTheme="majorHAnsi"/>
          <w:sz w:val="16"/>
          <w:szCs w:val="16"/>
          <w:lang w:val="es-CO"/>
        </w:rPr>
        <w:t xml:space="preserve"> Morris y</w:t>
      </w:r>
      <w:r w:rsidRPr="008B5D70">
        <w:rPr>
          <w:rFonts w:asciiTheme="majorHAnsi" w:hAnsiTheme="majorHAnsi"/>
          <w:sz w:val="16"/>
          <w:szCs w:val="16"/>
          <w:lang w:val="es-CO"/>
        </w:rPr>
        <w:t xml:space="preserve"> Familia, 27 de octubre de 2015, párr. 39</w:t>
      </w:r>
      <w:r>
        <w:rPr>
          <w:rFonts w:asciiTheme="majorHAnsi" w:hAnsiTheme="majorHAnsi"/>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BB0D26" w:rsidRDefault="00BB0D26" w:rsidP="00BB0D2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B0D26" w:rsidRDefault="00BB0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BB0D26" w:rsidRDefault="00BB0D2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B0D26" w:rsidRPr="00EC7D62" w:rsidRDefault="001017F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8AE5" w14:textId="77777777" w:rsidR="006A1033" w:rsidRDefault="006A1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5D6"/>
    <w:multiLevelType w:val="hybridMultilevel"/>
    <w:tmpl w:val="747E73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A080F56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C6D77"/>
    <w:multiLevelType w:val="hybridMultilevel"/>
    <w:tmpl w:val="7F08D5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53"/>
  </w:num>
  <w:num w:numId="4">
    <w:abstractNumId w:val="22"/>
  </w:num>
  <w:num w:numId="5">
    <w:abstractNumId w:val="46"/>
  </w:num>
  <w:num w:numId="6">
    <w:abstractNumId w:val="27"/>
  </w:num>
  <w:num w:numId="7">
    <w:abstractNumId w:val="8"/>
  </w:num>
  <w:num w:numId="8">
    <w:abstractNumId w:val="18"/>
  </w:num>
  <w:num w:numId="9">
    <w:abstractNumId w:val="41"/>
  </w:num>
  <w:num w:numId="10">
    <w:abstractNumId w:val="1"/>
  </w:num>
  <w:num w:numId="11">
    <w:abstractNumId w:val="36"/>
  </w:num>
  <w:num w:numId="12">
    <w:abstractNumId w:val="37"/>
  </w:num>
  <w:num w:numId="13">
    <w:abstractNumId w:val="43"/>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47"/>
  </w:num>
  <w:num w:numId="58">
    <w:abstractNumId w:val="6"/>
  </w:num>
  <w:num w:numId="59">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0CA8"/>
    <w:rsid w:val="0001788C"/>
    <w:rsid w:val="000337EF"/>
    <w:rsid w:val="00040C3A"/>
    <w:rsid w:val="000419AD"/>
    <w:rsid w:val="00051B45"/>
    <w:rsid w:val="000716C5"/>
    <w:rsid w:val="00075E23"/>
    <w:rsid w:val="00091601"/>
    <w:rsid w:val="0009344A"/>
    <w:rsid w:val="0009620D"/>
    <w:rsid w:val="000A392E"/>
    <w:rsid w:val="000A575F"/>
    <w:rsid w:val="000D10DB"/>
    <w:rsid w:val="000E5EB5"/>
    <w:rsid w:val="000E659E"/>
    <w:rsid w:val="000F35ED"/>
    <w:rsid w:val="001017FA"/>
    <w:rsid w:val="00107131"/>
    <w:rsid w:val="0010736F"/>
    <w:rsid w:val="00113F73"/>
    <w:rsid w:val="00121CC2"/>
    <w:rsid w:val="00126E94"/>
    <w:rsid w:val="00133EE5"/>
    <w:rsid w:val="0014704B"/>
    <w:rsid w:val="00151ADB"/>
    <w:rsid w:val="00167A34"/>
    <w:rsid w:val="001A7870"/>
    <w:rsid w:val="001B3A00"/>
    <w:rsid w:val="001C1B41"/>
    <w:rsid w:val="001C3DEF"/>
    <w:rsid w:val="001D65EF"/>
    <w:rsid w:val="001E49E7"/>
    <w:rsid w:val="001F63C4"/>
    <w:rsid w:val="001F7201"/>
    <w:rsid w:val="001F76DC"/>
    <w:rsid w:val="002067F3"/>
    <w:rsid w:val="00213F85"/>
    <w:rsid w:val="00223A29"/>
    <w:rsid w:val="002250A3"/>
    <w:rsid w:val="00235217"/>
    <w:rsid w:val="00245748"/>
    <w:rsid w:val="00246D1F"/>
    <w:rsid w:val="00247403"/>
    <w:rsid w:val="00247542"/>
    <w:rsid w:val="00266B61"/>
    <w:rsid w:val="0026712A"/>
    <w:rsid w:val="002704DB"/>
    <w:rsid w:val="002A0AAE"/>
    <w:rsid w:val="002A5820"/>
    <w:rsid w:val="002B1E8B"/>
    <w:rsid w:val="002D2B26"/>
    <w:rsid w:val="002D7EA2"/>
    <w:rsid w:val="002E187C"/>
    <w:rsid w:val="00302733"/>
    <w:rsid w:val="00314078"/>
    <w:rsid w:val="0031535D"/>
    <w:rsid w:val="003239B8"/>
    <w:rsid w:val="0033169F"/>
    <w:rsid w:val="00344977"/>
    <w:rsid w:val="00346C95"/>
    <w:rsid w:val="00356185"/>
    <w:rsid w:val="00360380"/>
    <w:rsid w:val="0037519E"/>
    <w:rsid w:val="00386CF0"/>
    <w:rsid w:val="003A027A"/>
    <w:rsid w:val="003A2D13"/>
    <w:rsid w:val="003B125E"/>
    <w:rsid w:val="003B70FB"/>
    <w:rsid w:val="003C676B"/>
    <w:rsid w:val="003D3BC2"/>
    <w:rsid w:val="003E6CA1"/>
    <w:rsid w:val="004065A8"/>
    <w:rsid w:val="004165C2"/>
    <w:rsid w:val="00441ECB"/>
    <w:rsid w:val="00445193"/>
    <w:rsid w:val="00462C1B"/>
    <w:rsid w:val="00467B7E"/>
    <w:rsid w:val="00471C62"/>
    <w:rsid w:val="00473BB4"/>
    <w:rsid w:val="00477592"/>
    <w:rsid w:val="00486F1C"/>
    <w:rsid w:val="0049419D"/>
    <w:rsid w:val="004A6A54"/>
    <w:rsid w:val="004C20D2"/>
    <w:rsid w:val="004C2312"/>
    <w:rsid w:val="004C4B62"/>
    <w:rsid w:val="004C54C9"/>
    <w:rsid w:val="004D4ABA"/>
    <w:rsid w:val="004D6025"/>
    <w:rsid w:val="004E2649"/>
    <w:rsid w:val="004E7023"/>
    <w:rsid w:val="004F769A"/>
    <w:rsid w:val="00501399"/>
    <w:rsid w:val="0050633D"/>
    <w:rsid w:val="00507BC4"/>
    <w:rsid w:val="005128E4"/>
    <w:rsid w:val="005133DB"/>
    <w:rsid w:val="00525560"/>
    <w:rsid w:val="00544C49"/>
    <w:rsid w:val="005516A1"/>
    <w:rsid w:val="00563557"/>
    <w:rsid w:val="00565871"/>
    <w:rsid w:val="0057402A"/>
    <w:rsid w:val="005771D0"/>
    <w:rsid w:val="005860EE"/>
    <w:rsid w:val="0059191A"/>
    <w:rsid w:val="005921FF"/>
    <w:rsid w:val="00592FCF"/>
    <w:rsid w:val="005A24ED"/>
    <w:rsid w:val="005A6D0E"/>
    <w:rsid w:val="005B4D83"/>
    <w:rsid w:val="005B52B0"/>
    <w:rsid w:val="005B6806"/>
    <w:rsid w:val="005B7764"/>
    <w:rsid w:val="005C4225"/>
    <w:rsid w:val="005D78B8"/>
    <w:rsid w:val="005F0DAD"/>
    <w:rsid w:val="005F0F33"/>
    <w:rsid w:val="005F1FAE"/>
    <w:rsid w:val="00600DEB"/>
    <w:rsid w:val="00615672"/>
    <w:rsid w:val="006218E4"/>
    <w:rsid w:val="0062552F"/>
    <w:rsid w:val="00627C9F"/>
    <w:rsid w:val="006311E9"/>
    <w:rsid w:val="00632354"/>
    <w:rsid w:val="00642810"/>
    <w:rsid w:val="00652333"/>
    <w:rsid w:val="006722A2"/>
    <w:rsid w:val="0068009E"/>
    <w:rsid w:val="00692219"/>
    <w:rsid w:val="006A1033"/>
    <w:rsid w:val="006A17D2"/>
    <w:rsid w:val="006A73E6"/>
    <w:rsid w:val="006B2D5C"/>
    <w:rsid w:val="006C4EB1"/>
    <w:rsid w:val="006C677D"/>
    <w:rsid w:val="006D4A69"/>
    <w:rsid w:val="006E0166"/>
    <w:rsid w:val="006E7B34"/>
    <w:rsid w:val="0070697F"/>
    <w:rsid w:val="0072199C"/>
    <w:rsid w:val="00722C9F"/>
    <w:rsid w:val="007253B8"/>
    <w:rsid w:val="0073741F"/>
    <w:rsid w:val="007416E0"/>
    <w:rsid w:val="007473D0"/>
    <w:rsid w:val="0076643F"/>
    <w:rsid w:val="00777F63"/>
    <w:rsid w:val="007A5817"/>
    <w:rsid w:val="007B05C4"/>
    <w:rsid w:val="007B60E9"/>
    <w:rsid w:val="007B65C3"/>
    <w:rsid w:val="007B6CC3"/>
    <w:rsid w:val="007C3334"/>
    <w:rsid w:val="007D2B98"/>
    <w:rsid w:val="007E21BC"/>
    <w:rsid w:val="007E7C82"/>
    <w:rsid w:val="007F588D"/>
    <w:rsid w:val="00803F1C"/>
    <w:rsid w:val="0080600E"/>
    <w:rsid w:val="00817612"/>
    <w:rsid w:val="008250FF"/>
    <w:rsid w:val="008338A4"/>
    <w:rsid w:val="00834D49"/>
    <w:rsid w:val="00837C45"/>
    <w:rsid w:val="00844730"/>
    <w:rsid w:val="008457C2"/>
    <w:rsid w:val="00857A82"/>
    <w:rsid w:val="00864D6D"/>
    <w:rsid w:val="00873836"/>
    <w:rsid w:val="00885737"/>
    <w:rsid w:val="00890650"/>
    <w:rsid w:val="00897E12"/>
    <w:rsid w:val="008A1A6E"/>
    <w:rsid w:val="008A5A4A"/>
    <w:rsid w:val="008A7E0F"/>
    <w:rsid w:val="008B12F5"/>
    <w:rsid w:val="008D768D"/>
    <w:rsid w:val="008E3759"/>
    <w:rsid w:val="008E3BFE"/>
    <w:rsid w:val="008F1912"/>
    <w:rsid w:val="0090270B"/>
    <w:rsid w:val="009041DC"/>
    <w:rsid w:val="00917B5A"/>
    <w:rsid w:val="00920A58"/>
    <w:rsid w:val="00920A8C"/>
    <w:rsid w:val="00934A2C"/>
    <w:rsid w:val="00954654"/>
    <w:rsid w:val="0096706E"/>
    <w:rsid w:val="00974491"/>
    <w:rsid w:val="00974A52"/>
    <w:rsid w:val="00975C4E"/>
    <w:rsid w:val="00981FBA"/>
    <w:rsid w:val="009866C1"/>
    <w:rsid w:val="00997BC5"/>
    <w:rsid w:val="009A4F41"/>
    <w:rsid w:val="009B381B"/>
    <w:rsid w:val="009D1753"/>
    <w:rsid w:val="009D7611"/>
    <w:rsid w:val="009E0B61"/>
    <w:rsid w:val="009E53DE"/>
    <w:rsid w:val="009F07DA"/>
    <w:rsid w:val="00A11E44"/>
    <w:rsid w:val="00A209C2"/>
    <w:rsid w:val="00A328B3"/>
    <w:rsid w:val="00A50FCF"/>
    <w:rsid w:val="00A528D1"/>
    <w:rsid w:val="00A610CD"/>
    <w:rsid w:val="00A758AA"/>
    <w:rsid w:val="00AA09A2"/>
    <w:rsid w:val="00AA7996"/>
    <w:rsid w:val="00AC19CB"/>
    <w:rsid w:val="00AD2EF0"/>
    <w:rsid w:val="00AE5488"/>
    <w:rsid w:val="00AE6F91"/>
    <w:rsid w:val="00AF5571"/>
    <w:rsid w:val="00B0531C"/>
    <w:rsid w:val="00B07341"/>
    <w:rsid w:val="00B30539"/>
    <w:rsid w:val="00B314DB"/>
    <w:rsid w:val="00B361F2"/>
    <w:rsid w:val="00B3718B"/>
    <w:rsid w:val="00B4632A"/>
    <w:rsid w:val="00B530F1"/>
    <w:rsid w:val="00BA276C"/>
    <w:rsid w:val="00BA7A84"/>
    <w:rsid w:val="00BB0D26"/>
    <w:rsid w:val="00BB306F"/>
    <w:rsid w:val="00BC1EE3"/>
    <w:rsid w:val="00BD4B89"/>
    <w:rsid w:val="00BD5922"/>
    <w:rsid w:val="00BF02CB"/>
    <w:rsid w:val="00BF6FD8"/>
    <w:rsid w:val="00C03680"/>
    <w:rsid w:val="00C054DF"/>
    <w:rsid w:val="00C13D6C"/>
    <w:rsid w:val="00C21762"/>
    <w:rsid w:val="00C21FEF"/>
    <w:rsid w:val="00C24543"/>
    <w:rsid w:val="00C256A2"/>
    <w:rsid w:val="00C27069"/>
    <w:rsid w:val="00C51515"/>
    <w:rsid w:val="00C5660B"/>
    <w:rsid w:val="00C66B72"/>
    <w:rsid w:val="00C712E3"/>
    <w:rsid w:val="00C744A6"/>
    <w:rsid w:val="00C87AC4"/>
    <w:rsid w:val="00C9567A"/>
    <w:rsid w:val="00CA1F6C"/>
    <w:rsid w:val="00CA7964"/>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93B21"/>
    <w:rsid w:val="00DA5B7E"/>
    <w:rsid w:val="00DA7B5F"/>
    <w:rsid w:val="00DC11E7"/>
    <w:rsid w:val="00DC7023"/>
    <w:rsid w:val="00DC769A"/>
    <w:rsid w:val="00DD3D86"/>
    <w:rsid w:val="00DF1EC4"/>
    <w:rsid w:val="00E0340B"/>
    <w:rsid w:val="00E04A90"/>
    <w:rsid w:val="00E0551F"/>
    <w:rsid w:val="00E15DCB"/>
    <w:rsid w:val="00E219C7"/>
    <w:rsid w:val="00E4118C"/>
    <w:rsid w:val="00E43157"/>
    <w:rsid w:val="00E461CE"/>
    <w:rsid w:val="00E67201"/>
    <w:rsid w:val="00E720CA"/>
    <w:rsid w:val="00E84EB5"/>
    <w:rsid w:val="00E85662"/>
    <w:rsid w:val="00E8789F"/>
    <w:rsid w:val="00E97B71"/>
    <w:rsid w:val="00EA3D34"/>
    <w:rsid w:val="00EB454D"/>
    <w:rsid w:val="00EC33A0"/>
    <w:rsid w:val="00ED549D"/>
    <w:rsid w:val="00ED5DD7"/>
    <w:rsid w:val="00ED76BE"/>
    <w:rsid w:val="00EE00E9"/>
    <w:rsid w:val="00EF619B"/>
    <w:rsid w:val="00F00B55"/>
    <w:rsid w:val="00F02AD1"/>
    <w:rsid w:val="00F253CC"/>
    <w:rsid w:val="00F37106"/>
    <w:rsid w:val="00F519CF"/>
    <w:rsid w:val="00F56BA5"/>
    <w:rsid w:val="00F60E22"/>
    <w:rsid w:val="00F81395"/>
    <w:rsid w:val="00F81BB8"/>
    <w:rsid w:val="00F917D1"/>
    <w:rsid w:val="00F958E5"/>
    <w:rsid w:val="00F9653B"/>
    <w:rsid w:val="00FB62CF"/>
    <w:rsid w:val="00FC3A85"/>
    <w:rsid w:val="00FD3C3B"/>
    <w:rsid w:val="00FD6176"/>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C744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4F69"/>
    <w:rsid w:val="00200821"/>
    <w:rsid w:val="00327F14"/>
    <w:rsid w:val="00394049"/>
    <w:rsid w:val="004F2DF8"/>
    <w:rsid w:val="0060264A"/>
    <w:rsid w:val="007A2DDD"/>
    <w:rsid w:val="00925122"/>
    <w:rsid w:val="00992CEA"/>
    <w:rsid w:val="009A261B"/>
    <w:rsid w:val="00A55F86"/>
    <w:rsid w:val="00AC15A4"/>
    <w:rsid w:val="00B0336C"/>
    <w:rsid w:val="00DE7283"/>
    <w:rsid w:val="00E02DD6"/>
    <w:rsid w:val="00E75B32"/>
    <w:rsid w:val="00F00D2F"/>
    <w:rsid w:val="00F128DF"/>
    <w:rsid w:val="00FB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2637-C4BA-4AD7-8243-04F1AD72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4646</Words>
  <Characters>24346</Characters>
  <Application>Microsoft Office Word</Application>
  <DocSecurity>0</DocSecurity>
  <Lines>496</Lines>
  <Paragraphs>151</Paragraphs>
  <ScaleCrop>false</ScaleCrop>
  <Company/>
  <LinksUpToDate>false</LinksUpToDate>
  <CharactersWithSpaces>28841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75/18</dc:title>
  <dc:creator/>
  <cp:lastModifiedBy/>
  <cp:revision>1</cp:revision>
  <dcterms:created xsi:type="dcterms:W3CDTF">2018-09-14T19:10:00Z</dcterms:created>
  <dcterms:modified xsi:type="dcterms:W3CDTF">2018-09-14T19:10:00Z</dcterms:modified>
</cp:coreProperties>
</file>