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C85C" w14:textId="77777777" w:rsidR="0053292A" w:rsidRPr="00030A24" w:rsidRDefault="0053292A" w:rsidP="00030A24">
      <w:pPr>
        <w:pStyle w:val="ListParagraph"/>
        <w:spacing w:after="0" w:line="240" w:lineRule="auto"/>
        <w:ind w:right="-270"/>
        <w:jc w:val="center"/>
        <w:rPr>
          <w:rFonts w:ascii="Cambria" w:hAnsi="Cambria"/>
          <w:b/>
          <w:color w:val="000000"/>
          <w:lang w:val="es-CO"/>
        </w:rPr>
      </w:pPr>
    </w:p>
    <w:p w14:paraId="6CC36B41" w14:textId="77777777" w:rsidR="0053292A" w:rsidRPr="00030A24" w:rsidRDefault="0053292A" w:rsidP="00030A24">
      <w:pPr>
        <w:pStyle w:val="ListParagraph"/>
        <w:spacing w:after="0" w:line="240" w:lineRule="auto"/>
        <w:ind w:right="-270"/>
        <w:rPr>
          <w:rFonts w:ascii="Cambria" w:hAnsi="Cambria"/>
          <w:b/>
          <w:color w:val="000000"/>
          <w:lang w:val="pt-BR"/>
        </w:rPr>
      </w:pPr>
      <w:r w:rsidRPr="00725BE8">
        <w:rPr>
          <w:rFonts w:ascii="Cambria" w:hAnsi="Cambria"/>
          <w:b/>
          <w:color w:val="000000"/>
          <w:lang w:val="pt-BR"/>
        </w:rPr>
        <w:t xml:space="preserve">                                                      </w:t>
      </w:r>
      <w:r w:rsidRPr="00030A24">
        <w:rPr>
          <w:rFonts w:ascii="Cambria" w:hAnsi="Cambria"/>
          <w:b/>
          <w:color w:val="000000"/>
          <w:lang w:val="pt-BR"/>
        </w:rPr>
        <w:t>FICHA TÉCNICA INFORMATIVA</w:t>
      </w:r>
    </w:p>
    <w:p w14:paraId="1FF683CB" w14:textId="77777777" w:rsidR="0053292A" w:rsidRPr="00030A24" w:rsidRDefault="0053292A" w:rsidP="00030A24">
      <w:pPr>
        <w:spacing w:after="0" w:line="240" w:lineRule="auto"/>
        <w:jc w:val="center"/>
        <w:rPr>
          <w:rFonts w:ascii="Cambria" w:hAnsi="Cambria"/>
          <w:b/>
          <w:color w:val="000000"/>
          <w:lang w:val="pt-BR"/>
        </w:rPr>
      </w:pPr>
      <w:r w:rsidRPr="00030A24">
        <w:rPr>
          <w:rFonts w:ascii="Cambria" w:hAnsi="Cambria"/>
          <w:b/>
          <w:color w:val="000000"/>
          <w:lang w:val="pt-BR"/>
        </w:rPr>
        <w:t xml:space="preserve">          CASO 11.515 BOLÍVAR FRANCO CAMACHO ARBOLEDA</w:t>
      </w:r>
    </w:p>
    <w:p w14:paraId="4F2ABADE" w14:textId="77777777" w:rsidR="0053292A" w:rsidRPr="00030A24" w:rsidRDefault="0053292A" w:rsidP="00030A24">
      <w:pPr>
        <w:pStyle w:val="ListParagraph"/>
        <w:spacing w:after="0" w:line="240" w:lineRule="auto"/>
        <w:ind w:right="-270"/>
        <w:jc w:val="center"/>
        <w:rPr>
          <w:rFonts w:ascii="Cambria" w:hAnsi="Cambria"/>
          <w:b/>
          <w:color w:val="000000"/>
          <w:lang w:val="es-CO"/>
        </w:rPr>
      </w:pPr>
      <w:r w:rsidRPr="00030A24">
        <w:rPr>
          <w:rFonts w:ascii="Cambria" w:hAnsi="Cambria"/>
          <w:b/>
          <w:color w:val="000000"/>
          <w:lang w:val="pt-BR"/>
        </w:rPr>
        <w:t xml:space="preserve">  </w:t>
      </w:r>
      <w:r w:rsidRPr="00030A24">
        <w:rPr>
          <w:rFonts w:ascii="Cambria" w:hAnsi="Cambria"/>
          <w:b/>
          <w:color w:val="000000"/>
          <w:lang w:val="es-CO"/>
        </w:rPr>
        <w:t>INFORME DE SOLUCIÓN AMISTOSA Nº 63/03</w:t>
      </w:r>
    </w:p>
    <w:p w14:paraId="354FB25D"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 xml:space="preserve">        ARCHIVO</w:t>
      </w:r>
    </w:p>
    <w:p w14:paraId="4D7A59D9" w14:textId="67D93E3A"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 xml:space="preserve">        (ECUADOR)</w:t>
      </w:r>
    </w:p>
    <w:p w14:paraId="69D5BF48" w14:textId="77777777" w:rsidR="0053292A" w:rsidRPr="00030A24" w:rsidRDefault="0053292A" w:rsidP="00030A24">
      <w:pPr>
        <w:spacing w:after="0" w:line="240" w:lineRule="auto"/>
        <w:jc w:val="center"/>
        <w:rPr>
          <w:rFonts w:ascii="Cambria" w:hAnsi="Cambria"/>
          <w:b/>
          <w:color w:val="000000"/>
          <w:lang w:val="es-CO"/>
        </w:rPr>
      </w:pPr>
    </w:p>
    <w:p w14:paraId="48182B1C" w14:textId="77777777" w:rsidR="0053292A" w:rsidRPr="00030A24" w:rsidRDefault="0053292A" w:rsidP="00030A24">
      <w:pPr>
        <w:numPr>
          <w:ilvl w:val="0"/>
          <w:numId w:val="21"/>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623AB7F9" w14:textId="77777777" w:rsidR="0053292A" w:rsidRPr="00030A24" w:rsidRDefault="0053292A" w:rsidP="00030A24">
      <w:pPr>
        <w:spacing w:after="0" w:line="240" w:lineRule="auto"/>
        <w:ind w:left="720"/>
        <w:rPr>
          <w:rFonts w:ascii="Cambria" w:hAnsi="Cambria"/>
          <w:b/>
          <w:color w:val="000000"/>
          <w:lang w:val="es-CO"/>
        </w:rPr>
      </w:pPr>
    </w:p>
    <w:tbl>
      <w:tblPr>
        <w:tblW w:w="0" w:type="auto"/>
        <w:jc w:val="center"/>
        <w:shd w:val="clear" w:color="auto" w:fill="F2F2F2"/>
        <w:tblCellMar>
          <w:left w:w="0" w:type="dxa"/>
          <w:right w:w="0" w:type="dxa"/>
        </w:tblCellMar>
        <w:tblLook w:val="04A0" w:firstRow="1" w:lastRow="0" w:firstColumn="1" w:lastColumn="0" w:noHBand="0" w:noVBand="1"/>
      </w:tblPr>
      <w:tblGrid>
        <w:gridCol w:w="9340"/>
      </w:tblGrid>
      <w:tr w:rsidR="0053292A" w:rsidRPr="00725BE8" w14:paraId="33945A28" w14:textId="77777777" w:rsidTr="00550EB8">
        <w:trPr>
          <w:jc w:val="center"/>
        </w:trPr>
        <w:tc>
          <w:tcPr>
            <w:tcW w:w="948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01B0AD64" w14:textId="77777777" w:rsidR="0053292A" w:rsidRPr="00030A24" w:rsidRDefault="0053292A" w:rsidP="00030A24">
            <w:pPr>
              <w:spacing w:after="0" w:line="240" w:lineRule="auto"/>
              <w:jc w:val="both"/>
              <w:rPr>
                <w:rFonts w:ascii="Cambria" w:hAnsi="Cambria"/>
                <w:color w:val="000000"/>
                <w:lang w:val="pt-BR"/>
              </w:rPr>
            </w:pPr>
            <w:r w:rsidRPr="00030A24">
              <w:rPr>
                <w:rFonts w:ascii="Cambria" w:hAnsi="Cambria"/>
                <w:b/>
                <w:color w:val="000000"/>
                <w:lang w:val="pt-BR"/>
              </w:rPr>
              <w:t>Víctima (s):</w:t>
            </w:r>
            <w:r w:rsidRPr="00030A24">
              <w:rPr>
                <w:rFonts w:ascii="Cambria" w:hAnsi="Cambria"/>
                <w:color w:val="000000"/>
                <w:lang w:val="pt-BR"/>
              </w:rPr>
              <w:t xml:space="preserve"> Bolívar Franco Camacho Arboleda</w:t>
            </w:r>
          </w:p>
          <w:p w14:paraId="71F89850"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68F81DBD"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1199C2FD"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 xml:space="preserve">Firma del ASA: </w:t>
            </w:r>
            <w:r w:rsidRPr="00030A24">
              <w:rPr>
                <w:rFonts w:ascii="Cambria" w:hAnsi="Cambria"/>
                <w:color w:val="000000"/>
                <w:lang w:val="es-CO"/>
              </w:rPr>
              <w:t>17 de julio de 2002</w:t>
            </w:r>
          </w:p>
          <w:p w14:paraId="52DA29E4"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Fonts w:ascii="Cambria" w:hAnsi="Cambria"/>
                  <w:b/>
                  <w:color w:val="000000"/>
                  <w:u w:val="single"/>
                  <w:lang w:val="es-CO"/>
                </w:rPr>
                <w:t>63/03</w:t>
              </w:r>
            </w:hyperlink>
            <w:r w:rsidRPr="00030A24">
              <w:rPr>
                <w:rFonts w:ascii="Cambria" w:hAnsi="Cambria"/>
                <w:color w:val="000000"/>
                <w:lang w:val="es-CO"/>
              </w:rPr>
              <w:t>, publicado el 10 de octubre de 2003</w:t>
            </w:r>
          </w:p>
          <w:p w14:paraId="168602B2"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Informe de Admisibilidad Nº:</w:t>
            </w:r>
            <w:r w:rsidRPr="00030A24">
              <w:rPr>
                <w:rFonts w:ascii="Cambria" w:hAnsi="Cambria"/>
                <w:color w:val="000000"/>
                <w:lang w:val="es-CO"/>
              </w:rPr>
              <w:t xml:space="preserve"> </w:t>
            </w:r>
            <w:hyperlink r:id="rId14" w:history="1">
              <w:r w:rsidRPr="00030A24">
                <w:rPr>
                  <w:rFonts w:ascii="Cambria" w:hAnsi="Cambria"/>
                  <w:b/>
                  <w:color w:val="000000"/>
                  <w:u w:val="single"/>
                  <w:lang w:val="es-CO"/>
                </w:rPr>
                <w:t>13/97</w:t>
              </w:r>
            </w:hyperlink>
            <w:r w:rsidRPr="00030A24">
              <w:rPr>
                <w:rFonts w:ascii="Cambria" w:hAnsi="Cambria"/>
                <w:b/>
                <w:color w:val="000000"/>
                <w:lang w:val="es-CO"/>
              </w:rPr>
              <w:t xml:space="preserve">, </w:t>
            </w:r>
            <w:r w:rsidRPr="00030A24">
              <w:rPr>
                <w:rFonts w:ascii="Cambria" w:hAnsi="Cambria"/>
                <w:color w:val="000000"/>
                <w:lang w:val="es-CO"/>
              </w:rPr>
              <w:t>publicado el 12 de marzo de 1997</w:t>
            </w:r>
          </w:p>
          <w:p w14:paraId="2E222B99"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6FEF6A9D"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 Centros de detención/ Condiciones de detención/ Comisarías/ Cuidado y Custodia/ Investigación/ Sistema Penitenciario</w:t>
            </w:r>
            <w:r w:rsidRPr="00030A24">
              <w:rPr>
                <w:rFonts w:ascii="Cambria" w:hAnsi="Cambria"/>
                <w:b/>
                <w:color w:val="000000"/>
                <w:lang w:val="es-CO"/>
              </w:rPr>
              <w:t xml:space="preserve"> </w:t>
            </w:r>
          </w:p>
          <w:p w14:paraId="4EDA07AA" w14:textId="77777777" w:rsidR="0053292A" w:rsidRPr="00030A24" w:rsidRDefault="0053292A" w:rsidP="00030A24">
            <w:pPr>
              <w:spacing w:after="0" w:line="240" w:lineRule="auto"/>
              <w:jc w:val="both"/>
              <w:rPr>
                <w:rFonts w:ascii="Cambria" w:hAnsi="Cambria"/>
                <w:color w:val="000000"/>
                <w:lang w:val="es-CO"/>
              </w:rPr>
            </w:pPr>
          </w:p>
          <w:p w14:paraId="1D64DDB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se refiere a la duración de la detención preventiva de Bolívar Franco Camacho Arboleda. El peticionario alegó que el día 7 de octubre de 1989 el señor Bolívar Camacho Arboleda, de 25 años de edad y de nacionalidad ecuatoriana, fue detenido aproximadamente a las 16:00 horas por agentes de la INTERPOL</w:t>
            </w:r>
            <w:bookmarkStart w:id="0" w:name="_ftnref2"/>
            <w:bookmarkEnd w:id="0"/>
            <w:r w:rsidRPr="00030A24">
              <w:rPr>
                <w:rFonts w:ascii="Cambria" w:hAnsi="Cambria"/>
                <w:color w:val="000000"/>
                <w:lang w:val="es-CO"/>
              </w:rPr>
              <w:t xml:space="preserve"> de Santo Domingo de los Colorados.  El señor Bolívar Camacho fue acusado de posesión ilícita de cocaína (un total de 6 gramos), y fue puesto a las órdenes del Juzgado Sexto de lo Penal de Pichincha, ubicado en Santo Domingo de los Colorados. Reclama que la indemnización por el daño causado al habérsele privado arbitrariamente de su libertad durante más de cinco años (63 meses).  Afirma que no existe en la legislación interna ninguna norma que le permita realizar su reclamo de indemnización.</w:t>
            </w:r>
          </w:p>
          <w:p w14:paraId="4199E6CE" w14:textId="77777777" w:rsidR="0053292A" w:rsidRPr="00030A24" w:rsidRDefault="0053292A" w:rsidP="00030A24">
            <w:pPr>
              <w:spacing w:after="0" w:line="240" w:lineRule="auto"/>
              <w:jc w:val="both"/>
              <w:rPr>
                <w:rFonts w:ascii="Cambria" w:hAnsi="Cambria"/>
                <w:color w:val="000000"/>
                <w:lang w:val="es-CO"/>
              </w:rPr>
            </w:pPr>
          </w:p>
          <w:p w14:paraId="48385151"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declarados admisibles:</w:t>
            </w:r>
            <w:r w:rsidRPr="00030A24">
              <w:rPr>
                <w:rFonts w:ascii="Cambria" w:hAnsi="Cambria"/>
                <w:color w:val="000000"/>
                <w:lang w:val="es-CO"/>
              </w:rPr>
              <w:t xml:space="preserve"> La Comisión concluyó que era competente para entender el presente caso y que la petición era admisible conforme a los artículos 7 (derecho a la libertad personal), 8 (garantías judiciales) y 25 (derecho a la protección judicial), en concordancia con el artículo 1(1) y 2 de la Convención Americana, notificar el informe a las partes, ordenar su publicación e incluirlo en su Informe Anual a la Asamblea General de la OEA.</w:t>
            </w:r>
          </w:p>
        </w:tc>
      </w:tr>
    </w:tbl>
    <w:p w14:paraId="5D53802E" w14:textId="77777777" w:rsidR="0053292A" w:rsidRPr="00030A24" w:rsidRDefault="0053292A" w:rsidP="00030A24">
      <w:pPr>
        <w:spacing w:after="0" w:line="240" w:lineRule="auto"/>
        <w:ind w:left="1440" w:right="-270" w:hanging="720"/>
        <w:jc w:val="center"/>
        <w:rPr>
          <w:rFonts w:ascii="Cambria" w:hAnsi="Cambria"/>
          <w:b/>
          <w:color w:val="000000"/>
          <w:lang w:val="es-CO"/>
        </w:rPr>
      </w:pPr>
    </w:p>
    <w:p w14:paraId="676941C5" w14:textId="77777777" w:rsidR="0053292A" w:rsidRPr="00030A24" w:rsidRDefault="0053292A" w:rsidP="00030A24">
      <w:pPr>
        <w:numPr>
          <w:ilvl w:val="0"/>
          <w:numId w:val="22"/>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4C0D1355"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2CAB8BE2" w14:textId="4F9C1B16" w:rsidR="0053292A" w:rsidRPr="00030A24" w:rsidRDefault="0053292A" w:rsidP="00030A24">
      <w:pPr>
        <w:numPr>
          <w:ilvl w:val="0"/>
          <w:numId w:val="25"/>
        </w:numPr>
        <w:spacing w:after="0" w:line="240" w:lineRule="auto"/>
        <w:ind w:left="0" w:firstLine="720"/>
        <w:jc w:val="both"/>
        <w:rPr>
          <w:rFonts w:ascii="Cambria" w:hAnsi="Cambria"/>
          <w:color w:val="000000"/>
          <w:lang w:val="es-CO"/>
        </w:rPr>
      </w:pPr>
      <w:r w:rsidRPr="00030A24">
        <w:rPr>
          <w:rFonts w:ascii="Cambria" w:hAnsi="Cambria"/>
          <w:color w:val="000000"/>
          <w:lang w:val="es-CO"/>
        </w:rPr>
        <w:t>El 17 de julio de 2002</w:t>
      </w:r>
      <w:r w:rsidR="00081A0C"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4C221513" w14:textId="77777777" w:rsidR="0053292A" w:rsidRPr="00030A24" w:rsidRDefault="0053292A" w:rsidP="00030A24">
      <w:pPr>
        <w:spacing w:after="0" w:line="240" w:lineRule="auto"/>
        <w:ind w:firstLine="720"/>
        <w:jc w:val="both"/>
        <w:rPr>
          <w:rFonts w:ascii="Cambria" w:hAnsi="Cambria"/>
          <w:color w:val="000000"/>
          <w:lang w:val="es-CO"/>
        </w:rPr>
      </w:pPr>
    </w:p>
    <w:p w14:paraId="528F47AD" w14:textId="14353447" w:rsidR="0053292A" w:rsidRPr="00030A24" w:rsidRDefault="0053292A" w:rsidP="00030A24">
      <w:pPr>
        <w:numPr>
          <w:ilvl w:val="0"/>
          <w:numId w:val="25"/>
        </w:numPr>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El 10 de octubre de 2003, la Comisión aprobó el acuerdo de solución amistosa, mediante informe No. </w:t>
      </w:r>
      <w:r w:rsidRPr="00030A24">
        <w:rPr>
          <w:rFonts w:ascii="Cambria" w:hAnsi="Cambria" w:cs="Calibri Light"/>
          <w:color w:val="000000"/>
          <w:lang w:val="es-CO"/>
        </w:rPr>
        <w:t>63/03</w:t>
      </w:r>
      <w:r w:rsidRPr="00030A24">
        <w:rPr>
          <w:rFonts w:ascii="Cambria" w:hAnsi="Cambria"/>
          <w:color w:val="000000"/>
          <w:lang w:val="es-CO"/>
        </w:rPr>
        <w:t>.</w:t>
      </w:r>
    </w:p>
    <w:p w14:paraId="5DBDA684"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4FA9FAA8"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4701DDAA" w14:textId="58234F46" w:rsidR="0053292A" w:rsidRPr="00030A24" w:rsidRDefault="0053292A" w:rsidP="00030A24">
      <w:pPr>
        <w:spacing w:after="0" w:line="240" w:lineRule="auto"/>
        <w:ind w:firstLine="720"/>
        <w:contextualSpacing/>
        <w:jc w:val="both"/>
        <w:rPr>
          <w:rFonts w:ascii="Cambria" w:hAnsi="Cambria"/>
          <w:b/>
          <w:bCs/>
          <w:color w:val="000000"/>
          <w:lang w:val="es-CO"/>
        </w:rPr>
      </w:pPr>
    </w:p>
    <w:p w14:paraId="2DA1AC68" w14:textId="77777777" w:rsidR="0053292A" w:rsidRPr="00030A24" w:rsidRDefault="0053292A" w:rsidP="00030A24">
      <w:pPr>
        <w:spacing w:after="0" w:line="240" w:lineRule="auto"/>
        <w:ind w:firstLine="720"/>
        <w:contextualSpacing/>
        <w:jc w:val="both"/>
        <w:rPr>
          <w:rFonts w:ascii="Cambria" w:hAnsi="Cambria"/>
          <w:b/>
          <w:bCs/>
          <w:color w:val="000000"/>
          <w:lang w:val="es-CO"/>
        </w:rPr>
      </w:pPr>
    </w:p>
    <w:p w14:paraId="2E5FEFF8" w14:textId="77777777" w:rsidR="0053292A" w:rsidRPr="00030A24" w:rsidRDefault="0053292A" w:rsidP="00030A24">
      <w:pPr>
        <w:spacing w:after="0" w:line="240" w:lineRule="auto"/>
        <w:ind w:firstLine="720"/>
        <w:contextualSpacing/>
        <w:jc w:val="both"/>
        <w:rPr>
          <w:rFonts w:ascii="Cambria" w:hAnsi="Cambria"/>
          <w:b/>
          <w:bCs/>
          <w:color w:val="000000"/>
          <w:lang w:val="es-CO"/>
        </w:rPr>
      </w:pPr>
    </w:p>
    <w:p w14:paraId="3185BCEF" w14:textId="77777777" w:rsidR="0053292A" w:rsidRPr="00030A24" w:rsidRDefault="0053292A" w:rsidP="00030A24">
      <w:pPr>
        <w:numPr>
          <w:ilvl w:val="0"/>
          <w:numId w:val="22"/>
        </w:numPr>
        <w:spacing w:after="0" w:line="240" w:lineRule="auto"/>
        <w:ind w:left="-142" w:firstLine="862"/>
        <w:contextualSpacing/>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72ADED5F" w14:textId="77777777" w:rsidR="0053292A" w:rsidRPr="00030A24" w:rsidRDefault="0053292A" w:rsidP="00030A24">
      <w:pPr>
        <w:spacing w:after="0" w:line="240" w:lineRule="auto"/>
        <w:ind w:left="720"/>
        <w:contextualSpacing/>
        <w:jc w:val="both"/>
        <w:rPr>
          <w:rFonts w:ascii="Cambria" w:hAnsi="Cambria"/>
          <w:b/>
          <w:color w:val="000000"/>
          <w:lang w:val="es-CO"/>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5"/>
        <w:gridCol w:w="1665"/>
      </w:tblGrid>
      <w:tr w:rsidR="00035E03" w:rsidRPr="00030A24" w14:paraId="11E476B0" w14:textId="77777777" w:rsidTr="00A12ED0">
        <w:trPr>
          <w:jc w:val="center"/>
        </w:trPr>
        <w:tc>
          <w:tcPr>
            <w:tcW w:w="81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88073"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Cláusulas del Acuerdo</w:t>
            </w:r>
          </w:p>
        </w:tc>
        <w:tc>
          <w:tcPr>
            <w:tcW w:w="1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4AD98"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F46A46" w:rsidRPr="00030A24" w14:paraId="3416552E" w14:textId="77777777" w:rsidTr="00035E03">
        <w:trPr>
          <w:jc w:val="center"/>
        </w:trPr>
        <w:tc>
          <w:tcPr>
            <w:tcW w:w="8145" w:type="dxa"/>
            <w:tcBorders>
              <w:top w:val="single" w:sz="4" w:space="0" w:color="auto"/>
              <w:left w:val="single" w:sz="4" w:space="0" w:color="auto"/>
              <w:bottom w:val="single" w:sz="4" w:space="0" w:color="auto"/>
              <w:right w:val="single" w:sz="4" w:space="0" w:color="auto"/>
            </w:tcBorders>
            <w:vAlign w:val="center"/>
          </w:tcPr>
          <w:p w14:paraId="6E068FA0" w14:textId="77777777" w:rsidR="00432811" w:rsidRPr="00030A24" w:rsidRDefault="00432811" w:rsidP="00030A24">
            <w:pPr>
              <w:spacing w:after="0" w:line="240" w:lineRule="auto"/>
              <w:ind w:left="34"/>
              <w:jc w:val="both"/>
              <w:rPr>
                <w:rFonts w:ascii="Cambria" w:hAnsi="Cambria"/>
                <w:b/>
                <w:color w:val="000000"/>
                <w:lang w:val="es-CO"/>
              </w:rPr>
            </w:pPr>
            <w:r w:rsidRPr="00030A24">
              <w:rPr>
                <w:rFonts w:ascii="Cambria" w:hAnsi="Cambria"/>
                <w:b/>
                <w:color w:val="000000"/>
                <w:lang w:val="es-CO"/>
              </w:rPr>
              <w:t>III. RESPONSABILIDAD DEL ESTADO Y ALLANAMIENTO</w:t>
            </w:r>
          </w:p>
          <w:p w14:paraId="0CC0D7AD" w14:textId="77777777" w:rsidR="00432811" w:rsidRPr="00030A24" w:rsidRDefault="00432811" w:rsidP="00030A24">
            <w:pPr>
              <w:spacing w:after="0" w:line="240" w:lineRule="auto"/>
              <w:ind w:left="34"/>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del señor Bolívar Franco Camacho Arboleda reconocidos en los Artículos 8 (Garantías Judiciales), Artículo 7 (Derecho a la Libertad Personal) y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Estado y ha generado la responsabilidad de éste frente a la sociedad.</w:t>
            </w:r>
          </w:p>
          <w:p w14:paraId="5D1EC6B6" w14:textId="77777777" w:rsidR="00432811" w:rsidRPr="00030A24" w:rsidRDefault="00432811" w:rsidP="00030A24">
            <w:pPr>
              <w:spacing w:after="0" w:line="240" w:lineRule="auto"/>
              <w:ind w:left="34"/>
              <w:jc w:val="both"/>
              <w:rPr>
                <w:rFonts w:ascii="Cambria" w:hAnsi="Cambria"/>
                <w:bCs/>
                <w:color w:val="000000"/>
                <w:lang w:val="es-CO"/>
              </w:rPr>
            </w:pPr>
          </w:p>
          <w:p w14:paraId="0E0ED036" w14:textId="625A65F1" w:rsidR="00F46A46" w:rsidRPr="00030A24" w:rsidRDefault="00432811" w:rsidP="00030A24">
            <w:pPr>
              <w:spacing w:after="0" w:line="240" w:lineRule="auto"/>
              <w:ind w:left="34"/>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11.515 que se encuentra en trámite ante la Comisión Interamericana de Derechos Humanos y se obliga a asumir la</w:t>
            </w:r>
            <w:r w:rsidR="00030A24">
              <w:rPr>
                <w:rFonts w:ascii="Cambria" w:hAnsi="Cambria"/>
                <w:bCs/>
                <w:color w:val="000000"/>
                <w:lang w:val="es-CO"/>
              </w:rPr>
              <w:t>s</w:t>
            </w:r>
            <w:r w:rsidRPr="00030A24">
              <w:rPr>
                <w:rFonts w:ascii="Cambria" w:hAnsi="Cambria"/>
                <w:bCs/>
                <w:color w:val="000000"/>
                <w:lang w:val="es-CO"/>
              </w:rPr>
              <w:t xml:space="preserve"> medidas reparadoras necesarias a fin de resarcir los perjuicios ocasionados a la</w:t>
            </w:r>
            <w:r w:rsidR="00030A24">
              <w:rPr>
                <w:rFonts w:ascii="Cambria" w:hAnsi="Cambria"/>
                <w:bCs/>
                <w:color w:val="000000"/>
                <w:lang w:val="es-CO"/>
              </w:rPr>
              <w:t>s</w:t>
            </w:r>
            <w:r w:rsidRPr="00030A24">
              <w:rPr>
                <w:rFonts w:ascii="Cambria" w:hAnsi="Cambria"/>
                <w:bCs/>
                <w:color w:val="000000"/>
                <w:lang w:val="es-CO"/>
              </w:rPr>
              <w:t xml:space="preserve"> víctimas de tales violaciones o en su defecto a sus causahabientes.</w:t>
            </w:r>
          </w:p>
        </w:tc>
        <w:tc>
          <w:tcPr>
            <w:tcW w:w="1665" w:type="dxa"/>
            <w:tcBorders>
              <w:top w:val="single" w:sz="4" w:space="0" w:color="auto"/>
              <w:left w:val="single" w:sz="4" w:space="0" w:color="auto"/>
              <w:bottom w:val="single" w:sz="4" w:space="0" w:color="auto"/>
              <w:right w:val="single" w:sz="4" w:space="0" w:color="auto"/>
            </w:tcBorders>
            <w:vAlign w:val="center"/>
          </w:tcPr>
          <w:p w14:paraId="69567012" w14:textId="4B8A47CA" w:rsidR="00F46A46" w:rsidRPr="00030A24" w:rsidRDefault="00B52B3E"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3588A2B3" w14:textId="77777777" w:rsidTr="00035E03">
        <w:trPr>
          <w:jc w:val="center"/>
        </w:trPr>
        <w:tc>
          <w:tcPr>
            <w:tcW w:w="8145" w:type="dxa"/>
            <w:tcBorders>
              <w:top w:val="single" w:sz="4" w:space="0" w:color="auto"/>
              <w:left w:val="single" w:sz="4" w:space="0" w:color="auto"/>
              <w:bottom w:val="single" w:sz="4" w:space="0" w:color="auto"/>
              <w:right w:val="single" w:sz="4" w:space="0" w:color="auto"/>
            </w:tcBorders>
            <w:vAlign w:val="center"/>
            <w:hideMark/>
          </w:tcPr>
          <w:p w14:paraId="7F7D9782" w14:textId="77777777" w:rsidR="0053292A" w:rsidRPr="00030A24" w:rsidRDefault="0053292A" w:rsidP="00030A24">
            <w:pPr>
              <w:spacing w:after="0" w:line="240" w:lineRule="auto"/>
              <w:ind w:left="34"/>
              <w:jc w:val="both"/>
              <w:rPr>
                <w:rFonts w:ascii="Cambria" w:hAnsi="Cambria"/>
                <w:b/>
                <w:color w:val="000000"/>
                <w:lang w:val="es-CO"/>
              </w:rPr>
            </w:pPr>
            <w:r w:rsidRPr="00030A24">
              <w:rPr>
                <w:rFonts w:ascii="Cambria" w:hAnsi="Cambria"/>
                <w:b/>
                <w:color w:val="000000"/>
                <w:lang w:val="es-CO"/>
              </w:rPr>
              <w:t>IV.    INDEMNIZACIÓN</w:t>
            </w:r>
          </w:p>
          <w:p w14:paraId="102A6066" w14:textId="77777777" w:rsidR="0053292A" w:rsidRPr="00030A24" w:rsidRDefault="0053292A" w:rsidP="00030A24">
            <w:pPr>
              <w:spacing w:after="0" w:line="240" w:lineRule="auto"/>
              <w:ind w:left="34"/>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al señor Cliter Celso Arboleda, con cédula de ciudadanía número 110207616-1, en representación del señor Bolívar Franco Camacho Arboleda, mediante poder especial otorgado ante la Notaría Pública Quinta del Cantón Loja, una indemnización compensatoria por una sola vez, de treinta mil dólares de los Estados Unidos de Norteamérica ($US 30,000.00), con cargo al Presupuesto General del Estado.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4C0DA6F"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b/>
                <w:color w:val="000000"/>
                <w:vertAlign w:val="superscript"/>
                <w:lang w:val="es-CO"/>
              </w:rPr>
              <w:footnoteReference w:id="2"/>
            </w:r>
          </w:p>
        </w:tc>
      </w:tr>
      <w:tr w:rsidR="00035E03" w:rsidRPr="00030A24" w14:paraId="10A41460" w14:textId="77777777" w:rsidTr="00035E03">
        <w:trPr>
          <w:trHeight w:val="350"/>
          <w:jc w:val="center"/>
        </w:trPr>
        <w:tc>
          <w:tcPr>
            <w:tcW w:w="8145" w:type="dxa"/>
            <w:tcBorders>
              <w:top w:val="single" w:sz="4" w:space="0" w:color="auto"/>
              <w:left w:val="single" w:sz="4" w:space="0" w:color="auto"/>
              <w:bottom w:val="single" w:sz="4" w:space="0" w:color="auto"/>
              <w:right w:val="single" w:sz="4" w:space="0" w:color="auto"/>
            </w:tcBorders>
            <w:hideMark/>
          </w:tcPr>
          <w:p w14:paraId="02E3A7F9"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72AFA258"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se compromete, en la medida de sus posibilidades, al enjuiciamiento tanto civil como penal y a la búsqueda de las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funciones estatales o prevalidos del poder público, se presume que tuvieron participación en la violación alegada.</w:t>
            </w:r>
          </w:p>
          <w:p w14:paraId="56F3EE39"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706F2F8" w14:textId="272D514B"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bl>
    <w:p w14:paraId="581952B7" w14:textId="77777777" w:rsidR="0053292A" w:rsidRPr="00030A24" w:rsidRDefault="0053292A" w:rsidP="00030A24">
      <w:pPr>
        <w:autoSpaceDE w:val="0"/>
        <w:autoSpaceDN w:val="0"/>
        <w:spacing w:after="0" w:line="240" w:lineRule="auto"/>
        <w:jc w:val="both"/>
        <w:rPr>
          <w:rFonts w:ascii="Cambria" w:hAnsi="Cambria"/>
          <w:color w:val="000000"/>
          <w:lang w:val="es-CO"/>
        </w:rPr>
      </w:pPr>
    </w:p>
    <w:p w14:paraId="5E87139D" w14:textId="77777777" w:rsidR="0053292A" w:rsidRPr="00030A24" w:rsidRDefault="0053292A" w:rsidP="00030A24">
      <w:pPr>
        <w:numPr>
          <w:ilvl w:val="0"/>
          <w:numId w:val="22"/>
        </w:numPr>
        <w:autoSpaceDE w:val="0"/>
        <w:autoSpaceDN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7F0865C4" w14:textId="77777777" w:rsidR="0053292A" w:rsidRPr="00030A24" w:rsidRDefault="0053292A" w:rsidP="00030A24">
      <w:pPr>
        <w:autoSpaceDE w:val="0"/>
        <w:autoSpaceDN w:val="0"/>
        <w:spacing w:after="0" w:line="240" w:lineRule="auto"/>
        <w:ind w:firstLine="720"/>
        <w:jc w:val="both"/>
        <w:rPr>
          <w:rFonts w:ascii="Cambria" w:hAnsi="Cambria"/>
          <w:color w:val="000000"/>
          <w:lang w:val="es-CO"/>
        </w:rPr>
      </w:pPr>
    </w:p>
    <w:p w14:paraId="00351A73" w14:textId="27AB4A92" w:rsidR="0053292A" w:rsidRPr="00030A24" w:rsidRDefault="0053292A" w:rsidP="00030A24">
      <w:pPr>
        <w:numPr>
          <w:ilvl w:val="0"/>
          <w:numId w:val="25"/>
        </w:numPr>
        <w:autoSpaceDE w:val="0"/>
        <w:autoSpaceDN w:val="0"/>
        <w:spacing w:after="0" w:line="240" w:lineRule="auto"/>
        <w:ind w:left="0" w:firstLine="720"/>
        <w:jc w:val="both"/>
        <w:rPr>
          <w:rFonts w:ascii="Cambria" w:hAnsi="Cambria"/>
          <w:color w:val="000000"/>
          <w:lang w:val="es-CO"/>
        </w:rPr>
      </w:pPr>
      <w:r w:rsidRPr="00030A24">
        <w:rPr>
          <w:rFonts w:ascii="Cambria" w:hAnsi="Cambria"/>
          <w:color w:val="000000"/>
          <w:lang w:val="es-CO"/>
        </w:rPr>
        <w:lastRenderedPageBreak/>
        <w:t xml:space="preserve">La Comisión valoró la solicitud de la parte peticionaria de 3 de diciembre de 2015, en la cual solicitaron el cese de la supervisión del acuerdo y el archivo del caso dado la prescripción de la acción penal y la perdida de contacto con las </w:t>
      </w:r>
      <w:r w:rsidRPr="00030A24">
        <w:rPr>
          <w:rFonts w:ascii="Cambria" w:eastAsia="MS Mincho" w:hAnsi="Cambria"/>
          <w:color w:val="000000"/>
          <w:lang w:val="es-CO"/>
        </w:rPr>
        <w:t>víctimas</w:t>
      </w:r>
      <w:r w:rsidRPr="00030A24">
        <w:rPr>
          <w:rFonts w:ascii="Cambria" w:hAnsi="Cambria"/>
          <w:color w:val="000000"/>
          <w:lang w:val="es-CO"/>
        </w:rPr>
        <w:t xml:space="preserve"> del caso. Tomando en consideración que el presente caso no se refiere a graves violaciones de derechos humanos</w:t>
      </w:r>
      <w:r w:rsidRPr="00030A24">
        <w:rPr>
          <w:rFonts w:ascii="Cambria" w:eastAsia="MS Mincho" w:hAnsi="Cambria"/>
          <w:color w:val="000000"/>
          <w:lang w:val="es-CO"/>
        </w:rPr>
        <w:t>,</w:t>
      </w:r>
      <w:r w:rsidRPr="00030A24">
        <w:rPr>
          <w:rFonts w:ascii="Cambria" w:hAnsi="Cambria"/>
          <w:color w:val="000000"/>
          <w:lang w:val="es-CO"/>
        </w:rPr>
        <w:t xml:space="preserve"> que serían imprescriptibles de acuerdo a la jurisprudencia constante de la Comisión y la Corte Interamericana de Derechos Humanos, la Comisión </w:t>
      </w:r>
      <w:r w:rsidRPr="00030A24">
        <w:rPr>
          <w:rFonts w:ascii="Cambria" w:eastAsia="MS Mincho" w:hAnsi="Cambria"/>
          <w:color w:val="000000"/>
          <w:lang w:val="es-CO"/>
        </w:rPr>
        <w:t>decidió</w:t>
      </w:r>
      <w:r w:rsidRPr="00030A24">
        <w:rPr>
          <w:rFonts w:ascii="Cambria" w:hAnsi="Cambria"/>
          <w:color w:val="000000"/>
          <w:lang w:val="es-CO"/>
        </w:rPr>
        <w:t xml:space="preserve"> dejar constancia de que la medida de justicia fue incumplida por el Estado ecuatoriano y que el nivel de cumplimiento del acuerdo es parcial.</w:t>
      </w:r>
    </w:p>
    <w:p w14:paraId="10446634" w14:textId="77777777" w:rsidR="0053292A" w:rsidRPr="00030A24" w:rsidRDefault="0053292A" w:rsidP="00030A24">
      <w:pPr>
        <w:autoSpaceDE w:val="0"/>
        <w:autoSpaceDN w:val="0"/>
        <w:spacing w:after="0" w:line="240" w:lineRule="auto"/>
        <w:ind w:firstLine="720"/>
        <w:jc w:val="both"/>
        <w:rPr>
          <w:rFonts w:ascii="Cambria" w:hAnsi="Cambria"/>
          <w:color w:val="000000"/>
          <w:lang w:val="es-CO"/>
        </w:rPr>
      </w:pPr>
    </w:p>
    <w:p w14:paraId="2B1183C1" w14:textId="77777777" w:rsidR="0053292A" w:rsidRPr="00030A24" w:rsidRDefault="0053292A" w:rsidP="00030A24">
      <w:pPr>
        <w:numPr>
          <w:ilvl w:val="0"/>
          <w:numId w:val="22"/>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59F8410F"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23E4C67A" w14:textId="77777777" w:rsidR="0053292A" w:rsidRPr="00030A24" w:rsidRDefault="0053292A" w:rsidP="00030A24">
      <w:pPr>
        <w:numPr>
          <w:ilvl w:val="0"/>
          <w:numId w:val="2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1A9EEA9F"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377046D8" w14:textId="729A1353" w:rsidR="0053292A" w:rsidRPr="00725BE8" w:rsidRDefault="0053292A" w:rsidP="00725BE8">
      <w:pPr>
        <w:numPr>
          <w:ilvl w:val="0"/>
          <w:numId w:val="24"/>
        </w:numPr>
        <w:spacing w:after="0" w:line="240" w:lineRule="auto"/>
        <w:ind w:left="0" w:right="-270" w:firstLine="0"/>
        <w:contextualSpacing/>
        <w:jc w:val="center"/>
        <w:rPr>
          <w:rFonts w:ascii="Cambria" w:hAnsi="Cambria"/>
          <w:lang w:val="es-CO"/>
        </w:rPr>
      </w:pPr>
      <w:r w:rsidRPr="00725BE8">
        <w:rPr>
          <w:rFonts w:ascii="Cambria" w:hAnsi="Cambria"/>
          <w:color w:val="000000"/>
          <w:lang w:val="es-CO"/>
        </w:rPr>
        <w:t>El Estado realizó la reparación económica, según lo establecido en el acuerdo.</w:t>
      </w:r>
    </w:p>
    <w:sectPr w:rsidR="0053292A" w:rsidRPr="00725BE8" w:rsidSect="007E4ED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FBD4" w14:textId="77777777" w:rsidR="004B17EB" w:rsidRDefault="004B17EB" w:rsidP="00A343FF">
      <w:pPr>
        <w:spacing w:after="0" w:line="240" w:lineRule="auto"/>
      </w:pPr>
      <w:r>
        <w:separator/>
      </w:r>
    </w:p>
  </w:endnote>
  <w:endnote w:type="continuationSeparator" w:id="0">
    <w:p w14:paraId="69FBB5B0" w14:textId="77777777" w:rsidR="004B17EB" w:rsidRDefault="004B17EB" w:rsidP="00A343FF">
      <w:pPr>
        <w:spacing w:after="0" w:line="240" w:lineRule="auto"/>
      </w:pPr>
      <w:r>
        <w:continuationSeparator/>
      </w:r>
    </w:p>
  </w:endnote>
  <w:endnote w:type="continuationNotice" w:id="1">
    <w:p w14:paraId="66BFB54D" w14:textId="77777777" w:rsidR="004B17EB" w:rsidRDefault="004B1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8C129C"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75E0" w14:textId="77777777" w:rsidR="004B17EB" w:rsidRDefault="004B17EB" w:rsidP="00A343FF">
      <w:pPr>
        <w:spacing w:after="0" w:line="240" w:lineRule="auto"/>
      </w:pPr>
      <w:r>
        <w:separator/>
      </w:r>
    </w:p>
  </w:footnote>
  <w:footnote w:type="continuationSeparator" w:id="0">
    <w:p w14:paraId="64243568" w14:textId="77777777" w:rsidR="004B17EB" w:rsidRDefault="004B17EB" w:rsidP="00A343FF">
      <w:pPr>
        <w:spacing w:after="0" w:line="240" w:lineRule="auto"/>
      </w:pPr>
      <w:r>
        <w:continuationSeparator/>
      </w:r>
    </w:p>
  </w:footnote>
  <w:footnote w:type="continuationNotice" w:id="1">
    <w:p w14:paraId="1672B38E" w14:textId="77777777" w:rsidR="004B17EB" w:rsidRDefault="004B17EB">
      <w:pPr>
        <w:spacing w:after="0" w:line="240" w:lineRule="auto"/>
      </w:pPr>
    </w:p>
  </w:footnote>
  <w:footnote w:id="2">
    <w:p w14:paraId="69D23E45" w14:textId="77777777" w:rsidR="0053292A" w:rsidRPr="00A97E46" w:rsidRDefault="0053292A" w:rsidP="0053292A">
      <w:pPr>
        <w:pStyle w:val="FootnoteText"/>
        <w:ind w:firstLine="709"/>
        <w:jc w:val="both"/>
        <w:rPr>
          <w:rFonts w:ascii="Cambria" w:hAnsi="Cambria"/>
          <w:color w:val="000000"/>
          <w:sz w:val="16"/>
          <w:szCs w:val="16"/>
          <w:lang w:val="es-VE"/>
        </w:rPr>
      </w:pPr>
      <w:r w:rsidRPr="00A97E46">
        <w:rPr>
          <w:rStyle w:val="FootnoteReference"/>
          <w:rFonts w:ascii="Cambria" w:hAnsi="Cambria"/>
          <w:color w:val="000000"/>
          <w:sz w:val="16"/>
          <w:szCs w:val="16"/>
        </w:rPr>
        <w:footnoteRef/>
      </w:r>
      <w:r w:rsidRPr="00A97E46">
        <w:rPr>
          <w:rFonts w:ascii="Cambria" w:hAnsi="Cambria"/>
          <w:color w:val="000000"/>
          <w:sz w:val="16"/>
          <w:szCs w:val="16"/>
          <w:lang w:val="es-VE"/>
        </w:rPr>
        <w:t xml:space="preserve"> </w:t>
      </w:r>
      <w:r w:rsidRPr="00A97E46">
        <w:rPr>
          <w:rFonts w:ascii="Cambria" w:hAnsi="Cambria"/>
          <w:color w:val="000000"/>
          <w:sz w:val="16"/>
          <w:szCs w:val="16"/>
          <w:lang w:val="es-ES_tradnl"/>
        </w:rPr>
        <w:t xml:space="preserve">Informe No. 63/03, Caso 11.515, Bolívar Franco Camacho Arboleda, 10 de octubre de 2003, disponible en </w:t>
      </w:r>
      <w:hyperlink r:id="rId1" w:history="1">
        <w:r w:rsidRPr="00A97E46">
          <w:rPr>
            <w:rStyle w:val="Hyperlink"/>
            <w:rFonts w:ascii="Cambria" w:hAnsi="Cambria"/>
            <w:color w:val="000000"/>
            <w:sz w:val="16"/>
            <w:szCs w:val="16"/>
            <w:lang w:val="es-ES"/>
          </w:rPr>
          <w:t>http://www.cidh.oas.org/annualrep/2003sp/Ecuador.11515.htm</w:t>
        </w:r>
      </w:hyperlink>
      <w:r w:rsidRPr="00A97E46">
        <w:rPr>
          <w:rFonts w:ascii="Cambria" w:hAnsi="Cambria"/>
          <w:color w:val="000000"/>
          <w:sz w:val="16"/>
          <w:szCs w:val="16"/>
          <w:lang w:val="es-ES_tradnl"/>
        </w:rPr>
        <w:t>.</w:t>
      </w:r>
    </w:p>
  </w:footnote>
  <w:footnote w:id="3">
    <w:p w14:paraId="01AE5928" w14:textId="77777777" w:rsidR="00035E03" w:rsidRPr="00A97E46" w:rsidRDefault="00035E03" w:rsidP="0053292A">
      <w:pPr>
        <w:pStyle w:val="FootnoteText"/>
        <w:ind w:firstLine="709"/>
        <w:jc w:val="both"/>
        <w:rPr>
          <w:lang w:val="es-ES"/>
        </w:rPr>
      </w:pPr>
      <w:r w:rsidRPr="00A97E46">
        <w:rPr>
          <w:rStyle w:val="FootnoteReference"/>
          <w:rFonts w:ascii="Cambria" w:hAnsi="Cambria"/>
          <w:sz w:val="16"/>
          <w:szCs w:val="16"/>
        </w:rPr>
        <w:footnoteRef/>
      </w:r>
      <w:r w:rsidRPr="00A97E46">
        <w:rPr>
          <w:rFonts w:ascii="Cambria" w:hAnsi="Cambria"/>
          <w:sz w:val="16"/>
          <w:szCs w:val="16"/>
          <w:lang w:val="es-AR"/>
        </w:rPr>
        <w:t xml:space="preserve"> Ver CIDH, Informe Anual 2018, Capítulo II, Sección G. Estado del cumplimiento de las recomendaciones de la CIDH emitidas en informes de fondo y de los acuerdos de solución amistosa homologados por la CIDH. Disponible en: </w:t>
      </w:r>
      <w:hyperlink r:id="rId2" w:history="1">
        <w:r w:rsidRPr="00A97E46">
          <w:rPr>
            <w:rStyle w:val="Hyperlink"/>
            <w:rFonts w:ascii="Cambria" w:hAnsi="Cambria"/>
            <w:sz w:val="16"/>
            <w:szCs w:val="16"/>
            <w:lang w:val="es-AR"/>
          </w:rPr>
          <w:t>http://www.oas.org/es/cidh/docs/anual/2018/docs/IA2018cap.2-es.pdf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8C129C">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8C129C"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17EB"/>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25BE8"/>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129C"/>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3AA7"/>
    <w:rsid w:val="00DB5E3D"/>
    <w:rsid w:val="00DC246B"/>
    <w:rsid w:val="00DD1CFF"/>
    <w:rsid w:val="00DD2FE8"/>
    <w:rsid w:val="00DD4F27"/>
    <w:rsid w:val="00DD7443"/>
    <w:rsid w:val="00DE5755"/>
    <w:rsid w:val="00DF0FE5"/>
    <w:rsid w:val="00DF199E"/>
    <w:rsid w:val="00DF1BF8"/>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3sp/Ecuador.11515.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dh.oas.org/annualrep/96span/Ecuador11515.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8/docs/IA2018cap.2-es.pdf" TargetMode="External"/><Relationship Id="rId1" Type="http://schemas.openxmlformats.org/officeDocument/2006/relationships/hyperlink" Target="http://www.cidh.oas.org/annualrep/2003sp/Ecuador.1151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2023-03-03T22:06:00Z</dcterms:created>
  <dcterms:modified xsi:type="dcterms:W3CDTF">2023-03-03T22:06:00Z</dcterms:modified>
</cp:coreProperties>
</file>