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770564" w:rsidRDefault="00D306D1" w:rsidP="00627C9F">
      <w:pPr>
        <w:jc w:val="both"/>
        <w:rPr>
          <w:rFonts w:asciiTheme="majorHAnsi" w:hAnsiTheme="majorHAnsi" w:cs="Univers"/>
          <w:b/>
          <w:bCs/>
          <w:sz w:val="20"/>
          <w:szCs w:val="20"/>
          <w:lang w:val="es-ES_tradnl"/>
        </w:rPr>
      </w:pPr>
      <w:bookmarkStart w:id="0" w:name="_GoBack"/>
      <w:bookmarkEnd w:id="0"/>
      <w:r w:rsidRPr="00770564">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79F6A72A" wp14:editId="0677DE9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9067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70564">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3FA1E7CB" wp14:editId="41463A6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29E0" w:rsidRDefault="008129E0" w:rsidP="00AE5488">
                            <w:r>
                              <w:rPr>
                                <w:noProof/>
                              </w:rPr>
                              <w:drawing>
                                <wp:inline distT="0" distB="0" distL="0" distR="0" wp14:anchorId="1CB732CB" wp14:editId="3B2449E6">
                                  <wp:extent cx="2647666" cy="509676"/>
                                  <wp:effectExtent l="0" t="0" r="635" b="5080"/>
                                  <wp:docPr id="16" name="Picture 1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1E7C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8129E0" w:rsidRDefault="008129E0" w:rsidP="00AE5488">
                      <w:r>
                        <w:rPr>
                          <w:noProof/>
                        </w:rPr>
                        <w:drawing>
                          <wp:inline distT="0" distB="0" distL="0" distR="0" wp14:anchorId="1CB732CB" wp14:editId="3B2449E6">
                            <wp:extent cx="2647666" cy="509676"/>
                            <wp:effectExtent l="0" t="0" r="635" b="5080"/>
                            <wp:docPr id="16" name="Picture 1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770564" w:rsidRDefault="00040C3A" w:rsidP="00040C3A">
      <w:pPr>
        <w:tabs>
          <w:tab w:val="center" w:pos="5400"/>
        </w:tabs>
        <w:suppressAutoHyphens/>
        <w:jc w:val="both"/>
        <w:rPr>
          <w:rFonts w:asciiTheme="majorHAnsi" w:hAnsiTheme="majorHAnsi"/>
          <w:sz w:val="20"/>
          <w:szCs w:val="20"/>
          <w:lang w:val="es-ES"/>
        </w:rPr>
      </w:pPr>
    </w:p>
    <w:p w:rsidR="00040C3A" w:rsidRPr="00770564" w:rsidRDefault="00040C3A" w:rsidP="00040C3A">
      <w:pPr>
        <w:tabs>
          <w:tab w:val="center" w:pos="5400"/>
        </w:tabs>
        <w:suppressAutoHyphens/>
        <w:jc w:val="both"/>
        <w:rPr>
          <w:rFonts w:asciiTheme="majorHAnsi" w:hAnsiTheme="majorHAnsi"/>
          <w:sz w:val="20"/>
          <w:szCs w:val="20"/>
          <w:lang w:val="es-ES"/>
        </w:rPr>
      </w:pPr>
    </w:p>
    <w:p w:rsidR="005128E4" w:rsidRPr="00770564" w:rsidRDefault="005128E4" w:rsidP="00040C3A">
      <w:pPr>
        <w:tabs>
          <w:tab w:val="center" w:pos="5400"/>
        </w:tabs>
        <w:suppressAutoHyphens/>
        <w:rPr>
          <w:rFonts w:asciiTheme="majorHAnsi" w:hAnsiTheme="majorHAnsi"/>
          <w:sz w:val="20"/>
          <w:szCs w:val="20"/>
          <w:lang w:val="es-ES_tradnl"/>
        </w:rPr>
      </w:pPr>
    </w:p>
    <w:p w:rsidR="005128E4" w:rsidRPr="00770564" w:rsidRDefault="005128E4" w:rsidP="00040C3A">
      <w:pPr>
        <w:tabs>
          <w:tab w:val="center" w:pos="5400"/>
        </w:tabs>
        <w:suppressAutoHyphens/>
        <w:rPr>
          <w:rFonts w:asciiTheme="majorHAnsi" w:hAnsiTheme="majorHAnsi"/>
          <w:sz w:val="20"/>
          <w:szCs w:val="20"/>
          <w:lang w:val="es-ES_tradnl"/>
        </w:rPr>
      </w:pPr>
    </w:p>
    <w:p w:rsidR="005128E4" w:rsidRPr="00770564" w:rsidRDefault="005128E4" w:rsidP="00040C3A">
      <w:pPr>
        <w:tabs>
          <w:tab w:val="center" w:pos="5400"/>
        </w:tabs>
        <w:suppressAutoHyphens/>
        <w:rPr>
          <w:rFonts w:asciiTheme="majorHAnsi" w:hAnsiTheme="majorHAnsi"/>
          <w:sz w:val="20"/>
          <w:szCs w:val="20"/>
          <w:lang w:val="es-ES_tradnl"/>
        </w:rPr>
      </w:pPr>
    </w:p>
    <w:p w:rsidR="00040C3A" w:rsidRPr="00770564" w:rsidRDefault="00040C3A" w:rsidP="005128E4">
      <w:pPr>
        <w:tabs>
          <w:tab w:val="center" w:pos="5400"/>
        </w:tabs>
        <w:suppressAutoHyphens/>
        <w:jc w:val="center"/>
        <w:rPr>
          <w:rFonts w:asciiTheme="majorHAnsi" w:hAnsiTheme="majorHAnsi"/>
          <w:sz w:val="20"/>
          <w:szCs w:val="20"/>
          <w:lang w:val="es-ES_tradnl"/>
        </w:rPr>
      </w:pPr>
    </w:p>
    <w:p w:rsidR="00040C3A" w:rsidRPr="00770564" w:rsidRDefault="00040C3A" w:rsidP="005128E4">
      <w:pPr>
        <w:tabs>
          <w:tab w:val="center" w:pos="5400"/>
        </w:tabs>
        <w:suppressAutoHyphens/>
        <w:jc w:val="center"/>
        <w:rPr>
          <w:rFonts w:asciiTheme="majorHAnsi" w:hAnsiTheme="majorHAnsi"/>
          <w:sz w:val="20"/>
          <w:szCs w:val="20"/>
          <w:lang w:val="es-ES_tradnl"/>
        </w:rPr>
      </w:pPr>
    </w:p>
    <w:p w:rsidR="005B52B0" w:rsidRPr="00770564" w:rsidRDefault="005B52B0" w:rsidP="005128E4">
      <w:pPr>
        <w:tabs>
          <w:tab w:val="center" w:pos="5400"/>
        </w:tabs>
        <w:suppressAutoHyphens/>
        <w:jc w:val="center"/>
        <w:rPr>
          <w:rFonts w:asciiTheme="majorHAnsi" w:hAnsiTheme="majorHAnsi"/>
          <w:sz w:val="20"/>
          <w:szCs w:val="20"/>
          <w:lang w:val="es-ES_tradnl"/>
        </w:rPr>
      </w:pPr>
    </w:p>
    <w:p w:rsidR="005B52B0" w:rsidRPr="00770564" w:rsidRDefault="005B52B0" w:rsidP="005128E4">
      <w:pPr>
        <w:tabs>
          <w:tab w:val="center" w:pos="5400"/>
        </w:tabs>
        <w:suppressAutoHyphens/>
        <w:jc w:val="center"/>
        <w:rPr>
          <w:rFonts w:asciiTheme="majorHAnsi" w:hAnsiTheme="majorHAnsi"/>
          <w:sz w:val="20"/>
          <w:szCs w:val="20"/>
          <w:lang w:val="es-ES_tradnl"/>
        </w:rPr>
      </w:pPr>
    </w:p>
    <w:p w:rsidR="005B52B0" w:rsidRPr="00770564" w:rsidRDefault="005B52B0" w:rsidP="005128E4">
      <w:pPr>
        <w:tabs>
          <w:tab w:val="center" w:pos="5400"/>
        </w:tabs>
        <w:suppressAutoHyphens/>
        <w:jc w:val="center"/>
        <w:rPr>
          <w:rFonts w:asciiTheme="majorHAnsi" w:hAnsiTheme="majorHAnsi"/>
          <w:sz w:val="20"/>
          <w:szCs w:val="20"/>
          <w:lang w:val="es-ES_tradnl"/>
        </w:rPr>
      </w:pPr>
    </w:p>
    <w:p w:rsidR="00040C3A" w:rsidRPr="00770564" w:rsidRDefault="00040C3A" w:rsidP="00040C3A">
      <w:pPr>
        <w:tabs>
          <w:tab w:val="center" w:pos="5400"/>
        </w:tabs>
        <w:suppressAutoHyphens/>
        <w:jc w:val="center"/>
        <w:rPr>
          <w:rFonts w:asciiTheme="majorHAnsi" w:hAnsiTheme="majorHAnsi"/>
          <w:sz w:val="20"/>
          <w:szCs w:val="20"/>
          <w:lang w:val="es-ES_tradnl"/>
        </w:rPr>
      </w:pPr>
    </w:p>
    <w:p w:rsidR="00040C3A" w:rsidRPr="00770564" w:rsidRDefault="00040C3A" w:rsidP="00040C3A">
      <w:pPr>
        <w:tabs>
          <w:tab w:val="center" w:pos="5400"/>
        </w:tabs>
        <w:suppressAutoHyphens/>
        <w:jc w:val="center"/>
        <w:rPr>
          <w:rFonts w:asciiTheme="majorHAnsi" w:hAnsiTheme="majorHAnsi"/>
          <w:sz w:val="20"/>
          <w:szCs w:val="20"/>
          <w:lang w:val="es-ES_tradnl"/>
        </w:rPr>
      </w:pPr>
    </w:p>
    <w:p w:rsidR="00040C3A" w:rsidRPr="00770564" w:rsidRDefault="003D3BC2" w:rsidP="00040C3A">
      <w:pPr>
        <w:tabs>
          <w:tab w:val="center" w:pos="5400"/>
        </w:tabs>
        <w:suppressAutoHyphens/>
        <w:jc w:val="center"/>
        <w:rPr>
          <w:rFonts w:asciiTheme="majorHAnsi" w:hAnsiTheme="majorHAnsi"/>
          <w:sz w:val="20"/>
          <w:szCs w:val="20"/>
          <w:lang w:val="es-ES_tradnl"/>
        </w:rPr>
      </w:pPr>
      <w:r w:rsidRPr="00770564">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3E3B4B39" wp14:editId="03C1A05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29E0" w:rsidRPr="004E2649" w:rsidRDefault="008129E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B51DA">
                              <w:rPr>
                                <w:rFonts w:asciiTheme="majorHAnsi" w:hAnsiTheme="majorHAnsi" w:cs="Arial"/>
                                <w:b/>
                                <w:bCs/>
                                <w:color w:val="0D0D0D" w:themeColor="text1" w:themeTint="F2"/>
                                <w:sz w:val="36"/>
                                <w:szCs w:val="22"/>
                                <w:lang w:val="es-ES_tradnl"/>
                              </w:rPr>
                              <w:t>52</w:t>
                            </w:r>
                            <w:r>
                              <w:rPr>
                                <w:rFonts w:asciiTheme="majorHAnsi" w:hAnsiTheme="majorHAnsi" w:cs="Arial"/>
                                <w:b/>
                                <w:bCs/>
                                <w:color w:val="0D0D0D" w:themeColor="text1" w:themeTint="F2"/>
                                <w:sz w:val="36"/>
                                <w:szCs w:val="22"/>
                                <w:lang w:val="es-ES_tradnl"/>
                              </w:rPr>
                              <w:t>/1</w:t>
                            </w:r>
                            <w:r w:rsidR="0027112F">
                              <w:rPr>
                                <w:rFonts w:asciiTheme="majorHAnsi" w:hAnsiTheme="majorHAnsi" w:cs="Arial"/>
                                <w:b/>
                                <w:bCs/>
                                <w:color w:val="0D0D0D" w:themeColor="text1" w:themeTint="F2"/>
                                <w:sz w:val="36"/>
                                <w:szCs w:val="22"/>
                                <w:lang w:val="es-ES_tradnl"/>
                              </w:rPr>
                              <w:t>8</w:t>
                            </w:r>
                          </w:p>
                          <w:p w:rsidR="008129E0" w:rsidRDefault="008129E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253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rsidR="008129E0" w:rsidRPr="0010736F" w:rsidRDefault="008129E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8129E0" w:rsidRPr="0010736F" w:rsidRDefault="008129E0" w:rsidP="00997BC5">
                            <w:pPr>
                              <w:spacing w:line="276" w:lineRule="auto"/>
                              <w:rPr>
                                <w:rFonts w:asciiTheme="majorHAnsi" w:hAnsiTheme="majorHAnsi" w:cs="Arial"/>
                                <w:color w:val="0D0D0D" w:themeColor="text1" w:themeTint="F2"/>
                                <w:szCs w:val="22"/>
                                <w:lang w:val="es-ES_tradnl"/>
                              </w:rPr>
                            </w:pPr>
                            <w:bookmarkStart w:id="1" w:name="_ftnref1"/>
                          </w:p>
                          <w:p w:rsidR="008129E0" w:rsidRPr="0010736F" w:rsidRDefault="008129E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ALEJANDRO FERNANDO AGUILERA MENDIETA Y OTROS</w:t>
                            </w:r>
                          </w:p>
                          <w:bookmarkEnd w:id="1"/>
                          <w:p w:rsidR="008129E0" w:rsidRPr="0010736F" w:rsidRDefault="008129E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8129E0" w:rsidRPr="00AE5488" w:rsidRDefault="008129E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B4B3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8129E0" w:rsidRPr="004E2649" w:rsidRDefault="008129E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B51DA">
                        <w:rPr>
                          <w:rFonts w:asciiTheme="majorHAnsi" w:hAnsiTheme="majorHAnsi" w:cs="Arial"/>
                          <w:b/>
                          <w:bCs/>
                          <w:color w:val="0D0D0D" w:themeColor="text1" w:themeTint="F2"/>
                          <w:sz w:val="36"/>
                          <w:szCs w:val="22"/>
                          <w:lang w:val="es-ES_tradnl"/>
                        </w:rPr>
                        <w:t>52</w:t>
                      </w:r>
                      <w:r>
                        <w:rPr>
                          <w:rFonts w:asciiTheme="majorHAnsi" w:hAnsiTheme="majorHAnsi" w:cs="Arial"/>
                          <w:b/>
                          <w:bCs/>
                          <w:color w:val="0D0D0D" w:themeColor="text1" w:themeTint="F2"/>
                          <w:sz w:val="36"/>
                          <w:szCs w:val="22"/>
                          <w:lang w:val="es-ES_tradnl"/>
                        </w:rPr>
                        <w:t>/1</w:t>
                      </w:r>
                      <w:r w:rsidR="0027112F">
                        <w:rPr>
                          <w:rFonts w:asciiTheme="majorHAnsi" w:hAnsiTheme="majorHAnsi" w:cs="Arial"/>
                          <w:b/>
                          <w:bCs/>
                          <w:color w:val="0D0D0D" w:themeColor="text1" w:themeTint="F2"/>
                          <w:sz w:val="36"/>
                          <w:szCs w:val="22"/>
                          <w:lang w:val="es-ES_tradnl"/>
                        </w:rPr>
                        <w:t>8</w:t>
                      </w:r>
                    </w:p>
                    <w:p w:rsidR="008129E0" w:rsidRDefault="008129E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253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rsidR="008129E0" w:rsidRPr="0010736F" w:rsidRDefault="008129E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8129E0" w:rsidRPr="0010736F" w:rsidRDefault="008129E0" w:rsidP="00997BC5">
                      <w:pPr>
                        <w:spacing w:line="276" w:lineRule="auto"/>
                        <w:rPr>
                          <w:rFonts w:asciiTheme="majorHAnsi" w:hAnsiTheme="majorHAnsi" w:cs="Arial"/>
                          <w:color w:val="0D0D0D" w:themeColor="text1" w:themeTint="F2"/>
                          <w:szCs w:val="22"/>
                          <w:lang w:val="es-ES_tradnl"/>
                        </w:rPr>
                      </w:pPr>
                      <w:bookmarkStart w:id="2" w:name="_ftnref1"/>
                    </w:p>
                    <w:p w:rsidR="008129E0" w:rsidRPr="0010736F" w:rsidRDefault="008129E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ALEJANDRO FERNANDO AGUILERA MENDIETA Y OTROS</w:t>
                      </w:r>
                    </w:p>
                    <w:bookmarkEnd w:id="2"/>
                    <w:p w:rsidR="008129E0" w:rsidRPr="0010736F" w:rsidRDefault="008129E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8129E0" w:rsidRPr="00AE5488" w:rsidRDefault="008129E0" w:rsidP="007A5817">
                      <w:pPr>
                        <w:rPr>
                          <w:color w:val="0D0D0D" w:themeColor="text1" w:themeTint="F2"/>
                          <w:lang w:val="es-ES_tradnl"/>
                        </w:rPr>
                      </w:pPr>
                    </w:p>
                  </w:txbxContent>
                </v:textbox>
              </v:shape>
            </w:pict>
          </mc:Fallback>
        </mc:AlternateContent>
      </w:r>
      <w:r w:rsidR="004E2649" w:rsidRPr="00770564">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36306918" wp14:editId="7A3C887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29E0" w:rsidRPr="00490B6E" w:rsidRDefault="00A861F7" w:rsidP="007A5817">
                            <w:pPr>
                              <w:spacing w:line="276" w:lineRule="auto"/>
                              <w:jc w:val="right"/>
                              <w:rPr>
                                <w:rFonts w:asciiTheme="minorHAnsi" w:hAnsiTheme="minorHAnsi"/>
                                <w:color w:val="FFFFFF" w:themeColor="background1"/>
                                <w:sz w:val="22"/>
                                <w:lang w:val="pt-BR"/>
                              </w:rPr>
                            </w:pPr>
                            <w:r w:rsidRPr="00490B6E">
                              <w:rPr>
                                <w:rFonts w:asciiTheme="minorHAnsi" w:hAnsiTheme="minorHAnsi"/>
                                <w:color w:val="FFFFFF" w:themeColor="background1"/>
                                <w:sz w:val="22"/>
                                <w:lang w:val="pt-BR"/>
                              </w:rPr>
                              <w:t>OEA/Ser.L</w:t>
                            </w:r>
                            <w:r w:rsidR="003C560B" w:rsidRPr="00490B6E">
                              <w:rPr>
                                <w:rFonts w:asciiTheme="minorHAnsi" w:hAnsiTheme="minorHAnsi"/>
                                <w:color w:val="FFFFFF" w:themeColor="background1"/>
                                <w:sz w:val="22"/>
                                <w:lang w:val="pt-BR"/>
                              </w:rPr>
                              <w:t>/V/II.</w:t>
                            </w:r>
                          </w:p>
                          <w:p w:rsidR="008129E0" w:rsidRPr="00490B6E" w:rsidRDefault="008129E0" w:rsidP="007A5817">
                            <w:pPr>
                              <w:spacing w:line="276" w:lineRule="auto"/>
                              <w:jc w:val="right"/>
                              <w:rPr>
                                <w:rFonts w:asciiTheme="minorHAnsi" w:hAnsiTheme="minorHAnsi"/>
                                <w:color w:val="FFFFFF" w:themeColor="background1"/>
                                <w:sz w:val="22"/>
                                <w:lang w:val="pt-BR"/>
                              </w:rPr>
                            </w:pPr>
                            <w:r w:rsidRPr="00490B6E">
                              <w:rPr>
                                <w:rFonts w:asciiTheme="minorHAnsi" w:hAnsiTheme="minorHAnsi"/>
                                <w:color w:val="FFFFFF" w:themeColor="background1"/>
                                <w:sz w:val="22"/>
                                <w:lang w:val="pt-BR"/>
                              </w:rPr>
                              <w:t xml:space="preserve">Doc. </w:t>
                            </w:r>
                            <w:r w:rsidR="00DB51DA" w:rsidRPr="00490B6E">
                              <w:rPr>
                                <w:rFonts w:asciiTheme="minorHAnsi" w:hAnsiTheme="minorHAnsi"/>
                                <w:color w:val="FFFFFF" w:themeColor="background1"/>
                                <w:sz w:val="22"/>
                                <w:lang w:val="pt-BR"/>
                              </w:rPr>
                              <w:t>62</w:t>
                            </w:r>
                          </w:p>
                          <w:p w:rsidR="008129E0" w:rsidRPr="00F44896" w:rsidRDefault="00DB51DA" w:rsidP="007A5817">
                            <w:pPr>
                              <w:spacing w:line="276" w:lineRule="auto"/>
                              <w:jc w:val="right"/>
                              <w:rPr>
                                <w:rFonts w:asciiTheme="minorHAnsi" w:hAnsiTheme="minorHAnsi"/>
                                <w:color w:val="FFFFFF" w:themeColor="background1"/>
                                <w:sz w:val="22"/>
                                <w:lang w:val="es-NI"/>
                              </w:rPr>
                            </w:pPr>
                            <w:r w:rsidRPr="00F44896">
                              <w:rPr>
                                <w:rFonts w:asciiTheme="minorHAnsi" w:hAnsiTheme="minorHAnsi"/>
                                <w:color w:val="FFFFFF" w:themeColor="background1"/>
                                <w:sz w:val="22"/>
                                <w:lang w:val="es-NI"/>
                              </w:rPr>
                              <w:t>5</w:t>
                            </w:r>
                            <w:r w:rsidR="00A861F7" w:rsidRPr="00F44896">
                              <w:rPr>
                                <w:rFonts w:asciiTheme="minorHAnsi" w:hAnsiTheme="minorHAnsi"/>
                                <w:color w:val="FFFFFF" w:themeColor="background1"/>
                                <w:sz w:val="22"/>
                                <w:lang w:val="es-NI"/>
                              </w:rPr>
                              <w:t xml:space="preserve"> </w:t>
                            </w:r>
                            <w:r w:rsidR="003C560B" w:rsidRPr="00F44896">
                              <w:rPr>
                                <w:rFonts w:asciiTheme="minorHAnsi" w:hAnsiTheme="minorHAnsi"/>
                                <w:color w:val="FFFFFF" w:themeColor="background1"/>
                                <w:sz w:val="22"/>
                                <w:lang w:val="es-NI"/>
                              </w:rPr>
                              <w:t>mayo</w:t>
                            </w:r>
                            <w:r w:rsidR="008129E0" w:rsidRPr="00F44896">
                              <w:rPr>
                                <w:rFonts w:asciiTheme="minorHAnsi" w:hAnsiTheme="minorHAnsi"/>
                                <w:color w:val="FFFFFF" w:themeColor="background1"/>
                                <w:sz w:val="22"/>
                                <w:lang w:val="es-NI"/>
                              </w:rPr>
                              <w:t xml:space="preserve"> 201</w:t>
                            </w:r>
                            <w:r w:rsidR="0027112F" w:rsidRPr="00F44896">
                              <w:rPr>
                                <w:rFonts w:asciiTheme="minorHAnsi" w:hAnsiTheme="minorHAnsi"/>
                                <w:color w:val="FFFFFF" w:themeColor="background1"/>
                                <w:sz w:val="22"/>
                                <w:lang w:val="es-NI"/>
                              </w:rPr>
                              <w:t>8</w:t>
                            </w:r>
                          </w:p>
                          <w:p w:rsidR="008129E0" w:rsidRPr="00F44896" w:rsidRDefault="008129E0" w:rsidP="007A5817">
                            <w:pPr>
                              <w:spacing w:line="276" w:lineRule="auto"/>
                              <w:jc w:val="right"/>
                              <w:rPr>
                                <w:rFonts w:asciiTheme="minorHAnsi" w:hAnsiTheme="minorHAnsi"/>
                                <w:color w:val="FFFFFF" w:themeColor="background1"/>
                                <w:sz w:val="22"/>
                                <w:lang w:val="es-NI"/>
                              </w:rPr>
                            </w:pPr>
                            <w:r w:rsidRPr="00F44896">
                              <w:rPr>
                                <w:rFonts w:asciiTheme="minorHAnsi" w:hAnsiTheme="minorHAnsi"/>
                                <w:color w:val="FFFFFF" w:themeColor="background1"/>
                                <w:sz w:val="22"/>
                                <w:lang w:val="es-NI"/>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0691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8129E0" w:rsidRPr="00490B6E" w:rsidRDefault="00A861F7" w:rsidP="007A5817">
                      <w:pPr>
                        <w:spacing w:line="276" w:lineRule="auto"/>
                        <w:jc w:val="right"/>
                        <w:rPr>
                          <w:rFonts w:asciiTheme="minorHAnsi" w:hAnsiTheme="minorHAnsi"/>
                          <w:color w:val="FFFFFF" w:themeColor="background1"/>
                          <w:sz w:val="22"/>
                          <w:lang w:val="pt-BR"/>
                        </w:rPr>
                      </w:pPr>
                      <w:r w:rsidRPr="00490B6E">
                        <w:rPr>
                          <w:rFonts w:asciiTheme="minorHAnsi" w:hAnsiTheme="minorHAnsi"/>
                          <w:color w:val="FFFFFF" w:themeColor="background1"/>
                          <w:sz w:val="22"/>
                          <w:lang w:val="pt-BR"/>
                        </w:rPr>
                        <w:t>OEA/Ser.L</w:t>
                      </w:r>
                      <w:r w:rsidR="003C560B" w:rsidRPr="00490B6E">
                        <w:rPr>
                          <w:rFonts w:asciiTheme="minorHAnsi" w:hAnsiTheme="minorHAnsi"/>
                          <w:color w:val="FFFFFF" w:themeColor="background1"/>
                          <w:sz w:val="22"/>
                          <w:lang w:val="pt-BR"/>
                        </w:rPr>
                        <w:t>/V/II.</w:t>
                      </w:r>
                    </w:p>
                    <w:p w:rsidR="008129E0" w:rsidRPr="00490B6E" w:rsidRDefault="008129E0" w:rsidP="007A5817">
                      <w:pPr>
                        <w:spacing w:line="276" w:lineRule="auto"/>
                        <w:jc w:val="right"/>
                        <w:rPr>
                          <w:rFonts w:asciiTheme="minorHAnsi" w:hAnsiTheme="minorHAnsi"/>
                          <w:color w:val="FFFFFF" w:themeColor="background1"/>
                          <w:sz w:val="22"/>
                          <w:lang w:val="pt-BR"/>
                        </w:rPr>
                      </w:pPr>
                      <w:r w:rsidRPr="00490B6E">
                        <w:rPr>
                          <w:rFonts w:asciiTheme="minorHAnsi" w:hAnsiTheme="minorHAnsi"/>
                          <w:color w:val="FFFFFF" w:themeColor="background1"/>
                          <w:sz w:val="22"/>
                          <w:lang w:val="pt-BR"/>
                        </w:rPr>
                        <w:t xml:space="preserve">Doc. </w:t>
                      </w:r>
                      <w:r w:rsidR="00DB51DA" w:rsidRPr="00490B6E">
                        <w:rPr>
                          <w:rFonts w:asciiTheme="minorHAnsi" w:hAnsiTheme="minorHAnsi"/>
                          <w:color w:val="FFFFFF" w:themeColor="background1"/>
                          <w:sz w:val="22"/>
                          <w:lang w:val="pt-BR"/>
                        </w:rPr>
                        <w:t>62</w:t>
                      </w:r>
                    </w:p>
                    <w:p w:rsidR="008129E0" w:rsidRPr="00F44896" w:rsidRDefault="00DB51DA" w:rsidP="007A5817">
                      <w:pPr>
                        <w:spacing w:line="276" w:lineRule="auto"/>
                        <w:jc w:val="right"/>
                        <w:rPr>
                          <w:rFonts w:asciiTheme="minorHAnsi" w:hAnsiTheme="minorHAnsi"/>
                          <w:color w:val="FFFFFF" w:themeColor="background1"/>
                          <w:sz w:val="22"/>
                          <w:lang w:val="es-NI"/>
                        </w:rPr>
                      </w:pPr>
                      <w:r w:rsidRPr="00F44896">
                        <w:rPr>
                          <w:rFonts w:asciiTheme="minorHAnsi" w:hAnsiTheme="minorHAnsi"/>
                          <w:color w:val="FFFFFF" w:themeColor="background1"/>
                          <w:sz w:val="22"/>
                          <w:lang w:val="es-NI"/>
                        </w:rPr>
                        <w:t>5</w:t>
                      </w:r>
                      <w:r w:rsidR="00A861F7" w:rsidRPr="00F44896">
                        <w:rPr>
                          <w:rFonts w:asciiTheme="minorHAnsi" w:hAnsiTheme="minorHAnsi"/>
                          <w:color w:val="FFFFFF" w:themeColor="background1"/>
                          <w:sz w:val="22"/>
                          <w:lang w:val="es-NI"/>
                        </w:rPr>
                        <w:t xml:space="preserve"> </w:t>
                      </w:r>
                      <w:r w:rsidR="003C560B" w:rsidRPr="00F44896">
                        <w:rPr>
                          <w:rFonts w:asciiTheme="minorHAnsi" w:hAnsiTheme="minorHAnsi"/>
                          <w:color w:val="FFFFFF" w:themeColor="background1"/>
                          <w:sz w:val="22"/>
                          <w:lang w:val="es-NI"/>
                        </w:rPr>
                        <w:t>mayo</w:t>
                      </w:r>
                      <w:r w:rsidR="008129E0" w:rsidRPr="00F44896">
                        <w:rPr>
                          <w:rFonts w:asciiTheme="minorHAnsi" w:hAnsiTheme="minorHAnsi"/>
                          <w:color w:val="FFFFFF" w:themeColor="background1"/>
                          <w:sz w:val="22"/>
                          <w:lang w:val="es-NI"/>
                        </w:rPr>
                        <w:t xml:space="preserve"> 201</w:t>
                      </w:r>
                      <w:r w:rsidR="0027112F" w:rsidRPr="00F44896">
                        <w:rPr>
                          <w:rFonts w:asciiTheme="minorHAnsi" w:hAnsiTheme="minorHAnsi"/>
                          <w:color w:val="FFFFFF" w:themeColor="background1"/>
                          <w:sz w:val="22"/>
                          <w:lang w:val="es-NI"/>
                        </w:rPr>
                        <w:t>8</w:t>
                      </w:r>
                    </w:p>
                    <w:p w:rsidR="008129E0" w:rsidRPr="00F44896" w:rsidRDefault="008129E0" w:rsidP="007A5817">
                      <w:pPr>
                        <w:spacing w:line="276" w:lineRule="auto"/>
                        <w:jc w:val="right"/>
                        <w:rPr>
                          <w:rFonts w:asciiTheme="minorHAnsi" w:hAnsiTheme="minorHAnsi"/>
                          <w:color w:val="FFFFFF" w:themeColor="background1"/>
                          <w:sz w:val="22"/>
                          <w:lang w:val="es-NI"/>
                        </w:rPr>
                      </w:pPr>
                      <w:r w:rsidRPr="00F44896">
                        <w:rPr>
                          <w:rFonts w:asciiTheme="minorHAnsi" w:hAnsiTheme="minorHAnsi"/>
                          <w:color w:val="FFFFFF" w:themeColor="background1"/>
                          <w:sz w:val="22"/>
                          <w:lang w:val="es-NI"/>
                        </w:rPr>
                        <w:t>Original: español</w:t>
                      </w:r>
                    </w:p>
                  </w:txbxContent>
                </v:textbox>
              </v:shape>
            </w:pict>
          </mc:Fallback>
        </mc:AlternateContent>
      </w:r>
    </w:p>
    <w:p w:rsidR="00040C3A" w:rsidRPr="00770564" w:rsidRDefault="00040C3A" w:rsidP="00040C3A">
      <w:pPr>
        <w:tabs>
          <w:tab w:val="center" w:pos="5400"/>
        </w:tabs>
        <w:suppressAutoHyphens/>
        <w:jc w:val="center"/>
        <w:rPr>
          <w:rFonts w:asciiTheme="majorHAnsi" w:hAnsiTheme="majorHAnsi"/>
          <w:sz w:val="20"/>
          <w:szCs w:val="20"/>
          <w:lang w:val="es-ES_tradnl"/>
        </w:rPr>
      </w:pPr>
    </w:p>
    <w:p w:rsidR="00040C3A" w:rsidRPr="00770564" w:rsidRDefault="00040C3A" w:rsidP="00040C3A">
      <w:pPr>
        <w:tabs>
          <w:tab w:val="center" w:pos="5400"/>
        </w:tabs>
        <w:suppressAutoHyphens/>
        <w:jc w:val="center"/>
        <w:rPr>
          <w:rFonts w:asciiTheme="majorHAnsi" w:hAnsiTheme="majorHAnsi"/>
          <w:sz w:val="20"/>
          <w:szCs w:val="20"/>
          <w:lang w:val="es-ES_tradnl"/>
        </w:rPr>
      </w:pPr>
    </w:p>
    <w:p w:rsidR="00040C3A" w:rsidRPr="00770564" w:rsidRDefault="00040C3A" w:rsidP="00040C3A">
      <w:pPr>
        <w:tabs>
          <w:tab w:val="center" w:pos="5400"/>
        </w:tabs>
        <w:suppressAutoHyphens/>
        <w:jc w:val="center"/>
        <w:rPr>
          <w:rFonts w:asciiTheme="majorHAnsi" w:hAnsiTheme="majorHAnsi" w:cs="Arial"/>
          <w:sz w:val="20"/>
          <w:szCs w:val="20"/>
          <w:lang w:val="es-ES_tradnl"/>
        </w:rPr>
      </w:pPr>
    </w:p>
    <w:p w:rsidR="00040C3A" w:rsidRPr="00770564" w:rsidRDefault="00040C3A" w:rsidP="00040C3A">
      <w:pPr>
        <w:tabs>
          <w:tab w:val="center" w:pos="5400"/>
        </w:tabs>
        <w:suppressAutoHyphens/>
        <w:jc w:val="center"/>
        <w:rPr>
          <w:rFonts w:asciiTheme="majorHAnsi" w:hAnsiTheme="majorHAnsi"/>
          <w:sz w:val="20"/>
          <w:szCs w:val="20"/>
          <w:lang w:val="es-ES_tradnl"/>
        </w:rPr>
      </w:pPr>
    </w:p>
    <w:p w:rsidR="00040C3A" w:rsidRPr="00770564" w:rsidRDefault="00040C3A" w:rsidP="00040C3A">
      <w:pPr>
        <w:tabs>
          <w:tab w:val="center" w:pos="5400"/>
        </w:tabs>
        <w:suppressAutoHyphens/>
        <w:jc w:val="center"/>
        <w:rPr>
          <w:rFonts w:asciiTheme="majorHAnsi" w:hAnsiTheme="majorHAnsi"/>
          <w:sz w:val="20"/>
          <w:szCs w:val="20"/>
          <w:lang w:val="es-ES_tradnl"/>
        </w:rPr>
      </w:pPr>
    </w:p>
    <w:p w:rsidR="00040C3A" w:rsidRPr="00770564" w:rsidRDefault="00040C3A" w:rsidP="00040C3A">
      <w:pPr>
        <w:tabs>
          <w:tab w:val="center" w:pos="5400"/>
        </w:tabs>
        <w:suppressAutoHyphens/>
        <w:jc w:val="center"/>
        <w:rPr>
          <w:rFonts w:asciiTheme="majorHAnsi" w:hAnsiTheme="majorHAnsi"/>
          <w:sz w:val="20"/>
          <w:szCs w:val="20"/>
          <w:lang w:val="es-ES_tradnl"/>
        </w:rPr>
      </w:pPr>
    </w:p>
    <w:p w:rsidR="00040C3A" w:rsidRPr="00770564" w:rsidRDefault="00040C3A" w:rsidP="00040C3A">
      <w:pPr>
        <w:tabs>
          <w:tab w:val="center" w:pos="5400"/>
        </w:tabs>
        <w:suppressAutoHyphens/>
        <w:jc w:val="center"/>
        <w:rPr>
          <w:rFonts w:asciiTheme="majorHAnsi" w:hAnsiTheme="majorHAnsi"/>
          <w:sz w:val="20"/>
          <w:szCs w:val="20"/>
          <w:lang w:val="es-ES_tradnl"/>
        </w:rPr>
      </w:pPr>
    </w:p>
    <w:p w:rsidR="005128E4" w:rsidRPr="00770564" w:rsidRDefault="005128E4" w:rsidP="00040C3A">
      <w:pPr>
        <w:tabs>
          <w:tab w:val="center" w:pos="5400"/>
        </w:tabs>
        <w:suppressAutoHyphens/>
        <w:jc w:val="center"/>
        <w:rPr>
          <w:rFonts w:asciiTheme="majorHAnsi" w:hAnsiTheme="majorHAnsi"/>
          <w:sz w:val="20"/>
          <w:szCs w:val="20"/>
          <w:lang w:val="es-ES_tradnl"/>
        </w:rPr>
      </w:pPr>
    </w:p>
    <w:p w:rsidR="00040C3A" w:rsidRPr="00770564" w:rsidRDefault="00040C3A" w:rsidP="00040C3A">
      <w:pPr>
        <w:tabs>
          <w:tab w:val="center" w:pos="5400"/>
        </w:tabs>
        <w:suppressAutoHyphens/>
        <w:jc w:val="center"/>
        <w:rPr>
          <w:rFonts w:asciiTheme="majorHAnsi" w:hAnsiTheme="majorHAnsi"/>
          <w:sz w:val="20"/>
          <w:szCs w:val="20"/>
          <w:lang w:val="es-ES_tradnl"/>
        </w:rPr>
      </w:pPr>
    </w:p>
    <w:p w:rsidR="005128E4" w:rsidRPr="00770564" w:rsidRDefault="005128E4" w:rsidP="00040C3A">
      <w:pPr>
        <w:tabs>
          <w:tab w:val="center" w:pos="5400"/>
        </w:tabs>
        <w:suppressAutoHyphens/>
        <w:jc w:val="center"/>
        <w:rPr>
          <w:rFonts w:asciiTheme="majorHAnsi" w:hAnsiTheme="majorHAnsi"/>
          <w:sz w:val="20"/>
          <w:szCs w:val="20"/>
          <w:lang w:val="es-ES_tradnl"/>
        </w:rPr>
      </w:pPr>
    </w:p>
    <w:p w:rsidR="005128E4" w:rsidRPr="00770564" w:rsidRDefault="005128E4" w:rsidP="00040C3A">
      <w:pPr>
        <w:tabs>
          <w:tab w:val="center" w:pos="5400"/>
        </w:tabs>
        <w:suppressAutoHyphens/>
        <w:jc w:val="center"/>
        <w:rPr>
          <w:rFonts w:asciiTheme="majorHAnsi" w:hAnsiTheme="majorHAnsi"/>
          <w:sz w:val="20"/>
          <w:szCs w:val="20"/>
          <w:lang w:val="es-ES_tradnl"/>
        </w:rPr>
      </w:pPr>
    </w:p>
    <w:p w:rsidR="005128E4" w:rsidRPr="00770564" w:rsidRDefault="005128E4" w:rsidP="00040C3A">
      <w:pPr>
        <w:tabs>
          <w:tab w:val="center" w:pos="5400"/>
        </w:tabs>
        <w:suppressAutoHyphens/>
        <w:jc w:val="center"/>
        <w:rPr>
          <w:rFonts w:asciiTheme="majorHAnsi" w:hAnsiTheme="majorHAnsi"/>
          <w:sz w:val="20"/>
          <w:szCs w:val="20"/>
          <w:lang w:val="es-ES_tradnl"/>
        </w:rPr>
      </w:pPr>
    </w:p>
    <w:p w:rsidR="00040C3A" w:rsidRPr="00770564" w:rsidRDefault="00040C3A" w:rsidP="00040C3A">
      <w:pPr>
        <w:tabs>
          <w:tab w:val="center" w:pos="5400"/>
        </w:tabs>
        <w:suppressAutoHyphens/>
        <w:jc w:val="center"/>
        <w:rPr>
          <w:rFonts w:asciiTheme="majorHAnsi" w:hAnsiTheme="majorHAnsi"/>
          <w:sz w:val="20"/>
          <w:szCs w:val="20"/>
          <w:lang w:val="es-ES_tradnl"/>
        </w:rPr>
      </w:pPr>
    </w:p>
    <w:p w:rsidR="00040C3A" w:rsidRPr="00770564" w:rsidRDefault="00040C3A" w:rsidP="00040C3A">
      <w:pPr>
        <w:tabs>
          <w:tab w:val="center" w:pos="5400"/>
        </w:tabs>
        <w:suppressAutoHyphens/>
        <w:jc w:val="center"/>
        <w:rPr>
          <w:rFonts w:asciiTheme="majorHAnsi" w:hAnsiTheme="majorHAnsi"/>
          <w:sz w:val="20"/>
          <w:szCs w:val="20"/>
          <w:lang w:val="es-ES_tradnl"/>
        </w:rPr>
      </w:pPr>
    </w:p>
    <w:p w:rsidR="00A50FCF" w:rsidRPr="00770564" w:rsidRDefault="00A50FCF" w:rsidP="00040C3A">
      <w:pPr>
        <w:tabs>
          <w:tab w:val="center" w:pos="5400"/>
        </w:tabs>
        <w:suppressAutoHyphens/>
        <w:jc w:val="center"/>
        <w:rPr>
          <w:rFonts w:asciiTheme="majorHAnsi" w:hAnsiTheme="majorHAnsi"/>
          <w:sz w:val="20"/>
          <w:szCs w:val="20"/>
          <w:lang w:val="es-ES_tradnl"/>
        </w:rPr>
      </w:pPr>
    </w:p>
    <w:p w:rsidR="00A50FCF" w:rsidRPr="00770564" w:rsidRDefault="00A50FCF" w:rsidP="00040C3A">
      <w:pPr>
        <w:tabs>
          <w:tab w:val="center" w:pos="5400"/>
        </w:tabs>
        <w:suppressAutoHyphens/>
        <w:jc w:val="center"/>
        <w:rPr>
          <w:rFonts w:asciiTheme="majorHAnsi" w:hAnsiTheme="majorHAnsi"/>
          <w:sz w:val="20"/>
          <w:szCs w:val="20"/>
          <w:lang w:val="es-ES_tradnl"/>
        </w:rPr>
      </w:pPr>
    </w:p>
    <w:p w:rsidR="00A50FCF" w:rsidRPr="00770564" w:rsidRDefault="00A50FCF" w:rsidP="00040C3A">
      <w:pPr>
        <w:tabs>
          <w:tab w:val="center" w:pos="5400"/>
        </w:tabs>
        <w:suppressAutoHyphens/>
        <w:jc w:val="center"/>
        <w:rPr>
          <w:rFonts w:asciiTheme="majorHAnsi" w:hAnsiTheme="majorHAnsi"/>
          <w:sz w:val="20"/>
          <w:szCs w:val="20"/>
          <w:lang w:val="es-ES_tradnl"/>
        </w:rPr>
      </w:pPr>
    </w:p>
    <w:p w:rsidR="00A50FCF" w:rsidRPr="00770564" w:rsidRDefault="00A50FCF" w:rsidP="00040C3A">
      <w:pPr>
        <w:tabs>
          <w:tab w:val="center" w:pos="5400"/>
        </w:tabs>
        <w:suppressAutoHyphens/>
        <w:jc w:val="center"/>
        <w:rPr>
          <w:rFonts w:asciiTheme="majorHAnsi" w:hAnsiTheme="majorHAnsi"/>
          <w:sz w:val="20"/>
          <w:szCs w:val="20"/>
          <w:lang w:val="es-ES_tradnl"/>
        </w:rPr>
      </w:pPr>
    </w:p>
    <w:p w:rsidR="00A50FCF" w:rsidRPr="00770564" w:rsidRDefault="00A50FCF" w:rsidP="00040C3A">
      <w:pPr>
        <w:tabs>
          <w:tab w:val="center" w:pos="5400"/>
        </w:tabs>
        <w:suppressAutoHyphens/>
        <w:jc w:val="center"/>
        <w:rPr>
          <w:rFonts w:asciiTheme="majorHAnsi" w:hAnsiTheme="majorHAnsi"/>
          <w:sz w:val="20"/>
          <w:szCs w:val="20"/>
          <w:lang w:val="es-ES_tradnl"/>
        </w:rPr>
      </w:pPr>
    </w:p>
    <w:p w:rsidR="00A50FCF" w:rsidRPr="00770564" w:rsidRDefault="00A50FCF" w:rsidP="00040C3A">
      <w:pPr>
        <w:tabs>
          <w:tab w:val="center" w:pos="5400"/>
        </w:tabs>
        <w:suppressAutoHyphens/>
        <w:jc w:val="center"/>
        <w:rPr>
          <w:rFonts w:asciiTheme="majorHAnsi" w:hAnsiTheme="majorHAnsi"/>
          <w:sz w:val="20"/>
          <w:szCs w:val="20"/>
          <w:lang w:val="es-ES_tradnl"/>
        </w:rPr>
      </w:pPr>
    </w:p>
    <w:p w:rsidR="00A50FCF" w:rsidRPr="00770564" w:rsidRDefault="00A50FCF" w:rsidP="00040C3A">
      <w:pPr>
        <w:tabs>
          <w:tab w:val="center" w:pos="5400"/>
        </w:tabs>
        <w:suppressAutoHyphens/>
        <w:jc w:val="center"/>
        <w:rPr>
          <w:rFonts w:asciiTheme="majorHAnsi" w:hAnsiTheme="majorHAnsi"/>
          <w:sz w:val="20"/>
          <w:szCs w:val="20"/>
          <w:lang w:val="es-ES_tradnl"/>
        </w:rPr>
      </w:pPr>
    </w:p>
    <w:p w:rsidR="00A50FCF" w:rsidRPr="00770564" w:rsidRDefault="00A50FCF" w:rsidP="00040C3A">
      <w:pPr>
        <w:tabs>
          <w:tab w:val="center" w:pos="5400"/>
        </w:tabs>
        <w:suppressAutoHyphens/>
        <w:jc w:val="center"/>
        <w:rPr>
          <w:rFonts w:asciiTheme="majorHAnsi" w:hAnsiTheme="majorHAnsi"/>
          <w:sz w:val="20"/>
          <w:szCs w:val="20"/>
          <w:lang w:val="es-ES_tradnl"/>
        </w:rPr>
      </w:pPr>
    </w:p>
    <w:p w:rsidR="00A50FCF" w:rsidRPr="00770564" w:rsidRDefault="00A50FCF" w:rsidP="00040C3A">
      <w:pPr>
        <w:tabs>
          <w:tab w:val="center" w:pos="5400"/>
        </w:tabs>
        <w:suppressAutoHyphens/>
        <w:jc w:val="center"/>
        <w:rPr>
          <w:rFonts w:asciiTheme="majorHAnsi" w:hAnsiTheme="majorHAnsi"/>
          <w:sz w:val="20"/>
          <w:szCs w:val="20"/>
          <w:lang w:val="es-ES_tradnl"/>
        </w:rPr>
      </w:pPr>
    </w:p>
    <w:p w:rsidR="00A50FCF" w:rsidRPr="00770564" w:rsidRDefault="00A50FCF" w:rsidP="00040C3A">
      <w:pPr>
        <w:tabs>
          <w:tab w:val="center" w:pos="5400"/>
        </w:tabs>
        <w:suppressAutoHyphens/>
        <w:jc w:val="center"/>
        <w:rPr>
          <w:rFonts w:asciiTheme="majorHAnsi" w:hAnsiTheme="majorHAnsi"/>
          <w:sz w:val="20"/>
          <w:szCs w:val="20"/>
          <w:lang w:val="es-ES_tradnl"/>
        </w:rPr>
      </w:pPr>
    </w:p>
    <w:p w:rsidR="00A50FCF" w:rsidRPr="00770564" w:rsidRDefault="00A50FCF" w:rsidP="00040C3A">
      <w:pPr>
        <w:tabs>
          <w:tab w:val="center" w:pos="5400"/>
        </w:tabs>
        <w:suppressAutoHyphens/>
        <w:jc w:val="center"/>
        <w:rPr>
          <w:rFonts w:asciiTheme="majorHAnsi" w:hAnsiTheme="majorHAnsi"/>
          <w:sz w:val="20"/>
          <w:szCs w:val="20"/>
          <w:lang w:val="es-ES_tradnl"/>
        </w:rPr>
      </w:pPr>
    </w:p>
    <w:p w:rsidR="00A50FCF" w:rsidRPr="00770564" w:rsidRDefault="00A50FCF" w:rsidP="00040C3A">
      <w:pPr>
        <w:tabs>
          <w:tab w:val="center" w:pos="5400"/>
        </w:tabs>
        <w:suppressAutoHyphens/>
        <w:jc w:val="center"/>
        <w:rPr>
          <w:rFonts w:asciiTheme="majorHAnsi" w:hAnsiTheme="majorHAnsi"/>
          <w:sz w:val="20"/>
          <w:szCs w:val="20"/>
          <w:lang w:val="es-ES_tradnl"/>
        </w:rPr>
      </w:pPr>
    </w:p>
    <w:p w:rsidR="00A50FCF" w:rsidRPr="00770564" w:rsidRDefault="00A50FCF" w:rsidP="00040C3A">
      <w:pPr>
        <w:tabs>
          <w:tab w:val="center" w:pos="5400"/>
        </w:tabs>
        <w:suppressAutoHyphens/>
        <w:jc w:val="center"/>
        <w:rPr>
          <w:rFonts w:asciiTheme="majorHAnsi" w:hAnsiTheme="majorHAnsi"/>
          <w:sz w:val="20"/>
          <w:szCs w:val="20"/>
          <w:lang w:val="es-ES_tradnl"/>
        </w:rPr>
      </w:pPr>
    </w:p>
    <w:p w:rsidR="00A50FCF" w:rsidRPr="00770564" w:rsidRDefault="00A50FCF" w:rsidP="00040C3A">
      <w:pPr>
        <w:tabs>
          <w:tab w:val="center" w:pos="5400"/>
        </w:tabs>
        <w:suppressAutoHyphens/>
        <w:jc w:val="center"/>
        <w:rPr>
          <w:rFonts w:asciiTheme="majorHAnsi" w:hAnsiTheme="majorHAnsi"/>
          <w:sz w:val="20"/>
          <w:szCs w:val="20"/>
          <w:lang w:val="es-ES_tradnl"/>
        </w:rPr>
      </w:pPr>
    </w:p>
    <w:p w:rsidR="00A50FCF" w:rsidRPr="00770564" w:rsidRDefault="0090270B" w:rsidP="00040C3A">
      <w:pPr>
        <w:tabs>
          <w:tab w:val="center" w:pos="5400"/>
        </w:tabs>
        <w:suppressAutoHyphens/>
        <w:jc w:val="center"/>
        <w:rPr>
          <w:rFonts w:asciiTheme="majorHAnsi" w:hAnsiTheme="majorHAnsi"/>
          <w:sz w:val="20"/>
          <w:szCs w:val="20"/>
          <w:lang w:val="es-ES_tradnl"/>
        </w:rPr>
      </w:pPr>
      <w:r w:rsidRPr="00770564">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F4D549D" wp14:editId="54B3FB34">
                <wp:simplePos x="0" y="0"/>
                <wp:positionH relativeFrom="column">
                  <wp:posOffset>1343770</wp:posOffset>
                </wp:positionH>
                <wp:positionV relativeFrom="paragraph">
                  <wp:posOffset>20099</wp:posOffset>
                </wp:positionV>
                <wp:extent cx="4635611"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635611"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29E0" w:rsidRPr="007503BC" w:rsidRDefault="008129E0" w:rsidP="007503BC">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EB3DC6">
                              <w:rPr>
                                <w:rFonts w:asciiTheme="majorHAnsi" w:hAnsiTheme="majorHAnsi"/>
                                <w:color w:val="0D0D0D" w:themeColor="text1" w:themeTint="F2"/>
                                <w:sz w:val="18"/>
                                <w:szCs w:val="20"/>
                                <w:lang w:val="es-ES"/>
                              </w:rPr>
                              <w:t xml:space="preserve">Aprobado por la Comisión en su sesión No. </w:t>
                            </w:r>
                            <w:r w:rsidR="00DB51DA">
                              <w:rPr>
                                <w:rFonts w:asciiTheme="majorHAnsi" w:hAnsiTheme="majorHAnsi"/>
                                <w:color w:val="0D0D0D" w:themeColor="text1" w:themeTint="F2"/>
                                <w:sz w:val="18"/>
                                <w:szCs w:val="20"/>
                                <w:lang w:val="es-ES"/>
                              </w:rPr>
                              <w:t>2127</w:t>
                            </w:r>
                            <w:r w:rsidRPr="00EB3DC6">
                              <w:rPr>
                                <w:rFonts w:asciiTheme="majorHAnsi" w:hAnsiTheme="majorHAnsi"/>
                                <w:color w:val="0D0D0D" w:themeColor="text1" w:themeTint="F2"/>
                                <w:sz w:val="18"/>
                                <w:szCs w:val="20"/>
                                <w:lang w:val="es-ES"/>
                              </w:rPr>
                              <w:t xml:space="preserve"> celebrada el </w:t>
                            </w:r>
                            <w:r w:rsidR="00DB51DA">
                              <w:rPr>
                                <w:rFonts w:asciiTheme="majorHAnsi" w:hAnsiTheme="majorHAnsi"/>
                                <w:color w:val="0D0D0D" w:themeColor="text1" w:themeTint="F2"/>
                                <w:sz w:val="18"/>
                                <w:szCs w:val="20"/>
                                <w:lang w:val="es-ES"/>
                              </w:rPr>
                              <w:t>5</w:t>
                            </w:r>
                            <w:r w:rsidRPr="00EB3DC6">
                              <w:rPr>
                                <w:rFonts w:asciiTheme="majorHAnsi" w:hAnsiTheme="majorHAnsi"/>
                                <w:color w:val="0D0D0D" w:themeColor="text1" w:themeTint="F2"/>
                                <w:sz w:val="18"/>
                                <w:szCs w:val="20"/>
                                <w:lang w:val="es-ES"/>
                              </w:rPr>
                              <w:t xml:space="preserve"> de </w:t>
                            </w:r>
                            <w:r w:rsidR="005E3A10" w:rsidRPr="00EB3DC6">
                              <w:rPr>
                                <w:rFonts w:asciiTheme="majorHAnsi" w:hAnsiTheme="majorHAnsi"/>
                                <w:color w:val="0D0D0D" w:themeColor="text1" w:themeTint="F2"/>
                                <w:sz w:val="18"/>
                                <w:szCs w:val="20"/>
                                <w:lang w:val="es-ES"/>
                              </w:rPr>
                              <w:t>mayo</w:t>
                            </w:r>
                            <w:r w:rsidRPr="00EB3DC6">
                              <w:rPr>
                                <w:rFonts w:asciiTheme="majorHAnsi" w:hAnsiTheme="majorHAnsi"/>
                                <w:color w:val="0D0D0D" w:themeColor="text1" w:themeTint="F2"/>
                                <w:sz w:val="18"/>
                                <w:szCs w:val="20"/>
                                <w:lang w:val="es-ES"/>
                              </w:rPr>
                              <w:t xml:space="preserve"> de 201</w:t>
                            </w:r>
                            <w:r w:rsidR="005E3A10" w:rsidRPr="00EB3DC6">
                              <w:rPr>
                                <w:rFonts w:asciiTheme="majorHAnsi" w:hAnsiTheme="majorHAnsi"/>
                                <w:color w:val="0D0D0D" w:themeColor="text1" w:themeTint="F2"/>
                                <w:sz w:val="18"/>
                                <w:szCs w:val="20"/>
                                <w:lang w:val="es-ES"/>
                              </w:rPr>
                              <w:t>8</w:t>
                            </w:r>
                            <w:r w:rsidRPr="00EB3DC6">
                              <w:rPr>
                                <w:rFonts w:asciiTheme="majorHAnsi" w:hAnsiTheme="majorHAnsi"/>
                                <w:color w:val="0D0D0D" w:themeColor="text1" w:themeTint="F2"/>
                                <w:sz w:val="18"/>
                                <w:szCs w:val="20"/>
                                <w:lang w:val="es-ES"/>
                              </w:rPr>
                              <w:br/>
                            </w:r>
                            <w:r w:rsidR="005E3A10" w:rsidRPr="00EB3DC6">
                              <w:rPr>
                                <w:rFonts w:asciiTheme="majorHAnsi" w:hAnsiTheme="majorHAnsi" w:cs="Univers"/>
                                <w:color w:val="0D0D0D" w:themeColor="text1" w:themeTint="F2"/>
                                <w:sz w:val="18"/>
                                <w:szCs w:val="20"/>
                                <w:lang w:val="es-ES"/>
                              </w:rPr>
                              <w:t>168</w:t>
                            </w:r>
                            <w:r w:rsidRPr="00EB3DC6">
                              <w:rPr>
                                <w:rFonts w:asciiTheme="majorHAnsi" w:hAnsiTheme="majorHAnsi" w:cs="Univers"/>
                                <w:color w:val="0D0D0D" w:themeColor="text1" w:themeTint="F2"/>
                                <w:sz w:val="18"/>
                                <w:szCs w:val="20"/>
                                <w:lang w:val="es-ES_tradnl"/>
                              </w:rPr>
                              <w:t xml:space="preserve"> período de sesiones</w:t>
                            </w:r>
                            <w:r w:rsidR="007503BC" w:rsidRPr="00EB3DC6">
                              <w:rPr>
                                <w:rFonts w:asciiTheme="majorHAnsi" w:hAnsiTheme="majorHAnsi" w:cs="Univers"/>
                                <w:color w:val="0D0D0D" w:themeColor="text1" w:themeTint="F2"/>
                                <w:sz w:val="18"/>
                                <w:szCs w:val="20"/>
                                <w:lang w:val="es-ES_tradnl"/>
                              </w:rPr>
                              <w:t>.</w:t>
                            </w:r>
                          </w:p>
                          <w:p w:rsidR="008129E0" w:rsidRPr="00167A34" w:rsidRDefault="008129E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D549D" id="Text Box 7" o:spid="_x0000_s1029" type="#_x0000_t202" style="position:absolute;left:0;text-align:left;margin-left:105.8pt;margin-top:1.6pt;width:36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" filled="f" stroked="f" strokeweight=".5pt">
                <v:textbox>
                  <w:txbxContent>
                    <w:p w:rsidR="008129E0" w:rsidRPr="007503BC" w:rsidRDefault="008129E0" w:rsidP="007503BC">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EB3DC6">
                        <w:rPr>
                          <w:rFonts w:asciiTheme="majorHAnsi" w:hAnsiTheme="majorHAnsi"/>
                          <w:color w:val="0D0D0D" w:themeColor="text1" w:themeTint="F2"/>
                          <w:sz w:val="18"/>
                          <w:szCs w:val="20"/>
                          <w:lang w:val="es-ES"/>
                        </w:rPr>
                        <w:t xml:space="preserve">Aprobado por la Comisión en su sesión No. </w:t>
                      </w:r>
                      <w:r w:rsidR="00DB51DA">
                        <w:rPr>
                          <w:rFonts w:asciiTheme="majorHAnsi" w:hAnsiTheme="majorHAnsi"/>
                          <w:color w:val="0D0D0D" w:themeColor="text1" w:themeTint="F2"/>
                          <w:sz w:val="18"/>
                          <w:szCs w:val="20"/>
                          <w:lang w:val="es-ES"/>
                        </w:rPr>
                        <w:t>2127</w:t>
                      </w:r>
                      <w:r w:rsidRPr="00EB3DC6">
                        <w:rPr>
                          <w:rFonts w:asciiTheme="majorHAnsi" w:hAnsiTheme="majorHAnsi"/>
                          <w:color w:val="0D0D0D" w:themeColor="text1" w:themeTint="F2"/>
                          <w:sz w:val="18"/>
                          <w:szCs w:val="20"/>
                          <w:lang w:val="es-ES"/>
                        </w:rPr>
                        <w:t xml:space="preserve"> celebrada el </w:t>
                      </w:r>
                      <w:r w:rsidR="00DB51DA">
                        <w:rPr>
                          <w:rFonts w:asciiTheme="majorHAnsi" w:hAnsiTheme="majorHAnsi"/>
                          <w:color w:val="0D0D0D" w:themeColor="text1" w:themeTint="F2"/>
                          <w:sz w:val="18"/>
                          <w:szCs w:val="20"/>
                          <w:lang w:val="es-ES"/>
                        </w:rPr>
                        <w:t>5</w:t>
                      </w:r>
                      <w:r w:rsidRPr="00EB3DC6">
                        <w:rPr>
                          <w:rFonts w:asciiTheme="majorHAnsi" w:hAnsiTheme="majorHAnsi"/>
                          <w:color w:val="0D0D0D" w:themeColor="text1" w:themeTint="F2"/>
                          <w:sz w:val="18"/>
                          <w:szCs w:val="20"/>
                          <w:lang w:val="es-ES"/>
                        </w:rPr>
                        <w:t xml:space="preserve"> de </w:t>
                      </w:r>
                      <w:r w:rsidR="005E3A10" w:rsidRPr="00EB3DC6">
                        <w:rPr>
                          <w:rFonts w:asciiTheme="majorHAnsi" w:hAnsiTheme="majorHAnsi"/>
                          <w:color w:val="0D0D0D" w:themeColor="text1" w:themeTint="F2"/>
                          <w:sz w:val="18"/>
                          <w:szCs w:val="20"/>
                          <w:lang w:val="es-ES"/>
                        </w:rPr>
                        <w:t>mayo</w:t>
                      </w:r>
                      <w:r w:rsidRPr="00EB3DC6">
                        <w:rPr>
                          <w:rFonts w:asciiTheme="majorHAnsi" w:hAnsiTheme="majorHAnsi"/>
                          <w:color w:val="0D0D0D" w:themeColor="text1" w:themeTint="F2"/>
                          <w:sz w:val="18"/>
                          <w:szCs w:val="20"/>
                          <w:lang w:val="es-ES"/>
                        </w:rPr>
                        <w:t xml:space="preserve"> de 201</w:t>
                      </w:r>
                      <w:r w:rsidR="005E3A10" w:rsidRPr="00EB3DC6">
                        <w:rPr>
                          <w:rFonts w:asciiTheme="majorHAnsi" w:hAnsiTheme="majorHAnsi"/>
                          <w:color w:val="0D0D0D" w:themeColor="text1" w:themeTint="F2"/>
                          <w:sz w:val="18"/>
                          <w:szCs w:val="20"/>
                          <w:lang w:val="es-ES"/>
                        </w:rPr>
                        <w:t>8</w:t>
                      </w:r>
                      <w:r w:rsidRPr="00EB3DC6">
                        <w:rPr>
                          <w:rFonts w:asciiTheme="majorHAnsi" w:hAnsiTheme="majorHAnsi"/>
                          <w:color w:val="0D0D0D" w:themeColor="text1" w:themeTint="F2"/>
                          <w:sz w:val="18"/>
                          <w:szCs w:val="20"/>
                          <w:lang w:val="es-ES"/>
                        </w:rPr>
                        <w:br/>
                      </w:r>
                      <w:r w:rsidR="005E3A10" w:rsidRPr="00EB3DC6">
                        <w:rPr>
                          <w:rFonts w:asciiTheme="majorHAnsi" w:hAnsiTheme="majorHAnsi" w:cs="Univers"/>
                          <w:color w:val="0D0D0D" w:themeColor="text1" w:themeTint="F2"/>
                          <w:sz w:val="18"/>
                          <w:szCs w:val="20"/>
                          <w:lang w:val="es-ES"/>
                        </w:rPr>
                        <w:t>168</w:t>
                      </w:r>
                      <w:r w:rsidRPr="00EB3DC6">
                        <w:rPr>
                          <w:rFonts w:asciiTheme="majorHAnsi" w:hAnsiTheme="majorHAnsi" w:cs="Univers"/>
                          <w:color w:val="0D0D0D" w:themeColor="text1" w:themeTint="F2"/>
                          <w:sz w:val="18"/>
                          <w:szCs w:val="20"/>
                          <w:lang w:val="es-ES_tradnl"/>
                        </w:rPr>
                        <w:t xml:space="preserve"> período de sesiones</w:t>
                      </w:r>
                      <w:r w:rsidR="007503BC" w:rsidRPr="00EB3DC6">
                        <w:rPr>
                          <w:rFonts w:asciiTheme="majorHAnsi" w:hAnsiTheme="majorHAnsi" w:cs="Univers"/>
                          <w:color w:val="0D0D0D" w:themeColor="text1" w:themeTint="F2"/>
                          <w:sz w:val="18"/>
                          <w:szCs w:val="20"/>
                          <w:lang w:val="es-ES_tradnl"/>
                        </w:rPr>
                        <w:t>.</w:t>
                      </w:r>
                    </w:p>
                    <w:p w:rsidR="008129E0" w:rsidRPr="00167A34" w:rsidRDefault="008129E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770564" w:rsidRDefault="00A50FCF" w:rsidP="00040C3A">
      <w:pPr>
        <w:tabs>
          <w:tab w:val="center" w:pos="5400"/>
        </w:tabs>
        <w:suppressAutoHyphens/>
        <w:jc w:val="center"/>
        <w:rPr>
          <w:rFonts w:asciiTheme="majorHAnsi" w:hAnsiTheme="majorHAnsi"/>
          <w:sz w:val="20"/>
          <w:szCs w:val="20"/>
          <w:lang w:val="es-ES_tradnl"/>
        </w:rPr>
      </w:pPr>
    </w:p>
    <w:p w:rsidR="00A50FCF" w:rsidRPr="00770564" w:rsidRDefault="00A50FCF" w:rsidP="00040C3A">
      <w:pPr>
        <w:tabs>
          <w:tab w:val="center" w:pos="5400"/>
        </w:tabs>
        <w:suppressAutoHyphens/>
        <w:jc w:val="center"/>
        <w:rPr>
          <w:rFonts w:asciiTheme="majorHAnsi" w:hAnsiTheme="majorHAnsi"/>
          <w:sz w:val="20"/>
          <w:szCs w:val="20"/>
          <w:lang w:val="es-ES_tradnl"/>
        </w:rPr>
      </w:pPr>
    </w:p>
    <w:p w:rsidR="00A50FCF" w:rsidRPr="00770564" w:rsidRDefault="00A50FCF" w:rsidP="00040C3A">
      <w:pPr>
        <w:tabs>
          <w:tab w:val="center" w:pos="5400"/>
        </w:tabs>
        <w:suppressAutoHyphens/>
        <w:jc w:val="center"/>
        <w:rPr>
          <w:rFonts w:asciiTheme="majorHAnsi" w:hAnsiTheme="majorHAnsi"/>
          <w:sz w:val="20"/>
          <w:szCs w:val="20"/>
          <w:lang w:val="es-ES_tradnl"/>
        </w:rPr>
      </w:pPr>
    </w:p>
    <w:p w:rsidR="00A50FCF" w:rsidRPr="00770564" w:rsidRDefault="00A50FCF" w:rsidP="00040C3A">
      <w:pPr>
        <w:tabs>
          <w:tab w:val="center" w:pos="5400"/>
        </w:tabs>
        <w:suppressAutoHyphens/>
        <w:jc w:val="center"/>
        <w:rPr>
          <w:rFonts w:asciiTheme="majorHAnsi" w:hAnsiTheme="majorHAnsi"/>
          <w:sz w:val="20"/>
          <w:szCs w:val="20"/>
          <w:lang w:val="es-ES_tradnl"/>
        </w:rPr>
      </w:pPr>
    </w:p>
    <w:p w:rsidR="00A50FCF" w:rsidRPr="00770564" w:rsidRDefault="0090270B" w:rsidP="00040C3A">
      <w:pPr>
        <w:tabs>
          <w:tab w:val="center" w:pos="5400"/>
        </w:tabs>
        <w:suppressAutoHyphens/>
        <w:jc w:val="center"/>
        <w:rPr>
          <w:rFonts w:asciiTheme="majorHAnsi" w:hAnsiTheme="majorHAnsi"/>
          <w:sz w:val="20"/>
          <w:szCs w:val="20"/>
          <w:lang w:val="es-ES_tradnl"/>
        </w:rPr>
      </w:pPr>
      <w:r w:rsidRPr="00770564">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7B8D096" wp14:editId="2826C40A">
                <wp:simplePos x="0" y="0"/>
                <wp:positionH relativeFrom="column">
                  <wp:posOffset>1335819</wp:posOffset>
                </wp:positionH>
                <wp:positionV relativeFrom="paragraph">
                  <wp:posOffset>7399</wp:posOffset>
                </wp:positionV>
                <wp:extent cx="4564049"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564049"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29E0" w:rsidRPr="007B05C4" w:rsidRDefault="008129E0" w:rsidP="007503BC">
                            <w:pPr>
                              <w:spacing w:line="276" w:lineRule="auto"/>
                              <w:jc w:val="both"/>
                              <w:rPr>
                                <w:rFonts w:asciiTheme="majorHAnsi" w:hAnsiTheme="majorHAnsi"/>
                                <w:color w:val="595959" w:themeColor="text1" w:themeTint="A6"/>
                                <w:sz w:val="18"/>
                                <w:szCs w:val="18"/>
                                <w:lang w:val="es-ES"/>
                              </w:rPr>
                            </w:pPr>
                            <w:r w:rsidRPr="00EB3DC6">
                              <w:rPr>
                                <w:rFonts w:asciiTheme="majorHAnsi" w:hAnsiTheme="majorHAnsi"/>
                                <w:b/>
                                <w:color w:val="595959" w:themeColor="text1" w:themeTint="A6"/>
                                <w:sz w:val="18"/>
                                <w:szCs w:val="18"/>
                                <w:lang w:val="pt-BR"/>
                              </w:rPr>
                              <w:t>Citar como:</w:t>
                            </w:r>
                            <w:r w:rsidR="007503BC" w:rsidRPr="00EB3DC6">
                              <w:rPr>
                                <w:rFonts w:asciiTheme="majorHAnsi" w:hAnsiTheme="majorHAnsi"/>
                                <w:color w:val="595959" w:themeColor="text1" w:themeTint="A6"/>
                                <w:sz w:val="18"/>
                                <w:szCs w:val="18"/>
                                <w:lang w:val="pt-BR"/>
                              </w:rPr>
                              <w:t xml:space="preserve"> CIDH, Informe No. </w:t>
                            </w:r>
                            <w:r w:rsidR="00DB51DA">
                              <w:rPr>
                                <w:rFonts w:asciiTheme="majorHAnsi" w:hAnsiTheme="majorHAnsi"/>
                                <w:color w:val="595959" w:themeColor="text1" w:themeTint="A6"/>
                                <w:sz w:val="18"/>
                                <w:szCs w:val="18"/>
                                <w:lang w:val="pt-BR"/>
                              </w:rPr>
                              <w:t>52</w:t>
                            </w:r>
                            <w:r w:rsidR="005E3A10" w:rsidRPr="00DB51DA">
                              <w:rPr>
                                <w:rFonts w:asciiTheme="majorHAnsi" w:hAnsiTheme="majorHAnsi"/>
                                <w:color w:val="595959" w:themeColor="text1" w:themeTint="A6"/>
                                <w:sz w:val="18"/>
                                <w:szCs w:val="18"/>
                                <w:lang w:val="pt-BR"/>
                              </w:rPr>
                              <w:t>/18</w:t>
                            </w:r>
                            <w:r w:rsidRPr="00DB51DA">
                              <w:rPr>
                                <w:rFonts w:asciiTheme="majorHAnsi" w:hAnsiTheme="majorHAnsi"/>
                                <w:color w:val="595959" w:themeColor="text1" w:themeTint="A6"/>
                                <w:sz w:val="18"/>
                                <w:szCs w:val="18"/>
                                <w:lang w:val="pt-BR"/>
                              </w:rPr>
                              <w:t xml:space="preserve">. </w:t>
                            </w:r>
                            <w:r w:rsidRPr="00EB3DC6">
                              <w:rPr>
                                <w:rFonts w:asciiTheme="majorHAnsi" w:hAnsiTheme="majorHAnsi"/>
                                <w:color w:val="595959" w:themeColor="text1" w:themeTint="A6"/>
                                <w:sz w:val="18"/>
                                <w:szCs w:val="18"/>
                                <w:lang w:val="es-ES_tradnl"/>
                              </w:rPr>
                              <w:t xml:space="preserve">Petición 253-10, Alejandro Fernando Aguilera Mendieta y otros. México. </w:t>
                            </w:r>
                            <w:r w:rsidR="00DB51DA">
                              <w:rPr>
                                <w:rFonts w:asciiTheme="majorHAnsi" w:hAnsiTheme="majorHAnsi"/>
                                <w:color w:val="595959" w:themeColor="text1" w:themeTint="A6"/>
                                <w:sz w:val="18"/>
                                <w:szCs w:val="18"/>
                                <w:lang w:val="es-ES"/>
                              </w:rPr>
                              <w:t>5</w:t>
                            </w:r>
                            <w:r w:rsidR="005E3A10" w:rsidRPr="00EB3DC6">
                              <w:rPr>
                                <w:rFonts w:asciiTheme="majorHAnsi" w:hAnsiTheme="majorHAnsi"/>
                                <w:color w:val="595959" w:themeColor="text1" w:themeTint="A6"/>
                                <w:sz w:val="18"/>
                                <w:szCs w:val="18"/>
                                <w:lang w:val="es-ES"/>
                              </w:rPr>
                              <w:t xml:space="preserve"> de mayo</w:t>
                            </w:r>
                            <w:r w:rsidR="007503BC" w:rsidRPr="00EB3DC6">
                              <w:rPr>
                                <w:rFonts w:asciiTheme="majorHAnsi" w:hAnsiTheme="majorHAnsi"/>
                                <w:color w:val="595959" w:themeColor="text1" w:themeTint="A6"/>
                                <w:sz w:val="18"/>
                                <w:szCs w:val="18"/>
                                <w:lang w:val="es-ES"/>
                              </w:rPr>
                              <w:t xml:space="preserve"> de 201</w:t>
                            </w:r>
                            <w:r w:rsidR="0027112F" w:rsidRPr="00EB3DC6">
                              <w:rPr>
                                <w:rFonts w:asciiTheme="majorHAnsi" w:hAnsiTheme="majorHAnsi"/>
                                <w:color w:val="595959" w:themeColor="text1" w:themeTint="A6"/>
                                <w:sz w:val="18"/>
                                <w:szCs w:val="18"/>
                                <w:lang w:val="es-ES"/>
                              </w:rPr>
                              <w:t>8</w:t>
                            </w:r>
                            <w:r w:rsidRPr="00EB3DC6">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8D096" id="Text Box 10" o:spid="_x0000_s1030" type="#_x0000_t202" style="position:absolute;left:0;text-align:left;margin-left:105.2pt;margin-top:.6pt;width:359.3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" filled="f" stroked="f" strokeweight=".5pt">
                <v:textbox>
                  <w:txbxContent>
                    <w:p w:rsidR="008129E0" w:rsidRPr="007B05C4" w:rsidRDefault="008129E0" w:rsidP="007503BC">
                      <w:pPr>
                        <w:spacing w:line="276" w:lineRule="auto"/>
                        <w:jc w:val="both"/>
                        <w:rPr>
                          <w:rFonts w:asciiTheme="majorHAnsi" w:hAnsiTheme="majorHAnsi"/>
                          <w:color w:val="595959" w:themeColor="text1" w:themeTint="A6"/>
                          <w:sz w:val="18"/>
                          <w:szCs w:val="18"/>
                          <w:lang w:val="es-ES"/>
                        </w:rPr>
                      </w:pPr>
                      <w:r w:rsidRPr="00EB3DC6">
                        <w:rPr>
                          <w:rFonts w:asciiTheme="majorHAnsi" w:hAnsiTheme="majorHAnsi"/>
                          <w:b/>
                          <w:color w:val="595959" w:themeColor="text1" w:themeTint="A6"/>
                          <w:sz w:val="18"/>
                          <w:szCs w:val="18"/>
                          <w:lang w:val="pt-BR"/>
                        </w:rPr>
                        <w:t>Citar como:</w:t>
                      </w:r>
                      <w:r w:rsidR="007503BC" w:rsidRPr="00EB3DC6">
                        <w:rPr>
                          <w:rFonts w:asciiTheme="majorHAnsi" w:hAnsiTheme="majorHAnsi"/>
                          <w:color w:val="595959" w:themeColor="text1" w:themeTint="A6"/>
                          <w:sz w:val="18"/>
                          <w:szCs w:val="18"/>
                          <w:lang w:val="pt-BR"/>
                        </w:rPr>
                        <w:t xml:space="preserve"> CIDH, Informe No. </w:t>
                      </w:r>
                      <w:r w:rsidR="00DB51DA">
                        <w:rPr>
                          <w:rFonts w:asciiTheme="majorHAnsi" w:hAnsiTheme="majorHAnsi"/>
                          <w:color w:val="595959" w:themeColor="text1" w:themeTint="A6"/>
                          <w:sz w:val="18"/>
                          <w:szCs w:val="18"/>
                          <w:lang w:val="pt-BR"/>
                        </w:rPr>
                        <w:t>52</w:t>
                      </w:r>
                      <w:r w:rsidR="005E3A10" w:rsidRPr="00DB51DA">
                        <w:rPr>
                          <w:rFonts w:asciiTheme="majorHAnsi" w:hAnsiTheme="majorHAnsi"/>
                          <w:color w:val="595959" w:themeColor="text1" w:themeTint="A6"/>
                          <w:sz w:val="18"/>
                          <w:szCs w:val="18"/>
                          <w:lang w:val="pt-BR"/>
                        </w:rPr>
                        <w:t>/18</w:t>
                      </w:r>
                      <w:r w:rsidRPr="00DB51DA">
                        <w:rPr>
                          <w:rFonts w:asciiTheme="majorHAnsi" w:hAnsiTheme="majorHAnsi"/>
                          <w:color w:val="595959" w:themeColor="text1" w:themeTint="A6"/>
                          <w:sz w:val="18"/>
                          <w:szCs w:val="18"/>
                          <w:lang w:val="pt-BR"/>
                        </w:rPr>
                        <w:t xml:space="preserve">. </w:t>
                      </w:r>
                      <w:r w:rsidRPr="00EB3DC6">
                        <w:rPr>
                          <w:rFonts w:asciiTheme="majorHAnsi" w:hAnsiTheme="majorHAnsi"/>
                          <w:color w:val="595959" w:themeColor="text1" w:themeTint="A6"/>
                          <w:sz w:val="18"/>
                          <w:szCs w:val="18"/>
                          <w:lang w:val="es-ES_tradnl"/>
                        </w:rPr>
                        <w:t xml:space="preserve">Petición 253-10, Alejandro Fernando Aguilera Mendieta y otros. México. </w:t>
                      </w:r>
                      <w:r w:rsidR="00DB51DA">
                        <w:rPr>
                          <w:rFonts w:asciiTheme="majorHAnsi" w:hAnsiTheme="majorHAnsi"/>
                          <w:color w:val="595959" w:themeColor="text1" w:themeTint="A6"/>
                          <w:sz w:val="18"/>
                          <w:szCs w:val="18"/>
                          <w:lang w:val="es-ES"/>
                        </w:rPr>
                        <w:t>5</w:t>
                      </w:r>
                      <w:r w:rsidR="005E3A10" w:rsidRPr="00EB3DC6">
                        <w:rPr>
                          <w:rFonts w:asciiTheme="majorHAnsi" w:hAnsiTheme="majorHAnsi"/>
                          <w:color w:val="595959" w:themeColor="text1" w:themeTint="A6"/>
                          <w:sz w:val="18"/>
                          <w:szCs w:val="18"/>
                          <w:lang w:val="es-ES"/>
                        </w:rPr>
                        <w:t xml:space="preserve"> de mayo</w:t>
                      </w:r>
                      <w:r w:rsidR="007503BC" w:rsidRPr="00EB3DC6">
                        <w:rPr>
                          <w:rFonts w:asciiTheme="majorHAnsi" w:hAnsiTheme="majorHAnsi"/>
                          <w:color w:val="595959" w:themeColor="text1" w:themeTint="A6"/>
                          <w:sz w:val="18"/>
                          <w:szCs w:val="18"/>
                          <w:lang w:val="es-ES"/>
                        </w:rPr>
                        <w:t xml:space="preserve"> de 201</w:t>
                      </w:r>
                      <w:r w:rsidR="0027112F" w:rsidRPr="00EB3DC6">
                        <w:rPr>
                          <w:rFonts w:asciiTheme="majorHAnsi" w:hAnsiTheme="majorHAnsi"/>
                          <w:color w:val="595959" w:themeColor="text1" w:themeTint="A6"/>
                          <w:sz w:val="18"/>
                          <w:szCs w:val="18"/>
                          <w:lang w:val="es-ES"/>
                        </w:rPr>
                        <w:t>8</w:t>
                      </w:r>
                      <w:r w:rsidRPr="00EB3DC6">
                        <w:rPr>
                          <w:rFonts w:asciiTheme="majorHAnsi" w:hAnsiTheme="majorHAnsi"/>
                          <w:color w:val="595959" w:themeColor="text1" w:themeTint="A6"/>
                          <w:sz w:val="18"/>
                          <w:szCs w:val="18"/>
                          <w:lang w:val="es-ES"/>
                        </w:rPr>
                        <w:t>.</w:t>
                      </w:r>
                    </w:p>
                  </w:txbxContent>
                </v:textbox>
              </v:shape>
            </w:pict>
          </mc:Fallback>
        </mc:AlternateContent>
      </w:r>
    </w:p>
    <w:p w:rsidR="00A50FCF" w:rsidRPr="00770564" w:rsidRDefault="00A50FCF" w:rsidP="00040C3A">
      <w:pPr>
        <w:tabs>
          <w:tab w:val="center" w:pos="5400"/>
        </w:tabs>
        <w:suppressAutoHyphens/>
        <w:jc w:val="center"/>
        <w:rPr>
          <w:rFonts w:asciiTheme="majorHAnsi" w:hAnsiTheme="majorHAnsi"/>
          <w:sz w:val="20"/>
          <w:szCs w:val="20"/>
          <w:lang w:val="es-ES_tradnl"/>
        </w:rPr>
      </w:pPr>
    </w:p>
    <w:p w:rsidR="0090270B" w:rsidRPr="00770564" w:rsidRDefault="00D306D1" w:rsidP="005516A1">
      <w:pPr>
        <w:tabs>
          <w:tab w:val="center" w:pos="5400"/>
        </w:tabs>
        <w:suppressAutoHyphens/>
        <w:jc w:val="center"/>
        <w:rPr>
          <w:rFonts w:asciiTheme="majorHAnsi" w:hAnsiTheme="majorHAnsi"/>
          <w:b/>
          <w:sz w:val="20"/>
          <w:szCs w:val="20"/>
          <w:lang w:val="es-ES_tradnl"/>
        </w:rPr>
      </w:pPr>
      <w:r w:rsidRPr="00770564">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723B7A4A" wp14:editId="6ECF4DB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29E0" w:rsidRPr="00D72DC6" w:rsidRDefault="008129E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464A044" wp14:editId="636530D6">
                                  <wp:extent cx="1338942" cy="390525"/>
                                  <wp:effectExtent l="0" t="0" r="0" b="0"/>
                                  <wp:docPr id="17" name="Picture 17"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B7A4A"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8129E0" w:rsidRPr="00D72DC6" w:rsidRDefault="008129E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464A044" wp14:editId="636530D6">
                            <wp:extent cx="1338942" cy="390525"/>
                            <wp:effectExtent l="0" t="0" r="0" b="0"/>
                            <wp:docPr id="17" name="Picture 17"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770564">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21E61205" wp14:editId="124E12E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29E0" w:rsidRPr="004B7EB6" w:rsidRDefault="008129E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61205"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8129E0" w:rsidRPr="004B7EB6" w:rsidRDefault="008129E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770564" w:rsidRDefault="0070697F" w:rsidP="005516A1">
      <w:pPr>
        <w:tabs>
          <w:tab w:val="center" w:pos="5400"/>
        </w:tabs>
        <w:suppressAutoHyphens/>
        <w:jc w:val="center"/>
        <w:rPr>
          <w:rFonts w:asciiTheme="majorHAnsi" w:hAnsiTheme="majorHAnsi"/>
          <w:b/>
          <w:sz w:val="20"/>
          <w:szCs w:val="20"/>
          <w:lang w:val="es-ES_tradnl"/>
        </w:rPr>
        <w:sectPr w:rsidR="0070697F" w:rsidRPr="0077056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3239B8" w:rsidRPr="00770564" w:rsidRDefault="003239B8" w:rsidP="003239B8">
      <w:pPr>
        <w:spacing w:after="240"/>
        <w:ind w:firstLine="720"/>
        <w:jc w:val="both"/>
        <w:rPr>
          <w:rFonts w:asciiTheme="majorHAnsi" w:hAnsiTheme="majorHAnsi"/>
          <w:b/>
          <w:bCs/>
          <w:sz w:val="20"/>
          <w:szCs w:val="20"/>
          <w:lang w:val="es-ES"/>
        </w:rPr>
      </w:pPr>
      <w:r w:rsidRPr="00770564">
        <w:rPr>
          <w:rFonts w:asciiTheme="majorHAnsi" w:hAnsiTheme="majorHAnsi"/>
          <w:b/>
          <w:bCs/>
          <w:sz w:val="20"/>
          <w:szCs w:val="20"/>
          <w:lang w:val="es-ES"/>
        </w:rPr>
        <w:lastRenderedPageBreak/>
        <w:t>I.</w:t>
      </w:r>
      <w:r w:rsidRPr="0077056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56483" w:rsidTr="00457D04">
        <w:tc>
          <w:tcPr>
            <w:tcW w:w="4680" w:type="dxa"/>
            <w:tcBorders>
              <w:top w:val="single" w:sz="4" w:space="0" w:color="auto"/>
              <w:bottom w:val="single" w:sz="6" w:space="0" w:color="auto"/>
            </w:tcBorders>
            <w:shd w:val="clear" w:color="auto" w:fill="386294"/>
            <w:vAlign w:val="center"/>
          </w:tcPr>
          <w:p w:rsidR="003239B8" w:rsidRPr="00770564" w:rsidRDefault="003239B8" w:rsidP="00457D04">
            <w:pPr>
              <w:jc w:val="center"/>
              <w:rPr>
                <w:rFonts w:asciiTheme="majorHAnsi" w:hAnsiTheme="majorHAnsi"/>
                <w:b/>
                <w:bCs/>
                <w:color w:val="FFFFFF" w:themeColor="background1"/>
                <w:sz w:val="20"/>
                <w:szCs w:val="20"/>
              </w:rPr>
            </w:pPr>
            <w:r w:rsidRPr="00770564">
              <w:rPr>
                <w:rFonts w:asciiTheme="majorHAnsi" w:hAnsiTheme="majorHAnsi"/>
                <w:b/>
                <w:bCs/>
                <w:color w:val="FFFFFF" w:themeColor="background1"/>
                <w:sz w:val="20"/>
                <w:szCs w:val="20"/>
              </w:rPr>
              <w:t>Parte peticionaria:</w:t>
            </w:r>
          </w:p>
        </w:tc>
        <w:tc>
          <w:tcPr>
            <w:tcW w:w="4680" w:type="dxa"/>
            <w:vAlign w:val="center"/>
          </w:tcPr>
          <w:p w:rsidR="003239B8" w:rsidRPr="00770564" w:rsidRDefault="001229FB" w:rsidP="00457D04">
            <w:pPr>
              <w:jc w:val="both"/>
              <w:rPr>
                <w:rFonts w:asciiTheme="majorHAnsi" w:hAnsiTheme="majorHAnsi"/>
                <w:bCs/>
                <w:sz w:val="20"/>
                <w:szCs w:val="20"/>
                <w:lang w:val="pt-BR"/>
              </w:rPr>
            </w:pPr>
            <w:r w:rsidRPr="00770564">
              <w:rPr>
                <w:rFonts w:asciiTheme="majorHAnsi" w:hAnsiTheme="majorHAnsi"/>
                <w:bCs/>
                <w:sz w:val="20"/>
                <w:szCs w:val="20"/>
                <w:lang w:val="pt-BR"/>
              </w:rPr>
              <w:t xml:space="preserve">Fernando M. Toller, </w:t>
            </w:r>
            <w:r w:rsidR="004D369E" w:rsidRPr="00770564">
              <w:rPr>
                <w:rFonts w:asciiTheme="majorHAnsi" w:hAnsiTheme="majorHAnsi"/>
                <w:bCs/>
                <w:sz w:val="20"/>
                <w:szCs w:val="20"/>
                <w:lang w:val="pt-BR"/>
              </w:rPr>
              <w:t>C. Ignacio de Casas, Ignacio A. Bo</w:t>
            </w:r>
            <w:r w:rsidR="0027112F" w:rsidRPr="00770564">
              <w:rPr>
                <w:rFonts w:asciiTheme="majorHAnsi" w:hAnsiTheme="majorHAnsi"/>
                <w:bCs/>
                <w:sz w:val="20"/>
                <w:szCs w:val="20"/>
                <w:lang w:val="pt-BR"/>
              </w:rPr>
              <w:t>u</w:t>
            </w:r>
            <w:r w:rsidR="004D369E" w:rsidRPr="00770564">
              <w:rPr>
                <w:rFonts w:asciiTheme="majorHAnsi" w:hAnsiTheme="majorHAnsi"/>
                <w:bCs/>
                <w:sz w:val="20"/>
                <w:szCs w:val="20"/>
                <w:lang w:val="pt-BR"/>
              </w:rPr>
              <w:t>lin Victoria</w:t>
            </w:r>
            <w:r w:rsidRPr="00770564">
              <w:rPr>
                <w:rFonts w:asciiTheme="majorHAnsi" w:hAnsiTheme="majorHAnsi"/>
                <w:bCs/>
                <w:sz w:val="20"/>
                <w:szCs w:val="20"/>
                <w:lang w:val="pt-BR"/>
              </w:rPr>
              <w:t xml:space="preserve"> </w:t>
            </w:r>
          </w:p>
        </w:tc>
      </w:tr>
      <w:tr w:rsidR="003239B8" w:rsidRPr="00456483" w:rsidTr="00457D04">
        <w:tc>
          <w:tcPr>
            <w:tcW w:w="4680" w:type="dxa"/>
            <w:tcBorders>
              <w:top w:val="single" w:sz="6" w:space="0" w:color="auto"/>
              <w:bottom w:val="single" w:sz="6" w:space="0" w:color="auto"/>
            </w:tcBorders>
            <w:shd w:val="clear" w:color="auto" w:fill="386294"/>
            <w:vAlign w:val="center"/>
          </w:tcPr>
          <w:p w:rsidR="003239B8" w:rsidRPr="00770564" w:rsidRDefault="00A55819" w:rsidP="00457D04">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70564">
                  <w:rPr>
                    <w:rFonts w:asciiTheme="majorHAnsi" w:hAnsiTheme="majorHAnsi"/>
                    <w:b/>
                    <w:bCs/>
                    <w:color w:val="FFFFFF" w:themeColor="background1"/>
                    <w:sz w:val="20"/>
                    <w:szCs w:val="20"/>
                    <w:lang w:val="es-ES_tradnl"/>
                  </w:rPr>
                  <w:t>Presunta víctima</w:t>
                </w:r>
              </w:sdtContent>
            </w:sdt>
            <w:r w:rsidR="003239B8" w:rsidRPr="00770564">
              <w:rPr>
                <w:rFonts w:asciiTheme="majorHAnsi" w:hAnsiTheme="majorHAnsi"/>
                <w:b/>
                <w:bCs/>
                <w:color w:val="FFFFFF" w:themeColor="background1"/>
                <w:sz w:val="20"/>
                <w:szCs w:val="20"/>
                <w:lang w:val="es-ES_tradnl"/>
              </w:rPr>
              <w:t>:</w:t>
            </w:r>
          </w:p>
        </w:tc>
        <w:tc>
          <w:tcPr>
            <w:tcW w:w="4680" w:type="dxa"/>
            <w:vAlign w:val="center"/>
          </w:tcPr>
          <w:p w:rsidR="003239B8" w:rsidRPr="00770564" w:rsidRDefault="004D369E" w:rsidP="006D07DE">
            <w:pPr>
              <w:jc w:val="both"/>
              <w:rPr>
                <w:rFonts w:asciiTheme="majorHAnsi" w:hAnsiTheme="majorHAnsi"/>
                <w:bCs/>
                <w:sz w:val="20"/>
                <w:szCs w:val="20"/>
                <w:lang w:val="es-ES_tradnl"/>
              </w:rPr>
            </w:pPr>
            <w:r w:rsidRPr="00770564">
              <w:rPr>
                <w:rFonts w:asciiTheme="majorHAnsi" w:hAnsiTheme="majorHAnsi"/>
                <w:bCs/>
                <w:sz w:val="20"/>
                <w:szCs w:val="20"/>
                <w:lang w:val="es-ES_tradnl"/>
              </w:rPr>
              <w:t>Alejandro Fernando Aguilera Mendieta</w:t>
            </w:r>
            <w:r w:rsidR="00946816" w:rsidRPr="00770564">
              <w:rPr>
                <w:rFonts w:asciiTheme="majorHAnsi" w:hAnsiTheme="majorHAnsi"/>
                <w:bCs/>
                <w:sz w:val="20"/>
                <w:szCs w:val="20"/>
                <w:lang w:val="es-ES_tradnl"/>
              </w:rPr>
              <w:t xml:space="preserve"> y otro</w:t>
            </w:r>
            <w:r w:rsidR="006D07DE" w:rsidRPr="00770564">
              <w:rPr>
                <w:rFonts w:asciiTheme="majorHAnsi" w:hAnsiTheme="majorHAnsi"/>
                <w:bCs/>
                <w:sz w:val="20"/>
                <w:szCs w:val="20"/>
                <w:lang w:val="es-ES_tradnl"/>
              </w:rPr>
              <w:t>s</w:t>
            </w:r>
            <w:r w:rsidR="006D07DE" w:rsidRPr="00770564">
              <w:rPr>
                <w:rStyle w:val="FootnoteReference"/>
                <w:rFonts w:asciiTheme="majorHAnsi" w:hAnsiTheme="majorHAnsi"/>
                <w:bCs/>
                <w:sz w:val="20"/>
                <w:szCs w:val="20"/>
                <w:lang w:val="es-ES_tradnl"/>
              </w:rPr>
              <w:footnoteReference w:id="2"/>
            </w:r>
            <w:r w:rsidRPr="00770564">
              <w:rPr>
                <w:rFonts w:asciiTheme="majorHAnsi" w:hAnsiTheme="majorHAnsi"/>
                <w:bCs/>
                <w:sz w:val="20"/>
                <w:szCs w:val="20"/>
                <w:lang w:val="es-ES_tradnl"/>
              </w:rPr>
              <w:t xml:space="preserve"> </w:t>
            </w:r>
          </w:p>
        </w:tc>
      </w:tr>
      <w:tr w:rsidR="003239B8" w:rsidRPr="00770564" w:rsidTr="00457D04">
        <w:tc>
          <w:tcPr>
            <w:tcW w:w="4680" w:type="dxa"/>
            <w:tcBorders>
              <w:top w:val="single" w:sz="6" w:space="0" w:color="auto"/>
              <w:bottom w:val="single" w:sz="6" w:space="0" w:color="auto"/>
            </w:tcBorders>
            <w:shd w:val="clear" w:color="auto" w:fill="386294"/>
            <w:vAlign w:val="center"/>
          </w:tcPr>
          <w:p w:rsidR="003239B8" w:rsidRPr="00770564" w:rsidRDefault="003239B8" w:rsidP="00457D04">
            <w:pPr>
              <w:jc w:val="center"/>
              <w:rPr>
                <w:rFonts w:asciiTheme="majorHAnsi" w:hAnsiTheme="majorHAnsi"/>
                <w:b/>
                <w:bCs/>
                <w:color w:val="FFFFFF" w:themeColor="background1"/>
                <w:sz w:val="20"/>
                <w:szCs w:val="20"/>
                <w:lang w:val="es-ES_tradnl"/>
              </w:rPr>
            </w:pPr>
            <w:r w:rsidRPr="00770564">
              <w:rPr>
                <w:rFonts w:asciiTheme="majorHAnsi" w:hAnsiTheme="majorHAnsi"/>
                <w:b/>
                <w:bCs/>
                <w:color w:val="FFFFFF" w:themeColor="background1"/>
                <w:sz w:val="20"/>
                <w:szCs w:val="20"/>
                <w:lang w:val="es-ES_tradnl"/>
              </w:rPr>
              <w:t>Estado denunciado:</w:t>
            </w:r>
          </w:p>
        </w:tc>
        <w:tc>
          <w:tcPr>
            <w:tcW w:w="4680" w:type="dxa"/>
            <w:vAlign w:val="center"/>
          </w:tcPr>
          <w:p w:rsidR="003239B8" w:rsidRPr="00770564" w:rsidRDefault="00AD7CA1" w:rsidP="00457D04">
            <w:pPr>
              <w:jc w:val="both"/>
              <w:rPr>
                <w:rFonts w:asciiTheme="majorHAnsi" w:hAnsiTheme="majorHAnsi"/>
                <w:bCs/>
                <w:sz w:val="20"/>
                <w:szCs w:val="20"/>
                <w:lang w:val="es-ES_tradnl"/>
              </w:rPr>
            </w:pPr>
            <w:r w:rsidRPr="00770564">
              <w:rPr>
                <w:rFonts w:asciiTheme="majorHAnsi" w:hAnsiTheme="majorHAnsi"/>
                <w:bCs/>
                <w:sz w:val="20"/>
                <w:szCs w:val="20"/>
                <w:lang w:val="es-ES_tradnl"/>
              </w:rPr>
              <w:t>México</w:t>
            </w:r>
            <w:r w:rsidR="00CB2264" w:rsidRPr="00770564">
              <w:rPr>
                <w:rStyle w:val="FootnoteReference"/>
                <w:rFonts w:asciiTheme="majorHAnsi" w:hAnsiTheme="majorHAnsi"/>
                <w:b/>
                <w:sz w:val="20"/>
                <w:szCs w:val="20"/>
                <w:lang w:val="es-ES_tradnl"/>
              </w:rPr>
              <w:footnoteReference w:id="3"/>
            </w:r>
            <w:r w:rsidR="00C73E6A" w:rsidRPr="00770564">
              <w:rPr>
                <w:rFonts w:asciiTheme="majorHAnsi" w:hAnsiTheme="majorHAnsi"/>
                <w:bCs/>
                <w:sz w:val="20"/>
                <w:szCs w:val="20"/>
                <w:lang w:val="es-ES_tradnl"/>
              </w:rPr>
              <w:t xml:space="preserve"> </w:t>
            </w:r>
          </w:p>
        </w:tc>
      </w:tr>
      <w:tr w:rsidR="00223A29" w:rsidRPr="00456483" w:rsidTr="00457D04">
        <w:tc>
          <w:tcPr>
            <w:tcW w:w="4680" w:type="dxa"/>
            <w:tcBorders>
              <w:top w:val="single" w:sz="6" w:space="0" w:color="auto"/>
              <w:bottom w:val="single" w:sz="6" w:space="0" w:color="auto"/>
            </w:tcBorders>
            <w:shd w:val="clear" w:color="auto" w:fill="386294"/>
            <w:vAlign w:val="center"/>
          </w:tcPr>
          <w:p w:rsidR="00223A29" w:rsidRPr="00770564" w:rsidRDefault="001B3A00" w:rsidP="00E4118C">
            <w:pPr>
              <w:jc w:val="center"/>
              <w:rPr>
                <w:rFonts w:asciiTheme="majorHAnsi" w:hAnsiTheme="majorHAnsi"/>
                <w:b/>
                <w:bCs/>
                <w:color w:val="FFFFFF" w:themeColor="background1"/>
                <w:sz w:val="20"/>
                <w:szCs w:val="20"/>
                <w:lang w:val="es-ES_tradnl"/>
              </w:rPr>
            </w:pPr>
            <w:r w:rsidRPr="00770564">
              <w:rPr>
                <w:rFonts w:asciiTheme="majorHAnsi" w:hAnsiTheme="majorHAnsi"/>
                <w:b/>
                <w:bCs/>
                <w:color w:val="FFFFFF" w:themeColor="background1"/>
                <w:sz w:val="20"/>
                <w:szCs w:val="20"/>
                <w:lang w:val="es-ES_tradnl"/>
              </w:rPr>
              <w:t xml:space="preserve">Derechos </w:t>
            </w:r>
            <w:r w:rsidR="00E4118C" w:rsidRPr="00770564">
              <w:rPr>
                <w:rFonts w:asciiTheme="majorHAnsi" w:hAnsiTheme="majorHAnsi"/>
                <w:b/>
                <w:bCs/>
                <w:color w:val="FFFFFF" w:themeColor="background1"/>
                <w:sz w:val="20"/>
                <w:szCs w:val="20"/>
                <w:lang w:val="es-ES_tradnl"/>
              </w:rPr>
              <w:t>invocados</w:t>
            </w:r>
            <w:r w:rsidRPr="00770564">
              <w:rPr>
                <w:rFonts w:asciiTheme="majorHAnsi" w:hAnsiTheme="majorHAnsi"/>
                <w:b/>
                <w:bCs/>
                <w:color w:val="FFFFFF" w:themeColor="background1"/>
                <w:sz w:val="20"/>
                <w:szCs w:val="20"/>
                <w:lang w:val="es-ES_tradnl"/>
              </w:rPr>
              <w:t>:</w:t>
            </w:r>
          </w:p>
        </w:tc>
        <w:tc>
          <w:tcPr>
            <w:tcW w:w="4680" w:type="dxa"/>
            <w:vAlign w:val="center"/>
          </w:tcPr>
          <w:p w:rsidR="00223A29" w:rsidRPr="00770564" w:rsidRDefault="005D3753" w:rsidP="007503BC">
            <w:pPr>
              <w:jc w:val="both"/>
              <w:rPr>
                <w:rFonts w:asciiTheme="majorHAnsi" w:hAnsiTheme="majorHAnsi"/>
                <w:bCs/>
                <w:sz w:val="20"/>
                <w:szCs w:val="20"/>
                <w:lang w:val="es-ES_tradnl"/>
              </w:rPr>
            </w:pPr>
            <w:r w:rsidRPr="00770564">
              <w:rPr>
                <w:rFonts w:asciiTheme="majorHAnsi" w:hAnsiTheme="majorHAnsi"/>
                <w:bCs/>
                <w:sz w:val="20"/>
                <w:szCs w:val="20"/>
                <w:lang w:val="es-ES_tradnl"/>
              </w:rPr>
              <w:t xml:space="preserve">Artículos 9 (legalidad y retroactividad) y 13 (libertad de expresión) en relación con los artículos 1.1 </w:t>
            </w:r>
            <w:r w:rsidRPr="00770564">
              <w:rPr>
                <w:rFonts w:asciiTheme="majorHAnsi" w:hAnsiTheme="majorHAnsi"/>
                <w:sz w:val="20"/>
                <w:szCs w:val="20"/>
                <w:lang w:val="es-CO"/>
              </w:rPr>
              <w:t>(obligación de respetar los derechos)</w:t>
            </w:r>
            <w:r w:rsidRPr="00770564">
              <w:rPr>
                <w:rFonts w:asciiTheme="majorHAnsi" w:hAnsiTheme="majorHAnsi"/>
                <w:bCs/>
                <w:sz w:val="20"/>
                <w:szCs w:val="20"/>
                <w:lang w:val="es-ES_tradnl"/>
              </w:rPr>
              <w:t xml:space="preserve"> y 2 (</w:t>
            </w:r>
            <w:r w:rsidRPr="00770564">
              <w:rPr>
                <w:rFonts w:asciiTheme="majorHAnsi" w:hAnsiTheme="majorHAnsi" w:cs="Tahoma"/>
                <w:bCs/>
                <w:color w:val="000000"/>
                <w:sz w:val="20"/>
                <w:szCs w:val="20"/>
                <w:lang w:val="es-ES"/>
              </w:rPr>
              <w:t>deber de adoptar disposiciones de derecho interno)</w:t>
            </w:r>
            <w:r w:rsidRPr="00770564">
              <w:rPr>
                <w:rFonts w:asciiTheme="majorHAnsi" w:hAnsiTheme="majorHAnsi"/>
                <w:bCs/>
                <w:sz w:val="20"/>
                <w:szCs w:val="20"/>
                <w:lang w:val="es-ES_tradnl"/>
              </w:rPr>
              <w:t xml:space="preserve">  de la Convención Americana sobre Derechos Humanos</w:t>
            </w:r>
            <w:r w:rsidRPr="00770564">
              <w:rPr>
                <w:rStyle w:val="FootnoteReference"/>
                <w:rFonts w:asciiTheme="majorHAnsi" w:hAnsiTheme="majorHAnsi"/>
                <w:bCs/>
                <w:sz w:val="20"/>
                <w:szCs w:val="20"/>
                <w:lang w:val="es-ES_tradnl"/>
              </w:rPr>
              <w:footnoteReference w:id="4"/>
            </w:r>
            <w:r w:rsidRPr="00770564">
              <w:rPr>
                <w:rFonts w:asciiTheme="majorHAnsi" w:hAnsiTheme="majorHAnsi"/>
                <w:bCs/>
                <w:sz w:val="20"/>
                <w:szCs w:val="20"/>
                <w:lang w:val="es-ES_tradnl"/>
              </w:rPr>
              <w:t xml:space="preserve">  y los artículos IV (libertad de investigación, opinión, expresión y difusión) y XXVI (proceso regular) de la Declaración Americana de Derechos y Deberes del Hombre</w:t>
            </w:r>
            <w:r w:rsidRPr="00770564">
              <w:rPr>
                <w:rStyle w:val="FootnoteReference"/>
                <w:rFonts w:asciiTheme="majorHAnsi" w:hAnsiTheme="majorHAnsi"/>
                <w:bCs/>
                <w:sz w:val="20"/>
                <w:szCs w:val="20"/>
                <w:lang w:val="es-ES_tradnl"/>
              </w:rPr>
              <w:t xml:space="preserve"> </w:t>
            </w:r>
            <w:r w:rsidR="0094763B" w:rsidRPr="00770564">
              <w:rPr>
                <w:rStyle w:val="FootnoteReference"/>
                <w:rFonts w:asciiTheme="majorHAnsi" w:hAnsiTheme="majorHAnsi"/>
                <w:bCs/>
                <w:sz w:val="20"/>
                <w:szCs w:val="20"/>
                <w:lang w:val="es-ES_tradnl"/>
              </w:rPr>
              <w:footnoteReference w:id="5"/>
            </w:r>
            <w:r w:rsidR="00D40165" w:rsidRPr="00770564">
              <w:rPr>
                <w:rFonts w:asciiTheme="majorHAnsi" w:hAnsiTheme="majorHAnsi"/>
                <w:bCs/>
                <w:sz w:val="20"/>
                <w:szCs w:val="20"/>
                <w:lang w:val="es-ES_tradnl"/>
              </w:rPr>
              <w:t xml:space="preserve"> </w:t>
            </w:r>
          </w:p>
        </w:tc>
      </w:tr>
    </w:tbl>
    <w:p w:rsidR="003239B8" w:rsidRPr="00770564" w:rsidRDefault="003239B8" w:rsidP="003239B8">
      <w:pPr>
        <w:spacing w:before="240" w:after="240"/>
        <w:ind w:firstLine="720"/>
        <w:jc w:val="both"/>
        <w:rPr>
          <w:rFonts w:asciiTheme="majorHAnsi" w:hAnsiTheme="majorHAnsi"/>
          <w:b/>
          <w:bCs/>
          <w:sz w:val="20"/>
          <w:szCs w:val="20"/>
          <w:lang w:val="es-ES_tradnl"/>
        </w:rPr>
      </w:pPr>
      <w:r w:rsidRPr="00770564">
        <w:rPr>
          <w:rFonts w:asciiTheme="majorHAnsi" w:hAnsiTheme="majorHAnsi"/>
          <w:b/>
          <w:bCs/>
          <w:sz w:val="20"/>
          <w:szCs w:val="20"/>
          <w:lang w:val="es-ES_tradnl"/>
        </w:rPr>
        <w:t>II.</w:t>
      </w:r>
      <w:r w:rsidRPr="00770564">
        <w:rPr>
          <w:rFonts w:asciiTheme="majorHAnsi" w:hAnsiTheme="majorHAnsi"/>
          <w:b/>
          <w:bCs/>
          <w:sz w:val="20"/>
          <w:szCs w:val="20"/>
          <w:lang w:val="es-ES_tradnl"/>
        </w:rPr>
        <w:tab/>
        <w:t>TRÁMITE ANTE LA CIDH</w:t>
      </w:r>
      <w:r w:rsidR="008E3BFE" w:rsidRPr="00770564">
        <w:rPr>
          <w:rStyle w:val="FootnoteReference"/>
          <w:rFonts w:asciiTheme="majorHAnsi" w:hAnsiTheme="majorHAnsi"/>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770564" w:rsidTr="00457D04">
        <w:tc>
          <w:tcPr>
            <w:tcW w:w="4680" w:type="dxa"/>
            <w:tcBorders>
              <w:top w:val="single" w:sz="6" w:space="0" w:color="auto"/>
              <w:bottom w:val="single" w:sz="6" w:space="0" w:color="auto"/>
            </w:tcBorders>
            <w:shd w:val="clear" w:color="auto" w:fill="386294"/>
            <w:vAlign w:val="center"/>
          </w:tcPr>
          <w:p w:rsidR="004C2312" w:rsidRPr="00770564" w:rsidRDefault="004C2312" w:rsidP="00457D04">
            <w:pPr>
              <w:jc w:val="center"/>
              <w:rPr>
                <w:rFonts w:asciiTheme="majorHAnsi" w:hAnsiTheme="majorHAnsi"/>
                <w:b/>
                <w:bCs/>
                <w:color w:val="FFFFFF" w:themeColor="background1"/>
                <w:sz w:val="20"/>
                <w:szCs w:val="20"/>
                <w:lang w:val="es-ES"/>
              </w:rPr>
            </w:pPr>
            <w:r w:rsidRPr="00770564">
              <w:rPr>
                <w:rFonts w:asciiTheme="majorHAnsi" w:hAnsiTheme="majorHAnsi"/>
                <w:b/>
                <w:bCs/>
                <w:color w:val="FFFFFF" w:themeColor="background1"/>
                <w:sz w:val="20"/>
                <w:szCs w:val="20"/>
                <w:lang w:val="es-ES_tradnl"/>
              </w:rPr>
              <w:t xml:space="preserve">Fecha de </w:t>
            </w:r>
            <w:r w:rsidRPr="00770564">
              <w:rPr>
                <w:rFonts w:asciiTheme="majorHAnsi" w:hAnsiTheme="majorHAnsi"/>
                <w:b/>
                <w:bCs/>
                <w:color w:val="FFFFFF" w:themeColor="background1"/>
                <w:sz w:val="20"/>
                <w:szCs w:val="20"/>
                <w:lang w:val="es-ES"/>
              </w:rPr>
              <w:t>presentación de la petición:</w:t>
            </w:r>
          </w:p>
        </w:tc>
        <w:tc>
          <w:tcPr>
            <w:tcW w:w="4680" w:type="dxa"/>
            <w:vAlign w:val="center"/>
          </w:tcPr>
          <w:p w:rsidR="004C2312" w:rsidRPr="00770564" w:rsidRDefault="00660A8C" w:rsidP="00457D04">
            <w:pPr>
              <w:jc w:val="both"/>
              <w:rPr>
                <w:rFonts w:asciiTheme="majorHAnsi" w:hAnsiTheme="majorHAnsi"/>
                <w:bCs/>
                <w:sz w:val="20"/>
                <w:szCs w:val="20"/>
                <w:lang w:val="es-ES"/>
              </w:rPr>
            </w:pPr>
            <w:r w:rsidRPr="00770564">
              <w:rPr>
                <w:rFonts w:asciiTheme="majorHAnsi" w:hAnsiTheme="majorHAnsi"/>
                <w:bCs/>
                <w:sz w:val="20"/>
                <w:szCs w:val="20"/>
                <w:lang w:val="es-ES"/>
              </w:rPr>
              <w:t>26 de febrero de 2010</w:t>
            </w:r>
          </w:p>
        </w:tc>
      </w:tr>
      <w:tr w:rsidR="001E49E7" w:rsidRPr="00770564" w:rsidTr="00457D04">
        <w:tc>
          <w:tcPr>
            <w:tcW w:w="4680" w:type="dxa"/>
            <w:tcBorders>
              <w:top w:val="single" w:sz="6" w:space="0" w:color="auto"/>
              <w:bottom w:val="single" w:sz="6" w:space="0" w:color="auto"/>
            </w:tcBorders>
            <w:shd w:val="clear" w:color="auto" w:fill="386294"/>
            <w:vAlign w:val="center"/>
          </w:tcPr>
          <w:p w:rsidR="001E49E7" w:rsidRPr="00770564" w:rsidRDefault="001E49E7" w:rsidP="001E49E7">
            <w:pPr>
              <w:jc w:val="center"/>
              <w:rPr>
                <w:rFonts w:asciiTheme="majorHAnsi" w:hAnsiTheme="majorHAnsi"/>
                <w:b/>
                <w:bCs/>
                <w:color w:val="FFFFFF" w:themeColor="background1"/>
                <w:sz w:val="20"/>
                <w:szCs w:val="20"/>
                <w:lang w:val="es-ES"/>
              </w:rPr>
            </w:pPr>
            <w:r w:rsidRPr="00770564">
              <w:rPr>
                <w:rFonts w:asciiTheme="majorHAnsi" w:hAnsiTheme="majorHAnsi"/>
                <w:b/>
                <w:bCs/>
                <w:color w:val="FFFFFF" w:themeColor="background1"/>
                <w:sz w:val="20"/>
                <w:szCs w:val="20"/>
                <w:lang w:val="es-ES"/>
              </w:rPr>
              <w:t>Información adicional recibida durante la etapa de estudio:</w:t>
            </w:r>
          </w:p>
        </w:tc>
        <w:tc>
          <w:tcPr>
            <w:tcW w:w="4680" w:type="dxa"/>
            <w:vAlign w:val="center"/>
          </w:tcPr>
          <w:p w:rsidR="001E49E7" w:rsidRPr="00770564" w:rsidRDefault="005D3753" w:rsidP="00330030">
            <w:pPr>
              <w:rPr>
                <w:rFonts w:asciiTheme="majorHAnsi" w:hAnsiTheme="majorHAnsi"/>
                <w:b/>
                <w:bCs/>
                <w:sz w:val="20"/>
                <w:szCs w:val="20"/>
                <w:lang w:val="es-AR"/>
              </w:rPr>
            </w:pPr>
            <w:r w:rsidRPr="00770564">
              <w:rPr>
                <w:rFonts w:asciiTheme="majorHAnsi" w:hAnsiTheme="majorHAnsi"/>
                <w:bCs/>
                <w:sz w:val="20"/>
                <w:szCs w:val="20"/>
                <w:lang w:val="es-AR"/>
              </w:rPr>
              <w:t>3 de marzo de 2010; 22 de abril de 2010; 22 de abril de 2016</w:t>
            </w:r>
          </w:p>
        </w:tc>
      </w:tr>
      <w:tr w:rsidR="004C2312" w:rsidRPr="00770564" w:rsidTr="00457D04">
        <w:tc>
          <w:tcPr>
            <w:tcW w:w="4680" w:type="dxa"/>
            <w:tcBorders>
              <w:top w:val="single" w:sz="6" w:space="0" w:color="auto"/>
              <w:bottom w:val="single" w:sz="6" w:space="0" w:color="auto"/>
            </w:tcBorders>
            <w:shd w:val="clear" w:color="auto" w:fill="386294"/>
            <w:vAlign w:val="center"/>
          </w:tcPr>
          <w:p w:rsidR="004C2312" w:rsidRPr="00770564" w:rsidRDefault="004C2312" w:rsidP="00457D04">
            <w:pPr>
              <w:jc w:val="center"/>
              <w:rPr>
                <w:rFonts w:asciiTheme="majorHAnsi" w:hAnsiTheme="majorHAnsi"/>
                <w:b/>
                <w:bCs/>
                <w:color w:val="FFFFFF" w:themeColor="background1"/>
                <w:sz w:val="20"/>
                <w:szCs w:val="20"/>
                <w:lang w:val="es-ES"/>
              </w:rPr>
            </w:pPr>
            <w:r w:rsidRPr="00770564">
              <w:rPr>
                <w:rFonts w:asciiTheme="majorHAnsi" w:hAnsiTheme="majorHAnsi"/>
                <w:b/>
                <w:color w:val="FFFFFF" w:themeColor="background1"/>
                <w:sz w:val="20"/>
                <w:szCs w:val="20"/>
                <w:lang w:val="es-ES"/>
              </w:rPr>
              <w:t>Fecha de notificación de la petición al Estado:</w:t>
            </w:r>
          </w:p>
        </w:tc>
        <w:tc>
          <w:tcPr>
            <w:tcW w:w="4680" w:type="dxa"/>
            <w:vAlign w:val="center"/>
          </w:tcPr>
          <w:p w:rsidR="004C2312" w:rsidRPr="00770564" w:rsidRDefault="00BD40A8" w:rsidP="00457D04">
            <w:pPr>
              <w:jc w:val="both"/>
              <w:rPr>
                <w:rFonts w:asciiTheme="majorHAnsi" w:hAnsiTheme="majorHAnsi"/>
                <w:bCs/>
                <w:sz w:val="20"/>
                <w:szCs w:val="20"/>
                <w:lang w:val="es-ES"/>
              </w:rPr>
            </w:pPr>
            <w:r w:rsidRPr="00770564">
              <w:rPr>
                <w:rFonts w:asciiTheme="majorHAnsi" w:hAnsiTheme="majorHAnsi"/>
                <w:bCs/>
                <w:sz w:val="20"/>
                <w:szCs w:val="20"/>
                <w:lang w:val="es-ES"/>
              </w:rPr>
              <w:t>24 de mayo de 2016</w:t>
            </w:r>
          </w:p>
        </w:tc>
      </w:tr>
      <w:tr w:rsidR="004C2312" w:rsidRPr="00770564" w:rsidTr="00457D04">
        <w:tc>
          <w:tcPr>
            <w:tcW w:w="4680" w:type="dxa"/>
            <w:tcBorders>
              <w:top w:val="single" w:sz="6" w:space="0" w:color="auto"/>
              <w:bottom w:val="single" w:sz="6" w:space="0" w:color="auto"/>
            </w:tcBorders>
            <w:shd w:val="clear" w:color="auto" w:fill="386294"/>
            <w:vAlign w:val="center"/>
          </w:tcPr>
          <w:p w:rsidR="004C2312" w:rsidRPr="00770564" w:rsidRDefault="004C2312" w:rsidP="00457D04">
            <w:pPr>
              <w:jc w:val="center"/>
              <w:rPr>
                <w:rFonts w:asciiTheme="majorHAnsi" w:hAnsiTheme="majorHAnsi"/>
                <w:b/>
                <w:bCs/>
                <w:color w:val="FFFFFF" w:themeColor="background1"/>
                <w:sz w:val="20"/>
                <w:szCs w:val="20"/>
                <w:lang w:val="es-ES"/>
              </w:rPr>
            </w:pPr>
            <w:r w:rsidRPr="00770564">
              <w:rPr>
                <w:rFonts w:asciiTheme="majorHAnsi" w:hAnsiTheme="majorHAnsi"/>
                <w:b/>
                <w:color w:val="FFFFFF" w:themeColor="background1"/>
                <w:sz w:val="20"/>
                <w:szCs w:val="20"/>
                <w:lang w:val="es-ES"/>
              </w:rPr>
              <w:t>Fecha de primera respuesta del Estado:</w:t>
            </w:r>
          </w:p>
        </w:tc>
        <w:tc>
          <w:tcPr>
            <w:tcW w:w="4680" w:type="dxa"/>
            <w:vAlign w:val="center"/>
          </w:tcPr>
          <w:p w:rsidR="004C2312" w:rsidRPr="00770564" w:rsidRDefault="00BD40A8" w:rsidP="00457D04">
            <w:pPr>
              <w:jc w:val="both"/>
              <w:rPr>
                <w:rFonts w:asciiTheme="majorHAnsi" w:hAnsiTheme="majorHAnsi"/>
                <w:bCs/>
                <w:sz w:val="20"/>
                <w:szCs w:val="20"/>
                <w:lang w:val="es-ES"/>
              </w:rPr>
            </w:pPr>
            <w:r w:rsidRPr="00770564">
              <w:rPr>
                <w:rFonts w:asciiTheme="majorHAnsi" w:hAnsiTheme="majorHAnsi"/>
                <w:bCs/>
                <w:sz w:val="20"/>
                <w:szCs w:val="20"/>
                <w:lang w:val="es-ES"/>
              </w:rPr>
              <w:t>11 de mayo de 2017</w:t>
            </w:r>
          </w:p>
        </w:tc>
      </w:tr>
      <w:tr w:rsidR="004C2312" w:rsidRPr="00770564" w:rsidTr="00457D04">
        <w:tc>
          <w:tcPr>
            <w:tcW w:w="4680" w:type="dxa"/>
            <w:tcBorders>
              <w:top w:val="single" w:sz="6" w:space="0" w:color="auto"/>
              <w:bottom w:val="single" w:sz="6" w:space="0" w:color="auto"/>
            </w:tcBorders>
            <w:shd w:val="clear" w:color="auto" w:fill="386294"/>
            <w:vAlign w:val="center"/>
          </w:tcPr>
          <w:p w:rsidR="004C2312" w:rsidRPr="00770564" w:rsidRDefault="008E3BFE" w:rsidP="008E3BFE">
            <w:pPr>
              <w:jc w:val="center"/>
              <w:rPr>
                <w:rFonts w:asciiTheme="majorHAnsi" w:hAnsiTheme="majorHAnsi"/>
                <w:b/>
                <w:bCs/>
                <w:color w:val="FFFFFF" w:themeColor="background1"/>
                <w:sz w:val="20"/>
                <w:szCs w:val="20"/>
                <w:lang w:val="es-ES"/>
              </w:rPr>
            </w:pPr>
            <w:r w:rsidRPr="00770564">
              <w:rPr>
                <w:rFonts w:asciiTheme="majorHAnsi" w:hAnsiTheme="majorHAnsi"/>
                <w:b/>
                <w:bCs/>
                <w:color w:val="FFFFFF" w:themeColor="background1"/>
                <w:sz w:val="20"/>
                <w:szCs w:val="20"/>
                <w:lang w:val="es-ES"/>
              </w:rPr>
              <w:t>Observaciones adicionales de la parte peticionaria:</w:t>
            </w:r>
          </w:p>
        </w:tc>
        <w:tc>
          <w:tcPr>
            <w:tcW w:w="4680" w:type="dxa"/>
            <w:vAlign w:val="center"/>
          </w:tcPr>
          <w:p w:rsidR="004C2312" w:rsidRPr="00770564" w:rsidRDefault="006134B8" w:rsidP="00457D04">
            <w:pPr>
              <w:jc w:val="both"/>
              <w:rPr>
                <w:rFonts w:asciiTheme="majorHAnsi" w:hAnsiTheme="majorHAnsi"/>
                <w:bCs/>
                <w:sz w:val="20"/>
                <w:szCs w:val="20"/>
                <w:lang w:val="es-ES"/>
              </w:rPr>
            </w:pPr>
            <w:r w:rsidRPr="00770564">
              <w:rPr>
                <w:rFonts w:asciiTheme="majorHAnsi" w:hAnsiTheme="majorHAnsi"/>
                <w:bCs/>
                <w:sz w:val="20"/>
                <w:szCs w:val="20"/>
                <w:lang w:val="es-ES"/>
              </w:rPr>
              <w:t>17 de julio de 2017</w:t>
            </w:r>
          </w:p>
        </w:tc>
      </w:tr>
    </w:tbl>
    <w:p w:rsidR="003239B8" w:rsidRPr="00770564" w:rsidRDefault="003239B8" w:rsidP="003239B8">
      <w:pPr>
        <w:spacing w:before="240" w:after="240"/>
        <w:ind w:firstLine="720"/>
        <w:jc w:val="both"/>
        <w:rPr>
          <w:rFonts w:asciiTheme="majorHAnsi" w:hAnsiTheme="majorHAnsi"/>
          <w:b/>
          <w:bCs/>
          <w:sz w:val="20"/>
          <w:szCs w:val="20"/>
          <w:lang w:val="es-ES"/>
        </w:rPr>
      </w:pPr>
      <w:r w:rsidRPr="00770564">
        <w:rPr>
          <w:rFonts w:asciiTheme="majorHAnsi" w:hAnsiTheme="majorHAnsi"/>
          <w:b/>
          <w:bCs/>
          <w:sz w:val="20"/>
          <w:szCs w:val="20"/>
          <w:lang w:val="es-ES"/>
        </w:rPr>
        <w:t xml:space="preserve">III. </w:t>
      </w:r>
      <w:r w:rsidRPr="00770564">
        <w:rPr>
          <w:rFonts w:asciiTheme="majorHAnsi" w:hAnsiTheme="majorHAnsi"/>
          <w:b/>
          <w:bCs/>
          <w:sz w:val="20"/>
          <w:szCs w:val="20"/>
          <w:lang w:val="es-ES"/>
        </w:rPr>
        <w:tab/>
        <w:t>COMPETENCIA</w:t>
      </w:r>
      <w:r w:rsidR="00EE00E9" w:rsidRPr="0077056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22"/>
        <w:gridCol w:w="4620"/>
      </w:tblGrid>
      <w:tr w:rsidR="003239B8" w:rsidRPr="00456483" w:rsidTr="00457D04">
        <w:trPr>
          <w:cantSplit/>
        </w:trPr>
        <w:tc>
          <w:tcPr>
            <w:tcW w:w="4680" w:type="dxa"/>
            <w:tcBorders>
              <w:top w:val="single" w:sz="4" w:space="0" w:color="auto"/>
              <w:bottom w:val="single" w:sz="6" w:space="0" w:color="auto"/>
            </w:tcBorders>
            <w:shd w:val="clear" w:color="auto" w:fill="386294"/>
            <w:vAlign w:val="center"/>
          </w:tcPr>
          <w:p w:rsidR="003239B8" w:rsidRPr="00770564" w:rsidRDefault="003239B8" w:rsidP="00457D04">
            <w:pPr>
              <w:jc w:val="center"/>
              <w:rPr>
                <w:rFonts w:asciiTheme="majorHAnsi" w:hAnsiTheme="majorHAnsi"/>
                <w:b/>
                <w:bCs/>
                <w:i/>
                <w:color w:val="FFFFFF" w:themeColor="background1"/>
                <w:sz w:val="20"/>
                <w:szCs w:val="20"/>
              </w:rPr>
            </w:pPr>
            <w:r w:rsidRPr="00770564">
              <w:rPr>
                <w:rFonts w:asciiTheme="majorHAnsi" w:hAnsiTheme="majorHAnsi"/>
                <w:b/>
                <w:bCs/>
                <w:color w:val="FFFFFF" w:themeColor="background1"/>
                <w:sz w:val="20"/>
                <w:szCs w:val="20"/>
              </w:rPr>
              <w:t>Competencia</w:t>
            </w:r>
            <w:r w:rsidRPr="00770564">
              <w:rPr>
                <w:rFonts w:asciiTheme="majorHAnsi" w:hAnsiTheme="majorHAnsi"/>
                <w:b/>
                <w:bCs/>
                <w:i/>
                <w:color w:val="FFFFFF" w:themeColor="background1"/>
                <w:sz w:val="20"/>
                <w:szCs w:val="20"/>
              </w:rPr>
              <w:t xml:space="preserve"> Ratione personae:</w:t>
            </w:r>
          </w:p>
        </w:tc>
        <w:tc>
          <w:tcPr>
            <w:tcW w:w="4680" w:type="dxa"/>
            <w:vAlign w:val="center"/>
          </w:tcPr>
          <w:p w:rsidR="003239B8" w:rsidRPr="00770564" w:rsidRDefault="008D6200" w:rsidP="00CF1474">
            <w:pPr>
              <w:rPr>
                <w:rFonts w:asciiTheme="majorHAnsi" w:hAnsiTheme="majorHAnsi"/>
                <w:bCs/>
                <w:sz w:val="20"/>
                <w:szCs w:val="20"/>
                <w:lang w:val="es-ES_tradnl"/>
              </w:rPr>
            </w:pPr>
            <w:r w:rsidRPr="00770564">
              <w:rPr>
                <w:rFonts w:asciiTheme="majorHAnsi" w:hAnsiTheme="majorHAnsi"/>
                <w:bCs/>
                <w:sz w:val="20"/>
                <w:szCs w:val="20"/>
                <w:lang w:val="es-ES_tradnl"/>
              </w:rPr>
              <w:t>S</w:t>
            </w:r>
            <w:r w:rsidR="00CA61DE" w:rsidRPr="00770564">
              <w:rPr>
                <w:rFonts w:asciiTheme="majorHAnsi" w:hAnsiTheme="majorHAnsi"/>
                <w:bCs/>
                <w:sz w:val="20"/>
                <w:szCs w:val="20"/>
                <w:lang w:val="es-ES_tradnl"/>
              </w:rPr>
              <w:t>í</w:t>
            </w:r>
            <w:r w:rsidRPr="00770564">
              <w:rPr>
                <w:rFonts w:asciiTheme="majorHAnsi" w:hAnsiTheme="majorHAnsi"/>
                <w:bCs/>
                <w:sz w:val="20"/>
                <w:szCs w:val="20"/>
                <w:lang w:val="es-ES_tradnl"/>
              </w:rPr>
              <w:t>, en los términos de la sección VI</w:t>
            </w:r>
          </w:p>
        </w:tc>
      </w:tr>
      <w:tr w:rsidR="003239B8" w:rsidRPr="00770564" w:rsidTr="00457D04">
        <w:trPr>
          <w:cantSplit/>
        </w:trPr>
        <w:tc>
          <w:tcPr>
            <w:tcW w:w="4680" w:type="dxa"/>
            <w:tcBorders>
              <w:top w:val="single" w:sz="6" w:space="0" w:color="auto"/>
              <w:bottom w:val="single" w:sz="6" w:space="0" w:color="auto"/>
            </w:tcBorders>
            <w:shd w:val="clear" w:color="auto" w:fill="386294"/>
            <w:vAlign w:val="center"/>
          </w:tcPr>
          <w:p w:rsidR="003239B8" w:rsidRPr="00770564" w:rsidRDefault="003239B8" w:rsidP="00457D04">
            <w:pPr>
              <w:jc w:val="center"/>
              <w:rPr>
                <w:rFonts w:asciiTheme="majorHAnsi" w:hAnsiTheme="majorHAnsi"/>
                <w:b/>
                <w:bCs/>
                <w:color w:val="FFFFFF" w:themeColor="background1"/>
                <w:sz w:val="20"/>
                <w:szCs w:val="20"/>
              </w:rPr>
            </w:pPr>
            <w:proofErr w:type="spellStart"/>
            <w:r w:rsidRPr="00770564">
              <w:rPr>
                <w:rFonts w:asciiTheme="majorHAnsi" w:hAnsiTheme="majorHAnsi"/>
                <w:b/>
                <w:bCs/>
                <w:color w:val="FFFFFF" w:themeColor="background1"/>
                <w:sz w:val="20"/>
                <w:szCs w:val="20"/>
              </w:rPr>
              <w:t>Competencia</w:t>
            </w:r>
            <w:proofErr w:type="spellEnd"/>
            <w:r w:rsidRPr="00770564">
              <w:rPr>
                <w:rFonts w:asciiTheme="majorHAnsi" w:hAnsiTheme="majorHAnsi"/>
                <w:b/>
                <w:bCs/>
                <w:i/>
                <w:color w:val="FFFFFF" w:themeColor="background1"/>
                <w:sz w:val="20"/>
                <w:szCs w:val="20"/>
              </w:rPr>
              <w:t xml:space="preserve"> </w:t>
            </w:r>
            <w:proofErr w:type="spellStart"/>
            <w:r w:rsidRPr="00770564">
              <w:rPr>
                <w:rFonts w:asciiTheme="majorHAnsi" w:hAnsiTheme="majorHAnsi"/>
                <w:b/>
                <w:bCs/>
                <w:i/>
                <w:color w:val="FFFFFF" w:themeColor="background1"/>
                <w:sz w:val="20"/>
                <w:szCs w:val="20"/>
              </w:rPr>
              <w:t>Ratione</w:t>
            </w:r>
            <w:proofErr w:type="spellEnd"/>
            <w:r w:rsidRPr="00770564">
              <w:rPr>
                <w:rFonts w:asciiTheme="majorHAnsi" w:hAnsiTheme="majorHAnsi"/>
                <w:b/>
                <w:bCs/>
                <w:i/>
                <w:color w:val="FFFFFF" w:themeColor="background1"/>
                <w:sz w:val="20"/>
                <w:szCs w:val="20"/>
              </w:rPr>
              <w:t xml:space="preserve"> loci</w:t>
            </w:r>
            <w:r w:rsidRPr="00770564">
              <w:rPr>
                <w:rFonts w:asciiTheme="majorHAnsi" w:hAnsiTheme="majorHAnsi"/>
                <w:b/>
                <w:bCs/>
                <w:color w:val="FFFFFF" w:themeColor="background1"/>
                <w:sz w:val="20"/>
                <w:szCs w:val="20"/>
              </w:rPr>
              <w:t>:</w:t>
            </w:r>
          </w:p>
        </w:tc>
        <w:tc>
          <w:tcPr>
            <w:tcW w:w="4680" w:type="dxa"/>
            <w:vAlign w:val="center"/>
          </w:tcPr>
          <w:p w:rsidR="003239B8" w:rsidRPr="00770564" w:rsidRDefault="00737FC0" w:rsidP="00CA61DE">
            <w:pPr>
              <w:rPr>
                <w:rFonts w:asciiTheme="majorHAnsi" w:hAnsiTheme="majorHAnsi"/>
                <w:bCs/>
                <w:sz w:val="20"/>
                <w:szCs w:val="20"/>
                <w:lang w:val="es-ES_tradnl"/>
              </w:rPr>
            </w:pPr>
            <w:r w:rsidRPr="00770564">
              <w:rPr>
                <w:rFonts w:asciiTheme="majorHAnsi" w:hAnsiTheme="majorHAnsi"/>
                <w:bCs/>
                <w:sz w:val="20"/>
                <w:szCs w:val="20"/>
                <w:lang w:val="es-ES_tradnl"/>
              </w:rPr>
              <w:t>S</w:t>
            </w:r>
            <w:r w:rsidR="00CA61DE" w:rsidRPr="00770564">
              <w:rPr>
                <w:rFonts w:asciiTheme="majorHAnsi" w:hAnsiTheme="majorHAnsi"/>
                <w:bCs/>
                <w:sz w:val="20"/>
                <w:szCs w:val="20"/>
                <w:lang w:val="es-ES_tradnl"/>
              </w:rPr>
              <w:t>í</w:t>
            </w:r>
            <w:r w:rsidRPr="00770564">
              <w:rPr>
                <w:rFonts w:asciiTheme="majorHAnsi" w:hAnsiTheme="majorHAnsi"/>
                <w:bCs/>
                <w:sz w:val="20"/>
                <w:szCs w:val="20"/>
                <w:lang w:val="es-ES_tradnl"/>
              </w:rPr>
              <w:t xml:space="preserve"> </w:t>
            </w:r>
          </w:p>
        </w:tc>
      </w:tr>
      <w:tr w:rsidR="003239B8" w:rsidRPr="00770564" w:rsidTr="00457D04">
        <w:trPr>
          <w:cantSplit/>
        </w:trPr>
        <w:tc>
          <w:tcPr>
            <w:tcW w:w="4680" w:type="dxa"/>
            <w:tcBorders>
              <w:top w:val="single" w:sz="6" w:space="0" w:color="auto"/>
              <w:bottom w:val="single" w:sz="6" w:space="0" w:color="auto"/>
            </w:tcBorders>
            <w:shd w:val="clear" w:color="auto" w:fill="386294"/>
            <w:vAlign w:val="center"/>
          </w:tcPr>
          <w:p w:rsidR="003239B8" w:rsidRPr="00770564" w:rsidRDefault="003239B8" w:rsidP="00457D04">
            <w:pPr>
              <w:jc w:val="center"/>
              <w:rPr>
                <w:rFonts w:asciiTheme="majorHAnsi" w:hAnsiTheme="majorHAnsi"/>
                <w:b/>
                <w:bCs/>
                <w:color w:val="FFFFFF" w:themeColor="background1"/>
                <w:sz w:val="20"/>
                <w:szCs w:val="20"/>
                <w:lang w:val="es-ES_tradnl"/>
              </w:rPr>
            </w:pPr>
            <w:r w:rsidRPr="00770564">
              <w:rPr>
                <w:rFonts w:asciiTheme="majorHAnsi" w:hAnsiTheme="majorHAnsi"/>
                <w:b/>
                <w:bCs/>
                <w:color w:val="FFFFFF" w:themeColor="background1"/>
                <w:sz w:val="20"/>
                <w:szCs w:val="20"/>
                <w:lang w:val="es-ES_tradnl"/>
              </w:rPr>
              <w:t>Competencia</w:t>
            </w:r>
            <w:r w:rsidRPr="00770564">
              <w:rPr>
                <w:rFonts w:asciiTheme="majorHAnsi" w:hAnsiTheme="majorHAnsi"/>
                <w:b/>
                <w:bCs/>
                <w:i/>
                <w:color w:val="FFFFFF" w:themeColor="background1"/>
                <w:sz w:val="20"/>
                <w:szCs w:val="20"/>
                <w:lang w:val="es-ES_tradnl"/>
              </w:rPr>
              <w:t xml:space="preserve"> Ratione temporis</w:t>
            </w:r>
            <w:r w:rsidRPr="00770564">
              <w:rPr>
                <w:rFonts w:asciiTheme="majorHAnsi" w:hAnsiTheme="majorHAnsi"/>
                <w:b/>
                <w:bCs/>
                <w:color w:val="FFFFFF" w:themeColor="background1"/>
                <w:sz w:val="20"/>
                <w:szCs w:val="20"/>
                <w:lang w:val="es-ES_tradnl"/>
              </w:rPr>
              <w:t>:</w:t>
            </w:r>
          </w:p>
        </w:tc>
        <w:tc>
          <w:tcPr>
            <w:tcW w:w="4680" w:type="dxa"/>
            <w:vAlign w:val="center"/>
          </w:tcPr>
          <w:p w:rsidR="003239B8" w:rsidRPr="00770564" w:rsidRDefault="00737FC0" w:rsidP="00CA61DE">
            <w:pPr>
              <w:rPr>
                <w:rFonts w:asciiTheme="majorHAnsi" w:hAnsiTheme="majorHAnsi"/>
                <w:bCs/>
                <w:sz w:val="20"/>
                <w:szCs w:val="20"/>
                <w:lang w:val="es-ES_tradnl"/>
              </w:rPr>
            </w:pPr>
            <w:r w:rsidRPr="00770564">
              <w:rPr>
                <w:rFonts w:asciiTheme="majorHAnsi" w:hAnsiTheme="majorHAnsi"/>
                <w:bCs/>
                <w:sz w:val="20"/>
                <w:szCs w:val="20"/>
                <w:lang w:val="es-ES_tradnl"/>
              </w:rPr>
              <w:t>S</w:t>
            </w:r>
            <w:r w:rsidR="00CA61DE" w:rsidRPr="00770564">
              <w:rPr>
                <w:rFonts w:asciiTheme="majorHAnsi" w:hAnsiTheme="majorHAnsi"/>
                <w:bCs/>
                <w:sz w:val="20"/>
                <w:szCs w:val="20"/>
                <w:lang w:val="es-ES_tradnl"/>
              </w:rPr>
              <w:t>í</w:t>
            </w:r>
          </w:p>
        </w:tc>
      </w:tr>
      <w:tr w:rsidR="003239B8" w:rsidRPr="00456483" w:rsidTr="00457D04">
        <w:trPr>
          <w:cantSplit/>
        </w:trPr>
        <w:tc>
          <w:tcPr>
            <w:tcW w:w="4680" w:type="dxa"/>
            <w:tcBorders>
              <w:top w:val="single" w:sz="6" w:space="0" w:color="auto"/>
              <w:bottom w:val="single" w:sz="6" w:space="0" w:color="auto"/>
            </w:tcBorders>
            <w:shd w:val="clear" w:color="auto" w:fill="386294"/>
            <w:vAlign w:val="center"/>
          </w:tcPr>
          <w:p w:rsidR="003239B8" w:rsidRPr="00770564" w:rsidRDefault="003239B8" w:rsidP="00457D04">
            <w:pPr>
              <w:jc w:val="center"/>
              <w:rPr>
                <w:rFonts w:asciiTheme="majorHAnsi" w:hAnsiTheme="majorHAnsi"/>
                <w:b/>
                <w:bCs/>
                <w:color w:val="FFFFFF" w:themeColor="background1"/>
                <w:sz w:val="20"/>
                <w:szCs w:val="20"/>
                <w:lang w:val="es-ES_tradnl"/>
              </w:rPr>
            </w:pPr>
            <w:r w:rsidRPr="00770564">
              <w:rPr>
                <w:rFonts w:asciiTheme="majorHAnsi" w:hAnsiTheme="majorHAnsi"/>
                <w:b/>
                <w:bCs/>
                <w:color w:val="FFFFFF" w:themeColor="background1"/>
                <w:sz w:val="20"/>
                <w:szCs w:val="20"/>
                <w:lang w:val="es-ES_tradnl"/>
              </w:rPr>
              <w:t>Competencia</w:t>
            </w:r>
            <w:r w:rsidRPr="00770564">
              <w:rPr>
                <w:rFonts w:asciiTheme="majorHAnsi" w:hAnsiTheme="majorHAnsi"/>
                <w:b/>
                <w:bCs/>
                <w:i/>
                <w:color w:val="FFFFFF" w:themeColor="background1"/>
                <w:sz w:val="20"/>
                <w:szCs w:val="20"/>
                <w:lang w:val="es-ES_tradnl"/>
              </w:rPr>
              <w:t xml:space="preserve"> Ratione materia</w:t>
            </w:r>
            <w:r w:rsidR="00EE00E9" w:rsidRPr="00770564">
              <w:rPr>
                <w:rFonts w:asciiTheme="majorHAnsi" w:hAnsiTheme="majorHAnsi"/>
                <w:b/>
                <w:bCs/>
                <w:i/>
                <w:color w:val="FFFFFF" w:themeColor="background1"/>
                <w:sz w:val="20"/>
                <w:szCs w:val="20"/>
                <w:lang w:val="es-ES_tradnl"/>
              </w:rPr>
              <w:t>e</w:t>
            </w:r>
            <w:r w:rsidRPr="00770564">
              <w:rPr>
                <w:rFonts w:asciiTheme="majorHAnsi" w:hAnsiTheme="majorHAnsi"/>
                <w:b/>
                <w:bCs/>
                <w:color w:val="FFFFFF" w:themeColor="background1"/>
                <w:sz w:val="20"/>
                <w:szCs w:val="20"/>
                <w:lang w:val="es-ES_tradnl"/>
              </w:rPr>
              <w:t>:</w:t>
            </w:r>
          </w:p>
        </w:tc>
        <w:tc>
          <w:tcPr>
            <w:tcW w:w="4680" w:type="dxa"/>
            <w:vAlign w:val="center"/>
          </w:tcPr>
          <w:p w:rsidR="003239B8" w:rsidRPr="00770564" w:rsidRDefault="00737FC0" w:rsidP="00737FC0">
            <w:pPr>
              <w:pStyle w:val="Default"/>
              <w:jc w:val="both"/>
              <w:rPr>
                <w:rFonts w:asciiTheme="majorHAnsi" w:hAnsiTheme="majorHAnsi"/>
                <w:bCs/>
                <w:sz w:val="20"/>
                <w:szCs w:val="20"/>
                <w:lang w:val="es-ES_tradnl"/>
              </w:rPr>
            </w:pPr>
            <w:r w:rsidRPr="00770564">
              <w:rPr>
                <w:rFonts w:asciiTheme="majorHAnsi" w:hAnsiTheme="majorHAnsi"/>
                <w:sz w:val="20"/>
                <w:szCs w:val="20"/>
                <w:lang w:val="es-ES_tradnl"/>
              </w:rPr>
              <w:t>Sí, Convención Americana (depósito de instrumento realizado el 24 de marzo de 1981)</w:t>
            </w:r>
          </w:p>
        </w:tc>
      </w:tr>
    </w:tbl>
    <w:p w:rsidR="003239B8" w:rsidRPr="00770564" w:rsidRDefault="003239B8" w:rsidP="003239B8">
      <w:pPr>
        <w:spacing w:before="240" w:after="240"/>
        <w:ind w:firstLine="720"/>
        <w:jc w:val="both"/>
        <w:rPr>
          <w:rFonts w:asciiTheme="majorHAnsi" w:hAnsiTheme="majorHAnsi"/>
          <w:b/>
          <w:bCs/>
          <w:sz w:val="20"/>
          <w:szCs w:val="20"/>
          <w:lang w:val="es-ES"/>
        </w:rPr>
      </w:pPr>
      <w:r w:rsidRPr="00770564">
        <w:rPr>
          <w:rFonts w:asciiTheme="majorHAnsi" w:hAnsiTheme="majorHAnsi"/>
          <w:b/>
          <w:bCs/>
          <w:sz w:val="20"/>
          <w:szCs w:val="20"/>
          <w:lang w:val="es-ES"/>
        </w:rPr>
        <w:t xml:space="preserve">IV. </w:t>
      </w:r>
      <w:r w:rsidRPr="00770564">
        <w:rPr>
          <w:rFonts w:asciiTheme="majorHAnsi" w:hAnsiTheme="majorHAnsi"/>
          <w:b/>
          <w:bCs/>
          <w:sz w:val="20"/>
          <w:szCs w:val="20"/>
          <w:lang w:val="es-ES"/>
        </w:rPr>
        <w:tab/>
        <w:t>ANÁLISIS DE</w:t>
      </w:r>
      <w:r w:rsidR="00EE00E9" w:rsidRPr="00770564">
        <w:rPr>
          <w:rFonts w:asciiTheme="majorHAnsi" w:hAnsiTheme="majorHAnsi"/>
          <w:b/>
          <w:bCs/>
          <w:sz w:val="20"/>
          <w:szCs w:val="20"/>
          <w:lang w:val="es-ES"/>
        </w:rPr>
        <w:t xml:space="preserve"> DUPLICACIÓN</w:t>
      </w:r>
      <w:r w:rsidR="00EE00E9" w:rsidRPr="00770564">
        <w:rPr>
          <w:rFonts w:asciiTheme="majorHAnsi" w:hAnsiTheme="majorHAnsi"/>
          <w:b/>
          <w:bCs/>
          <w:color w:val="FFFFFF" w:themeColor="background1"/>
          <w:sz w:val="20"/>
          <w:szCs w:val="20"/>
          <w:lang w:val="es-ES"/>
        </w:rPr>
        <w:t xml:space="preserve"> </w:t>
      </w:r>
      <w:r w:rsidR="00EE00E9" w:rsidRPr="00770564">
        <w:rPr>
          <w:rFonts w:asciiTheme="majorHAnsi" w:hAnsiTheme="majorHAnsi"/>
          <w:b/>
          <w:bCs/>
          <w:sz w:val="20"/>
          <w:szCs w:val="20"/>
          <w:lang w:val="es-ES"/>
        </w:rPr>
        <w:t>DE PROCEDIMIENTOS Y COSA JUZGADA</w:t>
      </w:r>
      <w:r w:rsidR="00EE00E9" w:rsidRPr="00770564">
        <w:rPr>
          <w:rFonts w:asciiTheme="majorHAnsi" w:hAnsiTheme="majorHAnsi"/>
          <w:b/>
          <w:bCs/>
          <w:i/>
          <w:sz w:val="20"/>
          <w:szCs w:val="20"/>
          <w:lang w:val="es-ES"/>
        </w:rPr>
        <w:t xml:space="preserve"> </w:t>
      </w:r>
      <w:r w:rsidR="00EE00E9" w:rsidRPr="00770564">
        <w:rPr>
          <w:rFonts w:asciiTheme="majorHAnsi" w:hAnsiTheme="majorHAnsi"/>
          <w:b/>
          <w:bCs/>
          <w:sz w:val="20"/>
          <w:szCs w:val="20"/>
          <w:lang w:val="es-ES"/>
        </w:rPr>
        <w:t xml:space="preserve">INTERNACIONAL, </w:t>
      </w:r>
      <w:r w:rsidRPr="00770564">
        <w:rPr>
          <w:rFonts w:asciiTheme="majorHAnsi" w:hAnsiTheme="majorHAnsi"/>
          <w:b/>
          <w:bCs/>
          <w:sz w:val="20"/>
          <w:szCs w:val="20"/>
          <w:lang w:val="es-ES"/>
        </w:rPr>
        <w:t xml:space="preserve"> CARACTERIZACIÓN, </w:t>
      </w:r>
      <w:r w:rsidRPr="0077056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22"/>
        <w:gridCol w:w="4620"/>
      </w:tblGrid>
      <w:tr w:rsidR="00EE00E9" w:rsidRPr="00770564" w:rsidTr="00457D04">
        <w:trPr>
          <w:cantSplit/>
        </w:trPr>
        <w:tc>
          <w:tcPr>
            <w:tcW w:w="4680" w:type="dxa"/>
            <w:tcBorders>
              <w:top w:val="single" w:sz="4" w:space="0" w:color="auto"/>
              <w:bottom w:val="single" w:sz="6" w:space="0" w:color="auto"/>
            </w:tcBorders>
            <w:shd w:val="clear" w:color="auto" w:fill="386294"/>
            <w:vAlign w:val="center"/>
          </w:tcPr>
          <w:p w:rsidR="00EE00E9" w:rsidRPr="00770564" w:rsidRDefault="00EE00E9" w:rsidP="00457D04">
            <w:pPr>
              <w:jc w:val="center"/>
              <w:rPr>
                <w:rFonts w:asciiTheme="majorHAnsi" w:hAnsiTheme="majorHAnsi"/>
                <w:b/>
                <w:bCs/>
                <w:color w:val="FFFFFF" w:themeColor="background1"/>
                <w:sz w:val="20"/>
                <w:szCs w:val="20"/>
                <w:lang w:val="es-ES"/>
              </w:rPr>
            </w:pPr>
            <w:r w:rsidRPr="00770564">
              <w:rPr>
                <w:rFonts w:asciiTheme="majorHAnsi" w:hAnsiTheme="majorHAnsi"/>
                <w:b/>
                <w:bCs/>
                <w:color w:val="FFFFFF" w:themeColor="background1"/>
                <w:sz w:val="20"/>
                <w:szCs w:val="20"/>
                <w:lang w:val="es-ES"/>
              </w:rPr>
              <w:t>Duplicación de procedimientos y cosa juzgada internacional:</w:t>
            </w:r>
          </w:p>
        </w:tc>
        <w:tc>
          <w:tcPr>
            <w:tcW w:w="4680" w:type="dxa"/>
            <w:vAlign w:val="center"/>
          </w:tcPr>
          <w:p w:rsidR="00EE00E9" w:rsidRPr="00770564" w:rsidRDefault="00737FC0" w:rsidP="00457D04">
            <w:pPr>
              <w:jc w:val="both"/>
              <w:rPr>
                <w:rFonts w:asciiTheme="majorHAnsi" w:hAnsiTheme="majorHAnsi"/>
                <w:bCs/>
                <w:sz w:val="20"/>
                <w:szCs w:val="20"/>
                <w:lang w:val="es-ES"/>
              </w:rPr>
            </w:pPr>
            <w:r w:rsidRPr="00770564">
              <w:rPr>
                <w:rFonts w:asciiTheme="majorHAnsi" w:hAnsiTheme="majorHAnsi"/>
                <w:bCs/>
                <w:sz w:val="20"/>
                <w:szCs w:val="20"/>
                <w:lang w:val="es-ES"/>
              </w:rPr>
              <w:t>No</w:t>
            </w:r>
          </w:p>
        </w:tc>
      </w:tr>
      <w:tr w:rsidR="003239B8" w:rsidRPr="00456483" w:rsidTr="00457D04">
        <w:trPr>
          <w:cantSplit/>
        </w:trPr>
        <w:tc>
          <w:tcPr>
            <w:tcW w:w="4680" w:type="dxa"/>
            <w:tcBorders>
              <w:top w:val="single" w:sz="4" w:space="0" w:color="auto"/>
              <w:bottom w:val="single" w:sz="6" w:space="0" w:color="auto"/>
            </w:tcBorders>
            <w:shd w:val="clear" w:color="auto" w:fill="386294"/>
            <w:vAlign w:val="center"/>
          </w:tcPr>
          <w:p w:rsidR="003239B8" w:rsidRPr="00770564" w:rsidRDefault="003239B8" w:rsidP="00457D04">
            <w:pPr>
              <w:jc w:val="center"/>
              <w:rPr>
                <w:rFonts w:asciiTheme="majorHAnsi" w:hAnsiTheme="majorHAnsi"/>
                <w:b/>
                <w:bCs/>
                <w:i/>
                <w:color w:val="FFFFFF" w:themeColor="background1"/>
                <w:sz w:val="20"/>
                <w:szCs w:val="20"/>
              </w:rPr>
            </w:pPr>
            <w:r w:rsidRPr="00770564">
              <w:rPr>
                <w:rFonts w:asciiTheme="majorHAnsi" w:hAnsiTheme="majorHAnsi"/>
                <w:b/>
                <w:bCs/>
                <w:color w:val="FFFFFF" w:themeColor="background1"/>
                <w:sz w:val="20"/>
                <w:szCs w:val="20"/>
              </w:rPr>
              <w:lastRenderedPageBreak/>
              <w:t>Derechos declarados admisibles</w:t>
            </w:r>
            <w:r w:rsidRPr="00770564">
              <w:rPr>
                <w:rFonts w:asciiTheme="majorHAnsi" w:hAnsiTheme="majorHAnsi"/>
                <w:b/>
                <w:bCs/>
                <w:i/>
                <w:color w:val="FFFFFF" w:themeColor="background1"/>
                <w:sz w:val="20"/>
                <w:szCs w:val="20"/>
              </w:rPr>
              <w:t>:</w:t>
            </w:r>
          </w:p>
        </w:tc>
        <w:tc>
          <w:tcPr>
            <w:tcW w:w="4680" w:type="dxa"/>
            <w:vAlign w:val="center"/>
          </w:tcPr>
          <w:p w:rsidR="003239B8" w:rsidRPr="00770564" w:rsidRDefault="005D3753" w:rsidP="00457D04">
            <w:pPr>
              <w:jc w:val="both"/>
              <w:rPr>
                <w:rFonts w:asciiTheme="majorHAnsi" w:hAnsiTheme="majorHAnsi"/>
                <w:bCs/>
                <w:sz w:val="20"/>
                <w:szCs w:val="20"/>
                <w:lang w:val="es-AR"/>
              </w:rPr>
            </w:pPr>
            <w:r w:rsidRPr="00770564">
              <w:rPr>
                <w:rFonts w:asciiTheme="majorHAnsi" w:hAnsiTheme="majorHAnsi"/>
                <w:bCs/>
                <w:sz w:val="20"/>
                <w:szCs w:val="20"/>
                <w:lang w:val="es-ES_tradnl"/>
              </w:rPr>
              <w:t xml:space="preserve">Artículos 8 (garantías judiciales), 9 (legalidad y retroactividad), 13 (libertad de expresión) y 25 (protección judicial) en relación con los artículos 1.1 </w:t>
            </w:r>
            <w:r w:rsidRPr="00770564">
              <w:rPr>
                <w:rFonts w:asciiTheme="majorHAnsi" w:hAnsiTheme="majorHAnsi"/>
                <w:sz w:val="20"/>
                <w:szCs w:val="20"/>
                <w:lang w:val="es-CO"/>
              </w:rPr>
              <w:t>(obligación de respetar los derechos)</w:t>
            </w:r>
            <w:r w:rsidRPr="00770564">
              <w:rPr>
                <w:rFonts w:asciiTheme="majorHAnsi" w:hAnsiTheme="majorHAnsi"/>
                <w:bCs/>
                <w:sz w:val="20"/>
                <w:szCs w:val="20"/>
                <w:lang w:val="es-ES_tradnl"/>
              </w:rPr>
              <w:t xml:space="preserve"> y 2 (</w:t>
            </w:r>
            <w:r w:rsidRPr="00770564">
              <w:rPr>
                <w:rFonts w:asciiTheme="majorHAnsi" w:hAnsiTheme="majorHAnsi" w:cs="Tahoma"/>
                <w:bCs/>
                <w:color w:val="000000"/>
                <w:sz w:val="20"/>
                <w:szCs w:val="20"/>
                <w:lang w:val="es-ES"/>
              </w:rPr>
              <w:t xml:space="preserve">deber de adoptar disposiciones de derecho interno) </w:t>
            </w:r>
            <w:r w:rsidRPr="00770564">
              <w:rPr>
                <w:rFonts w:asciiTheme="majorHAnsi" w:hAnsiTheme="majorHAnsi"/>
                <w:bCs/>
                <w:sz w:val="20"/>
                <w:szCs w:val="20"/>
                <w:lang w:val="es-ES_tradnl"/>
              </w:rPr>
              <w:t>de la Convención Americana</w:t>
            </w:r>
          </w:p>
        </w:tc>
      </w:tr>
      <w:tr w:rsidR="003239B8" w:rsidRPr="00770564" w:rsidTr="00457D04">
        <w:trPr>
          <w:cantSplit/>
        </w:trPr>
        <w:tc>
          <w:tcPr>
            <w:tcW w:w="4680" w:type="dxa"/>
            <w:tcBorders>
              <w:top w:val="single" w:sz="6" w:space="0" w:color="auto"/>
              <w:bottom w:val="single" w:sz="6" w:space="0" w:color="auto"/>
            </w:tcBorders>
            <w:shd w:val="clear" w:color="auto" w:fill="386294"/>
            <w:vAlign w:val="center"/>
          </w:tcPr>
          <w:p w:rsidR="003239B8" w:rsidRPr="00770564" w:rsidRDefault="003239B8" w:rsidP="00457D04">
            <w:pPr>
              <w:jc w:val="center"/>
              <w:rPr>
                <w:rFonts w:asciiTheme="majorHAnsi" w:hAnsiTheme="majorHAnsi"/>
                <w:b/>
                <w:bCs/>
                <w:color w:val="FFFFFF" w:themeColor="background1"/>
                <w:sz w:val="20"/>
                <w:szCs w:val="20"/>
                <w:lang w:val="es-ES"/>
              </w:rPr>
            </w:pPr>
            <w:r w:rsidRPr="00770564">
              <w:rPr>
                <w:rFonts w:asciiTheme="majorHAnsi" w:hAnsiTheme="majorHAnsi"/>
                <w:b/>
                <w:bCs/>
                <w:color w:val="FFFFFF" w:themeColor="background1"/>
                <w:sz w:val="20"/>
                <w:szCs w:val="20"/>
                <w:lang w:val="es-ES"/>
              </w:rPr>
              <w:t>Agotamiento de recursos internos</w:t>
            </w:r>
            <w:r w:rsidR="00EE00E9" w:rsidRPr="00770564">
              <w:rPr>
                <w:rFonts w:asciiTheme="majorHAnsi" w:hAnsiTheme="majorHAnsi"/>
                <w:b/>
                <w:bCs/>
                <w:color w:val="FFFFFF" w:themeColor="background1"/>
                <w:sz w:val="20"/>
                <w:szCs w:val="20"/>
                <w:lang w:val="es-ES"/>
              </w:rPr>
              <w:t xml:space="preserve"> o procedencia de una excepción</w:t>
            </w:r>
            <w:r w:rsidRPr="00770564">
              <w:rPr>
                <w:rFonts w:asciiTheme="majorHAnsi" w:hAnsiTheme="majorHAnsi"/>
                <w:b/>
                <w:bCs/>
                <w:color w:val="FFFFFF" w:themeColor="background1"/>
                <w:sz w:val="20"/>
                <w:szCs w:val="20"/>
                <w:lang w:val="es-ES"/>
              </w:rPr>
              <w:t>:</w:t>
            </w:r>
          </w:p>
        </w:tc>
        <w:tc>
          <w:tcPr>
            <w:tcW w:w="4680" w:type="dxa"/>
            <w:vAlign w:val="center"/>
          </w:tcPr>
          <w:p w:rsidR="003239B8" w:rsidRPr="00770564" w:rsidRDefault="00E3634B" w:rsidP="00504870">
            <w:pPr>
              <w:rPr>
                <w:rFonts w:asciiTheme="majorHAnsi" w:hAnsiTheme="majorHAnsi"/>
                <w:b/>
                <w:bCs/>
                <w:sz w:val="20"/>
                <w:szCs w:val="20"/>
                <w:lang w:val="es-ES"/>
              </w:rPr>
            </w:pPr>
            <w:r w:rsidRPr="00770564">
              <w:rPr>
                <w:rFonts w:asciiTheme="majorHAnsi" w:hAnsiTheme="majorHAnsi"/>
                <w:bCs/>
                <w:sz w:val="20"/>
                <w:szCs w:val="20"/>
                <w:lang w:val="es-ES"/>
              </w:rPr>
              <w:t>S</w:t>
            </w:r>
            <w:r w:rsidR="00CA61DE" w:rsidRPr="00770564">
              <w:rPr>
                <w:rFonts w:asciiTheme="majorHAnsi" w:hAnsiTheme="majorHAnsi"/>
                <w:bCs/>
                <w:sz w:val="20"/>
                <w:szCs w:val="20"/>
                <w:lang w:val="es-ES"/>
              </w:rPr>
              <w:t>í</w:t>
            </w:r>
            <w:r w:rsidR="005D3753" w:rsidRPr="00770564">
              <w:rPr>
                <w:rFonts w:asciiTheme="majorHAnsi" w:hAnsiTheme="majorHAnsi"/>
                <w:bCs/>
                <w:sz w:val="20"/>
                <w:szCs w:val="20"/>
                <w:lang w:val="es-ES"/>
              </w:rPr>
              <w:t>, 26 de agosto de 2009</w:t>
            </w:r>
          </w:p>
        </w:tc>
      </w:tr>
      <w:tr w:rsidR="003239B8" w:rsidRPr="00770564" w:rsidTr="00457D04">
        <w:trPr>
          <w:cantSplit/>
        </w:trPr>
        <w:tc>
          <w:tcPr>
            <w:tcW w:w="4680" w:type="dxa"/>
            <w:tcBorders>
              <w:top w:val="single" w:sz="6" w:space="0" w:color="auto"/>
              <w:bottom w:val="single" w:sz="6" w:space="0" w:color="auto"/>
            </w:tcBorders>
            <w:shd w:val="clear" w:color="auto" w:fill="386294"/>
            <w:vAlign w:val="center"/>
          </w:tcPr>
          <w:p w:rsidR="003239B8" w:rsidRPr="00770564" w:rsidRDefault="003239B8" w:rsidP="00457D04">
            <w:pPr>
              <w:jc w:val="center"/>
              <w:rPr>
                <w:rFonts w:asciiTheme="majorHAnsi" w:hAnsiTheme="majorHAnsi"/>
                <w:b/>
                <w:bCs/>
                <w:color w:val="FFFFFF" w:themeColor="background1"/>
                <w:sz w:val="20"/>
                <w:szCs w:val="20"/>
                <w:lang w:val="es-ES_tradnl"/>
              </w:rPr>
            </w:pPr>
            <w:r w:rsidRPr="00770564">
              <w:rPr>
                <w:rFonts w:asciiTheme="majorHAnsi" w:hAnsiTheme="majorHAnsi"/>
                <w:b/>
                <w:bCs/>
                <w:color w:val="FFFFFF" w:themeColor="background1"/>
                <w:sz w:val="20"/>
                <w:szCs w:val="20"/>
                <w:lang w:val="es-ES_tradnl"/>
              </w:rPr>
              <w:t>Presentación dentro de plazo:</w:t>
            </w:r>
          </w:p>
        </w:tc>
        <w:tc>
          <w:tcPr>
            <w:tcW w:w="4680" w:type="dxa"/>
            <w:vAlign w:val="center"/>
          </w:tcPr>
          <w:p w:rsidR="003239B8" w:rsidRPr="00770564" w:rsidRDefault="00E3634B" w:rsidP="00CA61DE">
            <w:pPr>
              <w:rPr>
                <w:rFonts w:asciiTheme="majorHAnsi" w:hAnsiTheme="majorHAnsi"/>
                <w:bCs/>
                <w:sz w:val="20"/>
                <w:szCs w:val="20"/>
                <w:lang w:val="es-ES_tradnl"/>
              </w:rPr>
            </w:pPr>
            <w:r w:rsidRPr="00770564">
              <w:rPr>
                <w:rFonts w:asciiTheme="majorHAnsi" w:hAnsiTheme="majorHAnsi"/>
                <w:bCs/>
                <w:sz w:val="20"/>
                <w:szCs w:val="20"/>
                <w:lang w:val="es-ES_tradnl"/>
              </w:rPr>
              <w:t>S</w:t>
            </w:r>
            <w:r w:rsidR="00CA61DE" w:rsidRPr="00770564">
              <w:rPr>
                <w:rFonts w:asciiTheme="majorHAnsi" w:hAnsiTheme="majorHAnsi"/>
                <w:bCs/>
                <w:sz w:val="20"/>
                <w:szCs w:val="20"/>
                <w:lang w:val="es-ES_tradnl"/>
              </w:rPr>
              <w:t>í</w:t>
            </w:r>
            <w:r w:rsidR="005D3753" w:rsidRPr="00770564">
              <w:rPr>
                <w:rFonts w:asciiTheme="majorHAnsi" w:hAnsiTheme="majorHAnsi"/>
                <w:bCs/>
                <w:sz w:val="20"/>
                <w:szCs w:val="20"/>
                <w:lang w:val="es-ES_tradnl"/>
              </w:rPr>
              <w:t>, , 26 de febrero de 2010</w:t>
            </w:r>
            <w:r w:rsidRPr="00770564">
              <w:rPr>
                <w:rFonts w:asciiTheme="majorHAnsi" w:hAnsiTheme="majorHAnsi"/>
                <w:bCs/>
                <w:sz w:val="20"/>
                <w:szCs w:val="20"/>
                <w:lang w:val="es-ES_tradnl"/>
              </w:rPr>
              <w:t xml:space="preserve"> </w:t>
            </w:r>
          </w:p>
        </w:tc>
      </w:tr>
    </w:tbl>
    <w:p w:rsidR="003239B8" w:rsidRPr="00770564" w:rsidRDefault="000666BF"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V.</w:t>
      </w:r>
      <w:r w:rsidR="00223A29" w:rsidRPr="00770564">
        <w:rPr>
          <w:rFonts w:asciiTheme="majorHAnsi" w:hAnsiTheme="majorHAnsi"/>
          <w:b/>
          <w:sz w:val="20"/>
          <w:szCs w:val="20"/>
          <w:lang w:val="es-UY"/>
        </w:rPr>
        <w:tab/>
      </w:r>
      <w:r w:rsidR="003239B8" w:rsidRPr="00770564">
        <w:rPr>
          <w:rFonts w:asciiTheme="majorHAnsi" w:hAnsiTheme="majorHAnsi"/>
          <w:b/>
          <w:sz w:val="20"/>
          <w:szCs w:val="20"/>
          <w:lang w:val="es-UY"/>
        </w:rPr>
        <w:t xml:space="preserve">HECHOS ALEGADOS </w:t>
      </w:r>
    </w:p>
    <w:p w:rsidR="00CA51A1" w:rsidRPr="00770564" w:rsidRDefault="0027112F" w:rsidP="0022025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ES_tradnl"/>
        </w:rPr>
      </w:pPr>
      <w:r w:rsidRPr="00770564">
        <w:rPr>
          <w:rFonts w:asciiTheme="majorHAnsi" w:hAnsiTheme="majorHAnsi"/>
          <w:color w:val="auto"/>
          <w:sz w:val="20"/>
          <w:szCs w:val="20"/>
          <w:lang w:val="es-UY"/>
        </w:rPr>
        <w:t>La petición se refiere a la presunta violación de</w:t>
      </w:r>
      <w:r w:rsidR="00022EAF" w:rsidRPr="00770564">
        <w:rPr>
          <w:rFonts w:asciiTheme="majorHAnsi" w:hAnsiTheme="majorHAnsi"/>
          <w:color w:val="auto"/>
          <w:sz w:val="20"/>
          <w:szCs w:val="20"/>
          <w:lang w:val="es-UY"/>
        </w:rPr>
        <w:t xml:space="preserve">l </w:t>
      </w:r>
      <w:r w:rsidRPr="00770564">
        <w:rPr>
          <w:rFonts w:asciiTheme="majorHAnsi" w:hAnsiTheme="majorHAnsi"/>
          <w:color w:val="auto"/>
          <w:sz w:val="20"/>
          <w:szCs w:val="20"/>
          <w:lang w:val="es-UY"/>
        </w:rPr>
        <w:t>derecho a la libertad de expresión</w:t>
      </w:r>
      <w:r w:rsidR="00022EAF" w:rsidRPr="00770564">
        <w:rPr>
          <w:rFonts w:asciiTheme="majorHAnsi" w:hAnsiTheme="majorHAnsi"/>
          <w:color w:val="auto"/>
          <w:sz w:val="20"/>
          <w:szCs w:val="20"/>
          <w:lang w:val="es-UY"/>
        </w:rPr>
        <w:t xml:space="preserve"> </w:t>
      </w:r>
      <w:r w:rsidR="00CC3BB3" w:rsidRPr="00770564">
        <w:rPr>
          <w:rFonts w:asciiTheme="majorHAnsi" w:hAnsiTheme="majorHAnsi"/>
          <w:color w:val="auto"/>
          <w:sz w:val="20"/>
          <w:szCs w:val="20"/>
          <w:lang w:val="es-UY"/>
        </w:rPr>
        <w:t xml:space="preserve">y </w:t>
      </w:r>
      <w:r w:rsidR="00811508" w:rsidRPr="00770564">
        <w:rPr>
          <w:rFonts w:asciiTheme="majorHAnsi" w:hAnsiTheme="majorHAnsi"/>
          <w:color w:val="auto"/>
          <w:sz w:val="20"/>
          <w:szCs w:val="20"/>
          <w:lang w:val="es-UY"/>
        </w:rPr>
        <w:t xml:space="preserve">el </w:t>
      </w:r>
      <w:r w:rsidR="00CC3BB3" w:rsidRPr="00770564">
        <w:rPr>
          <w:rFonts w:asciiTheme="majorHAnsi" w:hAnsiTheme="majorHAnsi"/>
          <w:color w:val="auto"/>
          <w:sz w:val="20"/>
          <w:szCs w:val="20"/>
          <w:lang w:val="es-UY"/>
        </w:rPr>
        <w:t>principio de legalidad</w:t>
      </w:r>
      <w:r w:rsidRPr="00770564">
        <w:rPr>
          <w:rFonts w:asciiTheme="majorHAnsi" w:hAnsiTheme="majorHAnsi"/>
          <w:color w:val="auto"/>
          <w:sz w:val="20"/>
          <w:szCs w:val="20"/>
          <w:lang w:val="es-UY"/>
        </w:rPr>
        <w:t xml:space="preserve"> en perjuicio de</w:t>
      </w:r>
      <w:r w:rsidR="00CA51A1" w:rsidRPr="00770564">
        <w:rPr>
          <w:rFonts w:asciiTheme="majorHAnsi" w:hAnsiTheme="majorHAnsi"/>
          <w:color w:val="auto"/>
          <w:sz w:val="20"/>
          <w:szCs w:val="20"/>
          <w:lang w:val="es-UY"/>
        </w:rPr>
        <w:t xml:space="preserve"> tres </w:t>
      </w:r>
      <w:r w:rsidR="001C2E5E" w:rsidRPr="00770564">
        <w:rPr>
          <w:rFonts w:asciiTheme="majorHAnsi" w:hAnsiTheme="majorHAnsi"/>
          <w:color w:val="auto"/>
          <w:sz w:val="20"/>
          <w:szCs w:val="20"/>
          <w:lang w:val="es-UY"/>
        </w:rPr>
        <w:t xml:space="preserve">concesionarias de </w:t>
      </w:r>
      <w:r w:rsidR="00CA51A1" w:rsidRPr="00770564">
        <w:rPr>
          <w:rFonts w:asciiTheme="majorHAnsi" w:hAnsiTheme="majorHAnsi"/>
          <w:color w:val="auto"/>
          <w:sz w:val="20"/>
          <w:szCs w:val="20"/>
          <w:lang w:val="es-UY"/>
        </w:rPr>
        <w:t>medios de comunicación audiovisual</w:t>
      </w:r>
      <w:r w:rsidR="00CC3BB3" w:rsidRPr="00770564">
        <w:rPr>
          <w:rFonts w:asciiTheme="majorHAnsi" w:hAnsiTheme="majorHAnsi"/>
          <w:color w:val="auto"/>
          <w:sz w:val="20"/>
          <w:szCs w:val="20"/>
          <w:lang w:val="es-UY"/>
        </w:rPr>
        <w:t>es</w:t>
      </w:r>
      <w:r w:rsidR="00D243F5" w:rsidRPr="00770564">
        <w:rPr>
          <w:rFonts w:asciiTheme="majorHAnsi" w:hAnsiTheme="majorHAnsi"/>
          <w:color w:val="auto"/>
          <w:sz w:val="20"/>
          <w:szCs w:val="20"/>
          <w:lang w:val="es-UY"/>
        </w:rPr>
        <w:t xml:space="preserve"> y</w:t>
      </w:r>
      <w:r w:rsidR="00CA51A1" w:rsidRPr="00770564">
        <w:rPr>
          <w:rFonts w:asciiTheme="majorHAnsi" w:hAnsiTheme="majorHAnsi"/>
          <w:color w:val="auto"/>
          <w:sz w:val="20"/>
          <w:szCs w:val="20"/>
          <w:lang w:val="es-UY"/>
        </w:rPr>
        <w:t xml:space="preserve"> sus directivos</w:t>
      </w:r>
      <w:r w:rsidR="00CC3BB3" w:rsidRPr="00770564">
        <w:rPr>
          <w:rFonts w:asciiTheme="majorHAnsi" w:hAnsiTheme="majorHAnsi"/>
          <w:color w:val="auto"/>
          <w:sz w:val="20"/>
          <w:szCs w:val="20"/>
          <w:lang w:val="es-UY"/>
        </w:rPr>
        <w:t xml:space="preserve"> </w:t>
      </w:r>
      <w:r w:rsidR="00CA51A1" w:rsidRPr="00770564">
        <w:rPr>
          <w:rFonts w:asciiTheme="majorHAnsi" w:hAnsiTheme="majorHAnsi"/>
          <w:color w:val="auto"/>
          <w:sz w:val="20"/>
          <w:szCs w:val="20"/>
          <w:lang w:val="es-UY"/>
        </w:rPr>
        <w:t>como consecuencia de</w:t>
      </w:r>
      <w:r w:rsidRPr="00770564">
        <w:rPr>
          <w:rFonts w:asciiTheme="majorHAnsi" w:hAnsiTheme="majorHAnsi"/>
          <w:color w:val="auto"/>
          <w:sz w:val="20"/>
          <w:szCs w:val="20"/>
          <w:lang w:val="es-UY"/>
        </w:rPr>
        <w:t xml:space="preserve"> </w:t>
      </w:r>
      <w:r w:rsidR="001776F8" w:rsidRPr="00770564">
        <w:rPr>
          <w:rFonts w:asciiTheme="majorHAnsi" w:hAnsiTheme="majorHAnsi"/>
          <w:color w:val="auto"/>
          <w:sz w:val="20"/>
          <w:szCs w:val="20"/>
          <w:lang w:val="es-UY"/>
        </w:rPr>
        <w:t>sanciones</w:t>
      </w:r>
      <w:r w:rsidR="00CC3BB3" w:rsidRPr="00770564">
        <w:rPr>
          <w:rFonts w:asciiTheme="majorHAnsi" w:hAnsiTheme="majorHAnsi"/>
          <w:color w:val="auto"/>
          <w:sz w:val="20"/>
          <w:szCs w:val="20"/>
          <w:lang w:val="es-UY"/>
        </w:rPr>
        <w:t xml:space="preserve"> (</w:t>
      </w:r>
      <w:r w:rsidR="005773BD" w:rsidRPr="00770564">
        <w:rPr>
          <w:rFonts w:asciiTheme="majorHAnsi" w:hAnsiTheme="majorHAnsi"/>
          <w:color w:val="auto"/>
          <w:sz w:val="20"/>
          <w:szCs w:val="20"/>
          <w:lang w:val="es-UY"/>
        </w:rPr>
        <w:t xml:space="preserve">una orden de cesar la transmisión de contenidos y </w:t>
      </w:r>
      <w:r w:rsidR="00CA51A1" w:rsidRPr="00770564">
        <w:rPr>
          <w:rFonts w:asciiTheme="majorHAnsi" w:hAnsiTheme="majorHAnsi"/>
          <w:color w:val="auto"/>
          <w:sz w:val="20"/>
          <w:szCs w:val="20"/>
          <w:lang w:val="es-ES_tradnl"/>
        </w:rPr>
        <w:t>una</w:t>
      </w:r>
      <w:r w:rsidR="002C4338" w:rsidRPr="00770564">
        <w:rPr>
          <w:rFonts w:asciiTheme="majorHAnsi" w:hAnsiTheme="majorHAnsi"/>
          <w:color w:val="auto"/>
          <w:sz w:val="20"/>
          <w:szCs w:val="20"/>
          <w:lang w:val="es-ES_tradnl"/>
        </w:rPr>
        <w:t xml:space="preserve"> </w:t>
      </w:r>
      <w:r w:rsidR="005773BD" w:rsidRPr="00770564">
        <w:rPr>
          <w:rFonts w:asciiTheme="majorHAnsi" w:hAnsiTheme="majorHAnsi"/>
          <w:color w:val="auto"/>
          <w:sz w:val="20"/>
          <w:szCs w:val="20"/>
          <w:lang w:val="es-ES_tradnl"/>
        </w:rPr>
        <w:t>multa económica</w:t>
      </w:r>
      <w:r w:rsidR="00CC3BB3" w:rsidRPr="00770564">
        <w:rPr>
          <w:rFonts w:asciiTheme="majorHAnsi" w:hAnsiTheme="majorHAnsi"/>
          <w:color w:val="auto"/>
          <w:sz w:val="20"/>
          <w:szCs w:val="20"/>
          <w:lang w:val="es-ES_tradnl"/>
        </w:rPr>
        <w:t>)</w:t>
      </w:r>
      <w:r w:rsidR="002C4338" w:rsidRPr="00770564">
        <w:rPr>
          <w:rFonts w:asciiTheme="majorHAnsi" w:hAnsiTheme="majorHAnsi"/>
          <w:color w:val="auto"/>
          <w:sz w:val="20"/>
          <w:szCs w:val="20"/>
          <w:lang w:val="es-ES_tradnl"/>
        </w:rPr>
        <w:t xml:space="preserve"> impuesta</w:t>
      </w:r>
      <w:r w:rsidR="001776F8" w:rsidRPr="00770564">
        <w:rPr>
          <w:rFonts w:asciiTheme="majorHAnsi" w:hAnsiTheme="majorHAnsi"/>
          <w:color w:val="auto"/>
          <w:sz w:val="20"/>
          <w:szCs w:val="20"/>
          <w:lang w:val="es-ES_tradnl"/>
        </w:rPr>
        <w:t>s</w:t>
      </w:r>
      <w:r w:rsidR="002C4338" w:rsidRPr="00770564">
        <w:rPr>
          <w:rFonts w:asciiTheme="majorHAnsi" w:hAnsiTheme="majorHAnsi"/>
          <w:color w:val="auto"/>
          <w:sz w:val="20"/>
          <w:szCs w:val="20"/>
          <w:lang w:val="es-ES_tradnl"/>
        </w:rPr>
        <w:t xml:space="preserve"> </w:t>
      </w:r>
      <w:r w:rsidR="00CA51A1" w:rsidRPr="00770564">
        <w:rPr>
          <w:rFonts w:asciiTheme="majorHAnsi" w:hAnsiTheme="majorHAnsi"/>
          <w:color w:val="auto"/>
          <w:sz w:val="20"/>
          <w:szCs w:val="20"/>
          <w:lang w:val="es-ES_tradnl"/>
        </w:rPr>
        <w:t>a dich</w:t>
      </w:r>
      <w:r w:rsidR="001C2E5E" w:rsidRPr="00770564">
        <w:rPr>
          <w:rFonts w:asciiTheme="majorHAnsi" w:hAnsiTheme="majorHAnsi"/>
          <w:color w:val="auto"/>
          <w:sz w:val="20"/>
          <w:szCs w:val="20"/>
          <w:lang w:val="es-ES_tradnl"/>
        </w:rPr>
        <w:t xml:space="preserve">as concesionarias </w:t>
      </w:r>
      <w:r w:rsidR="00AB5401" w:rsidRPr="00770564">
        <w:rPr>
          <w:rFonts w:asciiTheme="majorHAnsi" w:hAnsiTheme="majorHAnsi"/>
          <w:color w:val="auto"/>
          <w:sz w:val="20"/>
          <w:szCs w:val="20"/>
          <w:lang w:val="es-ES_tradnl"/>
        </w:rPr>
        <w:t>en 2009</w:t>
      </w:r>
      <w:r w:rsidR="00220251" w:rsidRPr="00770564">
        <w:rPr>
          <w:rFonts w:asciiTheme="majorHAnsi" w:hAnsiTheme="majorHAnsi"/>
          <w:color w:val="auto"/>
          <w:sz w:val="20"/>
          <w:szCs w:val="20"/>
          <w:lang w:val="es-ES_tradnl"/>
        </w:rPr>
        <w:t xml:space="preserve"> por</w:t>
      </w:r>
      <w:r w:rsidR="00CA51A1" w:rsidRPr="00770564">
        <w:rPr>
          <w:rFonts w:asciiTheme="majorHAnsi" w:hAnsiTheme="majorHAnsi"/>
          <w:color w:val="auto"/>
          <w:sz w:val="20"/>
          <w:szCs w:val="20"/>
          <w:lang w:val="es-ES_tradnl"/>
        </w:rPr>
        <w:t xml:space="preserve"> </w:t>
      </w:r>
      <w:r w:rsidR="00CC3BB3" w:rsidRPr="00770564">
        <w:rPr>
          <w:rFonts w:asciiTheme="majorHAnsi" w:hAnsiTheme="majorHAnsi"/>
          <w:color w:val="auto"/>
          <w:sz w:val="20"/>
          <w:szCs w:val="20"/>
          <w:lang w:val="es-ES_tradnl"/>
        </w:rPr>
        <w:t>el Estado mexicano</w:t>
      </w:r>
      <w:r w:rsidR="00571258" w:rsidRPr="00770564">
        <w:rPr>
          <w:rFonts w:asciiTheme="majorHAnsi" w:hAnsiTheme="majorHAnsi"/>
          <w:color w:val="auto"/>
          <w:sz w:val="20"/>
          <w:szCs w:val="20"/>
          <w:lang w:val="es-ES_tradnl"/>
        </w:rPr>
        <w:t xml:space="preserve"> “por supuestamente haber contratado publicidad electoral y […] haber denigrado a algunos candidatos a cargos electivos</w:t>
      </w:r>
      <w:r w:rsidR="00CC3BB3" w:rsidRPr="00770564">
        <w:rPr>
          <w:rFonts w:asciiTheme="majorHAnsi" w:hAnsiTheme="majorHAnsi"/>
          <w:color w:val="auto"/>
          <w:sz w:val="20"/>
          <w:szCs w:val="20"/>
          <w:lang w:val="es-ES_tradnl"/>
        </w:rPr>
        <w:t xml:space="preserve"> y a un partido político en medio de unas elecciones”</w:t>
      </w:r>
      <w:r w:rsidR="00CA51A1" w:rsidRPr="00770564">
        <w:rPr>
          <w:rFonts w:asciiTheme="majorHAnsi" w:hAnsiTheme="majorHAnsi"/>
          <w:color w:val="auto"/>
          <w:sz w:val="20"/>
          <w:szCs w:val="20"/>
          <w:lang w:val="es-ES_tradnl"/>
        </w:rPr>
        <w:t xml:space="preserve">. Los peticionarios sostienen que </w:t>
      </w:r>
      <w:r w:rsidR="00553E44" w:rsidRPr="00770564">
        <w:rPr>
          <w:rFonts w:asciiTheme="majorHAnsi" w:hAnsiTheme="majorHAnsi"/>
          <w:color w:val="auto"/>
          <w:sz w:val="20"/>
          <w:szCs w:val="20"/>
          <w:lang w:val="es-ES_tradnl"/>
        </w:rPr>
        <w:t xml:space="preserve">las responsabilidades ulteriores establecidas </w:t>
      </w:r>
      <w:r w:rsidR="00ED204E" w:rsidRPr="00770564">
        <w:rPr>
          <w:rFonts w:asciiTheme="majorHAnsi" w:hAnsiTheme="majorHAnsi"/>
          <w:color w:val="auto"/>
          <w:sz w:val="20"/>
          <w:szCs w:val="20"/>
          <w:lang w:val="es-ES_tradnl"/>
        </w:rPr>
        <w:t xml:space="preserve">en este caso </w:t>
      </w:r>
      <w:r w:rsidR="00553E44" w:rsidRPr="00770564">
        <w:rPr>
          <w:rFonts w:asciiTheme="majorHAnsi" w:hAnsiTheme="majorHAnsi"/>
          <w:color w:val="auto"/>
          <w:sz w:val="20"/>
          <w:szCs w:val="20"/>
          <w:lang w:val="es-ES_tradnl"/>
        </w:rPr>
        <w:t xml:space="preserve">por la difusión de </w:t>
      </w:r>
      <w:r w:rsidR="0064135B" w:rsidRPr="00770564">
        <w:rPr>
          <w:rFonts w:asciiTheme="majorHAnsi" w:hAnsiTheme="majorHAnsi"/>
          <w:color w:val="auto"/>
          <w:sz w:val="20"/>
          <w:szCs w:val="20"/>
          <w:lang w:val="es-ES_tradnl"/>
        </w:rPr>
        <w:t xml:space="preserve">anuncios </w:t>
      </w:r>
      <w:r w:rsidR="00ED204E" w:rsidRPr="00770564">
        <w:rPr>
          <w:rFonts w:asciiTheme="majorHAnsi" w:hAnsiTheme="majorHAnsi"/>
          <w:color w:val="auto"/>
          <w:sz w:val="20"/>
          <w:szCs w:val="20"/>
          <w:lang w:val="es-ES_tradnl"/>
        </w:rPr>
        <w:t xml:space="preserve">publicitarios </w:t>
      </w:r>
      <w:r w:rsidR="0064135B" w:rsidRPr="00770564">
        <w:rPr>
          <w:rFonts w:asciiTheme="majorHAnsi" w:hAnsiTheme="majorHAnsi"/>
          <w:color w:val="auto"/>
          <w:sz w:val="20"/>
          <w:szCs w:val="20"/>
          <w:lang w:val="es-ES_tradnl"/>
        </w:rPr>
        <w:t xml:space="preserve">con </w:t>
      </w:r>
      <w:r w:rsidR="00553E44" w:rsidRPr="00770564">
        <w:rPr>
          <w:rFonts w:asciiTheme="majorHAnsi" w:hAnsiTheme="majorHAnsi"/>
          <w:color w:val="auto"/>
          <w:sz w:val="20"/>
          <w:szCs w:val="20"/>
          <w:lang w:val="es-ES_tradnl"/>
        </w:rPr>
        <w:t xml:space="preserve">contenido político </w:t>
      </w:r>
      <w:r w:rsidR="00B05D47" w:rsidRPr="00770564">
        <w:rPr>
          <w:rFonts w:asciiTheme="majorHAnsi" w:hAnsiTheme="majorHAnsi"/>
          <w:color w:val="auto"/>
          <w:sz w:val="20"/>
          <w:szCs w:val="20"/>
          <w:lang w:val="es-ES_tradnl"/>
        </w:rPr>
        <w:t>no satisface</w:t>
      </w:r>
      <w:r w:rsidR="00553E44" w:rsidRPr="00770564">
        <w:rPr>
          <w:rFonts w:asciiTheme="majorHAnsi" w:hAnsiTheme="majorHAnsi"/>
          <w:color w:val="auto"/>
          <w:sz w:val="20"/>
          <w:szCs w:val="20"/>
          <w:lang w:val="es-ES_tradnl"/>
        </w:rPr>
        <w:t>n</w:t>
      </w:r>
      <w:r w:rsidR="00B05D47" w:rsidRPr="00770564">
        <w:rPr>
          <w:rFonts w:asciiTheme="majorHAnsi" w:hAnsiTheme="majorHAnsi"/>
          <w:color w:val="auto"/>
          <w:sz w:val="20"/>
          <w:szCs w:val="20"/>
          <w:lang w:val="es-ES_tradnl"/>
        </w:rPr>
        <w:t xml:space="preserve"> </w:t>
      </w:r>
      <w:r w:rsidR="00553E44" w:rsidRPr="00770564">
        <w:rPr>
          <w:rFonts w:asciiTheme="majorHAnsi" w:hAnsiTheme="majorHAnsi"/>
          <w:color w:val="auto"/>
          <w:sz w:val="20"/>
          <w:szCs w:val="20"/>
          <w:lang w:val="es-ES_tradnl"/>
        </w:rPr>
        <w:t xml:space="preserve">los </w:t>
      </w:r>
      <w:r w:rsidR="00B05D47" w:rsidRPr="00770564">
        <w:rPr>
          <w:rFonts w:asciiTheme="majorHAnsi" w:hAnsiTheme="majorHAnsi"/>
          <w:color w:val="auto"/>
          <w:sz w:val="20"/>
          <w:szCs w:val="20"/>
          <w:lang w:val="es-ES_tradnl"/>
        </w:rPr>
        <w:t xml:space="preserve">requisitos de </w:t>
      </w:r>
      <w:r w:rsidR="00ED204E" w:rsidRPr="00770564">
        <w:rPr>
          <w:rFonts w:asciiTheme="majorHAnsi" w:hAnsiTheme="majorHAnsi"/>
          <w:color w:val="auto"/>
          <w:sz w:val="20"/>
          <w:szCs w:val="20"/>
          <w:lang w:val="es-ES_tradnl"/>
        </w:rPr>
        <w:t xml:space="preserve">legalidad, </w:t>
      </w:r>
      <w:r w:rsidR="00B05D47" w:rsidRPr="00770564">
        <w:rPr>
          <w:rFonts w:asciiTheme="majorHAnsi" w:hAnsiTheme="majorHAnsi"/>
          <w:color w:val="auto"/>
          <w:sz w:val="20"/>
          <w:szCs w:val="20"/>
          <w:lang w:val="es-ES_tradnl"/>
        </w:rPr>
        <w:t>necesidad y proporcionalidad.</w:t>
      </w:r>
    </w:p>
    <w:p w:rsidR="00A2763C" w:rsidRPr="00770564" w:rsidRDefault="00CA51A1" w:rsidP="0081150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ES_tradnl"/>
        </w:rPr>
      </w:pPr>
      <w:r w:rsidRPr="00770564">
        <w:rPr>
          <w:rFonts w:asciiTheme="majorHAnsi" w:hAnsiTheme="majorHAnsi"/>
          <w:color w:val="auto"/>
          <w:sz w:val="20"/>
          <w:szCs w:val="20"/>
          <w:lang w:val="es-ES_tradnl"/>
        </w:rPr>
        <w:t xml:space="preserve">Los peticionarios afirman que </w:t>
      </w:r>
      <w:r w:rsidR="00A2763C" w:rsidRPr="00770564">
        <w:rPr>
          <w:rFonts w:asciiTheme="majorHAnsi" w:hAnsiTheme="majorHAnsi"/>
          <w:color w:val="auto"/>
          <w:sz w:val="20"/>
          <w:szCs w:val="20"/>
          <w:lang w:val="es-ES_tradnl"/>
        </w:rPr>
        <w:t>e</w:t>
      </w:r>
      <w:r w:rsidR="00E547B1" w:rsidRPr="00770564">
        <w:rPr>
          <w:rFonts w:asciiTheme="majorHAnsi" w:hAnsiTheme="majorHAnsi"/>
          <w:color w:val="auto"/>
          <w:sz w:val="20"/>
          <w:szCs w:val="20"/>
          <w:lang w:val="es-ES_tradnl"/>
        </w:rPr>
        <w:t>n junio de 2009, la</w:t>
      </w:r>
      <w:r w:rsidR="001C2E5E" w:rsidRPr="00770564">
        <w:rPr>
          <w:rFonts w:asciiTheme="majorHAnsi" w:hAnsiTheme="majorHAnsi"/>
          <w:color w:val="auto"/>
          <w:sz w:val="20"/>
          <w:szCs w:val="20"/>
          <w:lang w:val="es-ES_tradnl"/>
        </w:rPr>
        <w:t xml:space="preserve"> empresa editorial Potros Editora S.A. acordó la difusión de anuncios publicitarios de su revista</w:t>
      </w:r>
      <w:r w:rsidR="001C2E5E" w:rsidRPr="00770564">
        <w:rPr>
          <w:rFonts w:asciiTheme="majorHAnsi" w:hAnsiTheme="majorHAnsi"/>
          <w:i/>
          <w:color w:val="auto"/>
          <w:sz w:val="20"/>
          <w:szCs w:val="20"/>
          <w:lang w:val="es-ES_tradnl"/>
        </w:rPr>
        <w:t xml:space="preserve"> Impacto </w:t>
      </w:r>
      <w:r w:rsidR="001C2E5E" w:rsidRPr="00770564">
        <w:rPr>
          <w:rFonts w:asciiTheme="majorHAnsi" w:hAnsiTheme="majorHAnsi"/>
          <w:color w:val="auto"/>
          <w:sz w:val="20"/>
          <w:szCs w:val="20"/>
          <w:lang w:val="es-ES_tradnl"/>
        </w:rPr>
        <w:t xml:space="preserve">con las concesionarias de televisión </w:t>
      </w:r>
      <w:r w:rsidR="001C2E5E" w:rsidRPr="00770564">
        <w:rPr>
          <w:rFonts w:asciiTheme="majorHAnsi" w:hAnsiTheme="majorHAnsi"/>
          <w:bCs/>
          <w:sz w:val="20"/>
          <w:szCs w:val="20"/>
          <w:lang w:val="es-ES_tradnl"/>
        </w:rPr>
        <w:t>Radiotelevisora de México Norte S.A. de C.V. (Canal 22), Cadena Televisora del Norte S.A. de C.V. (Canal 2) y Televimex S.A. de C.V (Canal 34, Canal 6+, Canal 10+).</w:t>
      </w:r>
      <w:r w:rsidR="001C2E5E" w:rsidRPr="00770564">
        <w:rPr>
          <w:rFonts w:asciiTheme="majorHAnsi" w:hAnsiTheme="majorHAnsi"/>
          <w:color w:val="auto"/>
          <w:sz w:val="20"/>
          <w:szCs w:val="20"/>
          <w:lang w:val="es-ES_tradnl"/>
        </w:rPr>
        <w:t xml:space="preserve"> </w:t>
      </w:r>
      <w:r w:rsidR="00A2763C" w:rsidRPr="00770564">
        <w:rPr>
          <w:rFonts w:asciiTheme="majorHAnsi" w:hAnsiTheme="majorHAnsi"/>
          <w:color w:val="auto"/>
          <w:sz w:val="20"/>
          <w:szCs w:val="20"/>
          <w:lang w:val="es-ES_tradnl"/>
        </w:rPr>
        <w:t xml:space="preserve"> </w:t>
      </w:r>
      <w:r w:rsidR="001C2E5E" w:rsidRPr="00770564">
        <w:rPr>
          <w:rFonts w:asciiTheme="majorHAnsi" w:hAnsiTheme="majorHAnsi"/>
          <w:color w:val="auto"/>
          <w:sz w:val="20"/>
          <w:szCs w:val="20"/>
          <w:lang w:val="es-ES_tradnl"/>
        </w:rPr>
        <w:t>Sostienen que</w:t>
      </w:r>
      <w:r w:rsidR="00BA6016" w:rsidRPr="00770564">
        <w:rPr>
          <w:rFonts w:asciiTheme="majorHAnsi" w:hAnsiTheme="majorHAnsi"/>
          <w:i/>
          <w:color w:val="auto"/>
          <w:sz w:val="20"/>
          <w:szCs w:val="20"/>
          <w:lang w:val="es-ES_tradnl"/>
        </w:rPr>
        <w:t xml:space="preserve"> Impacto</w:t>
      </w:r>
      <w:r w:rsidR="00BA6016" w:rsidRPr="00770564">
        <w:rPr>
          <w:rFonts w:asciiTheme="majorHAnsi" w:hAnsiTheme="majorHAnsi"/>
          <w:color w:val="auto"/>
          <w:sz w:val="20"/>
          <w:szCs w:val="20"/>
          <w:lang w:val="es-ES_tradnl"/>
        </w:rPr>
        <w:t xml:space="preserve"> es </w:t>
      </w:r>
      <w:r w:rsidR="00811508" w:rsidRPr="00770564">
        <w:rPr>
          <w:rFonts w:asciiTheme="majorHAnsi" w:hAnsiTheme="majorHAnsi"/>
          <w:color w:val="auto"/>
          <w:sz w:val="20"/>
          <w:szCs w:val="20"/>
          <w:lang w:val="es-ES_tradnl"/>
        </w:rPr>
        <w:t xml:space="preserve">una </w:t>
      </w:r>
      <w:r w:rsidR="00BA6016" w:rsidRPr="00770564">
        <w:rPr>
          <w:rFonts w:asciiTheme="majorHAnsi" w:hAnsiTheme="majorHAnsi"/>
          <w:color w:val="auto"/>
          <w:sz w:val="20"/>
          <w:szCs w:val="20"/>
          <w:lang w:val="es-ES_tradnl"/>
        </w:rPr>
        <w:t>revista semanal con más de 50 años de circulación nacional</w:t>
      </w:r>
      <w:r w:rsidR="00D22EBD" w:rsidRPr="00770564">
        <w:rPr>
          <w:rFonts w:asciiTheme="majorHAnsi" w:hAnsiTheme="majorHAnsi"/>
          <w:color w:val="auto"/>
          <w:sz w:val="20"/>
          <w:szCs w:val="20"/>
          <w:lang w:val="es-ES_tradnl"/>
        </w:rPr>
        <w:t xml:space="preserve">, </w:t>
      </w:r>
      <w:r w:rsidR="00BA6016" w:rsidRPr="00770564">
        <w:rPr>
          <w:rFonts w:asciiTheme="majorHAnsi" w:hAnsiTheme="majorHAnsi"/>
          <w:color w:val="auto"/>
          <w:sz w:val="20"/>
          <w:szCs w:val="20"/>
          <w:lang w:val="es-ES_tradnl"/>
        </w:rPr>
        <w:t xml:space="preserve">dedicada a la información y análisis político.  Los peticionarios indican que </w:t>
      </w:r>
      <w:r w:rsidR="001C2E5E" w:rsidRPr="00770564">
        <w:rPr>
          <w:rFonts w:asciiTheme="majorHAnsi" w:hAnsiTheme="majorHAnsi"/>
          <w:color w:val="auto"/>
          <w:sz w:val="20"/>
          <w:szCs w:val="20"/>
          <w:lang w:val="es-ES_tradnl"/>
        </w:rPr>
        <w:t>en cumplimiento de dichos contratos, “desde el 16 al 30 de junio de 2009, culminando cinco días antes de la jornada electoral del estado de Nuevo León del 5 de julio de 2009</w:t>
      </w:r>
      <w:r w:rsidR="00BA6016" w:rsidRPr="00770564">
        <w:rPr>
          <w:rFonts w:asciiTheme="majorHAnsi" w:hAnsiTheme="majorHAnsi"/>
          <w:color w:val="auto"/>
          <w:sz w:val="20"/>
          <w:szCs w:val="20"/>
          <w:lang w:val="es-ES_tradnl"/>
        </w:rPr>
        <w:t xml:space="preserve"> los canales mencionados difundieron tres promocionales anunciando la salida</w:t>
      </w:r>
      <w:r w:rsidR="001C2E5E" w:rsidRPr="00770564">
        <w:rPr>
          <w:rFonts w:asciiTheme="majorHAnsi" w:hAnsiTheme="majorHAnsi"/>
          <w:color w:val="auto"/>
          <w:sz w:val="20"/>
          <w:szCs w:val="20"/>
          <w:lang w:val="es-ES_tradnl"/>
        </w:rPr>
        <w:t xml:space="preserve"> </w:t>
      </w:r>
      <w:r w:rsidR="00BA6016" w:rsidRPr="00770564">
        <w:rPr>
          <w:rFonts w:asciiTheme="majorHAnsi" w:hAnsiTheme="majorHAnsi"/>
          <w:color w:val="auto"/>
          <w:sz w:val="20"/>
          <w:szCs w:val="20"/>
          <w:lang w:val="es-ES_tradnl"/>
        </w:rPr>
        <w:t xml:space="preserve">a la calle de los respectivos </w:t>
      </w:r>
      <w:r w:rsidR="00811508" w:rsidRPr="00770564">
        <w:rPr>
          <w:rFonts w:asciiTheme="majorHAnsi" w:hAnsiTheme="majorHAnsi"/>
          <w:color w:val="auto"/>
          <w:sz w:val="20"/>
          <w:szCs w:val="20"/>
          <w:lang w:val="es-ES_tradnl"/>
        </w:rPr>
        <w:t xml:space="preserve">últimos </w:t>
      </w:r>
      <w:r w:rsidR="00BA6016" w:rsidRPr="00770564">
        <w:rPr>
          <w:rFonts w:asciiTheme="majorHAnsi" w:hAnsiTheme="majorHAnsi"/>
          <w:color w:val="auto"/>
          <w:sz w:val="20"/>
          <w:szCs w:val="20"/>
          <w:lang w:val="es-ES_tradnl"/>
        </w:rPr>
        <w:t>tres números de</w:t>
      </w:r>
      <w:r w:rsidR="00811508" w:rsidRPr="00770564">
        <w:rPr>
          <w:rFonts w:asciiTheme="majorHAnsi" w:hAnsiTheme="majorHAnsi"/>
          <w:color w:val="auto"/>
          <w:sz w:val="20"/>
          <w:szCs w:val="20"/>
          <w:lang w:val="es-ES_tradnl"/>
        </w:rPr>
        <w:t xml:space="preserve"> la revista </w:t>
      </w:r>
      <w:r w:rsidR="00D22EBD" w:rsidRPr="00770564">
        <w:rPr>
          <w:rFonts w:asciiTheme="majorHAnsi" w:hAnsiTheme="majorHAnsi"/>
          <w:color w:val="auto"/>
          <w:sz w:val="20"/>
          <w:szCs w:val="20"/>
          <w:lang w:val="es-ES_tradnl"/>
        </w:rPr>
        <w:t>I</w:t>
      </w:r>
      <w:r w:rsidR="00811508" w:rsidRPr="00770564">
        <w:rPr>
          <w:rFonts w:asciiTheme="majorHAnsi" w:hAnsiTheme="majorHAnsi"/>
          <w:color w:val="auto"/>
          <w:sz w:val="20"/>
          <w:szCs w:val="20"/>
          <w:lang w:val="es-ES_tradnl"/>
        </w:rPr>
        <w:t xml:space="preserve">mpacto”. </w:t>
      </w:r>
      <w:r w:rsidR="00BA6016" w:rsidRPr="00770564">
        <w:rPr>
          <w:rFonts w:asciiTheme="majorHAnsi" w:hAnsiTheme="majorHAnsi"/>
          <w:color w:val="auto"/>
          <w:sz w:val="20"/>
          <w:szCs w:val="20"/>
          <w:lang w:val="es-ES_tradnl"/>
        </w:rPr>
        <w:t xml:space="preserve"> </w:t>
      </w:r>
      <w:r w:rsidR="00633861" w:rsidRPr="00770564">
        <w:rPr>
          <w:rFonts w:asciiTheme="majorHAnsi" w:hAnsiTheme="majorHAnsi"/>
          <w:sz w:val="20"/>
          <w:szCs w:val="20"/>
          <w:lang w:val="es-ES_tradnl"/>
        </w:rPr>
        <w:t>Sostienen que</w:t>
      </w:r>
      <w:r w:rsidR="00811508" w:rsidRPr="00770564">
        <w:rPr>
          <w:rFonts w:asciiTheme="majorHAnsi" w:hAnsiTheme="majorHAnsi"/>
          <w:sz w:val="20"/>
          <w:szCs w:val="20"/>
          <w:lang w:val="es-ES_tradnl"/>
        </w:rPr>
        <w:t xml:space="preserve"> en los</w:t>
      </w:r>
      <w:r w:rsidR="00A2763C" w:rsidRPr="00770564">
        <w:rPr>
          <w:rFonts w:asciiTheme="majorHAnsi" w:hAnsiTheme="majorHAnsi"/>
          <w:sz w:val="20"/>
          <w:szCs w:val="20"/>
          <w:lang w:val="es-ES_tradnl"/>
        </w:rPr>
        <w:t xml:space="preserve"> </w:t>
      </w:r>
      <w:r w:rsidR="00D22EBD" w:rsidRPr="00770564">
        <w:rPr>
          <w:rFonts w:asciiTheme="majorHAnsi" w:hAnsiTheme="majorHAnsi"/>
          <w:sz w:val="20"/>
          <w:szCs w:val="20"/>
          <w:lang w:val="es-ES_tradnl"/>
        </w:rPr>
        <w:t>comerciales</w:t>
      </w:r>
      <w:r w:rsidR="00A2763C" w:rsidRPr="00770564">
        <w:rPr>
          <w:rFonts w:asciiTheme="majorHAnsi" w:hAnsiTheme="majorHAnsi"/>
          <w:sz w:val="20"/>
          <w:szCs w:val="20"/>
          <w:lang w:val="es-ES_tradnl"/>
        </w:rPr>
        <w:t xml:space="preserve"> </w:t>
      </w:r>
      <w:r w:rsidR="00811508" w:rsidRPr="00770564">
        <w:rPr>
          <w:rFonts w:asciiTheme="majorHAnsi" w:hAnsiTheme="majorHAnsi"/>
          <w:sz w:val="20"/>
          <w:szCs w:val="20"/>
          <w:lang w:val="es-ES_tradnl"/>
        </w:rPr>
        <w:t xml:space="preserve">se anunciaba </w:t>
      </w:r>
      <w:r w:rsidR="00D22EBD" w:rsidRPr="00770564">
        <w:rPr>
          <w:rFonts w:asciiTheme="majorHAnsi" w:hAnsiTheme="majorHAnsi"/>
          <w:sz w:val="20"/>
          <w:szCs w:val="20"/>
          <w:lang w:val="es-ES_tradnl"/>
        </w:rPr>
        <w:t>el</w:t>
      </w:r>
      <w:r w:rsidR="001560E9" w:rsidRPr="00770564">
        <w:rPr>
          <w:rFonts w:asciiTheme="majorHAnsi" w:hAnsiTheme="majorHAnsi"/>
          <w:sz w:val="20"/>
          <w:szCs w:val="20"/>
          <w:lang w:val="es-ES_tradnl"/>
        </w:rPr>
        <w:t xml:space="preserve"> contenido</w:t>
      </w:r>
      <w:r w:rsidR="00D22EBD" w:rsidRPr="00770564">
        <w:rPr>
          <w:rFonts w:asciiTheme="majorHAnsi" w:hAnsiTheme="majorHAnsi"/>
          <w:sz w:val="20"/>
          <w:szCs w:val="20"/>
          <w:lang w:val="es-ES_tradnl"/>
        </w:rPr>
        <w:t xml:space="preserve"> de la revista</w:t>
      </w:r>
      <w:r w:rsidR="001560E9" w:rsidRPr="00770564">
        <w:rPr>
          <w:rFonts w:asciiTheme="majorHAnsi" w:hAnsiTheme="majorHAnsi"/>
          <w:sz w:val="20"/>
          <w:szCs w:val="20"/>
          <w:lang w:val="es-ES_tradnl"/>
        </w:rPr>
        <w:t xml:space="preserve"> y</w:t>
      </w:r>
      <w:r w:rsidR="00811508" w:rsidRPr="00770564">
        <w:rPr>
          <w:rFonts w:asciiTheme="majorHAnsi" w:hAnsiTheme="majorHAnsi"/>
          <w:sz w:val="20"/>
          <w:szCs w:val="20"/>
          <w:lang w:val="es-ES_tradnl"/>
        </w:rPr>
        <w:t xml:space="preserve"> se</w:t>
      </w:r>
      <w:r w:rsidR="001560E9" w:rsidRPr="00770564">
        <w:rPr>
          <w:rFonts w:asciiTheme="majorHAnsi" w:hAnsiTheme="majorHAnsi"/>
          <w:sz w:val="20"/>
          <w:szCs w:val="20"/>
          <w:lang w:val="es-ES_tradnl"/>
        </w:rPr>
        <w:t xml:space="preserve"> promocionaba </w:t>
      </w:r>
      <w:r w:rsidR="00A2763C" w:rsidRPr="00770564">
        <w:rPr>
          <w:rFonts w:asciiTheme="majorHAnsi" w:hAnsiTheme="majorHAnsi"/>
          <w:sz w:val="20"/>
          <w:szCs w:val="20"/>
          <w:lang w:val="es-ES_tradnl"/>
        </w:rPr>
        <w:t>notas periodísticas relacionadas con casos de corrupción</w:t>
      </w:r>
      <w:r w:rsidR="001560E9" w:rsidRPr="00770564">
        <w:rPr>
          <w:rFonts w:asciiTheme="majorHAnsi" w:hAnsiTheme="majorHAnsi"/>
          <w:sz w:val="20"/>
          <w:szCs w:val="20"/>
          <w:lang w:val="es-ES_tradnl"/>
        </w:rPr>
        <w:t xml:space="preserve"> en la que estarían</w:t>
      </w:r>
      <w:r w:rsidR="00A2763C" w:rsidRPr="00770564">
        <w:rPr>
          <w:rFonts w:asciiTheme="majorHAnsi" w:hAnsiTheme="majorHAnsi"/>
          <w:sz w:val="20"/>
          <w:szCs w:val="20"/>
          <w:lang w:val="es-ES_tradnl"/>
        </w:rPr>
        <w:t xml:space="preserve"> involucr</w:t>
      </w:r>
      <w:r w:rsidR="001560E9" w:rsidRPr="00770564">
        <w:rPr>
          <w:rFonts w:asciiTheme="majorHAnsi" w:hAnsiTheme="majorHAnsi"/>
          <w:sz w:val="20"/>
          <w:szCs w:val="20"/>
          <w:lang w:val="es-ES_tradnl"/>
        </w:rPr>
        <w:t>ados</w:t>
      </w:r>
      <w:r w:rsidR="00A2763C" w:rsidRPr="00770564">
        <w:rPr>
          <w:rFonts w:asciiTheme="majorHAnsi" w:hAnsiTheme="majorHAnsi"/>
          <w:sz w:val="20"/>
          <w:szCs w:val="20"/>
          <w:lang w:val="es-ES_tradnl"/>
        </w:rPr>
        <w:t xml:space="preserve"> candidatos</w:t>
      </w:r>
      <w:r w:rsidR="001560E9" w:rsidRPr="00770564">
        <w:rPr>
          <w:rFonts w:asciiTheme="majorHAnsi" w:hAnsiTheme="majorHAnsi"/>
          <w:sz w:val="20"/>
          <w:szCs w:val="20"/>
          <w:lang w:val="es-ES_tradnl"/>
        </w:rPr>
        <w:t xml:space="preserve"> a cargos de elección popular en el Estado de Nuevo León, México, pertenecientes al </w:t>
      </w:r>
      <w:r w:rsidR="00811508" w:rsidRPr="00770564">
        <w:rPr>
          <w:rFonts w:asciiTheme="majorHAnsi" w:hAnsiTheme="majorHAnsi"/>
          <w:sz w:val="20"/>
          <w:szCs w:val="20"/>
          <w:lang w:val="es-ES_tradnl"/>
        </w:rPr>
        <w:t>Partido Acción Nacional (PAN) que estaba en el poder nacional.</w:t>
      </w:r>
    </w:p>
    <w:p w:rsidR="00FA17B9" w:rsidRPr="00770564" w:rsidRDefault="00D22EBD" w:rsidP="0081150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auto"/>
          <w:sz w:val="20"/>
          <w:szCs w:val="20"/>
          <w:lang w:val="es-ES_tradnl"/>
        </w:rPr>
      </w:pPr>
      <w:r w:rsidRPr="00770564">
        <w:rPr>
          <w:rFonts w:asciiTheme="majorHAnsi" w:hAnsiTheme="majorHAnsi"/>
          <w:color w:val="auto"/>
          <w:sz w:val="20"/>
          <w:szCs w:val="20"/>
          <w:lang w:val="es-ES_tradnl"/>
        </w:rPr>
        <w:t>Según informaron, e</w:t>
      </w:r>
      <w:r w:rsidR="00FA17B9" w:rsidRPr="00770564">
        <w:rPr>
          <w:rFonts w:asciiTheme="majorHAnsi" w:hAnsiTheme="majorHAnsi"/>
          <w:color w:val="auto"/>
          <w:sz w:val="20"/>
          <w:szCs w:val="20"/>
          <w:lang w:val="es-ES_tradnl"/>
        </w:rPr>
        <w:t xml:space="preserve">l contenido de los </w:t>
      </w:r>
      <w:r w:rsidR="005725D2" w:rsidRPr="00770564">
        <w:rPr>
          <w:rFonts w:asciiTheme="majorHAnsi" w:hAnsiTheme="majorHAnsi"/>
          <w:color w:val="auto"/>
          <w:sz w:val="20"/>
          <w:szCs w:val="20"/>
          <w:lang w:val="es-ES_tradnl"/>
        </w:rPr>
        <w:t xml:space="preserve">tres </w:t>
      </w:r>
      <w:r w:rsidR="00FA17B9" w:rsidRPr="00770564">
        <w:rPr>
          <w:rFonts w:asciiTheme="majorHAnsi" w:hAnsiTheme="majorHAnsi"/>
          <w:color w:val="auto"/>
          <w:sz w:val="20"/>
          <w:szCs w:val="20"/>
          <w:lang w:val="es-ES_tradnl"/>
        </w:rPr>
        <w:t xml:space="preserve">comerciales “además de mostrar las tapas de las revistas y fotos de los candidatos y emblema del PAN” </w:t>
      </w:r>
      <w:r w:rsidR="00A83EA5" w:rsidRPr="00770564">
        <w:rPr>
          <w:rFonts w:asciiTheme="majorHAnsi" w:hAnsiTheme="majorHAnsi"/>
          <w:color w:val="auto"/>
          <w:sz w:val="20"/>
          <w:szCs w:val="20"/>
          <w:lang w:val="es-ES_tradnl"/>
        </w:rPr>
        <w:t>fue</w:t>
      </w:r>
      <w:r w:rsidR="00FA17B9" w:rsidRPr="00770564">
        <w:rPr>
          <w:rFonts w:asciiTheme="majorHAnsi" w:hAnsiTheme="majorHAnsi"/>
          <w:color w:val="auto"/>
          <w:sz w:val="20"/>
          <w:szCs w:val="20"/>
          <w:lang w:val="es-ES_tradnl"/>
        </w:rPr>
        <w:t xml:space="preserve"> el siguiente:</w:t>
      </w:r>
    </w:p>
    <w:p w:rsidR="00FA17B9" w:rsidRPr="00770564" w:rsidRDefault="00FA17B9" w:rsidP="00B17606">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80"/>
        <w:jc w:val="both"/>
        <w:rPr>
          <w:rFonts w:asciiTheme="majorHAnsi" w:hAnsiTheme="majorHAnsi"/>
          <w:color w:val="auto"/>
          <w:sz w:val="20"/>
          <w:szCs w:val="20"/>
          <w:lang w:val="es-ES_tradnl"/>
        </w:rPr>
      </w:pPr>
      <w:r w:rsidRPr="00770564">
        <w:rPr>
          <w:rFonts w:asciiTheme="majorHAnsi" w:hAnsiTheme="majorHAnsi"/>
          <w:color w:val="auto"/>
          <w:sz w:val="20"/>
          <w:szCs w:val="20"/>
          <w:lang w:val="es-ES_tradnl"/>
        </w:rPr>
        <w:t>“Esta semana  Nuevo Leon esta de impacto. Entérate como Fernando Elizondo, candidato del PAN a la gubernatura del estado, se prestaba dinero a manos llenas cuando era Tesorero del Gobierno Estatal. No te lo pierdas, porque lo que quieres leer está en la revista impacto”.</w:t>
      </w:r>
    </w:p>
    <w:p w:rsidR="00FA17B9" w:rsidRPr="00770564" w:rsidRDefault="00FA17B9" w:rsidP="00B17606">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80"/>
        <w:jc w:val="both"/>
        <w:rPr>
          <w:rFonts w:asciiTheme="majorHAnsi" w:hAnsiTheme="majorHAnsi"/>
          <w:color w:val="auto"/>
          <w:sz w:val="20"/>
          <w:szCs w:val="20"/>
          <w:lang w:val="es-ES_tradnl"/>
        </w:rPr>
      </w:pPr>
      <w:r w:rsidRPr="00770564">
        <w:rPr>
          <w:rFonts w:asciiTheme="majorHAnsi" w:hAnsiTheme="majorHAnsi"/>
          <w:color w:val="auto"/>
          <w:sz w:val="20"/>
          <w:szCs w:val="20"/>
          <w:lang w:val="es-ES_tradnl"/>
        </w:rPr>
        <w:t xml:space="preserve">“Esta semana los municipios del crimen están de impacto. Descubre como San Pedro y San Catalina en Nuevo León, son dos de los municipios donde </w:t>
      </w:r>
      <w:r w:rsidR="00AE0888" w:rsidRPr="00770564">
        <w:rPr>
          <w:rFonts w:asciiTheme="majorHAnsi" w:hAnsiTheme="majorHAnsi"/>
          <w:color w:val="auto"/>
          <w:sz w:val="20"/>
          <w:szCs w:val="20"/>
          <w:lang w:val="es-ES_tradnl"/>
        </w:rPr>
        <w:t>más</w:t>
      </w:r>
      <w:r w:rsidRPr="00770564">
        <w:rPr>
          <w:rFonts w:asciiTheme="majorHAnsi" w:hAnsiTheme="majorHAnsi"/>
          <w:color w:val="auto"/>
          <w:sz w:val="20"/>
          <w:szCs w:val="20"/>
          <w:lang w:val="es-ES_tradnl"/>
        </w:rPr>
        <w:t xml:space="preserve"> ha crecido la delincuencia y la impunidad. Y las mentiras detrás de la candidatura de Fernando Larrazabal por la alcaldía de Monterrey. No te lo pierdas, porque lo que quieres leer está en la revista impacto”.</w:t>
      </w:r>
    </w:p>
    <w:p w:rsidR="00FA17B9" w:rsidRPr="00770564" w:rsidRDefault="00FA17B9" w:rsidP="00B17606">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80"/>
        <w:jc w:val="both"/>
        <w:rPr>
          <w:rFonts w:asciiTheme="majorHAnsi" w:hAnsiTheme="majorHAnsi"/>
          <w:color w:val="auto"/>
          <w:sz w:val="20"/>
          <w:szCs w:val="20"/>
          <w:lang w:val="es-ES_tradnl"/>
        </w:rPr>
      </w:pPr>
      <w:r w:rsidRPr="00770564">
        <w:rPr>
          <w:rFonts w:asciiTheme="majorHAnsi" w:hAnsiTheme="majorHAnsi"/>
          <w:color w:val="auto"/>
          <w:sz w:val="20"/>
          <w:szCs w:val="20"/>
          <w:lang w:val="es-ES_tradnl"/>
        </w:rPr>
        <w:t>Esta semana dos historias de Nuevo León de impacto. Descubre como Mauricio Fernández, candidato del PAN a la alcaldía de San Pedro se contradice con las grabaciones que revelan sus acuerdos con el narco. Y ve las contradicciones de Fernando Elizondo, candidato a la gubernatura, en toda su historia como servidor público. No te lo pierdas, porque lo que quieres leer está en la revista impacto”.</w:t>
      </w:r>
    </w:p>
    <w:p w:rsidR="009D7261" w:rsidRPr="00770564" w:rsidRDefault="00633861" w:rsidP="00745E2D">
      <w:pPr>
        <w:pStyle w:val="ListParagraph"/>
        <w:numPr>
          <w:ilvl w:val="0"/>
          <w:numId w:val="103"/>
        </w:numPr>
        <w:jc w:val="both"/>
        <w:rPr>
          <w:rFonts w:asciiTheme="majorHAnsi" w:hAnsiTheme="majorHAnsi"/>
          <w:color w:val="auto"/>
          <w:sz w:val="20"/>
          <w:szCs w:val="20"/>
          <w:lang w:val="es-AR"/>
        </w:rPr>
      </w:pPr>
      <w:r w:rsidRPr="00770564">
        <w:rPr>
          <w:rFonts w:asciiTheme="majorHAnsi" w:hAnsiTheme="majorHAnsi"/>
          <w:sz w:val="20"/>
          <w:szCs w:val="20"/>
          <w:lang w:val="es-AR"/>
        </w:rPr>
        <w:t>Indican</w:t>
      </w:r>
      <w:r w:rsidR="001560E9" w:rsidRPr="00770564">
        <w:rPr>
          <w:rFonts w:asciiTheme="majorHAnsi" w:hAnsiTheme="majorHAnsi"/>
          <w:sz w:val="20"/>
          <w:szCs w:val="20"/>
          <w:lang w:val="es-ES_tradnl"/>
        </w:rPr>
        <w:t xml:space="preserve"> que a raíz de la transmisión de dichos anuncios promocionales, el 2 de julio de 2009, el representante del </w:t>
      </w:r>
      <w:r w:rsidR="007346A8" w:rsidRPr="00770564">
        <w:rPr>
          <w:rFonts w:asciiTheme="majorHAnsi" w:hAnsiTheme="majorHAnsi"/>
          <w:sz w:val="20"/>
          <w:szCs w:val="20"/>
          <w:lang w:val="es-ES_tradnl"/>
        </w:rPr>
        <w:t>PAN</w:t>
      </w:r>
      <w:r w:rsidRPr="00770564">
        <w:rPr>
          <w:rFonts w:asciiTheme="majorHAnsi" w:hAnsiTheme="majorHAnsi"/>
          <w:sz w:val="20"/>
          <w:szCs w:val="20"/>
          <w:lang w:val="es-ES_tradnl"/>
        </w:rPr>
        <w:t xml:space="preserve"> </w:t>
      </w:r>
      <w:r w:rsidR="001560E9" w:rsidRPr="00770564">
        <w:rPr>
          <w:rFonts w:asciiTheme="majorHAnsi" w:hAnsiTheme="majorHAnsi"/>
          <w:sz w:val="20"/>
          <w:szCs w:val="20"/>
          <w:lang w:val="es-ES_tradnl"/>
        </w:rPr>
        <w:t xml:space="preserve">en el Estado de Nueva León interpuso una denuncia y solicitó medidas cautelares ante </w:t>
      </w:r>
      <w:r w:rsidR="001560E9" w:rsidRPr="00770564">
        <w:rPr>
          <w:rFonts w:asciiTheme="majorHAnsi" w:hAnsiTheme="majorHAnsi"/>
          <w:sz w:val="20"/>
          <w:szCs w:val="20"/>
          <w:lang w:val="es-ES_tradnl"/>
        </w:rPr>
        <w:lastRenderedPageBreak/>
        <w:t>la Comisión de Quejas y Denuncias (QCD) del Instituto Federal Electoral (IFE) con sede en dicho Estado</w:t>
      </w:r>
      <w:r w:rsidRPr="00770564">
        <w:rPr>
          <w:rFonts w:asciiTheme="majorHAnsi" w:hAnsiTheme="majorHAnsi"/>
          <w:sz w:val="20"/>
          <w:szCs w:val="20"/>
          <w:lang w:val="es-ES_tradnl"/>
        </w:rPr>
        <w:t xml:space="preserve">, por considerar que </w:t>
      </w:r>
      <w:r w:rsidR="009D7261" w:rsidRPr="00770564">
        <w:rPr>
          <w:rFonts w:asciiTheme="majorHAnsi" w:hAnsiTheme="majorHAnsi"/>
          <w:sz w:val="20"/>
          <w:szCs w:val="20"/>
          <w:lang w:val="es-ES_tradnl"/>
        </w:rPr>
        <w:t>el anuncio era violatorio de</w:t>
      </w:r>
      <w:r w:rsidRPr="00770564">
        <w:rPr>
          <w:rFonts w:asciiTheme="majorHAnsi" w:hAnsiTheme="majorHAnsi"/>
          <w:sz w:val="20"/>
          <w:szCs w:val="20"/>
          <w:lang w:val="es-ES_tradnl"/>
        </w:rPr>
        <w:t xml:space="preserve"> </w:t>
      </w:r>
      <w:r w:rsidR="009D7261" w:rsidRPr="00770564">
        <w:rPr>
          <w:rFonts w:asciiTheme="majorHAnsi" w:hAnsiTheme="majorHAnsi"/>
          <w:sz w:val="20"/>
          <w:szCs w:val="20"/>
          <w:lang w:val="es-ES_tradnl"/>
        </w:rPr>
        <w:t>las normas que rigen la difusión de propaganda electoral</w:t>
      </w:r>
      <w:r w:rsidRPr="00770564">
        <w:rPr>
          <w:rFonts w:asciiTheme="majorHAnsi" w:hAnsiTheme="majorHAnsi"/>
          <w:sz w:val="20"/>
          <w:szCs w:val="20"/>
          <w:lang w:val="es-ES_tradnl"/>
        </w:rPr>
        <w:t>.</w:t>
      </w:r>
      <w:r w:rsidR="001560E9" w:rsidRPr="00770564">
        <w:rPr>
          <w:rFonts w:asciiTheme="majorHAnsi" w:hAnsiTheme="majorHAnsi"/>
          <w:sz w:val="20"/>
          <w:szCs w:val="20"/>
          <w:lang w:val="es-ES_tradnl"/>
        </w:rPr>
        <w:t xml:space="preserve"> </w:t>
      </w:r>
      <w:r w:rsidRPr="00770564">
        <w:rPr>
          <w:rFonts w:asciiTheme="majorHAnsi" w:hAnsiTheme="majorHAnsi"/>
          <w:sz w:val="20"/>
          <w:szCs w:val="20"/>
          <w:lang w:val="es-ES_tradnl"/>
        </w:rPr>
        <w:t>Sostienen que e</w:t>
      </w:r>
      <w:r w:rsidR="001560E9" w:rsidRPr="00770564">
        <w:rPr>
          <w:rFonts w:asciiTheme="majorHAnsi" w:hAnsiTheme="majorHAnsi"/>
          <w:sz w:val="20"/>
          <w:szCs w:val="20"/>
          <w:lang w:val="es-ES_tradnl"/>
        </w:rPr>
        <w:t>l 3 de julio de 2009 el IFE ordenó</w:t>
      </w:r>
      <w:r w:rsidR="009D7261" w:rsidRPr="00770564">
        <w:rPr>
          <w:rFonts w:asciiTheme="majorHAnsi" w:hAnsiTheme="majorHAnsi"/>
          <w:sz w:val="20"/>
          <w:szCs w:val="20"/>
          <w:lang w:val="es-ES_tradnl"/>
        </w:rPr>
        <w:t xml:space="preserve"> </w:t>
      </w:r>
      <w:r w:rsidR="001560E9" w:rsidRPr="00770564">
        <w:rPr>
          <w:rFonts w:asciiTheme="majorHAnsi" w:hAnsiTheme="majorHAnsi"/>
          <w:sz w:val="20"/>
          <w:szCs w:val="20"/>
          <w:lang w:val="es-ES_tradnl"/>
        </w:rPr>
        <w:t>a los canales de televisión</w:t>
      </w:r>
      <w:r w:rsidR="009D7261" w:rsidRPr="00770564">
        <w:rPr>
          <w:rFonts w:asciiTheme="majorHAnsi" w:hAnsiTheme="majorHAnsi"/>
          <w:sz w:val="20"/>
          <w:szCs w:val="20"/>
          <w:lang w:val="es-ES_tradnl"/>
        </w:rPr>
        <w:t xml:space="preserve">, como medida cautelar, </w:t>
      </w:r>
      <w:r w:rsidR="001560E9" w:rsidRPr="00770564">
        <w:rPr>
          <w:rFonts w:asciiTheme="majorHAnsi" w:hAnsiTheme="majorHAnsi"/>
          <w:sz w:val="20"/>
          <w:szCs w:val="20"/>
          <w:lang w:val="es-ES_tradnl"/>
        </w:rPr>
        <w:t xml:space="preserve">suspender de inmediato la transmisión de los promocionales </w:t>
      </w:r>
      <w:r w:rsidRPr="00770564">
        <w:rPr>
          <w:rFonts w:asciiTheme="majorHAnsi" w:hAnsiTheme="majorHAnsi"/>
          <w:sz w:val="20"/>
          <w:szCs w:val="20"/>
          <w:lang w:val="es-ES_tradnl"/>
        </w:rPr>
        <w:t>e</w:t>
      </w:r>
      <w:r w:rsidR="001560E9" w:rsidRPr="00770564">
        <w:rPr>
          <w:rFonts w:asciiTheme="majorHAnsi" w:hAnsiTheme="majorHAnsi"/>
          <w:sz w:val="20"/>
          <w:szCs w:val="20"/>
          <w:lang w:val="es-ES_tradnl"/>
        </w:rPr>
        <w:t xml:space="preserve"> instruyó un procedimiento especial sancionador</w:t>
      </w:r>
      <w:r w:rsidR="00D22EBD" w:rsidRPr="00770564">
        <w:rPr>
          <w:rFonts w:asciiTheme="majorHAnsi" w:hAnsiTheme="majorHAnsi"/>
          <w:sz w:val="20"/>
          <w:szCs w:val="20"/>
          <w:lang w:val="es-ES_tradnl"/>
        </w:rPr>
        <w:t>. E</w:t>
      </w:r>
      <w:r w:rsidR="001560E9" w:rsidRPr="00770564">
        <w:rPr>
          <w:rFonts w:asciiTheme="majorHAnsi" w:hAnsiTheme="majorHAnsi"/>
          <w:sz w:val="20"/>
          <w:szCs w:val="20"/>
          <w:lang w:val="es-ES_tradnl"/>
        </w:rPr>
        <w:t xml:space="preserve">l 15 de julio </w:t>
      </w:r>
      <w:r w:rsidR="00D22EBD" w:rsidRPr="00770564">
        <w:rPr>
          <w:rFonts w:asciiTheme="majorHAnsi" w:hAnsiTheme="majorHAnsi"/>
          <w:sz w:val="20"/>
          <w:szCs w:val="20"/>
          <w:lang w:val="es-ES_tradnl"/>
        </w:rPr>
        <w:t xml:space="preserve">el IFE </w:t>
      </w:r>
      <w:r w:rsidRPr="00770564">
        <w:rPr>
          <w:rFonts w:asciiTheme="majorHAnsi" w:hAnsiTheme="majorHAnsi"/>
          <w:sz w:val="20"/>
          <w:szCs w:val="20"/>
          <w:lang w:val="es-ES_tradnl"/>
        </w:rPr>
        <w:t>emitió una resolución, en la cual determinó que</w:t>
      </w:r>
      <w:r w:rsidR="007346A8" w:rsidRPr="00770564">
        <w:rPr>
          <w:rFonts w:asciiTheme="majorHAnsi" w:hAnsiTheme="majorHAnsi"/>
          <w:sz w:val="20"/>
          <w:szCs w:val="20"/>
          <w:lang w:val="es-ES_tradnl"/>
        </w:rPr>
        <w:t xml:space="preserve"> los comerciales emitidos constituían propaganda electoral y señaló que</w:t>
      </w:r>
      <w:r w:rsidRPr="00770564">
        <w:rPr>
          <w:rFonts w:asciiTheme="majorHAnsi" w:hAnsiTheme="majorHAnsi"/>
          <w:sz w:val="20"/>
          <w:szCs w:val="20"/>
          <w:lang w:val="es-ES_tradnl"/>
        </w:rPr>
        <w:t xml:space="preserve"> “[a]unque la difusión de la revista ‘Impacto’ se llevó a cabo en el contexto de su publicidad, la misma resulta violatoria de la normativa electoral, al incluir imágenes, emblemas y expresiones, cuya finalidad es influir en los ciudadanos del Estado de Nuevo León”. </w:t>
      </w:r>
      <w:r w:rsidR="009D7261" w:rsidRPr="00770564">
        <w:rPr>
          <w:rFonts w:asciiTheme="majorHAnsi" w:hAnsiTheme="majorHAnsi"/>
          <w:sz w:val="20"/>
          <w:szCs w:val="20"/>
          <w:lang w:val="es-ES_tradnl"/>
        </w:rPr>
        <w:t xml:space="preserve">El IFE determinó </w:t>
      </w:r>
      <w:r w:rsidRPr="00770564">
        <w:rPr>
          <w:rFonts w:asciiTheme="majorHAnsi" w:hAnsiTheme="majorHAnsi"/>
          <w:sz w:val="20"/>
          <w:szCs w:val="20"/>
          <w:lang w:val="es-ES_tradnl"/>
        </w:rPr>
        <w:t>sancionar</w:t>
      </w:r>
      <w:r w:rsidR="001560E9" w:rsidRPr="00770564">
        <w:rPr>
          <w:rFonts w:asciiTheme="majorHAnsi" w:hAnsiTheme="majorHAnsi"/>
          <w:sz w:val="20"/>
          <w:szCs w:val="20"/>
          <w:lang w:val="es-ES_tradnl"/>
        </w:rPr>
        <w:t xml:space="preserve"> </w:t>
      </w:r>
      <w:r w:rsidRPr="00770564">
        <w:rPr>
          <w:rFonts w:asciiTheme="majorHAnsi" w:hAnsiTheme="majorHAnsi"/>
          <w:sz w:val="20"/>
          <w:szCs w:val="20"/>
          <w:lang w:val="es-ES_tradnl"/>
        </w:rPr>
        <w:t xml:space="preserve">a la casa editorial de la </w:t>
      </w:r>
      <w:r w:rsidRPr="00770564">
        <w:rPr>
          <w:rFonts w:asciiTheme="majorHAnsi" w:hAnsiTheme="majorHAnsi"/>
          <w:i/>
          <w:sz w:val="20"/>
          <w:szCs w:val="20"/>
          <w:lang w:val="es-ES_tradnl"/>
        </w:rPr>
        <w:t>revista Impacto</w:t>
      </w:r>
      <w:r w:rsidR="001560E9" w:rsidRPr="00770564">
        <w:rPr>
          <w:rFonts w:asciiTheme="majorHAnsi" w:hAnsiTheme="majorHAnsi"/>
          <w:sz w:val="20"/>
          <w:szCs w:val="20"/>
          <w:lang w:val="es-ES_tradnl"/>
        </w:rPr>
        <w:t xml:space="preserve"> </w:t>
      </w:r>
      <w:r w:rsidRPr="00770564">
        <w:rPr>
          <w:rFonts w:asciiTheme="majorHAnsi" w:hAnsiTheme="majorHAnsi"/>
          <w:sz w:val="20"/>
          <w:szCs w:val="20"/>
          <w:lang w:val="es-ES_tradnl"/>
        </w:rPr>
        <w:t>(</w:t>
      </w:r>
      <w:r w:rsidR="001560E9" w:rsidRPr="00770564">
        <w:rPr>
          <w:rFonts w:asciiTheme="majorHAnsi" w:hAnsiTheme="majorHAnsi"/>
          <w:sz w:val="20"/>
          <w:szCs w:val="20"/>
          <w:lang w:val="es-ES_tradnl"/>
        </w:rPr>
        <w:t>Potros Editores</w:t>
      </w:r>
      <w:r w:rsidRPr="00770564">
        <w:rPr>
          <w:rFonts w:asciiTheme="majorHAnsi" w:hAnsiTheme="majorHAnsi"/>
          <w:sz w:val="20"/>
          <w:szCs w:val="20"/>
          <w:lang w:val="es-ES_tradnl"/>
        </w:rPr>
        <w:t>)</w:t>
      </w:r>
      <w:r w:rsidR="001560E9" w:rsidRPr="00770564">
        <w:rPr>
          <w:rFonts w:asciiTheme="majorHAnsi" w:hAnsiTheme="majorHAnsi"/>
          <w:sz w:val="20"/>
          <w:szCs w:val="20"/>
          <w:lang w:val="es-ES_tradnl"/>
        </w:rPr>
        <w:t xml:space="preserve"> con una multa de MXN$ 2 millones (US$ 165 mil aproximados), </w:t>
      </w:r>
      <w:r w:rsidR="009D7261" w:rsidRPr="00770564">
        <w:rPr>
          <w:rFonts w:asciiTheme="majorHAnsi" w:hAnsiTheme="majorHAnsi"/>
          <w:sz w:val="20"/>
          <w:szCs w:val="20"/>
          <w:lang w:val="es-ES_tradnl"/>
        </w:rPr>
        <w:t>a</w:t>
      </w:r>
      <w:r w:rsidR="00EE3E21" w:rsidRPr="00770564">
        <w:rPr>
          <w:rFonts w:asciiTheme="majorHAnsi" w:hAnsiTheme="majorHAnsi"/>
          <w:sz w:val="20"/>
          <w:szCs w:val="20"/>
          <w:lang w:val="es-ES_tradnl"/>
        </w:rPr>
        <w:t xml:space="preserve"> la concesionaria</w:t>
      </w:r>
      <w:r w:rsidR="00134FA6" w:rsidRPr="00770564">
        <w:rPr>
          <w:rFonts w:asciiTheme="majorHAnsi" w:hAnsiTheme="majorHAnsi"/>
          <w:bCs/>
          <w:sz w:val="20"/>
          <w:szCs w:val="20"/>
          <w:lang w:val="es-ES_tradnl"/>
        </w:rPr>
        <w:t xml:space="preserve"> Televimex S.A. de C.V </w:t>
      </w:r>
      <w:r w:rsidR="009D7261" w:rsidRPr="00770564">
        <w:rPr>
          <w:rFonts w:asciiTheme="majorHAnsi" w:hAnsiTheme="majorHAnsi"/>
          <w:sz w:val="20"/>
          <w:szCs w:val="20"/>
          <w:lang w:val="es-ES_tradnl"/>
        </w:rPr>
        <w:t xml:space="preserve">con una multa </w:t>
      </w:r>
      <w:r w:rsidR="001560E9" w:rsidRPr="00770564">
        <w:rPr>
          <w:rFonts w:asciiTheme="majorHAnsi" w:hAnsiTheme="majorHAnsi"/>
          <w:sz w:val="20"/>
          <w:szCs w:val="20"/>
          <w:lang w:val="es-ES_tradnl"/>
        </w:rPr>
        <w:t xml:space="preserve">de MXN$ 4 millones (US$ 330 mil aproximados), </w:t>
      </w:r>
      <w:r w:rsidR="009D7261" w:rsidRPr="00770564">
        <w:rPr>
          <w:rFonts w:asciiTheme="majorHAnsi" w:hAnsiTheme="majorHAnsi"/>
          <w:sz w:val="20"/>
          <w:szCs w:val="20"/>
          <w:lang w:val="es-ES_tradnl"/>
        </w:rPr>
        <w:t>y a l</w:t>
      </w:r>
      <w:r w:rsidR="00EE3E21" w:rsidRPr="00770564">
        <w:rPr>
          <w:rFonts w:asciiTheme="majorHAnsi" w:hAnsiTheme="majorHAnsi"/>
          <w:sz w:val="20"/>
          <w:szCs w:val="20"/>
          <w:lang w:val="es-ES_tradnl"/>
        </w:rPr>
        <w:t xml:space="preserve">as concesionarias </w:t>
      </w:r>
      <w:r w:rsidR="00EE3E21" w:rsidRPr="00770564">
        <w:rPr>
          <w:rFonts w:asciiTheme="majorHAnsi" w:hAnsiTheme="majorHAnsi"/>
          <w:bCs/>
          <w:sz w:val="20"/>
          <w:szCs w:val="20"/>
          <w:lang w:val="es-ES_tradnl"/>
        </w:rPr>
        <w:t>Radiotelevisora de México Norte S.A. de C.V</w:t>
      </w:r>
      <w:r w:rsidR="00EE3E21" w:rsidRPr="00770564">
        <w:rPr>
          <w:rFonts w:asciiTheme="majorHAnsi" w:hAnsiTheme="majorHAnsi"/>
          <w:sz w:val="20"/>
          <w:szCs w:val="20"/>
          <w:lang w:val="es-ES_tradnl"/>
        </w:rPr>
        <w:t xml:space="preserve"> y</w:t>
      </w:r>
      <w:r w:rsidR="001560E9" w:rsidRPr="00770564">
        <w:rPr>
          <w:rFonts w:asciiTheme="majorHAnsi" w:hAnsiTheme="majorHAnsi"/>
          <w:sz w:val="20"/>
          <w:szCs w:val="20"/>
          <w:lang w:val="es-ES_tradnl"/>
        </w:rPr>
        <w:t xml:space="preserve"> </w:t>
      </w:r>
      <w:r w:rsidR="00134FA6" w:rsidRPr="00770564">
        <w:rPr>
          <w:rFonts w:asciiTheme="majorHAnsi" w:hAnsiTheme="majorHAnsi"/>
          <w:bCs/>
          <w:sz w:val="20"/>
          <w:szCs w:val="20"/>
          <w:lang w:val="es-ES_tradnl"/>
        </w:rPr>
        <w:t xml:space="preserve">Cadena Televisora del Norte S.A. de C.V. </w:t>
      </w:r>
      <w:r w:rsidR="001560E9" w:rsidRPr="00770564">
        <w:rPr>
          <w:rFonts w:asciiTheme="majorHAnsi" w:hAnsiTheme="majorHAnsi"/>
          <w:sz w:val="20"/>
          <w:szCs w:val="20"/>
          <w:lang w:val="es-ES_tradnl"/>
        </w:rPr>
        <w:t xml:space="preserve">con el monto de MXN$ 400 mil (US$ 33 mil aproximados). </w:t>
      </w:r>
    </w:p>
    <w:p w:rsidR="007346A8" w:rsidRPr="00770564" w:rsidRDefault="007346A8" w:rsidP="007346A8">
      <w:pPr>
        <w:pStyle w:val="ListParagraph"/>
        <w:jc w:val="both"/>
        <w:rPr>
          <w:rFonts w:asciiTheme="majorHAnsi" w:hAnsiTheme="majorHAnsi"/>
          <w:color w:val="auto"/>
          <w:sz w:val="20"/>
          <w:szCs w:val="20"/>
          <w:lang w:val="es-AR"/>
        </w:rPr>
      </w:pPr>
    </w:p>
    <w:p w:rsidR="009A74ED" w:rsidRPr="00EB3DC6" w:rsidRDefault="005D3753" w:rsidP="000F5A94">
      <w:pPr>
        <w:pStyle w:val="ListParagraph"/>
        <w:numPr>
          <w:ilvl w:val="0"/>
          <w:numId w:val="103"/>
        </w:numPr>
        <w:jc w:val="both"/>
        <w:rPr>
          <w:rFonts w:asciiTheme="majorHAnsi" w:hAnsiTheme="majorHAnsi"/>
          <w:sz w:val="20"/>
          <w:szCs w:val="20"/>
          <w:lang w:val="es-AR"/>
        </w:rPr>
      </w:pPr>
      <w:r w:rsidRPr="00770564">
        <w:rPr>
          <w:rFonts w:asciiTheme="majorHAnsi" w:hAnsiTheme="majorHAnsi"/>
          <w:sz w:val="20"/>
          <w:szCs w:val="20"/>
          <w:lang w:val="es-ES_tradnl"/>
        </w:rPr>
        <w:t>L</w:t>
      </w:r>
      <w:r w:rsidR="003568D7" w:rsidRPr="00770564">
        <w:rPr>
          <w:rFonts w:asciiTheme="majorHAnsi" w:hAnsiTheme="majorHAnsi"/>
          <w:sz w:val="20"/>
          <w:szCs w:val="20"/>
          <w:lang w:val="es-ES_tradnl"/>
        </w:rPr>
        <w:t>as</w:t>
      </w:r>
      <w:r w:rsidRPr="00770564">
        <w:rPr>
          <w:rFonts w:asciiTheme="majorHAnsi" w:hAnsiTheme="majorHAnsi"/>
          <w:sz w:val="20"/>
          <w:szCs w:val="20"/>
          <w:lang w:val="es-ES_tradnl"/>
        </w:rPr>
        <w:t xml:space="preserve"> tr</w:t>
      </w:r>
      <w:r w:rsidR="00CF170C" w:rsidRPr="00770564">
        <w:rPr>
          <w:rFonts w:asciiTheme="majorHAnsi" w:hAnsiTheme="majorHAnsi"/>
          <w:sz w:val="20"/>
          <w:szCs w:val="20"/>
          <w:lang w:val="es-ES_tradnl"/>
        </w:rPr>
        <w:t xml:space="preserve">es </w:t>
      </w:r>
      <w:r w:rsidR="003568D7" w:rsidRPr="00770564">
        <w:rPr>
          <w:rFonts w:asciiTheme="majorHAnsi" w:hAnsiTheme="majorHAnsi"/>
          <w:sz w:val="20"/>
          <w:szCs w:val="20"/>
          <w:lang w:val="es-ES_tradnl"/>
        </w:rPr>
        <w:t xml:space="preserve">concesionarias de </w:t>
      </w:r>
      <w:r w:rsidR="00CF170C" w:rsidRPr="00770564">
        <w:rPr>
          <w:rFonts w:asciiTheme="majorHAnsi" w:hAnsiTheme="majorHAnsi"/>
          <w:sz w:val="20"/>
          <w:szCs w:val="20"/>
          <w:lang w:val="es-ES_tradnl"/>
        </w:rPr>
        <w:t xml:space="preserve">medios de comunicación audiovisual </w:t>
      </w:r>
      <w:r w:rsidR="009D1078" w:rsidRPr="00770564">
        <w:rPr>
          <w:rFonts w:asciiTheme="majorHAnsi" w:hAnsiTheme="majorHAnsi"/>
          <w:sz w:val="20"/>
          <w:szCs w:val="20"/>
          <w:lang w:val="es-ES_tradnl"/>
        </w:rPr>
        <w:t xml:space="preserve">interpusieron recursos </w:t>
      </w:r>
      <w:r w:rsidR="001C5F99" w:rsidRPr="00770564">
        <w:rPr>
          <w:rFonts w:asciiTheme="majorHAnsi" w:hAnsiTheme="majorHAnsi"/>
          <w:sz w:val="20"/>
          <w:szCs w:val="20"/>
          <w:lang w:val="es-ES_tradnl"/>
        </w:rPr>
        <w:t xml:space="preserve">de apelación </w:t>
      </w:r>
      <w:r w:rsidR="00CF170C" w:rsidRPr="00770564">
        <w:rPr>
          <w:rFonts w:asciiTheme="majorHAnsi" w:hAnsiTheme="majorHAnsi"/>
          <w:sz w:val="20"/>
          <w:szCs w:val="20"/>
          <w:lang w:val="es-ES_tradnl"/>
        </w:rPr>
        <w:t>ante Tribunal Federal Electoral (TRIFE)</w:t>
      </w:r>
      <w:r w:rsidR="003067CD" w:rsidRPr="00770564">
        <w:rPr>
          <w:rFonts w:asciiTheme="majorHAnsi" w:hAnsiTheme="majorHAnsi"/>
          <w:sz w:val="20"/>
          <w:szCs w:val="20"/>
          <w:lang w:val="es-ES_tradnl"/>
        </w:rPr>
        <w:t xml:space="preserve"> y plantearon, entre otros, que los </w:t>
      </w:r>
      <w:r w:rsidR="00CF170C" w:rsidRPr="00770564">
        <w:rPr>
          <w:rFonts w:asciiTheme="majorHAnsi" w:hAnsiTheme="majorHAnsi"/>
          <w:sz w:val="20"/>
          <w:szCs w:val="20"/>
          <w:lang w:val="es-ES_tradnl"/>
        </w:rPr>
        <w:t xml:space="preserve">anuncios </w:t>
      </w:r>
      <w:r w:rsidR="003067CD" w:rsidRPr="00770564">
        <w:rPr>
          <w:rFonts w:asciiTheme="majorHAnsi" w:hAnsiTheme="majorHAnsi"/>
          <w:sz w:val="20"/>
          <w:szCs w:val="20"/>
          <w:lang w:val="es-ES_tradnl"/>
        </w:rPr>
        <w:t xml:space="preserve">comerciales no </w:t>
      </w:r>
      <w:r w:rsidR="00CF170C" w:rsidRPr="00770564">
        <w:rPr>
          <w:rFonts w:asciiTheme="majorHAnsi" w:hAnsiTheme="majorHAnsi"/>
          <w:sz w:val="20"/>
          <w:szCs w:val="20"/>
          <w:lang w:val="es-ES_tradnl"/>
        </w:rPr>
        <w:t>podían ser considerados</w:t>
      </w:r>
      <w:r w:rsidR="003067CD" w:rsidRPr="00770564">
        <w:rPr>
          <w:rFonts w:asciiTheme="majorHAnsi" w:hAnsiTheme="majorHAnsi"/>
          <w:sz w:val="20"/>
          <w:szCs w:val="20"/>
          <w:lang w:val="es-ES_tradnl"/>
        </w:rPr>
        <w:t xml:space="preserve"> difusión de propaganda electoral, al no tener la intención de pr</w:t>
      </w:r>
      <w:r w:rsidR="00CF170C" w:rsidRPr="00770564">
        <w:rPr>
          <w:rFonts w:asciiTheme="majorHAnsi" w:hAnsiTheme="majorHAnsi"/>
          <w:sz w:val="20"/>
          <w:szCs w:val="20"/>
          <w:lang w:val="es-ES_tradnl"/>
        </w:rPr>
        <w:t>omocionar</w:t>
      </w:r>
      <w:r w:rsidR="003067CD" w:rsidRPr="00770564">
        <w:rPr>
          <w:rFonts w:asciiTheme="majorHAnsi" w:hAnsiTheme="majorHAnsi"/>
          <w:sz w:val="20"/>
          <w:szCs w:val="20"/>
          <w:lang w:val="es-ES_tradnl"/>
        </w:rPr>
        <w:t xml:space="preserve"> </w:t>
      </w:r>
      <w:r w:rsidR="003067CD" w:rsidRPr="00EB3DC6">
        <w:rPr>
          <w:rFonts w:asciiTheme="majorHAnsi" w:hAnsiTheme="majorHAnsi"/>
          <w:sz w:val="20"/>
          <w:szCs w:val="20"/>
          <w:lang w:val="es-ES_tradnl"/>
        </w:rPr>
        <w:t xml:space="preserve">candidaturas registradas, sino </w:t>
      </w:r>
      <w:r w:rsidR="00CF170C" w:rsidRPr="00EB3DC6">
        <w:rPr>
          <w:rFonts w:asciiTheme="majorHAnsi" w:hAnsiTheme="majorHAnsi"/>
          <w:sz w:val="20"/>
          <w:szCs w:val="20"/>
          <w:lang w:val="es-ES_tradnl"/>
        </w:rPr>
        <w:t xml:space="preserve">de </w:t>
      </w:r>
      <w:r w:rsidR="003067CD" w:rsidRPr="00EB3DC6">
        <w:rPr>
          <w:rFonts w:asciiTheme="majorHAnsi" w:hAnsiTheme="majorHAnsi"/>
          <w:sz w:val="20"/>
          <w:szCs w:val="20"/>
          <w:lang w:val="es-ES_tradnl"/>
        </w:rPr>
        <w:t>publicit</w:t>
      </w:r>
      <w:r w:rsidR="00CF170C" w:rsidRPr="00EB3DC6">
        <w:rPr>
          <w:rFonts w:asciiTheme="majorHAnsi" w:hAnsiTheme="majorHAnsi"/>
          <w:sz w:val="20"/>
          <w:szCs w:val="20"/>
          <w:lang w:val="es-ES_tradnl"/>
        </w:rPr>
        <w:t>ar</w:t>
      </w:r>
      <w:r w:rsidR="003067CD" w:rsidRPr="00EB3DC6">
        <w:rPr>
          <w:rFonts w:asciiTheme="majorHAnsi" w:hAnsiTheme="majorHAnsi"/>
          <w:sz w:val="20"/>
          <w:szCs w:val="20"/>
          <w:lang w:val="es-ES_tradnl"/>
        </w:rPr>
        <w:t xml:space="preserve"> una revista de carácter político. El 26 de agosto de 2009, </w:t>
      </w:r>
      <w:r w:rsidRPr="00EB3DC6">
        <w:rPr>
          <w:rFonts w:asciiTheme="majorHAnsi" w:hAnsiTheme="majorHAnsi"/>
          <w:sz w:val="20"/>
          <w:szCs w:val="20"/>
          <w:lang w:val="es-ES_tradnl"/>
        </w:rPr>
        <w:t xml:space="preserve">el </w:t>
      </w:r>
      <w:r w:rsidR="00CF170C" w:rsidRPr="00EB3DC6">
        <w:rPr>
          <w:rFonts w:asciiTheme="majorHAnsi" w:hAnsiTheme="majorHAnsi"/>
          <w:sz w:val="20"/>
          <w:szCs w:val="20"/>
          <w:lang w:val="es-ES_tradnl"/>
        </w:rPr>
        <w:t xml:space="preserve">TRIFE </w:t>
      </w:r>
      <w:r w:rsidR="003F1A8B" w:rsidRPr="00EB3DC6">
        <w:rPr>
          <w:rFonts w:asciiTheme="majorHAnsi" w:hAnsiTheme="majorHAnsi"/>
          <w:sz w:val="20"/>
          <w:szCs w:val="20"/>
          <w:lang w:val="es-ES_tradnl"/>
        </w:rPr>
        <w:t>confirmó la resolución del IFE</w:t>
      </w:r>
      <w:r w:rsidR="00D1645F" w:rsidRPr="00EB3DC6">
        <w:rPr>
          <w:rFonts w:asciiTheme="majorHAnsi" w:hAnsiTheme="majorHAnsi"/>
          <w:sz w:val="20"/>
          <w:szCs w:val="20"/>
          <w:lang w:val="es-ES_tradnl"/>
        </w:rPr>
        <w:t xml:space="preserve"> y solo ordenó fundamentar y motivar la sanción económica impuesta a Cadena Televisora Norte, S.A. de C.V y Radiotelevisora del Norte SA. De C.V. y aplicara una sanción proporcional a la capacidad económica de los medios</w:t>
      </w:r>
      <w:r w:rsidR="000446BF" w:rsidRPr="00EB3DC6">
        <w:rPr>
          <w:rFonts w:asciiTheme="majorHAnsi" w:hAnsiTheme="majorHAnsi"/>
          <w:sz w:val="20"/>
          <w:szCs w:val="20"/>
          <w:lang w:val="es-ES_tradnl"/>
        </w:rPr>
        <w:t>.</w:t>
      </w:r>
      <w:r w:rsidR="00893E27" w:rsidRPr="00EB3DC6">
        <w:rPr>
          <w:rFonts w:asciiTheme="majorHAnsi" w:hAnsiTheme="majorHAnsi"/>
          <w:sz w:val="20"/>
          <w:szCs w:val="20"/>
          <w:lang w:val="es-ES_tradnl"/>
        </w:rPr>
        <w:t xml:space="preserve"> </w:t>
      </w:r>
      <w:r w:rsidR="0049245F" w:rsidRPr="00EB3DC6">
        <w:rPr>
          <w:rFonts w:asciiTheme="majorHAnsi" w:hAnsiTheme="majorHAnsi"/>
          <w:sz w:val="20"/>
          <w:szCs w:val="20"/>
          <w:lang w:val="es-ES_tradnl"/>
        </w:rPr>
        <w:t xml:space="preserve">En </w:t>
      </w:r>
      <w:r w:rsidR="009D1078" w:rsidRPr="00EB3DC6">
        <w:rPr>
          <w:rFonts w:asciiTheme="majorHAnsi" w:hAnsiTheme="majorHAnsi"/>
          <w:sz w:val="20"/>
          <w:szCs w:val="20"/>
          <w:lang w:val="es-ES_tradnl"/>
        </w:rPr>
        <w:t>su decisión</w:t>
      </w:r>
      <w:r w:rsidR="0049245F" w:rsidRPr="00EB3DC6">
        <w:rPr>
          <w:rFonts w:asciiTheme="majorHAnsi" w:hAnsiTheme="majorHAnsi"/>
          <w:sz w:val="20"/>
          <w:szCs w:val="20"/>
          <w:lang w:val="es-ES_tradnl"/>
        </w:rPr>
        <w:t>, el Tr</w:t>
      </w:r>
      <w:r w:rsidR="00496324" w:rsidRPr="00EB3DC6">
        <w:rPr>
          <w:rFonts w:asciiTheme="majorHAnsi" w:hAnsiTheme="majorHAnsi"/>
          <w:sz w:val="20"/>
          <w:szCs w:val="20"/>
          <w:lang w:val="es-ES_tradnl"/>
        </w:rPr>
        <w:t>ibunal</w:t>
      </w:r>
      <w:r w:rsidR="007346A8" w:rsidRPr="00EB3DC6">
        <w:rPr>
          <w:rFonts w:asciiTheme="majorHAnsi" w:hAnsiTheme="majorHAnsi"/>
          <w:sz w:val="20"/>
          <w:szCs w:val="20"/>
          <w:lang w:val="es-ES_tradnl"/>
        </w:rPr>
        <w:t xml:space="preserve"> no solo </w:t>
      </w:r>
      <w:r w:rsidR="00496324" w:rsidRPr="00EB3DC6">
        <w:rPr>
          <w:rFonts w:asciiTheme="majorHAnsi" w:hAnsiTheme="majorHAnsi"/>
          <w:sz w:val="20"/>
          <w:szCs w:val="20"/>
          <w:lang w:val="es-ES_tradnl"/>
        </w:rPr>
        <w:t>indicó</w:t>
      </w:r>
      <w:r w:rsidR="007346A8" w:rsidRPr="00EB3DC6">
        <w:rPr>
          <w:rFonts w:asciiTheme="majorHAnsi" w:hAnsiTheme="majorHAnsi"/>
          <w:sz w:val="20"/>
          <w:szCs w:val="20"/>
          <w:lang w:val="es-ES_tradnl"/>
        </w:rPr>
        <w:t xml:space="preserve"> que los comerciales constituían propaganda electoral </w:t>
      </w:r>
      <w:r w:rsidR="009C189D" w:rsidRPr="00EB3DC6">
        <w:rPr>
          <w:rFonts w:asciiTheme="majorHAnsi" w:hAnsiTheme="majorHAnsi"/>
          <w:sz w:val="20"/>
          <w:szCs w:val="20"/>
          <w:lang w:val="es-ES_tradnl"/>
        </w:rPr>
        <w:t xml:space="preserve">contratada por entes no autorizados </w:t>
      </w:r>
      <w:r w:rsidR="007346A8" w:rsidRPr="00EB3DC6">
        <w:rPr>
          <w:rFonts w:asciiTheme="majorHAnsi" w:hAnsiTheme="majorHAnsi"/>
          <w:sz w:val="20"/>
          <w:szCs w:val="20"/>
          <w:lang w:val="es-ES_tradnl"/>
        </w:rPr>
        <w:t xml:space="preserve">sino que </w:t>
      </w:r>
      <w:r w:rsidR="003067CD" w:rsidRPr="00EB3DC6">
        <w:rPr>
          <w:rFonts w:asciiTheme="majorHAnsi" w:hAnsiTheme="majorHAnsi"/>
          <w:sz w:val="20"/>
          <w:szCs w:val="20"/>
          <w:lang w:val="es-ES_tradnl"/>
        </w:rPr>
        <w:t>“quedó evidenciado en la resolución reclamada, que se difundió propaganda denigratoria”</w:t>
      </w:r>
      <w:r w:rsidR="007346A8" w:rsidRPr="00EB3DC6">
        <w:rPr>
          <w:rFonts w:asciiTheme="majorHAnsi" w:hAnsiTheme="majorHAnsi"/>
          <w:sz w:val="20"/>
          <w:szCs w:val="20"/>
          <w:lang w:val="es-ES_tradnl"/>
        </w:rPr>
        <w:t xml:space="preserve"> contra los candidatos y partidos </w:t>
      </w:r>
      <w:r w:rsidR="009A74ED" w:rsidRPr="00EB3DC6">
        <w:rPr>
          <w:rFonts w:asciiTheme="majorHAnsi" w:hAnsiTheme="majorHAnsi"/>
          <w:sz w:val="20"/>
          <w:szCs w:val="20"/>
          <w:lang w:val="es-ES_tradnl"/>
        </w:rPr>
        <w:t>políticos</w:t>
      </w:r>
      <w:r w:rsidR="003067CD" w:rsidRPr="00EB3DC6">
        <w:rPr>
          <w:rFonts w:asciiTheme="majorHAnsi" w:hAnsiTheme="majorHAnsi"/>
          <w:sz w:val="20"/>
          <w:szCs w:val="20"/>
          <w:lang w:val="es-ES_tradnl"/>
        </w:rPr>
        <w:t xml:space="preserve">. </w:t>
      </w:r>
      <w:r w:rsidR="00D16692" w:rsidRPr="00EB3DC6">
        <w:rPr>
          <w:rFonts w:asciiTheme="majorHAnsi" w:hAnsiTheme="majorHAnsi"/>
          <w:sz w:val="20"/>
          <w:szCs w:val="20"/>
          <w:lang w:val="es-ES_tradnl"/>
        </w:rPr>
        <w:t xml:space="preserve">Los peticionarios afirman que luego de las </w:t>
      </w:r>
      <w:r w:rsidR="009D1078" w:rsidRPr="00EB3DC6">
        <w:rPr>
          <w:rFonts w:asciiTheme="majorHAnsi" w:hAnsiTheme="majorHAnsi"/>
          <w:sz w:val="20"/>
          <w:szCs w:val="20"/>
          <w:lang w:val="es-ES_tradnl"/>
        </w:rPr>
        <w:t>sanciones</w:t>
      </w:r>
      <w:r w:rsidR="00D16692" w:rsidRPr="00EB3DC6">
        <w:rPr>
          <w:rFonts w:asciiTheme="majorHAnsi" w:hAnsiTheme="majorHAnsi"/>
          <w:sz w:val="20"/>
          <w:szCs w:val="20"/>
          <w:lang w:val="es-ES_tradnl"/>
        </w:rPr>
        <w:t xml:space="preserve"> por parte del IFE y del TRIFE, los directores de los respectivos medios comunicacionales decidieron no volver a transmitir </w:t>
      </w:r>
      <w:r w:rsidR="009D1078" w:rsidRPr="00EB3DC6">
        <w:rPr>
          <w:rFonts w:asciiTheme="majorHAnsi" w:hAnsiTheme="majorHAnsi"/>
          <w:sz w:val="20"/>
          <w:szCs w:val="20"/>
          <w:lang w:val="es-ES_tradnl"/>
        </w:rPr>
        <w:t>anuncios publicitarios</w:t>
      </w:r>
      <w:r w:rsidR="00D16692" w:rsidRPr="00EB3DC6">
        <w:rPr>
          <w:rFonts w:asciiTheme="majorHAnsi" w:hAnsiTheme="majorHAnsi"/>
          <w:sz w:val="20"/>
          <w:szCs w:val="20"/>
          <w:lang w:val="es-ES_tradnl"/>
        </w:rPr>
        <w:t xml:space="preserve"> que pudiesen dar lugar a sanciones “[a]ún a costa de dejar de informar a la población sobre temas de interés genera[l]</w:t>
      </w:r>
      <w:r w:rsidR="00EF64A7" w:rsidRPr="00EB3DC6">
        <w:rPr>
          <w:rFonts w:asciiTheme="majorHAnsi" w:hAnsiTheme="majorHAnsi"/>
          <w:sz w:val="20"/>
          <w:szCs w:val="20"/>
          <w:lang w:val="es-ES_tradnl"/>
        </w:rPr>
        <w:t>”</w:t>
      </w:r>
      <w:r w:rsidR="00D16692" w:rsidRPr="00EB3DC6">
        <w:rPr>
          <w:rFonts w:asciiTheme="majorHAnsi" w:hAnsiTheme="majorHAnsi"/>
          <w:sz w:val="20"/>
          <w:szCs w:val="20"/>
          <w:lang w:val="es-ES_tradnl"/>
        </w:rPr>
        <w:t>.</w:t>
      </w:r>
      <w:r w:rsidR="005773BD" w:rsidRPr="00EB3DC6">
        <w:rPr>
          <w:rFonts w:asciiTheme="majorHAnsi" w:hAnsiTheme="majorHAnsi"/>
          <w:sz w:val="20"/>
          <w:szCs w:val="20"/>
          <w:lang w:val="es-AR"/>
        </w:rPr>
        <w:t xml:space="preserve"> </w:t>
      </w:r>
      <w:r w:rsidR="00D1645F" w:rsidRPr="00EB3DC6">
        <w:rPr>
          <w:rFonts w:asciiTheme="majorHAnsi" w:hAnsiTheme="majorHAnsi"/>
          <w:sz w:val="20"/>
          <w:szCs w:val="20"/>
          <w:lang w:val="es-AR"/>
        </w:rPr>
        <w:t xml:space="preserve">Posteriormente, el IFE redujo las sanciones económicas impuestas a la </w:t>
      </w:r>
      <w:r w:rsidR="00D1645F" w:rsidRPr="00EB3DC6">
        <w:rPr>
          <w:rFonts w:asciiTheme="majorHAnsi" w:hAnsiTheme="majorHAnsi"/>
          <w:sz w:val="20"/>
          <w:szCs w:val="20"/>
          <w:lang w:val="es-ES_tradnl"/>
        </w:rPr>
        <w:t xml:space="preserve">Cadena Televisora Norte, S.A. de C.V y Radiotelevisora del Norte SA. De C.V (multas de MXN$ 220,022.00 y MXN$  135,027.20, respectivamente). </w:t>
      </w:r>
    </w:p>
    <w:p w:rsidR="009A74ED" w:rsidRPr="00EB3DC6" w:rsidRDefault="009A74ED" w:rsidP="009A74ED">
      <w:pPr>
        <w:pStyle w:val="ListParagraph"/>
        <w:rPr>
          <w:rFonts w:asciiTheme="majorHAnsi" w:hAnsiTheme="majorHAnsi"/>
          <w:sz w:val="20"/>
          <w:szCs w:val="20"/>
          <w:lang w:val="es-AR"/>
        </w:rPr>
      </w:pPr>
    </w:p>
    <w:p w:rsidR="009A74ED" w:rsidRPr="00770564" w:rsidRDefault="009A74ED" w:rsidP="00AC3F11">
      <w:pPr>
        <w:pStyle w:val="ListParagraph"/>
        <w:numPr>
          <w:ilvl w:val="0"/>
          <w:numId w:val="103"/>
        </w:numPr>
        <w:jc w:val="both"/>
        <w:rPr>
          <w:rFonts w:asciiTheme="majorHAnsi" w:hAnsiTheme="majorHAnsi"/>
          <w:sz w:val="20"/>
          <w:szCs w:val="20"/>
          <w:lang w:val="es-AR"/>
        </w:rPr>
      </w:pPr>
      <w:r w:rsidRPr="00EB3DC6">
        <w:rPr>
          <w:rFonts w:asciiTheme="majorHAnsi" w:hAnsiTheme="majorHAnsi"/>
          <w:color w:val="auto"/>
          <w:sz w:val="20"/>
          <w:szCs w:val="20"/>
          <w:lang w:val="es-ES_tradnl"/>
        </w:rPr>
        <w:t xml:space="preserve">Según los peticionarios, las sanciones impuestas a los medios de comunicación derivan de la reforma constitucional de 2007 </w:t>
      </w:r>
      <w:r w:rsidR="00D22EBD" w:rsidRPr="00EB3DC6">
        <w:rPr>
          <w:rFonts w:asciiTheme="majorHAnsi" w:hAnsiTheme="majorHAnsi"/>
          <w:color w:val="auto"/>
          <w:sz w:val="20"/>
          <w:szCs w:val="20"/>
          <w:lang w:val="es-ES_tradnl"/>
        </w:rPr>
        <w:t>que</w:t>
      </w:r>
      <w:r w:rsidRPr="00EB3DC6">
        <w:rPr>
          <w:rFonts w:asciiTheme="majorHAnsi" w:hAnsiTheme="majorHAnsi"/>
          <w:color w:val="auto"/>
          <w:sz w:val="20"/>
          <w:szCs w:val="20"/>
          <w:lang w:val="es-ES_tradnl"/>
        </w:rPr>
        <w:t xml:space="preserve"> modificó el artículo 41 de la Constitución Política de los Estados Mexicanos. Explican que el artículo 41 de la Constitución Política junto con el artículo 350 del Código Federal de Instituciones y Procedimientos Electorales, restringen</w:t>
      </w:r>
      <w:r w:rsidR="003568D7" w:rsidRPr="00EB3DC6">
        <w:rPr>
          <w:rFonts w:asciiTheme="majorHAnsi" w:hAnsiTheme="majorHAnsi"/>
          <w:color w:val="auto"/>
          <w:sz w:val="20"/>
          <w:szCs w:val="20"/>
          <w:lang w:val="es-ES_tradnl"/>
        </w:rPr>
        <w:t xml:space="preserve"> indebidamente</w:t>
      </w:r>
      <w:r w:rsidRPr="00EB3DC6">
        <w:rPr>
          <w:rFonts w:asciiTheme="majorHAnsi" w:hAnsiTheme="majorHAnsi"/>
          <w:color w:val="auto"/>
          <w:sz w:val="20"/>
          <w:szCs w:val="20"/>
          <w:lang w:val="es-ES_tradnl"/>
        </w:rPr>
        <w:t xml:space="preserve"> la libertad de expresión pues, entre otros, impiden, </w:t>
      </w:r>
      <w:r w:rsidR="003568D7" w:rsidRPr="00EB3DC6">
        <w:rPr>
          <w:rFonts w:asciiTheme="majorHAnsi" w:hAnsiTheme="majorHAnsi"/>
          <w:color w:val="auto"/>
          <w:sz w:val="20"/>
          <w:szCs w:val="20"/>
          <w:lang w:val="es-ES_tradnl"/>
        </w:rPr>
        <w:t>“</w:t>
      </w:r>
      <w:r w:rsidRPr="00EB3DC6">
        <w:rPr>
          <w:rFonts w:asciiTheme="majorHAnsi" w:hAnsiTheme="majorHAnsi"/>
          <w:color w:val="auto"/>
          <w:sz w:val="20"/>
          <w:szCs w:val="20"/>
          <w:lang w:val="es-ES_tradnl"/>
        </w:rPr>
        <w:t>a toda persona física o moral contratar propaganda en radio y/o televisión que pueda influir en las preferencias electorales de los ciudadanos, sea a favor o en contra de partidos políticos o de candidatos a cargos de elecciones populares</w:t>
      </w:r>
      <w:r w:rsidR="003568D7" w:rsidRPr="00EB3DC6">
        <w:rPr>
          <w:rFonts w:asciiTheme="majorHAnsi" w:hAnsiTheme="majorHAnsi"/>
          <w:color w:val="auto"/>
          <w:sz w:val="20"/>
          <w:szCs w:val="20"/>
          <w:lang w:val="es-ES_tradnl"/>
        </w:rPr>
        <w:t>”</w:t>
      </w:r>
      <w:r w:rsidRPr="00EB3DC6">
        <w:rPr>
          <w:rFonts w:asciiTheme="majorHAnsi" w:hAnsiTheme="majorHAnsi"/>
          <w:color w:val="auto"/>
          <w:sz w:val="20"/>
          <w:szCs w:val="20"/>
          <w:lang w:val="es-ES_tradnl"/>
        </w:rPr>
        <w:t>.</w:t>
      </w:r>
      <w:r w:rsidR="008E3E6F" w:rsidRPr="00EB3DC6">
        <w:rPr>
          <w:rFonts w:asciiTheme="majorHAnsi" w:hAnsiTheme="majorHAnsi"/>
          <w:color w:val="auto"/>
          <w:sz w:val="20"/>
          <w:szCs w:val="20"/>
          <w:lang w:val="es-ES_tradnl"/>
        </w:rPr>
        <w:t xml:space="preserve"> </w:t>
      </w:r>
      <w:r w:rsidR="003568D7" w:rsidRPr="00EB3DC6">
        <w:rPr>
          <w:rFonts w:asciiTheme="majorHAnsi" w:hAnsiTheme="majorHAnsi"/>
          <w:color w:val="auto"/>
          <w:sz w:val="20"/>
          <w:szCs w:val="20"/>
          <w:lang w:val="es-ES_tradnl"/>
        </w:rPr>
        <w:t>Asimismo, dispone que en “la propaganda electoral que difundan los partidos políticos deberán abstenerse de expresiones que denigren a las instituciones y a los propios partidos o que calumnien a las personas”.</w:t>
      </w:r>
      <w:r w:rsidR="003E6E37" w:rsidRPr="00EB3DC6">
        <w:rPr>
          <w:rFonts w:asciiTheme="majorHAnsi" w:hAnsiTheme="majorHAnsi"/>
          <w:color w:val="auto"/>
          <w:sz w:val="20"/>
          <w:szCs w:val="20"/>
          <w:lang w:val="es-ES_tradnl"/>
        </w:rPr>
        <w:t xml:space="preserve"> Igualmente, explican que </w:t>
      </w:r>
      <w:r w:rsidR="008F0D12" w:rsidRPr="00EB3DC6">
        <w:rPr>
          <w:rFonts w:asciiTheme="majorHAnsi" w:hAnsiTheme="majorHAnsi"/>
          <w:color w:val="auto"/>
          <w:sz w:val="20"/>
          <w:szCs w:val="20"/>
          <w:lang w:val="es-ES_tradnl"/>
        </w:rPr>
        <w:t>estas</w:t>
      </w:r>
      <w:r w:rsidR="008F0D12" w:rsidRPr="00770564">
        <w:rPr>
          <w:rFonts w:asciiTheme="majorHAnsi" w:hAnsiTheme="majorHAnsi"/>
          <w:color w:val="auto"/>
          <w:sz w:val="20"/>
          <w:szCs w:val="20"/>
          <w:lang w:val="es-ES_tradnl"/>
        </w:rPr>
        <w:t xml:space="preserve"> normas </w:t>
      </w:r>
      <w:r w:rsidR="003E6E37" w:rsidRPr="00770564">
        <w:rPr>
          <w:rFonts w:asciiTheme="majorHAnsi" w:hAnsiTheme="majorHAnsi"/>
          <w:color w:val="auto"/>
          <w:sz w:val="20"/>
          <w:szCs w:val="20"/>
          <w:lang w:val="es-ES_tradnl"/>
        </w:rPr>
        <w:t>prohíbe</w:t>
      </w:r>
      <w:r w:rsidR="008F0D12" w:rsidRPr="00770564">
        <w:rPr>
          <w:rFonts w:asciiTheme="majorHAnsi" w:hAnsiTheme="majorHAnsi"/>
          <w:color w:val="auto"/>
          <w:sz w:val="20"/>
          <w:szCs w:val="20"/>
          <w:lang w:val="es-ES_tradnl"/>
        </w:rPr>
        <w:t>n</w:t>
      </w:r>
      <w:r w:rsidR="003E6E37" w:rsidRPr="00770564">
        <w:rPr>
          <w:rFonts w:asciiTheme="majorHAnsi" w:hAnsiTheme="majorHAnsi"/>
          <w:color w:val="auto"/>
          <w:sz w:val="20"/>
          <w:szCs w:val="20"/>
          <w:lang w:val="es-ES_tradnl"/>
        </w:rPr>
        <w:t xml:space="preserve"> la difusión de propaganda política o electoral, pagada o</w:t>
      </w:r>
      <w:r w:rsidR="009C189D" w:rsidRPr="00770564">
        <w:rPr>
          <w:rFonts w:asciiTheme="majorHAnsi" w:hAnsiTheme="majorHAnsi"/>
          <w:color w:val="auto"/>
          <w:sz w:val="20"/>
          <w:szCs w:val="20"/>
          <w:lang w:val="es-ES_tradnl"/>
        </w:rPr>
        <w:t xml:space="preserve"> </w:t>
      </w:r>
      <w:r w:rsidR="003E6E37" w:rsidRPr="00770564">
        <w:rPr>
          <w:rFonts w:asciiTheme="majorHAnsi" w:hAnsiTheme="majorHAnsi"/>
          <w:color w:val="auto"/>
          <w:sz w:val="20"/>
          <w:szCs w:val="20"/>
          <w:lang w:val="es-ES_tradnl"/>
        </w:rPr>
        <w:t xml:space="preserve">gratuita, </w:t>
      </w:r>
      <w:r w:rsidR="009C189D" w:rsidRPr="00770564">
        <w:rPr>
          <w:rFonts w:asciiTheme="majorHAnsi" w:hAnsiTheme="majorHAnsi"/>
          <w:color w:val="auto"/>
          <w:sz w:val="20"/>
          <w:szCs w:val="20"/>
          <w:lang w:val="es-ES_tradnl"/>
        </w:rPr>
        <w:t>ordenada por personas distintas al IFE</w:t>
      </w:r>
      <w:r w:rsidR="00DF24F9" w:rsidRPr="00770564">
        <w:rPr>
          <w:rFonts w:asciiTheme="majorHAnsi" w:hAnsiTheme="majorHAnsi"/>
          <w:color w:val="auto"/>
          <w:sz w:val="20"/>
          <w:szCs w:val="20"/>
          <w:lang w:val="es-ES_tradnl"/>
        </w:rPr>
        <w:t>.</w:t>
      </w:r>
      <w:r w:rsidR="00A836E5">
        <w:rPr>
          <w:rFonts w:asciiTheme="majorHAnsi" w:hAnsiTheme="majorHAnsi"/>
          <w:color w:val="auto"/>
          <w:sz w:val="20"/>
          <w:szCs w:val="20"/>
          <w:lang w:val="es-ES_tradnl"/>
        </w:rPr>
        <w:t xml:space="preserve"> </w:t>
      </w:r>
      <w:r w:rsidR="00A836E5" w:rsidRPr="00F8019D">
        <w:rPr>
          <w:rFonts w:asciiTheme="majorHAnsi" w:hAnsiTheme="majorHAnsi"/>
          <w:color w:val="auto"/>
          <w:sz w:val="20"/>
          <w:szCs w:val="20"/>
          <w:lang w:val="es-ES_tradnl"/>
        </w:rPr>
        <w:t xml:space="preserve">Alegan que </w:t>
      </w:r>
      <w:r w:rsidR="00F8019D" w:rsidRPr="00F8019D">
        <w:rPr>
          <w:rFonts w:asciiTheme="majorHAnsi" w:hAnsiTheme="majorHAnsi"/>
          <w:color w:val="auto"/>
          <w:sz w:val="20"/>
          <w:szCs w:val="20"/>
          <w:lang w:val="es-ES_tradnl"/>
        </w:rPr>
        <w:t xml:space="preserve">si bien la regulación de mensajes y propaganda </w:t>
      </w:r>
      <w:r w:rsidR="00F8019D">
        <w:rPr>
          <w:rFonts w:asciiTheme="majorHAnsi" w:hAnsiTheme="majorHAnsi"/>
          <w:color w:val="auto"/>
          <w:sz w:val="20"/>
          <w:szCs w:val="20"/>
          <w:lang w:val="es-ES_tradnl"/>
        </w:rPr>
        <w:t xml:space="preserve">partidaria </w:t>
      </w:r>
      <w:r w:rsidR="00F8019D" w:rsidRPr="00F8019D">
        <w:rPr>
          <w:rFonts w:asciiTheme="majorHAnsi" w:hAnsiTheme="majorHAnsi"/>
          <w:color w:val="auto"/>
          <w:sz w:val="20"/>
          <w:szCs w:val="20"/>
          <w:lang w:val="es-ES_tradnl"/>
        </w:rPr>
        <w:t xml:space="preserve">durante época electoral </w:t>
      </w:r>
      <w:r w:rsidR="00D03547">
        <w:rPr>
          <w:rFonts w:asciiTheme="majorHAnsi" w:hAnsiTheme="majorHAnsi"/>
          <w:color w:val="auto"/>
          <w:sz w:val="20"/>
          <w:szCs w:val="20"/>
          <w:lang w:val="es-ES_tradnl"/>
        </w:rPr>
        <w:t>persigue</w:t>
      </w:r>
      <w:r w:rsidR="00F8019D" w:rsidRPr="00F8019D">
        <w:rPr>
          <w:rFonts w:asciiTheme="majorHAnsi" w:hAnsiTheme="majorHAnsi"/>
          <w:color w:val="auto"/>
          <w:sz w:val="20"/>
          <w:szCs w:val="20"/>
          <w:lang w:val="es-ES_tradnl"/>
        </w:rPr>
        <w:t xml:space="preserve"> fines legítimos, el marco normativo mexicano es</w:t>
      </w:r>
      <w:r w:rsidR="00D03547">
        <w:rPr>
          <w:rFonts w:asciiTheme="majorHAnsi" w:hAnsiTheme="majorHAnsi"/>
          <w:color w:val="auto"/>
          <w:sz w:val="20"/>
          <w:szCs w:val="20"/>
          <w:lang w:val="es-ES_tradnl"/>
        </w:rPr>
        <w:t xml:space="preserve"> vago y</w:t>
      </w:r>
      <w:r w:rsidR="00A836E5" w:rsidRPr="00F8019D">
        <w:rPr>
          <w:rFonts w:asciiTheme="majorHAnsi" w:hAnsiTheme="majorHAnsi"/>
          <w:color w:val="auto"/>
          <w:sz w:val="20"/>
          <w:szCs w:val="20"/>
          <w:lang w:val="es-ES_tradnl"/>
        </w:rPr>
        <w:t xml:space="preserve"> excesivamente ampli</w:t>
      </w:r>
      <w:r w:rsidR="00F8019D" w:rsidRPr="00F8019D">
        <w:rPr>
          <w:rFonts w:asciiTheme="majorHAnsi" w:hAnsiTheme="majorHAnsi"/>
          <w:color w:val="auto"/>
          <w:sz w:val="20"/>
          <w:szCs w:val="20"/>
          <w:lang w:val="es-ES_tradnl"/>
        </w:rPr>
        <w:t>o</w:t>
      </w:r>
      <w:r w:rsidR="00D03547">
        <w:rPr>
          <w:rFonts w:asciiTheme="majorHAnsi" w:hAnsiTheme="majorHAnsi"/>
          <w:color w:val="auto"/>
          <w:sz w:val="20"/>
          <w:szCs w:val="20"/>
          <w:lang w:val="es-ES_tradnl"/>
        </w:rPr>
        <w:t xml:space="preserve">, </w:t>
      </w:r>
      <w:r w:rsidR="00A836E5" w:rsidRPr="00F8019D">
        <w:rPr>
          <w:rFonts w:asciiTheme="majorHAnsi" w:hAnsiTheme="majorHAnsi"/>
          <w:color w:val="auto"/>
          <w:sz w:val="20"/>
          <w:szCs w:val="20"/>
          <w:lang w:val="es-ES_tradnl"/>
        </w:rPr>
        <w:t>otorga</w:t>
      </w:r>
      <w:r w:rsidR="00D03547">
        <w:rPr>
          <w:rFonts w:asciiTheme="majorHAnsi" w:hAnsiTheme="majorHAnsi"/>
          <w:color w:val="auto"/>
          <w:sz w:val="20"/>
          <w:szCs w:val="20"/>
          <w:lang w:val="es-ES_tradnl"/>
        </w:rPr>
        <w:t>ndo</w:t>
      </w:r>
      <w:r w:rsidR="00A836E5" w:rsidRPr="00F8019D">
        <w:rPr>
          <w:rFonts w:asciiTheme="majorHAnsi" w:hAnsiTheme="majorHAnsi"/>
          <w:color w:val="auto"/>
          <w:sz w:val="20"/>
          <w:szCs w:val="20"/>
          <w:lang w:val="es-ES_tradnl"/>
        </w:rPr>
        <w:t xml:space="preserve"> un </w:t>
      </w:r>
      <w:r w:rsidR="00D03547">
        <w:rPr>
          <w:rFonts w:asciiTheme="majorHAnsi" w:hAnsiTheme="majorHAnsi"/>
          <w:color w:val="auto"/>
          <w:sz w:val="20"/>
          <w:szCs w:val="20"/>
          <w:lang w:val="es-ES_tradnl"/>
        </w:rPr>
        <w:t>indebido</w:t>
      </w:r>
      <w:r w:rsidR="00F8019D" w:rsidRPr="00F8019D">
        <w:rPr>
          <w:rFonts w:asciiTheme="majorHAnsi" w:hAnsiTheme="majorHAnsi"/>
          <w:color w:val="auto"/>
          <w:sz w:val="20"/>
          <w:szCs w:val="20"/>
          <w:lang w:val="es-ES_tradnl"/>
        </w:rPr>
        <w:t xml:space="preserve"> margen de discrecionalidad a las autoridades para </w:t>
      </w:r>
      <w:r w:rsidR="00D03547">
        <w:rPr>
          <w:rFonts w:asciiTheme="majorHAnsi" w:hAnsiTheme="majorHAnsi"/>
          <w:color w:val="auto"/>
          <w:sz w:val="20"/>
          <w:szCs w:val="20"/>
          <w:lang w:val="es-ES_tradnl"/>
        </w:rPr>
        <w:t xml:space="preserve">su aplicación, de forma que, tal y como habría ocurrido en este caso, se pueda </w:t>
      </w:r>
      <w:r w:rsidR="00F8019D" w:rsidRPr="00F8019D">
        <w:rPr>
          <w:rFonts w:asciiTheme="majorHAnsi" w:hAnsiTheme="majorHAnsi"/>
          <w:color w:val="auto"/>
          <w:sz w:val="20"/>
          <w:szCs w:val="20"/>
          <w:lang w:val="es-ES_tradnl"/>
        </w:rPr>
        <w:t xml:space="preserve">restringir y sancionar </w:t>
      </w:r>
      <w:r w:rsidR="00C13F4A">
        <w:rPr>
          <w:rFonts w:asciiTheme="majorHAnsi" w:hAnsiTheme="majorHAnsi"/>
          <w:color w:val="auto"/>
          <w:sz w:val="20"/>
          <w:szCs w:val="20"/>
          <w:lang w:val="es-ES_tradnl"/>
        </w:rPr>
        <w:t xml:space="preserve">con elevadas multas </w:t>
      </w:r>
      <w:r w:rsidR="00F8019D" w:rsidRPr="00F8019D">
        <w:rPr>
          <w:rFonts w:asciiTheme="majorHAnsi" w:hAnsiTheme="majorHAnsi"/>
          <w:color w:val="auto"/>
          <w:sz w:val="20"/>
          <w:szCs w:val="20"/>
          <w:lang w:val="es-ES_tradnl"/>
        </w:rPr>
        <w:t xml:space="preserve">la emisión de contenidos </w:t>
      </w:r>
      <w:r w:rsidR="00D03547">
        <w:rPr>
          <w:rFonts w:asciiTheme="majorHAnsi" w:hAnsiTheme="majorHAnsi"/>
          <w:color w:val="auto"/>
          <w:sz w:val="20"/>
          <w:szCs w:val="20"/>
          <w:lang w:val="es-ES_tradnl"/>
        </w:rPr>
        <w:t xml:space="preserve">de interés público </w:t>
      </w:r>
      <w:r w:rsidR="00F8019D" w:rsidRPr="00F8019D">
        <w:rPr>
          <w:rFonts w:asciiTheme="majorHAnsi" w:hAnsiTheme="majorHAnsi"/>
          <w:color w:val="auto"/>
          <w:sz w:val="20"/>
          <w:szCs w:val="20"/>
          <w:lang w:val="es-ES_tradnl"/>
        </w:rPr>
        <w:t>en elecciones</w:t>
      </w:r>
      <w:r w:rsidR="00A836E5" w:rsidRPr="00F8019D">
        <w:rPr>
          <w:rFonts w:asciiTheme="majorHAnsi" w:hAnsiTheme="majorHAnsi"/>
          <w:color w:val="auto"/>
          <w:sz w:val="20"/>
          <w:szCs w:val="20"/>
          <w:lang w:val="es-ES_tradnl"/>
        </w:rPr>
        <w:t>.</w:t>
      </w:r>
      <w:r w:rsidR="00A836E5">
        <w:rPr>
          <w:rFonts w:asciiTheme="majorHAnsi" w:hAnsiTheme="majorHAnsi"/>
          <w:color w:val="auto"/>
          <w:sz w:val="20"/>
          <w:szCs w:val="20"/>
          <w:lang w:val="es-ES_tradnl"/>
        </w:rPr>
        <w:t xml:space="preserve"> </w:t>
      </w:r>
    </w:p>
    <w:p w:rsidR="009A74ED" w:rsidRPr="00770564" w:rsidRDefault="009A74ED" w:rsidP="009A74ED">
      <w:pPr>
        <w:pStyle w:val="ListParagraph"/>
        <w:rPr>
          <w:rFonts w:asciiTheme="majorHAnsi" w:hAnsiTheme="majorHAnsi"/>
          <w:sz w:val="20"/>
          <w:szCs w:val="20"/>
          <w:lang w:val="es-AR"/>
        </w:rPr>
      </w:pPr>
    </w:p>
    <w:p w:rsidR="00367939" w:rsidRPr="00770564" w:rsidRDefault="008F0D12" w:rsidP="009A74ED">
      <w:pPr>
        <w:pStyle w:val="ListParagraph"/>
        <w:numPr>
          <w:ilvl w:val="0"/>
          <w:numId w:val="103"/>
        </w:numPr>
        <w:jc w:val="both"/>
        <w:rPr>
          <w:rFonts w:asciiTheme="majorHAnsi" w:hAnsiTheme="majorHAnsi"/>
          <w:sz w:val="20"/>
          <w:szCs w:val="20"/>
          <w:lang w:val="es-AR"/>
        </w:rPr>
      </w:pPr>
      <w:r w:rsidRPr="00770564">
        <w:rPr>
          <w:rFonts w:asciiTheme="majorHAnsi" w:hAnsiTheme="majorHAnsi"/>
          <w:sz w:val="20"/>
          <w:szCs w:val="20"/>
          <w:lang w:val="es-AR"/>
        </w:rPr>
        <w:t>L</w:t>
      </w:r>
      <w:r w:rsidR="00AB5401" w:rsidRPr="00770564">
        <w:rPr>
          <w:rFonts w:asciiTheme="majorHAnsi" w:hAnsiTheme="majorHAnsi"/>
          <w:sz w:val="20"/>
          <w:szCs w:val="20"/>
          <w:lang w:val="es-AR"/>
        </w:rPr>
        <w:t>os peticionarios</w:t>
      </w:r>
      <w:r w:rsidR="00976223" w:rsidRPr="00770564">
        <w:rPr>
          <w:rFonts w:asciiTheme="majorHAnsi" w:hAnsiTheme="majorHAnsi"/>
          <w:sz w:val="20"/>
          <w:szCs w:val="20"/>
          <w:lang w:val="es-AR"/>
        </w:rPr>
        <w:t xml:space="preserve"> so</w:t>
      </w:r>
      <w:r w:rsidR="00084B87" w:rsidRPr="00770564">
        <w:rPr>
          <w:rFonts w:asciiTheme="majorHAnsi" w:hAnsiTheme="majorHAnsi"/>
          <w:sz w:val="20"/>
          <w:szCs w:val="20"/>
          <w:lang w:val="es-AR"/>
        </w:rPr>
        <w:t>licitan a la CIDH que admita como</w:t>
      </w:r>
      <w:r w:rsidRPr="00770564">
        <w:rPr>
          <w:rFonts w:asciiTheme="majorHAnsi" w:hAnsiTheme="majorHAnsi"/>
          <w:sz w:val="20"/>
          <w:szCs w:val="20"/>
          <w:lang w:val="es-AR"/>
        </w:rPr>
        <w:t xml:space="preserve"> </w:t>
      </w:r>
      <w:r w:rsidR="00084B87" w:rsidRPr="00770564">
        <w:rPr>
          <w:rFonts w:asciiTheme="majorHAnsi" w:hAnsiTheme="majorHAnsi"/>
          <w:sz w:val="20"/>
          <w:szCs w:val="20"/>
          <w:lang w:val="es-AR"/>
        </w:rPr>
        <w:t xml:space="preserve">presuntas </w:t>
      </w:r>
      <w:r w:rsidR="00BA3946" w:rsidRPr="00770564">
        <w:rPr>
          <w:rFonts w:asciiTheme="majorHAnsi" w:hAnsiTheme="majorHAnsi"/>
          <w:sz w:val="20"/>
          <w:szCs w:val="20"/>
          <w:lang w:val="es-AR"/>
        </w:rPr>
        <w:t>víctimas</w:t>
      </w:r>
      <w:r w:rsidR="00084B87" w:rsidRPr="00770564">
        <w:rPr>
          <w:rFonts w:asciiTheme="majorHAnsi" w:hAnsiTheme="majorHAnsi"/>
          <w:sz w:val="20"/>
          <w:szCs w:val="20"/>
          <w:lang w:val="es-AR"/>
        </w:rPr>
        <w:t xml:space="preserve"> del presente caso</w:t>
      </w:r>
      <w:r w:rsidRPr="00770564">
        <w:rPr>
          <w:rFonts w:asciiTheme="majorHAnsi" w:hAnsiTheme="majorHAnsi"/>
          <w:sz w:val="20"/>
          <w:szCs w:val="20"/>
          <w:lang w:val="es-AR"/>
        </w:rPr>
        <w:t xml:space="preserve"> </w:t>
      </w:r>
      <w:r w:rsidR="00FD71A9" w:rsidRPr="00770564">
        <w:rPr>
          <w:rFonts w:asciiTheme="majorHAnsi" w:hAnsiTheme="majorHAnsi"/>
          <w:sz w:val="20"/>
          <w:szCs w:val="20"/>
          <w:lang w:val="es-AR"/>
        </w:rPr>
        <w:t>a tres</w:t>
      </w:r>
      <w:r w:rsidRPr="00770564">
        <w:rPr>
          <w:rFonts w:asciiTheme="majorHAnsi" w:hAnsiTheme="majorHAnsi"/>
          <w:sz w:val="20"/>
          <w:szCs w:val="20"/>
          <w:lang w:val="es-AR"/>
        </w:rPr>
        <w:t xml:space="preserve"> personas jurídicas</w:t>
      </w:r>
      <w:r w:rsidR="00FD71A9" w:rsidRPr="00770564">
        <w:rPr>
          <w:rFonts w:asciiTheme="majorHAnsi" w:hAnsiTheme="majorHAnsi"/>
          <w:sz w:val="20"/>
          <w:szCs w:val="20"/>
          <w:lang w:val="es-AR"/>
        </w:rPr>
        <w:t xml:space="preserve">, </w:t>
      </w:r>
      <w:r w:rsidR="0069763F" w:rsidRPr="00770564">
        <w:rPr>
          <w:rFonts w:asciiTheme="majorHAnsi" w:hAnsiTheme="majorHAnsi"/>
          <w:sz w:val="20"/>
          <w:szCs w:val="20"/>
          <w:lang w:val="es-AR"/>
        </w:rPr>
        <w:t xml:space="preserve">la </w:t>
      </w:r>
      <w:r w:rsidR="00FD71A9" w:rsidRPr="00770564">
        <w:rPr>
          <w:rFonts w:asciiTheme="majorHAnsi" w:hAnsiTheme="majorHAnsi"/>
          <w:bCs/>
          <w:sz w:val="20"/>
          <w:szCs w:val="20"/>
          <w:lang w:val="es-ES"/>
        </w:rPr>
        <w:t xml:space="preserve">Radiotelevisora de México Norte S.A. de C.V., la Cadena Televisora del Norte S.A. de C.V. y </w:t>
      </w:r>
      <w:r w:rsidR="0069763F" w:rsidRPr="00770564">
        <w:rPr>
          <w:rFonts w:asciiTheme="majorHAnsi" w:hAnsiTheme="majorHAnsi"/>
          <w:bCs/>
          <w:sz w:val="20"/>
          <w:szCs w:val="20"/>
          <w:lang w:val="es-ES"/>
        </w:rPr>
        <w:t>la empresa</w:t>
      </w:r>
      <w:r w:rsidR="00FD71A9" w:rsidRPr="00770564">
        <w:rPr>
          <w:rFonts w:asciiTheme="majorHAnsi" w:hAnsiTheme="majorHAnsi"/>
          <w:bCs/>
          <w:sz w:val="20"/>
          <w:szCs w:val="20"/>
          <w:lang w:val="es-ES"/>
        </w:rPr>
        <w:t xml:space="preserve"> Televimex S.A. de C.V</w:t>
      </w:r>
      <w:r w:rsidR="00FD71A9" w:rsidRPr="00770564">
        <w:rPr>
          <w:rFonts w:asciiTheme="majorHAnsi" w:hAnsiTheme="majorHAnsi"/>
          <w:sz w:val="20"/>
          <w:szCs w:val="20"/>
          <w:lang w:val="es-AR"/>
        </w:rPr>
        <w:t xml:space="preserve">, y </w:t>
      </w:r>
      <w:r w:rsidRPr="00770564">
        <w:rPr>
          <w:rFonts w:asciiTheme="majorHAnsi" w:hAnsiTheme="majorHAnsi"/>
          <w:sz w:val="20"/>
          <w:szCs w:val="20"/>
          <w:lang w:val="es-AR"/>
        </w:rPr>
        <w:t xml:space="preserve">a </w:t>
      </w:r>
      <w:r w:rsidR="00FD71A9" w:rsidRPr="00770564">
        <w:rPr>
          <w:rFonts w:asciiTheme="majorHAnsi" w:hAnsiTheme="majorHAnsi"/>
          <w:sz w:val="20"/>
          <w:szCs w:val="20"/>
          <w:lang w:val="es-AR"/>
        </w:rPr>
        <w:t xml:space="preserve">seis </w:t>
      </w:r>
      <w:r w:rsidRPr="00770564">
        <w:rPr>
          <w:rFonts w:asciiTheme="majorHAnsi" w:hAnsiTheme="majorHAnsi"/>
          <w:sz w:val="20"/>
          <w:szCs w:val="20"/>
          <w:lang w:val="es-AR"/>
        </w:rPr>
        <w:t xml:space="preserve">personas físicas </w:t>
      </w:r>
      <w:r w:rsidR="004E5FD4" w:rsidRPr="00770564">
        <w:rPr>
          <w:rFonts w:asciiTheme="majorHAnsi" w:hAnsiTheme="majorHAnsi"/>
          <w:sz w:val="20"/>
          <w:szCs w:val="20"/>
          <w:lang w:val="es-AR"/>
        </w:rPr>
        <w:t xml:space="preserve">cuyos derechos </w:t>
      </w:r>
      <w:r w:rsidR="00084B87" w:rsidRPr="00770564">
        <w:rPr>
          <w:rFonts w:asciiTheme="majorHAnsi" w:hAnsiTheme="majorHAnsi"/>
          <w:sz w:val="20"/>
          <w:szCs w:val="20"/>
          <w:lang w:val="es-AR"/>
        </w:rPr>
        <w:t>alegan han sido vulnerados por las acciones del Estado mexicano</w:t>
      </w:r>
      <w:r w:rsidR="00D22EBD" w:rsidRPr="00770564">
        <w:rPr>
          <w:rFonts w:asciiTheme="majorHAnsi" w:hAnsiTheme="majorHAnsi"/>
          <w:sz w:val="20"/>
          <w:szCs w:val="20"/>
          <w:lang w:val="es-AR"/>
        </w:rPr>
        <w:t xml:space="preserve">. </w:t>
      </w:r>
    </w:p>
    <w:p w:rsidR="00367939" w:rsidRPr="00770564" w:rsidRDefault="00367939" w:rsidP="00367939">
      <w:pPr>
        <w:pStyle w:val="ListParagraph"/>
        <w:rPr>
          <w:rFonts w:asciiTheme="majorHAnsi" w:hAnsiTheme="majorHAnsi"/>
          <w:sz w:val="20"/>
          <w:szCs w:val="20"/>
          <w:lang w:val="es-AR"/>
        </w:rPr>
      </w:pPr>
    </w:p>
    <w:p w:rsidR="00D5095D" w:rsidRPr="00770564" w:rsidRDefault="008F0D12" w:rsidP="009A74ED">
      <w:pPr>
        <w:pStyle w:val="ListParagraph"/>
        <w:numPr>
          <w:ilvl w:val="0"/>
          <w:numId w:val="103"/>
        </w:numPr>
        <w:jc w:val="both"/>
        <w:rPr>
          <w:rFonts w:asciiTheme="majorHAnsi" w:hAnsiTheme="majorHAnsi"/>
          <w:sz w:val="20"/>
          <w:szCs w:val="20"/>
          <w:lang w:val="es-AR"/>
        </w:rPr>
      </w:pPr>
      <w:r w:rsidRPr="00770564">
        <w:rPr>
          <w:rFonts w:asciiTheme="majorHAnsi" w:hAnsiTheme="majorHAnsi"/>
          <w:sz w:val="20"/>
          <w:szCs w:val="20"/>
          <w:lang w:val="es-AR"/>
        </w:rPr>
        <w:t xml:space="preserve"> </w:t>
      </w:r>
      <w:r w:rsidR="00D5095D" w:rsidRPr="00770564">
        <w:rPr>
          <w:rFonts w:asciiTheme="majorHAnsi" w:hAnsiTheme="majorHAnsi"/>
          <w:sz w:val="20"/>
          <w:szCs w:val="20"/>
          <w:lang w:val="es-AR"/>
        </w:rPr>
        <w:t xml:space="preserve">En cuanto a las personas </w:t>
      </w:r>
      <w:r w:rsidR="0069763F" w:rsidRPr="00770564">
        <w:rPr>
          <w:rFonts w:asciiTheme="majorHAnsi" w:hAnsiTheme="majorHAnsi"/>
          <w:sz w:val="20"/>
          <w:szCs w:val="20"/>
          <w:lang w:val="es-AR"/>
        </w:rPr>
        <w:t>jurídicas</w:t>
      </w:r>
      <w:r w:rsidR="00D5095D" w:rsidRPr="00770564">
        <w:rPr>
          <w:rFonts w:asciiTheme="majorHAnsi" w:hAnsiTheme="majorHAnsi"/>
          <w:sz w:val="20"/>
          <w:szCs w:val="20"/>
          <w:lang w:val="es-AR"/>
        </w:rPr>
        <w:t xml:space="preserve">, alegan que </w:t>
      </w:r>
      <w:r w:rsidR="00552886" w:rsidRPr="00770564">
        <w:rPr>
          <w:rFonts w:asciiTheme="majorHAnsi" w:hAnsiTheme="majorHAnsi"/>
          <w:sz w:val="20"/>
          <w:szCs w:val="20"/>
          <w:lang w:val="es-AR"/>
        </w:rPr>
        <w:t xml:space="preserve">se trata de empresas </w:t>
      </w:r>
      <w:r w:rsidR="004466D0" w:rsidRPr="00770564">
        <w:rPr>
          <w:rFonts w:asciiTheme="majorHAnsi" w:hAnsiTheme="majorHAnsi"/>
          <w:sz w:val="20"/>
          <w:szCs w:val="20"/>
          <w:lang w:val="es-AR"/>
        </w:rPr>
        <w:t xml:space="preserve">de medios de comunicación titulares del derecho a la libertad de expresión que </w:t>
      </w:r>
      <w:r w:rsidR="00A83EA5" w:rsidRPr="00770564">
        <w:rPr>
          <w:rFonts w:asciiTheme="majorHAnsi" w:hAnsiTheme="majorHAnsi"/>
          <w:sz w:val="20"/>
          <w:szCs w:val="20"/>
          <w:lang w:val="es-AR"/>
        </w:rPr>
        <w:t>merece</w:t>
      </w:r>
      <w:r w:rsidR="004466D0" w:rsidRPr="00770564">
        <w:rPr>
          <w:rFonts w:asciiTheme="majorHAnsi" w:hAnsiTheme="majorHAnsi"/>
          <w:sz w:val="20"/>
          <w:szCs w:val="20"/>
          <w:lang w:val="es-AR"/>
        </w:rPr>
        <w:t xml:space="preserve"> ser amparado por los órganos del sistema interamericano</w:t>
      </w:r>
      <w:r w:rsidR="00D5095D" w:rsidRPr="00770564">
        <w:rPr>
          <w:rFonts w:asciiTheme="majorHAnsi" w:hAnsiTheme="majorHAnsi"/>
          <w:sz w:val="20"/>
          <w:szCs w:val="20"/>
          <w:lang w:val="es-AR"/>
        </w:rPr>
        <w:t xml:space="preserve">. </w:t>
      </w:r>
      <w:r w:rsidR="004466D0" w:rsidRPr="00770564">
        <w:rPr>
          <w:rFonts w:asciiTheme="majorHAnsi" w:hAnsiTheme="majorHAnsi"/>
          <w:sz w:val="20"/>
          <w:szCs w:val="20"/>
          <w:lang w:val="es-AR"/>
        </w:rPr>
        <w:t>Explican que el derecho a la libertad de expresión “tiene como sujetos naturales, evidentes y necesarios a los medios de comunicación social y no solo a los periodistas, los comunicadores independientes o el ciudadano común”</w:t>
      </w:r>
      <w:r w:rsidR="00A83EA5" w:rsidRPr="00770564">
        <w:rPr>
          <w:rFonts w:asciiTheme="majorHAnsi" w:hAnsiTheme="majorHAnsi"/>
          <w:sz w:val="20"/>
          <w:szCs w:val="20"/>
          <w:lang w:val="es-AR"/>
        </w:rPr>
        <w:t xml:space="preserve"> y que ello ha sido reconocido por el derecho internacional de los derechos humanos y el derecho comparado</w:t>
      </w:r>
      <w:r w:rsidR="004466D0" w:rsidRPr="00770564">
        <w:rPr>
          <w:rFonts w:asciiTheme="majorHAnsi" w:hAnsiTheme="majorHAnsi"/>
          <w:sz w:val="20"/>
          <w:szCs w:val="20"/>
          <w:lang w:val="es-AR"/>
        </w:rPr>
        <w:t xml:space="preserve">.  </w:t>
      </w:r>
      <w:r w:rsidR="00F90B06" w:rsidRPr="00770564">
        <w:rPr>
          <w:rFonts w:asciiTheme="majorHAnsi" w:hAnsiTheme="majorHAnsi"/>
          <w:sz w:val="20"/>
          <w:szCs w:val="20"/>
          <w:lang w:val="es-AR"/>
        </w:rPr>
        <w:t>Señalan</w:t>
      </w:r>
      <w:r w:rsidR="004466D0" w:rsidRPr="00770564">
        <w:rPr>
          <w:rFonts w:asciiTheme="majorHAnsi" w:hAnsiTheme="majorHAnsi"/>
          <w:sz w:val="20"/>
          <w:szCs w:val="20"/>
          <w:lang w:val="es-AR"/>
        </w:rPr>
        <w:t xml:space="preserve"> que en </w:t>
      </w:r>
      <w:r w:rsidR="00F90B06" w:rsidRPr="00770564">
        <w:rPr>
          <w:rFonts w:asciiTheme="majorHAnsi" w:hAnsiTheme="majorHAnsi"/>
          <w:sz w:val="20"/>
          <w:szCs w:val="20"/>
          <w:lang w:val="es-AR"/>
        </w:rPr>
        <w:t>México</w:t>
      </w:r>
      <w:r w:rsidR="004466D0" w:rsidRPr="00770564">
        <w:rPr>
          <w:rFonts w:asciiTheme="majorHAnsi" w:hAnsiTheme="majorHAnsi"/>
          <w:sz w:val="20"/>
          <w:szCs w:val="20"/>
          <w:lang w:val="es-AR"/>
        </w:rPr>
        <w:t xml:space="preserve"> no ha</w:t>
      </w:r>
      <w:r w:rsidR="00F90B06" w:rsidRPr="00770564">
        <w:rPr>
          <w:rFonts w:asciiTheme="majorHAnsi" w:hAnsiTheme="majorHAnsi"/>
          <w:sz w:val="20"/>
          <w:szCs w:val="20"/>
          <w:lang w:val="es-AR"/>
        </w:rPr>
        <w:t>y</w:t>
      </w:r>
      <w:r w:rsidR="004466D0" w:rsidRPr="00770564">
        <w:rPr>
          <w:rFonts w:asciiTheme="majorHAnsi" w:hAnsiTheme="majorHAnsi"/>
          <w:sz w:val="20"/>
          <w:szCs w:val="20"/>
          <w:lang w:val="es-AR"/>
        </w:rPr>
        <w:t xml:space="preserve"> ninguna persona física que sea concesionaria de servicios de </w:t>
      </w:r>
      <w:r w:rsidR="00F90B06" w:rsidRPr="00770564">
        <w:rPr>
          <w:rFonts w:asciiTheme="majorHAnsi" w:hAnsiTheme="majorHAnsi"/>
          <w:sz w:val="20"/>
          <w:szCs w:val="20"/>
          <w:lang w:val="es-AR"/>
        </w:rPr>
        <w:t>radiodifusión</w:t>
      </w:r>
      <w:r w:rsidR="004466D0" w:rsidRPr="00770564">
        <w:rPr>
          <w:rFonts w:asciiTheme="majorHAnsi" w:hAnsiTheme="majorHAnsi"/>
          <w:sz w:val="20"/>
          <w:szCs w:val="20"/>
          <w:lang w:val="es-AR"/>
        </w:rPr>
        <w:t xml:space="preserve">, sino que todas ellas son personas </w:t>
      </w:r>
      <w:r w:rsidR="00F90B06" w:rsidRPr="00770564">
        <w:rPr>
          <w:rFonts w:asciiTheme="majorHAnsi" w:hAnsiTheme="majorHAnsi"/>
          <w:sz w:val="20"/>
          <w:szCs w:val="20"/>
          <w:lang w:val="es-AR"/>
        </w:rPr>
        <w:t>jurídicas</w:t>
      </w:r>
      <w:r w:rsidR="004466D0" w:rsidRPr="00770564">
        <w:rPr>
          <w:rFonts w:asciiTheme="majorHAnsi" w:hAnsiTheme="majorHAnsi"/>
          <w:sz w:val="20"/>
          <w:szCs w:val="20"/>
          <w:lang w:val="es-AR"/>
        </w:rPr>
        <w:t xml:space="preserve">. </w:t>
      </w:r>
      <w:r w:rsidR="00F90B06" w:rsidRPr="00770564">
        <w:rPr>
          <w:rFonts w:asciiTheme="majorHAnsi" w:hAnsiTheme="majorHAnsi"/>
          <w:sz w:val="20"/>
          <w:szCs w:val="20"/>
          <w:lang w:val="es-AR"/>
        </w:rPr>
        <w:t>Añaden</w:t>
      </w:r>
      <w:r w:rsidR="004466D0" w:rsidRPr="00770564">
        <w:rPr>
          <w:rFonts w:asciiTheme="majorHAnsi" w:hAnsiTheme="majorHAnsi"/>
          <w:sz w:val="20"/>
          <w:szCs w:val="20"/>
          <w:lang w:val="es-AR"/>
        </w:rPr>
        <w:t xml:space="preserve"> que la tarea </w:t>
      </w:r>
      <w:r w:rsidR="004466D0" w:rsidRPr="00770564">
        <w:rPr>
          <w:rFonts w:asciiTheme="majorHAnsi" w:hAnsiTheme="majorHAnsi"/>
          <w:sz w:val="20"/>
          <w:szCs w:val="20"/>
          <w:lang w:val="es-AR"/>
        </w:rPr>
        <w:lastRenderedPageBreak/>
        <w:t>realizada por los medios de comunicación sancionados</w:t>
      </w:r>
      <w:r w:rsidR="00F90B06" w:rsidRPr="00770564">
        <w:rPr>
          <w:rFonts w:asciiTheme="majorHAnsi" w:hAnsiTheme="majorHAnsi"/>
          <w:sz w:val="20"/>
          <w:szCs w:val="20"/>
          <w:lang w:val="es-AR"/>
        </w:rPr>
        <w:t xml:space="preserve"> en el presente caso “son impracticables de brindar sin la estructura y complejidad que brinda un medio masivo de comunicación”. </w:t>
      </w:r>
    </w:p>
    <w:p w:rsidR="00D5095D" w:rsidRPr="00770564" w:rsidRDefault="00D5095D" w:rsidP="00D5095D">
      <w:pPr>
        <w:pStyle w:val="ListParagraph"/>
        <w:rPr>
          <w:rFonts w:asciiTheme="majorHAnsi" w:hAnsiTheme="majorHAnsi"/>
          <w:sz w:val="20"/>
          <w:szCs w:val="20"/>
          <w:lang w:val="es-AR"/>
        </w:rPr>
      </w:pPr>
    </w:p>
    <w:p w:rsidR="00EF64A7" w:rsidRPr="00EB3DC6" w:rsidRDefault="00D5095D" w:rsidP="009A74ED">
      <w:pPr>
        <w:pStyle w:val="ListParagraph"/>
        <w:numPr>
          <w:ilvl w:val="0"/>
          <w:numId w:val="103"/>
        </w:numPr>
        <w:jc w:val="both"/>
        <w:rPr>
          <w:rFonts w:asciiTheme="majorHAnsi" w:hAnsiTheme="majorHAnsi"/>
          <w:sz w:val="20"/>
          <w:szCs w:val="20"/>
          <w:lang w:val="es-AR"/>
        </w:rPr>
      </w:pPr>
      <w:r w:rsidRPr="00770564">
        <w:rPr>
          <w:rFonts w:asciiTheme="majorHAnsi" w:hAnsiTheme="majorHAnsi"/>
          <w:sz w:val="20"/>
          <w:szCs w:val="20"/>
          <w:lang w:val="es-AR"/>
        </w:rPr>
        <w:t xml:space="preserve">En cuanto a las </w:t>
      </w:r>
      <w:r w:rsidR="00160F67" w:rsidRPr="00770564">
        <w:rPr>
          <w:rFonts w:asciiTheme="majorHAnsi" w:hAnsiTheme="majorHAnsi"/>
          <w:sz w:val="20"/>
          <w:szCs w:val="20"/>
          <w:lang w:val="es-AR"/>
        </w:rPr>
        <w:t xml:space="preserve">personas </w:t>
      </w:r>
      <w:r w:rsidR="0069763F" w:rsidRPr="00770564">
        <w:rPr>
          <w:rFonts w:asciiTheme="majorHAnsi" w:hAnsiTheme="majorHAnsi"/>
          <w:sz w:val="20"/>
          <w:szCs w:val="20"/>
          <w:lang w:val="es-AR"/>
        </w:rPr>
        <w:t>físicas</w:t>
      </w:r>
      <w:r w:rsidRPr="00770564">
        <w:rPr>
          <w:rFonts w:asciiTheme="majorHAnsi" w:hAnsiTheme="majorHAnsi"/>
          <w:sz w:val="20"/>
          <w:szCs w:val="20"/>
          <w:lang w:val="es-AR"/>
        </w:rPr>
        <w:t xml:space="preserve">, </w:t>
      </w:r>
      <w:r w:rsidR="0041611F" w:rsidRPr="00770564">
        <w:rPr>
          <w:rFonts w:asciiTheme="majorHAnsi" w:hAnsiTheme="majorHAnsi"/>
          <w:sz w:val="20"/>
          <w:szCs w:val="20"/>
          <w:lang w:val="es-AR"/>
        </w:rPr>
        <w:t xml:space="preserve">los peticionarios </w:t>
      </w:r>
      <w:r w:rsidRPr="00770564">
        <w:rPr>
          <w:rFonts w:asciiTheme="majorHAnsi" w:hAnsiTheme="majorHAnsi"/>
          <w:sz w:val="20"/>
          <w:szCs w:val="20"/>
          <w:lang w:val="es-AR"/>
        </w:rPr>
        <w:t>alegan que</w:t>
      </w:r>
      <w:r w:rsidR="00160F67" w:rsidRPr="00770564">
        <w:rPr>
          <w:rFonts w:asciiTheme="majorHAnsi" w:hAnsiTheme="majorHAnsi"/>
          <w:sz w:val="20"/>
          <w:szCs w:val="20"/>
          <w:lang w:val="es-AR"/>
        </w:rPr>
        <w:t xml:space="preserve"> se trata de integrante</w:t>
      </w:r>
      <w:r w:rsidRPr="00770564">
        <w:rPr>
          <w:rFonts w:asciiTheme="majorHAnsi" w:hAnsiTheme="majorHAnsi"/>
          <w:sz w:val="20"/>
          <w:szCs w:val="20"/>
          <w:lang w:val="es-AR"/>
        </w:rPr>
        <w:t>s</w:t>
      </w:r>
      <w:r w:rsidR="00160F67" w:rsidRPr="00770564">
        <w:rPr>
          <w:rFonts w:asciiTheme="majorHAnsi" w:hAnsiTheme="majorHAnsi"/>
          <w:sz w:val="20"/>
          <w:szCs w:val="20"/>
          <w:lang w:val="es-AR"/>
        </w:rPr>
        <w:t xml:space="preserve"> de </w:t>
      </w:r>
      <w:r w:rsidR="00FD71A9" w:rsidRPr="00770564">
        <w:rPr>
          <w:rFonts w:asciiTheme="majorHAnsi" w:hAnsiTheme="majorHAnsi"/>
          <w:sz w:val="20"/>
          <w:szCs w:val="20"/>
          <w:lang w:val="es-AR"/>
        </w:rPr>
        <w:t>medios de comuni</w:t>
      </w:r>
      <w:r w:rsidRPr="00770564">
        <w:rPr>
          <w:rFonts w:asciiTheme="majorHAnsi" w:hAnsiTheme="majorHAnsi"/>
          <w:sz w:val="20"/>
          <w:szCs w:val="20"/>
          <w:lang w:val="es-AR"/>
        </w:rPr>
        <w:t>caci</w:t>
      </w:r>
      <w:r w:rsidRPr="00770564">
        <w:rPr>
          <w:rFonts w:asciiTheme="majorHAnsi" w:hAnsiTheme="majorHAnsi"/>
          <w:sz w:val="20"/>
          <w:szCs w:val="20"/>
          <w:lang w:val="es-ES"/>
        </w:rPr>
        <w:t>ó</w:t>
      </w:r>
      <w:r w:rsidRPr="00770564">
        <w:rPr>
          <w:rFonts w:asciiTheme="majorHAnsi" w:hAnsiTheme="majorHAnsi"/>
          <w:sz w:val="20"/>
          <w:szCs w:val="20"/>
          <w:lang w:val="es-AR"/>
        </w:rPr>
        <w:t>n social</w:t>
      </w:r>
      <w:r w:rsidR="00160F67" w:rsidRPr="00770564">
        <w:rPr>
          <w:rFonts w:asciiTheme="majorHAnsi" w:hAnsiTheme="majorHAnsi"/>
          <w:sz w:val="20"/>
          <w:szCs w:val="20"/>
          <w:lang w:val="es-AR"/>
        </w:rPr>
        <w:t xml:space="preserve"> que </w:t>
      </w:r>
      <w:r w:rsidRPr="00770564">
        <w:rPr>
          <w:rFonts w:asciiTheme="majorHAnsi" w:hAnsiTheme="majorHAnsi"/>
          <w:sz w:val="20"/>
          <w:szCs w:val="20"/>
          <w:lang w:val="es-AR"/>
        </w:rPr>
        <w:t>“</w:t>
      </w:r>
      <w:r w:rsidR="00160F67" w:rsidRPr="00770564">
        <w:rPr>
          <w:rFonts w:asciiTheme="majorHAnsi" w:hAnsiTheme="majorHAnsi"/>
          <w:sz w:val="20"/>
          <w:szCs w:val="20"/>
          <w:lang w:val="es-AR"/>
        </w:rPr>
        <w:t>to</w:t>
      </w:r>
      <w:r w:rsidRPr="00770564">
        <w:rPr>
          <w:rFonts w:asciiTheme="majorHAnsi" w:hAnsiTheme="majorHAnsi"/>
          <w:sz w:val="20"/>
          <w:szCs w:val="20"/>
          <w:lang w:val="es-AR"/>
        </w:rPr>
        <w:t xml:space="preserve">man </w:t>
      </w:r>
      <w:r w:rsidR="00160F67" w:rsidRPr="00770564">
        <w:rPr>
          <w:rFonts w:asciiTheme="majorHAnsi" w:hAnsiTheme="majorHAnsi"/>
          <w:sz w:val="20"/>
          <w:szCs w:val="20"/>
          <w:lang w:val="es-AR"/>
        </w:rPr>
        <w:t xml:space="preserve">decisiones en cuanto a contenidos </w:t>
      </w:r>
      <w:r w:rsidR="00FA0C48" w:rsidRPr="00770564">
        <w:rPr>
          <w:rFonts w:asciiTheme="majorHAnsi" w:hAnsiTheme="majorHAnsi"/>
          <w:sz w:val="20"/>
          <w:szCs w:val="20"/>
          <w:lang w:val="es-AR"/>
        </w:rPr>
        <w:t>programáticos</w:t>
      </w:r>
      <w:r w:rsidR="00160F67" w:rsidRPr="00770564">
        <w:rPr>
          <w:rFonts w:asciiTheme="majorHAnsi" w:hAnsiTheme="majorHAnsi"/>
          <w:sz w:val="20"/>
          <w:szCs w:val="20"/>
          <w:lang w:val="es-AR"/>
        </w:rPr>
        <w:t xml:space="preserve"> que se difunden</w:t>
      </w:r>
      <w:r w:rsidRPr="00770564">
        <w:rPr>
          <w:rFonts w:asciiTheme="majorHAnsi" w:hAnsiTheme="majorHAnsi"/>
          <w:sz w:val="20"/>
          <w:szCs w:val="20"/>
          <w:lang w:val="es-AR"/>
        </w:rPr>
        <w:t>”</w:t>
      </w:r>
      <w:r w:rsidR="00471A1E" w:rsidRPr="00770564">
        <w:rPr>
          <w:rFonts w:asciiTheme="majorHAnsi" w:hAnsiTheme="majorHAnsi"/>
          <w:sz w:val="20"/>
          <w:szCs w:val="20"/>
          <w:lang w:val="es-AR"/>
        </w:rPr>
        <w:t xml:space="preserve"> y de esta forma “ejercen su propia libertad de expresión a través de dichos medios de prensa”</w:t>
      </w:r>
      <w:r w:rsidR="00160F67" w:rsidRPr="00770564">
        <w:rPr>
          <w:rFonts w:asciiTheme="majorHAnsi" w:hAnsiTheme="majorHAnsi"/>
          <w:sz w:val="20"/>
          <w:szCs w:val="20"/>
          <w:lang w:val="es-AR"/>
        </w:rPr>
        <w:t>. Alegan que Alejandro Fernando Aguilera Mendi</w:t>
      </w:r>
      <w:r w:rsidRPr="00770564">
        <w:rPr>
          <w:rFonts w:asciiTheme="majorHAnsi" w:hAnsiTheme="majorHAnsi"/>
          <w:sz w:val="20"/>
          <w:szCs w:val="20"/>
          <w:lang w:val="es-AR"/>
        </w:rPr>
        <w:t>e</w:t>
      </w:r>
      <w:r w:rsidR="00160F67" w:rsidRPr="00770564">
        <w:rPr>
          <w:rFonts w:asciiTheme="majorHAnsi" w:hAnsiTheme="majorHAnsi"/>
          <w:sz w:val="20"/>
          <w:szCs w:val="20"/>
          <w:lang w:val="es-AR"/>
        </w:rPr>
        <w:t>t</w:t>
      </w:r>
      <w:r w:rsidRPr="00770564">
        <w:rPr>
          <w:rFonts w:asciiTheme="majorHAnsi" w:hAnsiTheme="majorHAnsi"/>
          <w:sz w:val="20"/>
          <w:szCs w:val="20"/>
          <w:lang w:val="es-AR"/>
        </w:rPr>
        <w:t>a</w:t>
      </w:r>
      <w:r w:rsidR="00FD71A9" w:rsidRPr="00770564">
        <w:rPr>
          <w:rFonts w:asciiTheme="majorHAnsi" w:hAnsiTheme="majorHAnsi"/>
          <w:sz w:val="20"/>
          <w:szCs w:val="20"/>
          <w:lang w:val="es-AR"/>
        </w:rPr>
        <w:t xml:space="preserve"> (Director de Programación e infraestructura de Cadenas de Televimex S.A. de C.V.), </w:t>
      </w:r>
      <w:r w:rsidR="00160F67" w:rsidRPr="00770564">
        <w:rPr>
          <w:rFonts w:asciiTheme="majorHAnsi" w:hAnsiTheme="majorHAnsi"/>
          <w:sz w:val="20"/>
          <w:szCs w:val="20"/>
          <w:lang w:val="es-AR"/>
        </w:rPr>
        <w:t xml:space="preserve">Miguel </w:t>
      </w:r>
      <w:r w:rsidR="00FA0C48" w:rsidRPr="00770564">
        <w:rPr>
          <w:rFonts w:asciiTheme="majorHAnsi" w:hAnsiTheme="majorHAnsi"/>
          <w:sz w:val="20"/>
          <w:szCs w:val="20"/>
          <w:lang w:val="es-AR"/>
        </w:rPr>
        <w:t>Ángel</w:t>
      </w:r>
      <w:r w:rsidRPr="00770564">
        <w:rPr>
          <w:rFonts w:asciiTheme="majorHAnsi" w:hAnsiTheme="majorHAnsi"/>
          <w:sz w:val="20"/>
          <w:szCs w:val="20"/>
          <w:lang w:val="es-AR"/>
        </w:rPr>
        <w:t xml:space="preserve"> Diez Garc</w:t>
      </w:r>
      <w:r w:rsidRPr="00770564">
        <w:rPr>
          <w:rFonts w:asciiTheme="majorHAnsi" w:hAnsiTheme="majorHAnsi"/>
          <w:sz w:val="20"/>
          <w:szCs w:val="20"/>
          <w:lang w:val="es-ES"/>
        </w:rPr>
        <w:t>í</w:t>
      </w:r>
      <w:r w:rsidR="00160F67" w:rsidRPr="00770564">
        <w:rPr>
          <w:rFonts w:asciiTheme="majorHAnsi" w:hAnsiTheme="majorHAnsi"/>
          <w:sz w:val="20"/>
          <w:szCs w:val="20"/>
          <w:lang w:val="es-AR"/>
        </w:rPr>
        <w:t>a</w:t>
      </w:r>
      <w:r w:rsidR="00FD71A9" w:rsidRPr="00770564">
        <w:rPr>
          <w:rFonts w:asciiTheme="majorHAnsi" w:hAnsiTheme="majorHAnsi"/>
          <w:sz w:val="20"/>
          <w:szCs w:val="20"/>
          <w:lang w:val="es-AR"/>
        </w:rPr>
        <w:t xml:space="preserve"> (Director General de Tráfico de Televimex S.A. de C.V.), </w:t>
      </w:r>
      <w:r w:rsidRPr="00770564">
        <w:rPr>
          <w:rFonts w:asciiTheme="majorHAnsi" w:hAnsiTheme="majorHAnsi"/>
          <w:sz w:val="20"/>
          <w:szCs w:val="20"/>
          <w:lang w:val="es-AR"/>
        </w:rPr>
        <w:t xml:space="preserve">Ángel </w:t>
      </w:r>
      <w:r w:rsidR="00160F67" w:rsidRPr="00770564">
        <w:rPr>
          <w:rFonts w:asciiTheme="majorHAnsi" w:hAnsiTheme="majorHAnsi"/>
          <w:sz w:val="20"/>
          <w:szCs w:val="20"/>
          <w:lang w:val="es-AR"/>
        </w:rPr>
        <w:t>Israel Crespo Rueda</w:t>
      </w:r>
      <w:r w:rsidR="00FD71A9" w:rsidRPr="00770564">
        <w:rPr>
          <w:rFonts w:asciiTheme="majorHAnsi" w:hAnsiTheme="majorHAnsi"/>
          <w:sz w:val="20"/>
          <w:szCs w:val="20"/>
          <w:lang w:val="es-AR"/>
        </w:rPr>
        <w:t xml:space="preserve"> (Coordinador Jurídico de Televimex S.A. de C.V.)</w:t>
      </w:r>
      <w:r w:rsidR="00160F67" w:rsidRPr="00770564">
        <w:rPr>
          <w:rFonts w:asciiTheme="majorHAnsi" w:hAnsiTheme="majorHAnsi"/>
          <w:sz w:val="20"/>
          <w:szCs w:val="20"/>
          <w:lang w:val="es-AR"/>
        </w:rPr>
        <w:t>, Miriam Villanueva Chiapas</w:t>
      </w:r>
      <w:r w:rsidR="00C14749" w:rsidRPr="00770564">
        <w:rPr>
          <w:rFonts w:asciiTheme="majorHAnsi" w:hAnsiTheme="majorHAnsi"/>
          <w:sz w:val="20"/>
          <w:szCs w:val="20"/>
          <w:lang w:val="es-AR"/>
        </w:rPr>
        <w:t xml:space="preserve"> (Directora de Programación de Radiotelevisora de México Norte S.A. de C.V.)</w:t>
      </w:r>
      <w:r w:rsidR="00160F67" w:rsidRPr="00770564">
        <w:rPr>
          <w:rFonts w:asciiTheme="majorHAnsi" w:hAnsiTheme="majorHAnsi"/>
          <w:sz w:val="20"/>
          <w:szCs w:val="20"/>
          <w:lang w:val="es-AR"/>
        </w:rPr>
        <w:t xml:space="preserve"> y </w:t>
      </w:r>
      <w:r w:rsidR="00E21EFA" w:rsidRPr="00770564">
        <w:rPr>
          <w:rFonts w:asciiTheme="majorHAnsi" w:hAnsiTheme="majorHAnsi"/>
          <w:sz w:val="20"/>
          <w:szCs w:val="20"/>
          <w:lang w:val="es-AR"/>
        </w:rPr>
        <w:t>Felix Araujo Ram</w:t>
      </w:r>
      <w:r w:rsidR="00E21EFA" w:rsidRPr="00770564">
        <w:rPr>
          <w:rFonts w:asciiTheme="majorHAnsi" w:hAnsiTheme="majorHAnsi"/>
          <w:sz w:val="20"/>
          <w:szCs w:val="20"/>
          <w:lang w:val="es-ES"/>
        </w:rPr>
        <w:t>í</w:t>
      </w:r>
      <w:r w:rsidR="00160F67" w:rsidRPr="00770564">
        <w:rPr>
          <w:rFonts w:asciiTheme="majorHAnsi" w:hAnsiTheme="majorHAnsi"/>
          <w:sz w:val="20"/>
          <w:szCs w:val="20"/>
          <w:lang w:val="es-AR"/>
        </w:rPr>
        <w:t xml:space="preserve">rez </w:t>
      </w:r>
      <w:r w:rsidR="00C14749" w:rsidRPr="00770564">
        <w:rPr>
          <w:rFonts w:asciiTheme="majorHAnsi" w:hAnsiTheme="majorHAnsi"/>
          <w:sz w:val="20"/>
          <w:szCs w:val="20"/>
          <w:lang w:val="es-AR"/>
        </w:rPr>
        <w:t>(</w:t>
      </w:r>
      <w:r w:rsidR="00EF3C28" w:rsidRPr="00770564">
        <w:rPr>
          <w:rFonts w:asciiTheme="majorHAnsi" w:hAnsiTheme="majorHAnsi"/>
          <w:sz w:val="20"/>
          <w:szCs w:val="20"/>
          <w:lang w:val="es-AR"/>
        </w:rPr>
        <w:t>Director</w:t>
      </w:r>
      <w:r w:rsidR="00C14749" w:rsidRPr="00770564">
        <w:rPr>
          <w:rFonts w:asciiTheme="majorHAnsi" w:hAnsiTheme="majorHAnsi"/>
          <w:sz w:val="20"/>
          <w:szCs w:val="20"/>
          <w:lang w:val="es-AR"/>
        </w:rPr>
        <w:t xml:space="preserve"> de Programación de Radiotelevisora de México Norte S.A. de C.V.) </w:t>
      </w:r>
      <w:r w:rsidRPr="00770564">
        <w:rPr>
          <w:rFonts w:asciiTheme="majorHAnsi" w:hAnsiTheme="majorHAnsi"/>
          <w:sz w:val="20"/>
          <w:szCs w:val="20"/>
          <w:lang w:val="es-AR"/>
        </w:rPr>
        <w:t>“</w:t>
      </w:r>
      <w:r w:rsidR="00C14749" w:rsidRPr="00770564">
        <w:rPr>
          <w:rFonts w:asciiTheme="majorHAnsi" w:hAnsiTheme="majorHAnsi"/>
          <w:sz w:val="20"/>
          <w:szCs w:val="20"/>
          <w:lang w:val="es-AR"/>
        </w:rPr>
        <w:t xml:space="preserve">son quienes deben decidir si publicar o no, y en </w:t>
      </w:r>
      <w:r w:rsidR="00471A1E" w:rsidRPr="00770564">
        <w:rPr>
          <w:rFonts w:asciiTheme="majorHAnsi" w:hAnsiTheme="majorHAnsi"/>
          <w:sz w:val="20"/>
          <w:szCs w:val="20"/>
          <w:lang w:val="es-AR"/>
        </w:rPr>
        <w:t>qué</w:t>
      </w:r>
      <w:r w:rsidR="00C14749" w:rsidRPr="00770564">
        <w:rPr>
          <w:rFonts w:asciiTheme="majorHAnsi" w:hAnsiTheme="majorHAnsi"/>
          <w:sz w:val="20"/>
          <w:szCs w:val="20"/>
          <w:lang w:val="es-AR"/>
        </w:rPr>
        <w:t xml:space="preserve"> oportunidad o tiempo hacerlo, diversos </w:t>
      </w:r>
      <w:r w:rsidR="00C14749" w:rsidRPr="00770564">
        <w:rPr>
          <w:rFonts w:asciiTheme="majorHAnsi" w:hAnsiTheme="majorHAnsi"/>
          <w:i/>
          <w:sz w:val="20"/>
          <w:szCs w:val="20"/>
          <w:lang w:val="es-AR"/>
        </w:rPr>
        <w:t>spots</w:t>
      </w:r>
      <w:r w:rsidR="00C14749" w:rsidRPr="00770564">
        <w:rPr>
          <w:rFonts w:asciiTheme="majorHAnsi" w:hAnsiTheme="majorHAnsi"/>
          <w:sz w:val="20"/>
          <w:szCs w:val="20"/>
          <w:lang w:val="es-AR"/>
        </w:rPr>
        <w:t xml:space="preserve"> publicitarios, que pueden ser considerados en violación a la difusa y amenazante normativa electoral y de </w:t>
      </w:r>
      <w:r w:rsidR="00FA0C48" w:rsidRPr="00770564">
        <w:rPr>
          <w:rFonts w:asciiTheme="majorHAnsi" w:hAnsiTheme="majorHAnsi"/>
          <w:sz w:val="20"/>
          <w:szCs w:val="20"/>
          <w:lang w:val="es-AR"/>
        </w:rPr>
        <w:t>radiodifusión</w:t>
      </w:r>
      <w:r w:rsidR="00C14749" w:rsidRPr="00770564">
        <w:rPr>
          <w:rFonts w:asciiTheme="majorHAnsi" w:hAnsiTheme="majorHAnsi"/>
          <w:sz w:val="20"/>
          <w:szCs w:val="20"/>
          <w:lang w:val="es-AR"/>
        </w:rPr>
        <w:t xml:space="preserve">. Son además quienes contratan la difusión </w:t>
      </w:r>
      <w:r w:rsidR="00C14749" w:rsidRPr="00EB3DC6">
        <w:rPr>
          <w:rFonts w:asciiTheme="majorHAnsi" w:hAnsiTheme="majorHAnsi"/>
          <w:sz w:val="20"/>
          <w:szCs w:val="20"/>
          <w:lang w:val="es-AR"/>
        </w:rPr>
        <w:t>de los comerciales y preparan su contenido, o aprueban dichos contratos y difusiones</w:t>
      </w:r>
      <w:r w:rsidR="007326BD" w:rsidRPr="00EB3DC6">
        <w:rPr>
          <w:rFonts w:asciiTheme="majorHAnsi" w:hAnsiTheme="majorHAnsi"/>
          <w:sz w:val="20"/>
          <w:szCs w:val="20"/>
          <w:lang w:val="es-AR"/>
        </w:rPr>
        <w:t>”</w:t>
      </w:r>
      <w:r w:rsidR="00C14749" w:rsidRPr="00EB3DC6">
        <w:rPr>
          <w:rFonts w:asciiTheme="majorHAnsi" w:hAnsiTheme="majorHAnsi"/>
          <w:sz w:val="20"/>
          <w:szCs w:val="20"/>
          <w:lang w:val="es-AR"/>
        </w:rPr>
        <w:t>. Sostiene</w:t>
      </w:r>
      <w:r w:rsidR="00471A1E" w:rsidRPr="00EB3DC6">
        <w:rPr>
          <w:rFonts w:asciiTheme="majorHAnsi" w:hAnsiTheme="majorHAnsi"/>
          <w:sz w:val="20"/>
          <w:szCs w:val="20"/>
          <w:lang w:val="es-AR"/>
        </w:rPr>
        <w:t>n</w:t>
      </w:r>
      <w:r w:rsidR="00C14749" w:rsidRPr="00EB3DC6">
        <w:rPr>
          <w:rFonts w:asciiTheme="majorHAnsi" w:hAnsiTheme="majorHAnsi"/>
          <w:sz w:val="20"/>
          <w:szCs w:val="20"/>
          <w:lang w:val="es-AR"/>
        </w:rPr>
        <w:t xml:space="preserve"> que la sanción impuesta a las personas morales en las que trabajan les afecta</w:t>
      </w:r>
      <w:r w:rsidR="007326BD" w:rsidRPr="00EB3DC6">
        <w:rPr>
          <w:rFonts w:asciiTheme="majorHAnsi" w:hAnsiTheme="majorHAnsi"/>
          <w:sz w:val="20"/>
          <w:szCs w:val="20"/>
          <w:lang w:val="es-AR"/>
        </w:rPr>
        <w:t xml:space="preserve"> en el ejercicio de sus derechos fundamentales “</w:t>
      </w:r>
      <w:r w:rsidR="00C14749" w:rsidRPr="00EB3DC6">
        <w:rPr>
          <w:rFonts w:asciiTheme="majorHAnsi" w:hAnsiTheme="majorHAnsi"/>
          <w:sz w:val="20"/>
          <w:szCs w:val="20"/>
          <w:lang w:val="es-AR"/>
        </w:rPr>
        <w:t>porque en virtud de dicha medida judicial no pueden ellos expresarse libremente, tomar decisiones sobre que programas incentivar, que tipo de te</w:t>
      </w:r>
      <w:r w:rsidR="00EF64A7" w:rsidRPr="00EB3DC6">
        <w:rPr>
          <w:rFonts w:asciiTheme="majorHAnsi" w:hAnsiTheme="majorHAnsi"/>
          <w:sz w:val="20"/>
          <w:szCs w:val="20"/>
          <w:lang w:val="es-AR"/>
        </w:rPr>
        <w:t>rmas tratar, etc., sin que esto</w:t>
      </w:r>
      <w:r w:rsidR="00C14749" w:rsidRPr="00EB3DC6">
        <w:rPr>
          <w:rFonts w:asciiTheme="majorHAnsi" w:hAnsiTheme="majorHAnsi"/>
          <w:sz w:val="20"/>
          <w:szCs w:val="20"/>
          <w:lang w:val="es-AR"/>
        </w:rPr>
        <w:t xml:space="preserve"> implique arriesgar sus puestos de trabajo, su propia responsabilidad personal y la ulterior responsabilidad de la concesionaria y/o editorial</w:t>
      </w:r>
      <w:r w:rsidR="007326BD" w:rsidRPr="00EB3DC6">
        <w:rPr>
          <w:rFonts w:asciiTheme="majorHAnsi" w:hAnsiTheme="majorHAnsi"/>
          <w:sz w:val="20"/>
          <w:szCs w:val="20"/>
          <w:lang w:val="es-AR"/>
        </w:rPr>
        <w:t>”</w:t>
      </w:r>
      <w:r w:rsidR="00C14749" w:rsidRPr="00EB3DC6">
        <w:rPr>
          <w:rFonts w:asciiTheme="majorHAnsi" w:hAnsiTheme="majorHAnsi"/>
          <w:sz w:val="20"/>
          <w:szCs w:val="20"/>
          <w:lang w:val="es-AR"/>
        </w:rPr>
        <w:t xml:space="preserve">. </w:t>
      </w:r>
      <w:r w:rsidR="00DA556B" w:rsidRPr="00EB3DC6">
        <w:rPr>
          <w:rFonts w:asciiTheme="majorHAnsi" w:hAnsiTheme="majorHAnsi"/>
          <w:sz w:val="20"/>
          <w:szCs w:val="20"/>
          <w:lang w:val="es-AR"/>
        </w:rPr>
        <w:t xml:space="preserve">A su vez, </w:t>
      </w:r>
      <w:r w:rsidR="00E21EFA" w:rsidRPr="00EB3DC6">
        <w:rPr>
          <w:rFonts w:asciiTheme="majorHAnsi" w:hAnsiTheme="majorHAnsi"/>
          <w:sz w:val="20"/>
          <w:szCs w:val="20"/>
          <w:lang w:val="es-AR"/>
        </w:rPr>
        <w:t xml:space="preserve">explican que </w:t>
      </w:r>
      <w:r w:rsidR="00EF3C28" w:rsidRPr="00EB3DC6">
        <w:rPr>
          <w:rFonts w:asciiTheme="majorHAnsi" w:hAnsiTheme="majorHAnsi"/>
          <w:sz w:val="20"/>
          <w:szCs w:val="20"/>
          <w:lang w:val="es-AR"/>
        </w:rPr>
        <w:t>estas personas</w:t>
      </w:r>
      <w:r w:rsidR="00E21EFA" w:rsidRPr="00EB3DC6">
        <w:rPr>
          <w:rFonts w:asciiTheme="majorHAnsi" w:hAnsiTheme="majorHAnsi"/>
          <w:sz w:val="20"/>
          <w:szCs w:val="20"/>
          <w:lang w:val="es-AR"/>
        </w:rPr>
        <w:t xml:space="preserve"> ha debido adoptar la decisió</w:t>
      </w:r>
      <w:r w:rsidR="00DA556B" w:rsidRPr="00EB3DC6">
        <w:rPr>
          <w:rFonts w:asciiTheme="majorHAnsi" w:hAnsiTheme="majorHAnsi"/>
          <w:sz w:val="20"/>
          <w:szCs w:val="20"/>
          <w:lang w:val="es-AR"/>
        </w:rPr>
        <w:t xml:space="preserve">n de suspender </w:t>
      </w:r>
      <w:r w:rsidR="007326BD" w:rsidRPr="00EB3DC6">
        <w:rPr>
          <w:rFonts w:asciiTheme="majorHAnsi" w:hAnsiTheme="majorHAnsi"/>
          <w:sz w:val="20"/>
          <w:szCs w:val="20"/>
          <w:lang w:val="es-AR"/>
        </w:rPr>
        <w:t xml:space="preserve">otras </w:t>
      </w:r>
      <w:r w:rsidR="00DA556B" w:rsidRPr="00EB3DC6">
        <w:rPr>
          <w:rFonts w:asciiTheme="majorHAnsi" w:hAnsiTheme="majorHAnsi"/>
          <w:sz w:val="20"/>
          <w:szCs w:val="20"/>
          <w:lang w:val="es-AR"/>
        </w:rPr>
        <w:t>publicaciones que amenazan – en e</w:t>
      </w:r>
      <w:r w:rsidR="00E21EFA" w:rsidRPr="00EB3DC6">
        <w:rPr>
          <w:rFonts w:asciiTheme="majorHAnsi" w:hAnsiTheme="majorHAnsi"/>
          <w:sz w:val="20"/>
          <w:szCs w:val="20"/>
          <w:lang w:val="es-AR"/>
        </w:rPr>
        <w:t>ste contexto de inseguridad jurí</w:t>
      </w:r>
      <w:r w:rsidR="00DA556B" w:rsidRPr="00EB3DC6">
        <w:rPr>
          <w:rFonts w:asciiTheme="majorHAnsi" w:hAnsiTheme="majorHAnsi"/>
          <w:sz w:val="20"/>
          <w:szCs w:val="20"/>
          <w:lang w:val="es-AR"/>
        </w:rPr>
        <w:t>dica – como posibilidad de verse sancionados</w:t>
      </w:r>
      <w:r w:rsidR="00E21EFA" w:rsidRPr="00EB3DC6">
        <w:rPr>
          <w:rFonts w:asciiTheme="majorHAnsi" w:hAnsiTheme="majorHAnsi"/>
          <w:sz w:val="20"/>
          <w:szCs w:val="20"/>
          <w:lang w:val="es-AR"/>
        </w:rPr>
        <w:t xml:space="preserve"> lo que “demuestra el efecto inhibitor</w:t>
      </w:r>
      <w:r w:rsidR="00584BE8" w:rsidRPr="00EB3DC6">
        <w:rPr>
          <w:rFonts w:asciiTheme="majorHAnsi" w:hAnsiTheme="majorHAnsi"/>
          <w:sz w:val="20"/>
          <w:szCs w:val="20"/>
          <w:lang w:val="es-AR"/>
        </w:rPr>
        <w:t>io sobre la libertad de expresió</w:t>
      </w:r>
      <w:r w:rsidR="00E21EFA" w:rsidRPr="00EB3DC6">
        <w:rPr>
          <w:rFonts w:asciiTheme="majorHAnsi" w:hAnsiTheme="majorHAnsi"/>
          <w:sz w:val="20"/>
          <w:szCs w:val="20"/>
          <w:lang w:val="es-AR"/>
        </w:rPr>
        <w:t>n de las violaciones perpetradas por el Estado”</w:t>
      </w:r>
      <w:r w:rsidR="00DA556B" w:rsidRPr="00EB3DC6">
        <w:rPr>
          <w:rFonts w:asciiTheme="majorHAnsi" w:hAnsiTheme="majorHAnsi"/>
          <w:sz w:val="20"/>
          <w:szCs w:val="20"/>
          <w:lang w:val="es-AR"/>
        </w:rPr>
        <w:t xml:space="preserve">. </w:t>
      </w:r>
      <w:r w:rsidRPr="00EB3DC6">
        <w:rPr>
          <w:rFonts w:asciiTheme="majorHAnsi" w:hAnsiTheme="majorHAnsi"/>
          <w:sz w:val="20"/>
          <w:szCs w:val="20"/>
          <w:lang w:val="es-AR"/>
        </w:rPr>
        <w:t>A</w:t>
      </w:r>
      <w:r w:rsidR="00BE1EA9" w:rsidRPr="00EB3DC6">
        <w:rPr>
          <w:rFonts w:asciiTheme="majorHAnsi" w:hAnsiTheme="majorHAnsi"/>
          <w:sz w:val="20"/>
          <w:szCs w:val="20"/>
          <w:lang w:val="es-AR"/>
        </w:rPr>
        <w:t xml:space="preserve">legan </w:t>
      </w:r>
      <w:r w:rsidRPr="00EB3DC6">
        <w:rPr>
          <w:rFonts w:asciiTheme="majorHAnsi" w:hAnsiTheme="majorHAnsi"/>
          <w:sz w:val="20"/>
          <w:szCs w:val="20"/>
          <w:lang w:val="es-AR"/>
        </w:rPr>
        <w:t>que</w:t>
      </w:r>
      <w:r w:rsidR="00BE1EA9" w:rsidRPr="00EB3DC6">
        <w:rPr>
          <w:rFonts w:asciiTheme="majorHAnsi" w:hAnsiTheme="majorHAnsi"/>
          <w:sz w:val="20"/>
          <w:szCs w:val="20"/>
          <w:lang w:val="es-AR"/>
        </w:rPr>
        <w:t xml:space="preserve"> tambi</w:t>
      </w:r>
      <w:r w:rsidR="00BE1EA9" w:rsidRPr="00EB3DC6">
        <w:rPr>
          <w:rFonts w:asciiTheme="majorHAnsi" w:hAnsiTheme="majorHAnsi"/>
          <w:sz w:val="20"/>
          <w:szCs w:val="20"/>
          <w:lang w:val="es-ES"/>
        </w:rPr>
        <w:t>én</w:t>
      </w:r>
      <w:r w:rsidRPr="00EB3DC6">
        <w:rPr>
          <w:rFonts w:asciiTheme="majorHAnsi" w:hAnsiTheme="majorHAnsi"/>
          <w:sz w:val="20"/>
          <w:szCs w:val="20"/>
          <w:lang w:val="es-AR"/>
        </w:rPr>
        <w:t xml:space="preserve"> </w:t>
      </w:r>
      <w:r w:rsidR="00584BE8" w:rsidRPr="00EB3DC6">
        <w:rPr>
          <w:rFonts w:asciiTheme="majorHAnsi" w:hAnsiTheme="majorHAnsi"/>
          <w:sz w:val="20"/>
          <w:szCs w:val="20"/>
          <w:lang w:val="es-AR"/>
        </w:rPr>
        <w:t>“</w:t>
      </w:r>
      <w:r w:rsidRPr="00EB3DC6">
        <w:rPr>
          <w:rFonts w:asciiTheme="majorHAnsi" w:hAnsiTheme="majorHAnsi"/>
          <w:sz w:val="20"/>
          <w:szCs w:val="20"/>
          <w:lang w:val="es-AR"/>
        </w:rPr>
        <w:t>se l</w:t>
      </w:r>
      <w:r w:rsidR="00584BE8" w:rsidRPr="00EB3DC6">
        <w:rPr>
          <w:rFonts w:asciiTheme="majorHAnsi" w:hAnsiTheme="majorHAnsi"/>
          <w:sz w:val="20"/>
          <w:szCs w:val="20"/>
          <w:lang w:val="es-AR"/>
        </w:rPr>
        <w:t>es viola la libertad de expresión en conjunción con una violació</w:t>
      </w:r>
      <w:r w:rsidRPr="00EB3DC6">
        <w:rPr>
          <w:rFonts w:asciiTheme="majorHAnsi" w:hAnsiTheme="majorHAnsi"/>
          <w:sz w:val="20"/>
          <w:szCs w:val="20"/>
          <w:lang w:val="es-AR"/>
        </w:rPr>
        <w:t>n del principio de legalidad al existir normas constitucionales y legales completamente vagas y sobrecomprensivas, de las que no se puede saber ex</w:t>
      </w:r>
      <w:r w:rsidR="00584BE8" w:rsidRPr="00EB3DC6">
        <w:rPr>
          <w:rFonts w:asciiTheme="majorHAnsi" w:hAnsiTheme="majorHAnsi"/>
          <w:sz w:val="20"/>
          <w:szCs w:val="20"/>
          <w:lang w:val="es-AR"/>
        </w:rPr>
        <w:t>act</w:t>
      </w:r>
      <w:r w:rsidR="00367939" w:rsidRPr="00EB3DC6">
        <w:rPr>
          <w:rFonts w:asciiTheme="majorHAnsi" w:hAnsiTheme="majorHAnsi"/>
          <w:sz w:val="20"/>
          <w:szCs w:val="20"/>
          <w:lang w:val="es-AR"/>
        </w:rPr>
        <w:t>a</w:t>
      </w:r>
      <w:r w:rsidR="00584BE8" w:rsidRPr="00EB3DC6">
        <w:rPr>
          <w:rFonts w:asciiTheme="majorHAnsi" w:hAnsiTheme="majorHAnsi"/>
          <w:sz w:val="20"/>
          <w:szCs w:val="20"/>
          <w:lang w:val="es-AR"/>
        </w:rPr>
        <w:t>men</w:t>
      </w:r>
      <w:r w:rsidRPr="00EB3DC6">
        <w:rPr>
          <w:rFonts w:asciiTheme="majorHAnsi" w:hAnsiTheme="majorHAnsi"/>
          <w:sz w:val="20"/>
          <w:szCs w:val="20"/>
          <w:lang w:val="es-AR"/>
        </w:rPr>
        <w:t>te que contienen y que conductas vedan</w:t>
      </w:r>
      <w:r w:rsidR="00584BE8" w:rsidRPr="00EB3DC6">
        <w:rPr>
          <w:rFonts w:asciiTheme="majorHAnsi" w:hAnsiTheme="majorHAnsi"/>
          <w:sz w:val="20"/>
          <w:szCs w:val="20"/>
          <w:lang w:val="es-ES"/>
        </w:rPr>
        <w:t>”</w:t>
      </w:r>
      <w:r w:rsidRPr="00EB3DC6">
        <w:rPr>
          <w:rFonts w:asciiTheme="majorHAnsi" w:hAnsiTheme="majorHAnsi"/>
          <w:sz w:val="20"/>
          <w:szCs w:val="20"/>
          <w:lang w:val="es-AR"/>
        </w:rPr>
        <w:t>.</w:t>
      </w:r>
      <w:r w:rsidR="0041611F" w:rsidRPr="00EB3DC6">
        <w:rPr>
          <w:rFonts w:asciiTheme="majorHAnsi" w:hAnsiTheme="majorHAnsi"/>
          <w:sz w:val="20"/>
          <w:szCs w:val="20"/>
          <w:lang w:val="es-AR"/>
        </w:rPr>
        <w:t xml:space="preserve"> </w:t>
      </w:r>
    </w:p>
    <w:p w:rsidR="00EF64A7" w:rsidRPr="00EB3DC6" w:rsidRDefault="00EF64A7" w:rsidP="00EF64A7">
      <w:pPr>
        <w:pStyle w:val="ListParagraph"/>
        <w:jc w:val="both"/>
        <w:rPr>
          <w:rFonts w:asciiTheme="majorHAnsi" w:hAnsiTheme="majorHAnsi"/>
          <w:sz w:val="20"/>
          <w:szCs w:val="20"/>
          <w:lang w:val="es-AR"/>
        </w:rPr>
      </w:pPr>
    </w:p>
    <w:p w:rsidR="00160F67" w:rsidRPr="00EB3DC6" w:rsidRDefault="00367939" w:rsidP="009A74ED">
      <w:pPr>
        <w:pStyle w:val="ListParagraph"/>
        <w:numPr>
          <w:ilvl w:val="0"/>
          <w:numId w:val="103"/>
        </w:numPr>
        <w:jc w:val="both"/>
        <w:rPr>
          <w:rFonts w:asciiTheme="majorHAnsi" w:hAnsiTheme="majorHAnsi"/>
          <w:sz w:val="20"/>
          <w:szCs w:val="20"/>
          <w:lang w:val="es-AR"/>
        </w:rPr>
      </w:pPr>
      <w:r w:rsidRPr="00EB3DC6">
        <w:rPr>
          <w:rFonts w:asciiTheme="majorHAnsi" w:hAnsiTheme="majorHAnsi"/>
          <w:sz w:val="20"/>
          <w:szCs w:val="20"/>
          <w:lang w:val="es-ES_tradnl"/>
        </w:rPr>
        <w:t xml:space="preserve">Solicitan a la CIDH que también reconozca como presunta víctima del presente caso a Raquel Hidalgo Márquez, una ciudadana mexicana que </w:t>
      </w:r>
      <w:r w:rsidR="00471A1E" w:rsidRPr="00EB3DC6">
        <w:rPr>
          <w:rFonts w:asciiTheme="majorHAnsi" w:hAnsiTheme="majorHAnsi"/>
          <w:sz w:val="20"/>
          <w:szCs w:val="20"/>
          <w:lang w:val="es-ES_tradnl"/>
        </w:rPr>
        <w:t>siente</w:t>
      </w:r>
      <w:r w:rsidRPr="00EB3DC6">
        <w:rPr>
          <w:rFonts w:asciiTheme="majorHAnsi" w:hAnsiTheme="majorHAnsi"/>
          <w:sz w:val="20"/>
          <w:szCs w:val="20"/>
          <w:lang w:val="es-ES_tradnl"/>
        </w:rPr>
        <w:t xml:space="preserve"> lesionad</w:t>
      </w:r>
      <w:r w:rsidR="00471A1E" w:rsidRPr="00EB3DC6">
        <w:rPr>
          <w:rFonts w:asciiTheme="majorHAnsi" w:hAnsiTheme="majorHAnsi"/>
          <w:sz w:val="20"/>
          <w:szCs w:val="20"/>
          <w:lang w:val="es-ES_tradnl"/>
        </w:rPr>
        <w:t>o</w:t>
      </w:r>
      <w:r w:rsidRPr="00EB3DC6">
        <w:rPr>
          <w:rFonts w:asciiTheme="majorHAnsi" w:hAnsiTheme="majorHAnsi"/>
          <w:sz w:val="20"/>
          <w:szCs w:val="20"/>
          <w:lang w:val="es-ES_tradnl"/>
        </w:rPr>
        <w:t xml:space="preserve"> su derecho a recibir información sobre personalidades políticas en el contexto electoral</w:t>
      </w:r>
      <w:r w:rsidR="00471A1E" w:rsidRPr="00EB3DC6">
        <w:rPr>
          <w:rFonts w:asciiTheme="majorHAnsi" w:hAnsiTheme="majorHAnsi"/>
          <w:sz w:val="20"/>
          <w:szCs w:val="20"/>
          <w:lang w:val="es-ES_tradnl"/>
        </w:rPr>
        <w:t xml:space="preserve"> sin restricciones indebidas. Alegan que los hechos expuestos “no le permiten a ella, como ciudadana común, recibir clara, verdadera y completa sobre los candidatos y temas electorales”.</w:t>
      </w:r>
    </w:p>
    <w:p w:rsidR="00160F67" w:rsidRPr="00EB3DC6" w:rsidRDefault="00160F67" w:rsidP="00160F67">
      <w:pPr>
        <w:pStyle w:val="ListParagraph"/>
        <w:rPr>
          <w:rFonts w:asciiTheme="majorHAnsi" w:hAnsiTheme="majorHAnsi"/>
          <w:sz w:val="20"/>
          <w:szCs w:val="20"/>
          <w:lang w:val="es-AR"/>
        </w:rPr>
      </w:pPr>
    </w:p>
    <w:p w:rsidR="00367939" w:rsidRPr="00EB3DC6" w:rsidRDefault="00367939" w:rsidP="00367939">
      <w:pPr>
        <w:pStyle w:val="ListParagraph"/>
        <w:numPr>
          <w:ilvl w:val="0"/>
          <w:numId w:val="103"/>
        </w:numPr>
        <w:jc w:val="both"/>
        <w:rPr>
          <w:rFonts w:asciiTheme="majorHAnsi" w:hAnsiTheme="majorHAnsi"/>
          <w:sz w:val="20"/>
          <w:szCs w:val="20"/>
          <w:lang w:val="es-AR"/>
        </w:rPr>
      </w:pPr>
      <w:r w:rsidRPr="00EB3DC6">
        <w:rPr>
          <w:rFonts w:asciiTheme="majorHAnsi" w:hAnsiTheme="majorHAnsi"/>
          <w:sz w:val="20"/>
          <w:szCs w:val="20"/>
          <w:lang w:val="es-AR"/>
        </w:rPr>
        <w:t xml:space="preserve">Los peticionarios señalan que con </w:t>
      </w:r>
      <w:r w:rsidR="00AE0888" w:rsidRPr="00EB3DC6">
        <w:rPr>
          <w:rFonts w:asciiTheme="majorHAnsi" w:hAnsiTheme="majorHAnsi"/>
          <w:sz w:val="20"/>
          <w:szCs w:val="20"/>
          <w:lang w:val="es-AR"/>
        </w:rPr>
        <w:t>la decisión emitida</w:t>
      </w:r>
      <w:r w:rsidRPr="00EB3DC6">
        <w:rPr>
          <w:rFonts w:asciiTheme="majorHAnsi" w:hAnsiTheme="majorHAnsi"/>
          <w:sz w:val="20"/>
          <w:szCs w:val="20"/>
          <w:lang w:val="es-AR"/>
        </w:rPr>
        <w:t xml:space="preserve"> por el TRIFE, la cual les fue notificada el 27 de agosto de 2009, se agotaron los recursos judiciales internos. Indican que esta resolución es definitiva y sin posibilidad de ser atacada mediante recursos judiciales en sede interna. Sostienen que estos recursos fueron agotados por los medios de comunicación (personas jurídicas) a través de sus representantes legales y que los directivos no fueron parte formal de los procedimientos, pues “no cuentan con legitimación activa a nivel interno para cuestionar al procesamiento y la sanción” a los medios. Alegan que “si a las personas físicas les hubiese sido posible estar en el juicio en sede interna, se trataría en todo caso de una exigencia ritual inútil, pues es seguro que el sentido del fallo del TRIFE no hubiese variado”.</w:t>
      </w:r>
    </w:p>
    <w:p w:rsidR="00D31FF5" w:rsidRPr="00EB3DC6" w:rsidRDefault="00D31FF5" w:rsidP="00D31FF5">
      <w:pPr>
        <w:pStyle w:val="ListParagraph"/>
        <w:rPr>
          <w:rFonts w:asciiTheme="majorHAnsi" w:hAnsiTheme="majorHAnsi"/>
          <w:sz w:val="20"/>
          <w:szCs w:val="20"/>
          <w:lang w:val="es-AR"/>
        </w:rPr>
      </w:pPr>
    </w:p>
    <w:p w:rsidR="00536121" w:rsidRPr="00EB3DC6" w:rsidRDefault="00D31FF5" w:rsidP="00536121">
      <w:pPr>
        <w:pStyle w:val="ListParagraph"/>
        <w:numPr>
          <w:ilvl w:val="0"/>
          <w:numId w:val="103"/>
        </w:numPr>
        <w:jc w:val="both"/>
        <w:rPr>
          <w:sz w:val="20"/>
          <w:szCs w:val="20"/>
          <w:lang w:val="es-AR"/>
        </w:rPr>
      </w:pPr>
      <w:r w:rsidRPr="00EB3DC6">
        <w:rPr>
          <w:sz w:val="20"/>
          <w:szCs w:val="20"/>
          <w:lang w:val="es-AR"/>
        </w:rPr>
        <w:t>En particular, los peticionarios indican que la exigencia de recurrir a la figura del tercero interesado sería “completamente ilógico”, en vista que</w:t>
      </w:r>
      <w:r w:rsidR="00C53E9E" w:rsidRPr="00EB3DC6">
        <w:rPr>
          <w:sz w:val="20"/>
          <w:szCs w:val="20"/>
          <w:lang w:val="es-AR"/>
        </w:rPr>
        <w:t xml:space="preserve"> según el artículo 12, primer párrafo, inciso c) de la Ley General del Sistema de Medios de Impugnación en Materia Electoral</w:t>
      </w:r>
      <w:r w:rsidRPr="00EB3DC6">
        <w:rPr>
          <w:sz w:val="20"/>
          <w:szCs w:val="20"/>
          <w:lang w:val="es-AR"/>
        </w:rPr>
        <w:t xml:space="preserve"> </w:t>
      </w:r>
      <w:r w:rsidR="00C53E9E" w:rsidRPr="00EB3DC6">
        <w:rPr>
          <w:sz w:val="20"/>
          <w:szCs w:val="20"/>
          <w:lang w:val="es-AR"/>
        </w:rPr>
        <w:t xml:space="preserve">(LGSMIME), </w:t>
      </w:r>
      <w:r w:rsidRPr="00EB3DC6">
        <w:rPr>
          <w:sz w:val="20"/>
          <w:szCs w:val="20"/>
          <w:lang w:val="es-AR"/>
        </w:rPr>
        <w:t>el presupuesto procesal para que proceda esta figura es un derecho incompatible con el del actor, lo que no se observaría en la presente situación, pues “las personas físicas y jurídicas en el procedimiento tenían exactamente el mismo interés</w:t>
      </w:r>
      <w:r w:rsidR="00C53E9E" w:rsidRPr="00EB3DC6">
        <w:rPr>
          <w:sz w:val="20"/>
          <w:szCs w:val="20"/>
          <w:lang w:val="es-AR"/>
        </w:rPr>
        <w:t xml:space="preserve"> y el mismo derecho (a la libertad de expresión) vulnerado</w:t>
      </w:r>
      <w:r w:rsidRPr="00EB3DC6">
        <w:rPr>
          <w:sz w:val="20"/>
          <w:szCs w:val="20"/>
          <w:lang w:val="es-AR"/>
        </w:rPr>
        <w:t xml:space="preserve">”. </w:t>
      </w:r>
      <w:r w:rsidR="00536121" w:rsidRPr="00EB3DC6">
        <w:rPr>
          <w:sz w:val="20"/>
          <w:szCs w:val="20"/>
          <w:lang w:val="es-AR"/>
        </w:rPr>
        <w:t>Luego, afirman que para el caso concreto esta vía sería “completamente irrazonable”, pues hubiera resultado “imposible desde el punto de vista procesal y desde el punto de vista lógico"</w:t>
      </w:r>
      <w:r w:rsidR="00B56FBE" w:rsidRPr="00EB3DC6">
        <w:rPr>
          <w:sz w:val="20"/>
          <w:szCs w:val="20"/>
          <w:lang w:val="es-AR"/>
        </w:rPr>
        <w:t xml:space="preserve"> que las personas físicas se constituyesen como terceros interesados en el procedimiento de apelación interpuesto por las tres empresas</w:t>
      </w:r>
      <w:r w:rsidR="00536121" w:rsidRPr="00EB3DC6">
        <w:rPr>
          <w:sz w:val="20"/>
          <w:szCs w:val="20"/>
          <w:lang w:val="es-AR"/>
        </w:rPr>
        <w:t>.</w:t>
      </w:r>
    </w:p>
    <w:p w:rsidR="00A02109" w:rsidRPr="00EB3DC6" w:rsidRDefault="00A02109" w:rsidP="00A02109">
      <w:pPr>
        <w:jc w:val="both"/>
        <w:rPr>
          <w:sz w:val="20"/>
          <w:szCs w:val="20"/>
          <w:lang w:val="es-AR"/>
        </w:rPr>
      </w:pPr>
    </w:p>
    <w:p w:rsidR="00D31FF5" w:rsidRPr="00EB3DC6" w:rsidRDefault="00D31FF5" w:rsidP="00D31FF5">
      <w:pPr>
        <w:pStyle w:val="ListParagraph"/>
        <w:numPr>
          <w:ilvl w:val="0"/>
          <w:numId w:val="103"/>
        </w:numPr>
        <w:jc w:val="both"/>
        <w:rPr>
          <w:sz w:val="20"/>
          <w:szCs w:val="20"/>
          <w:lang w:val="es-AR"/>
        </w:rPr>
      </w:pPr>
      <w:r w:rsidRPr="00EB3DC6">
        <w:rPr>
          <w:sz w:val="20"/>
          <w:szCs w:val="20"/>
          <w:lang w:val="es-AR"/>
        </w:rPr>
        <w:t>Igualmente, señalan que el juicio para la protección de los derechos político-electorales</w:t>
      </w:r>
      <w:r w:rsidR="00D71906" w:rsidRPr="00EB3DC6">
        <w:rPr>
          <w:sz w:val="20"/>
          <w:szCs w:val="20"/>
          <w:lang w:val="es-AR"/>
        </w:rPr>
        <w:t>, el cual se encontraría contemplado en el artículo 79 de la LGSMINE,</w:t>
      </w:r>
      <w:r w:rsidRPr="00EB3DC6">
        <w:rPr>
          <w:sz w:val="20"/>
          <w:szCs w:val="20"/>
          <w:lang w:val="es-AR"/>
        </w:rPr>
        <w:t xml:space="preserve"> no era un recurso adecua</w:t>
      </w:r>
      <w:r w:rsidR="00A37DB2" w:rsidRPr="00EB3DC6">
        <w:rPr>
          <w:sz w:val="20"/>
          <w:szCs w:val="20"/>
          <w:lang w:val="es-AR"/>
        </w:rPr>
        <w:t>do ni idóneo para remediar una</w:t>
      </w:r>
      <w:r w:rsidRPr="00EB3DC6">
        <w:rPr>
          <w:sz w:val="20"/>
          <w:szCs w:val="20"/>
          <w:lang w:val="es-AR"/>
        </w:rPr>
        <w:t xml:space="preserve"> vulneración al derecho a la libertad de expresión</w:t>
      </w:r>
      <w:r w:rsidR="00536121" w:rsidRPr="00EB3DC6">
        <w:rPr>
          <w:sz w:val="20"/>
          <w:szCs w:val="20"/>
          <w:lang w:val="es-AR"/>
        </w:rPr>
        <w:t>, “pues estas víctimas individuales sufrieron lesiones a derechos de naturaleza diversa a los que se protegen en tal juicio”</w:t>
      </w:r>
      <w:r w:rsidRPr="00EB3DC6">
        <w:rPr>
          <w:sz w:val="20"/>
          <w:szCs w:val="20"/>
          <w:lang w:val="es-AR"/>
        </w:rPr>
        <w:t xml:space="preserve">. En este sentido, añaden que la situación que originó la presente petición “[e]s la sanción estatal a las empresas de medios de comunicación </w:t>
      </w:r>
      <w:r w:rsidRPr="00EB3DC6">
        <w:rPr>
          <w:sz w:val="20"/>
          <w:szCs w:val="20"/>
          <w:lang w:val="es-AR"/>
        </w:rPr>
        <w:lastRenderedPageBreak/>
        <w:t>referidas, la cual constituye una forma de censura y restricción indebida de publicitar contenidos políticos. Esta situación y el derecho conculcado no son posibles de ser subsumidos en ninguno de los supuestos establecidos por el art. 79 de la LGSMIME. No se afectaron los derechos de las víctimas a votar y ser votados, a asociarse individual y libremente para tomar parte en forma pacífica en los asuntos políticos o a afiliarse libre a algún partido político. Tampoco se vulneró el derecho a integrar autoridades estatales”. Afirman que</w:t>
      </w:r>
      <w:r w:rsidR="00D71906" w:rsidRPr="00EB3DC6">
        <w:rPr>
          <w:sz w:val="20"/>
          <w:szCs w:val="20"/>
          <w:lang w:val="es-AR"/>
        </w:rPr>
        <w:t xml:space="preserve"> tampoco se verificaría alguna de las situaciones contempladas en el art.80, el cual listaría en sus incisos las situaciones en las cuales el ciudadano puede promover el juicio establecido en el artículo 79 anteriormente mencionado. Particularmente, sostienen que, en el presente caso, no se verificaría el supuesto genérico contemplado en el inciso f) del artículo 80, pues “[</w:t>
      </w:r>
      <w:r w:rsidRPr="00EB3DC6">
        <w:rPr>
          <w:sz w:val="20"/>
          <w:szCs w:val="20"/>
          <w:lang w:val="es-AR"/>
        </w:rPr>
        <w:t>e</w:t>
      </w:r>
      <w:r w:rsidR="00D71906" w:rsidRPr="00EB3DC6">
        <w:rPr>
          <w:sz w:val="20"/>
          <w:szCs w:val="20"/>
          <w:lang w:val="es-AR"/>
        </w:rPr>
        <w:t>]</w:t>
      </w:r>
      <w:r w:rsidRPr="00EB3DC6">
        <w:rPr>
          <w:sz w:val="20"/>
          <w:szCs w:val="20"/>
          <w:lang w:val="es-AR"/>
        </w:rPr>
        <w:t xml:space="preserve">l mismo se refiere a cualquier acto o resolución de la autoridad pero que vulnere algún derecho político-electoral del art. 79”.   </w:t>
      </w:r>
    </w:p>
    <w:p w:rsidR="00D52168" w:rsidRPr="00EB3DC6" w:rsidRDefault="00D52168" w:rsidP="00D52168">
      <w:pPr>
        <w:pStyle w:val="ListParagraph"/>
        <w:jc w:val="both"/>
        <w:rPr>
          <w:rFonts w:asciiTheme="majorHAnsi" w:hAnsiTheme="majorHAnsi"/>
          <w:sz w:val="20"/>
          <w:szCs w:val="20"/>
          <w:lang w:val="es-AR"/>
        </w:rPr>
      </w:pPr>
    </w:p>
    <w:p w:rsidR="00D31FF5" w:rsidRDefault="00EF410D" w:rsidP="00D31F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B3DC6">
        <w:rPr>
          <w:rFonts w:asciiTheme="majorHAnsi" w:hAnsiTheme="majorHAnsi"/>
          <w:sz w:val="20"/>
          <w:szCs w:val="20"/>
          <w:lang w:val="es-ES_tradnl"/>
        </w:rPr>
        <w:t xml:space="preserve">El Estado </w:t>
      </w:r>
      <w:r w:rsidR="00C4690F" w:rsidRPr="00EB3DC6">
        <w:rPr>
          <w:rFonts w:asciiTheme="majorHAnsi" w:hAnsiTheme="majorHAnsi"/>
          <w:sz w:val="20"/>
          <w:szCs w:val="20"/>
          <w:lang w:val="es-ES_tradnl"/>
        </w:rPr>
        <w:t>expuso</w:t>
      </w:r>
      <w:r w:rsidR="00C02B97" w:rsidRPr="00EB3DC6">
        <w:rPr>
          <w:rFonts w:asciiTheme="majorHAnsi" w:hAnsiTheme="majorHAnsi"/>
          <w:sz w:val="20"/>
          <w:szCs w:val="20"/>
          <w:lang w:val="es-ES_tradnl"/>
        </w:rPr>
        <w:t xml:space="preserve"> los hechos que dieron origen a </w:t>
      </w:r>
      <w:r w:rsidR="00A83EA5" w:rsidRPr="00EB3DC6">
        <w:rPr>
          <w:rFonts w:asciiTheme="majorHAnsi" w:hAnsiTheme="majorHAnsi"/>
          <w:sz w:val="20"/>
          <w:szCs w:val="20"/>
          <w:lang w:val="es-ES_tradnl"/>
        </w:rPr>
        <w:t>esta petición, que coinciden en lo relevante con los hechos presentados por</w:t>
      </w:r>
      <w:r w:rsidR="00CC5930" w:rsidRPr="00EB3DC6">
        <w:rPr>
          <w:rFonts w:asciiTheme="majorHAnsi" w:hAnsiTheme="majorHAnsi"/>
          <w:sz w:val="20"/>
          <w:szCs w:val="20"/>
          <w:lang w:val="es-ES_tradnl"/>
        </w:rPr>
        <w:t xml:space="preserve"> los peticionarios</w:t>
      </w:r>
      <w:r w:rsidR="00C02B97" w:rsidRPr="00EB3DC6">
        <w:rPr>
          <w:rFonts w:asciiTheme="majorHAnsi" w:hAnsiTheme="majorHAnsi"/>
          <w:sz w:val="20"/>
          <w:szCs w:val="20"/>
          <w:lang w:val="es-ES_tradnl"/>
        </w:rPr>
        <w:t xml:space="preserve">. </w:t>
      </w:r>
      <w:r w:rsidR="00C4690F" w:rsidRPr="00EB3DC6">
        <w:rPr>
          <w:rFonts w:asciiTheme="majorHAnsi" w:hAnsiTheme="majorHAnsi"/>
          <w:sz w:val="20"/>
          <w:szCs w:val="20"/>
          <w:lang w:val="es-ES_tradnl"/>
        </w:rPr>
        <w:t xml:space="preserve">El Estado alega que </w:t>
      </w:r>
      <w:r w:rsidR="00C02B97" w:rsidRPr="00EB3DC6">
        <w:rPr>
          <w:rFonts w:asciiTheme="majorHAnsi" w:hAnsiTheme="majorHAnsi"/>
          <w:sz w:val="20"/>
          <w:szCs w:val="20"/>
          <w:lang w:val="es-ES_tradnl"/>
        </w:rPr>
        <w:t>las personas jurídicas no son titulares de derechos previstos en la CADH</w:t>
      </w:r>
      <w:r w:rsidR="008A1761" w:rsidRPr="00EB3DC6">
        <w:rPr>
          <w:rFonts w:asciiTheme="majorHAnsi" w:hAnsiTheme="majorHAnsi"/>
          <w:sz w:val="20"/>
          <w:szCs w:val="20"/>
          <w:lang w:val="es-ES_tradnl"/>
        </w:rPr>
        <w:t xml:space="preserve"> ni están sujetos a la protección de sus órganos</w:t>
      </w:r>
      <w:r w:rsidR="00C02B97" w:rsidRPr="00EB3DC6">
        <w:rPr>
          <w:rFonts w:asciiTheme="majorHAnsi" w:hAnsiTheme="majorHAnsi"/>
          <w:sz w:val="20"/>
          <w:szCs w:val="20"/>
          <w:lang w:val="es-ES_tradnl"/>
        </w:rPr>
        <w:t xml:space="preserve">, sosteniendo su posición en la </w:t>
      </w:r>
      <w:r w:rsidR="007921FC" w:rsidRPr="00EB3DC6">
        <w:rPr>
          <w:rFonts w:asciiTheme="majorHAnsi" w:hAnsiTheme="majorHAnsi"/>
          <w:sz w:val="20"/>
          <w:szCs w:val="20"/>
          <w:lang w:val="es-ES_tradnl"/>
        </w:rPr>
        <w:t xml:space="preserve">precitada </w:t>
      </w:r>
      <w:r w:rsidR="00C02B97" w:rsidRPr="00EB3DC6">
        <w:rPr>
          <w:rFonts w:asciiTheme="majorHAnsi" w:hAnsiTheme="majorHAnsi"/>
          <w:sz w:val="20"/>
          <w:szCs w:val="20"/>
          <w:lang w:val="es-ES_tradnl"/>
        </w:rPr>
        <w:t>O</w:t>
      </w:r>
      <w:r w:rsidR="007921FC" w:rsidRPr="00EB3DC6">
        <w:rPr>
          <w:rFonts w:asciiTheme="majorHAnsi" w:hAnsiTheme="majorHAnsi"/>
          <w:sz w:val="20"/>
          <w:szCs w:val="20"/>
          <w:lang w:val="es-ES_tradnl"/>
        </w:rPr>
        <w:t>C-</w:t>
      </w:r>
      <w:r w:rsidR="008A1761" w:rsidRPr="00EB3DC6">
        <w:rPr>
          <w:rFonts w:asciiTheme="majorHAnsi" w:hAnsiTheme="majorHAnsi"/>
          <w:sz w:val="20"/>
          <w:szCs w:val="20"/>
          <w:lang w:val="es-ES_tradnl"/>
        </w:rPr>
        <w:t>22/16. A</w:t>
      </w:r>
      <w:r w:rsidR="00C02B97" w:rsidRPr="00EB3DC6">
        <w:rPr>
          <w:rFonts w:asciiTheme="majorHAnsi" w:hAnsiTheme="majorHAnsi"/>
          <w:sz w:val="20"/>
          <w:szCs w:val="20"/>
          <w:lang w:val="es-ES_tradnl"/>
        </w:rPr>
        <w:t xml:space="preserve"> su vez, destaca que aunque las personas físicas tengan “un vínculo con las personas morales sancionadas en el presente caso, no significa que se hayan transgredido sus derechos humanos”.</w:t>
      </w:r>
      <w:r w:rsidR="00E71444" w:rsidRPr="00EB3DC6">
        <w:rPr>
          <w:rFonts w:asciiTheme="majorHAnsi" w:hAnsiTheme="majorHAnsi"/>
          <w:sz w:val="20"/>
          <w:szCs w:val="20"/>
          <w:lang w:val="es-ES_tradnl"/>
        </w:rPr>
        <w:t xml:space="preserve"> </w:t>
      </w:r>
      <w:r w:rsidR="00C4690F" w:rsidRPr="00EB3DC6">
        <w:rPr>
          <w:rFonts w:asciiTheme="majorHAnsi" w:hAnsiTheme="majorHAnsi"/>
          <w:sz w:val="20"/>
          <w:szCs w:val="20"/>
          <w:lang w:val="es-ES_tradnl"/>
        </w:rPr>
        <w:t xml:space="preserve">A este respecto, solicita a la CIDH que declare que no es competente para conocer de la presente petición en razón de que Televimex S.A. de C.V, </w:t>
      </w:r>
      <w:r w:rsidR="008A1761" w:rsidRPr="00EB3DC6">
        <w:rPr>
          <w:rFonts w:asciiTheme="majorHAnsi" w:hAnsiTheme="majorHAnsi"/>
          <w:sz w:val="20"/>
          <w:szCs w:val="20"/>
          <w:lang w:val="es-ES_tradnl"/>
        </w:rPr>
        <w:t xml:space="preserve">Cadena Televisora Norte, S.A. de C.V. y Radiotelevisora de México Norte, S.A. de C.V. son personas morales. Asimismo, alega que no es suficiente que </w:t>
      </w:r>
      <w:r w:rsidR="00AD34C9" w:rsidRPr="00EB3DC6">
        <w:rPr>
          <w:rFonts w:asciiTheme="majorHAnsi" w:hAnsiTheme="majorHAnsi"/>
          <w:sz w:val="20"/>
          <w:szCs w:val="20"/>
          <w:lang w:val="es-ES_tradnl"/>
        </w:rPr>
        <w:t xml:space="preserve">las personas físicas </w:t>
      </w:r>
      <w:r w:rsidR="008A1761" w:rsidRPr="00EB3DC6">
        <w:rPr>
          <w:rFonts w:asciiTheme="majorHAnsi" w:hAnsiTheme="majorHAnsi"/>
          <w:sz w:val="20"/>
          <w:szCs w:val="20"/>
          <w:lang w:val="es-ES_tradnl"/>
        </w:rPr>
        <w:t xml:space="preserve"> </w:t>
      </w:r>
      <w:r w:rsidR="00AD34C9" w:rsidRPr="00EB3DC6">
        <w:rPr>
          <w:rFonts w:asciiTheme="majorHAnsi" w:hAnsiTheme="majorHAnsi"/>
          <w:sz w:val="20"/>
          <w:szCs w:val="20"/>
          <w:lang w:val="es-ES_tradnl"/>
        </w:rPr>
        <w:t>“</w:t>
      </w:r>
      <w:r w:rsidR="008A1761" w:rsidRPr="00EB3DC6">
        <w:rPr>
          <w:rFonts w:asciiTheme="majorHAnsi" w:hAnsiTheme="majorHAnsi"/>
          <w:sz w:val="20"/>
          <w:szCs w:val="20"/>
          <w:lang w:val="es-ES_tradnl"/>
        </w:rPr>
        <w:t xml:space="preserve">cuentan con un vínculo </w:t>
      </w:r>
      <w:r w:rsidR="00AD34C9" w:rsidRPr="00EB3DC6">
        <w:rPr>
          <w:rFonts w:asciiTheme="majorHAnsi" w:hAnsiTheme="majorHAnsi"/>
          <w:sz w:val="20"/>
          <w:szCs w:val="20"/>
          <w:lang w:val="es-ES_tradnl"/>
        </w:rPr>
        <w:t>respecto de las empresas y de las acciones sancionadas</w:t>
      </w:r>
      <w:r w:rsidR="00AD34C9" w:rsidRPr="00770564">
        <w:rPr>
          <w:rFonts w:asciiTheme="majorHAnsi" w:hAnsiTheme="majorHAnsi"/>
          <w:sz w:val="20"/>
          <w:szCs w:val="20"/>
          <w:lang w:val="es-ES_tradnl"/>
        </w:rPr>
        <w:t>, como trabajadores de dichas empresas, ya</w:t>
      </w:r>
      <w:r w:rsidR="00393BB9" w:rsidRPr="00770564">
        <w:rPr>
          <w:rFonts w:asciiTheme="majorHAnsi" w:hAnsiTheme="majorHAnsi"/>
          <w:sz w:val="20"/>
          <w:szCs w:val="20"/>
          <w:lang w:val="es-ES_tradnl"/>
        </w:rPr>
        <w:t xml:space="preserve"> que la intenció</w:t>
      </w:r>
      <w:r w:rsidR="00AD34C9" w:rsidRPr="00770564">
        <w:rPr>
          <w:rFonts w:asciiTheme="majorHAnsi" w:hAnsiTheme="majorHAnsi"/>
          <w:sz w:val="20"/>
          <w:szCs w:val="20"/>
          <w:lang w:val="es-ES_tradnl"/>
        </w:rPr>
        <w:t>n de los directivos y trabajadores no era expresar una opini</w:t>
      </w:r>
      <w:r w:rsidR="00393BB9" w:rsidRPr="00770564">
        <w:rPr>
          <w:rFonts w:asciiTheme="majorHAnsi" w:hAnsiTheme="majorHAnsi"/>
          <w:sz w:val="20"/>
          <w:szCs w:val="20"/>
          <w:lang w:val="es-ES_tradnl"/>
        </w:rPr>
        <w:t>ón;</w:t>
      </w:r>
      <w:r w:rsidR="00AD34C9" w:rsidRPr="00770564">
        <w:rPr>
          <w:rFonts w:asciiTheme="majorHAnsi" w:hAnsiTheme="majorHAnsi"/>
          <w:sz w:val="20"/>
          <w:szCs w:val="20"/>
          <w:lang w:val="es-ES_tradnl"/>
        </w:rPr>
        <w:t xml:space="preserve"> y</w:t>
      </w:r>
      <w:r w:rsidR="00393BB9" w:rsidRPr="00770564">
        <w:rPr>
          <w:rFonts w:asciiTheme="majorHAnsi" w:hAnsiTheme="majorHAnsi"/>
          <w:sz w:val="20"/>
          <w:szCs w:val="20"/>
          <w:lang w:val="es-ES_tradnl"/>
        </w:rPr>
        <w:t xml:space="preserve"> la acció</w:t>
      </w:r>
      <w:r w:rsidR="00AD34C9" w:rsidRPr="00770564">
        <w:rPr>
          <w:rFonts w:asciiTheme="majorHAnsi" w:hAnsiTheme="majorHAnsi"/>
          <w:sz w:val="20"/>
          <w:szCs w:val="20"/>
          <w:lang w:val="es-ES_tradnl"/>
        </w:rPr>
        <w:t xml:space="preserve">n de las personas morales como concesionarias autorizadas para difundir propaganda electoral fue sancionada por la forma en que se distribuyó el contenido, mas no el fondo del mismo”. </w:t>
      </w:r>
      <w:r w:rsidR="00AE0888" w:rsidRPr="00770564">
        <w:rPr>
          <w:rFonts w:asciiTheme="majorHAnsi" w:hAnsiTheme="majorHAnsi"/>
          <w:sz w:val="20"/>
          <w:szCs w:val="20"/>
          <w:lang w:val="es-ES_tradnl"/>
        </w:rPr>
        <w:t>Afirma</w:t>
      </w:r>
      <w:r w:rsidR="00AD34C9" w:rsidRPr="00770564">
        <w:rPr>
          <w:rFonts w:asciiTheme="majorHAnsi" w:hAnsiTheme="majorHAnsi"/>
          <w:sz w:val="20"/>
          <w:szCs w:val="20"/>
          <w:lang w:val="es-ES_tradnl"/>
        </w:rPr>
        <w:t xml:space="preserve"> que “el simple </w:t>
      </w:r>
      <w:r w:rsidR="00AE0888" w:rsidRPr="00770564">
        <w:rPr>
          <w:rFonts w:asciiTheme="majorHAnsi" w:hAnsiTheme="majorHAnsi"/>
          <w:sz w:val="20"/>
          <w:szCs w:val="20"/>
          <w:lang w:val="es-ES_tradnl"/>
        </w:rPr>
        <w:t>vínculo</w:t>
      </w:r>
      <w:r w:rsidR="00AD34C9" w:rsidRPr="00770564">
        <w:rPr>
          <w:rFonts w:asciiTheme="majorHAnsi" w:hAnsiTheme="majorHAnsi"/>
          <w:sz w:val="20"/>
          <w:szCs w:val="20"/>
          <w:lang w:val="es-ES_tradnl"/>
        </w:rPr>
        <w:t xml:space="preserve"> entre las personas morales y las personas </w:t>
      </w:r>
      <w:r w:rsidR="00AE0888" w:rsidRPr="00770564">
        <w:rPr>
          <w:rFonts w:asciiTheme="majorHAnsi" w:hAnsiTheme="majorHAnsi"/>
          <w:sz w:val="20"/>
          <w:szCs w:val="20"/>
          <w:lang w:val="es-ES_tradnl"/>
        </w:rPr>
        <w:t>físicas</w:t>
      </w:r>
      <w:r w:rsidR="00AD34C9" w:rsidRPr="00770564">
        <w:rPr>
          <w:rFonts w:asciiTheme="majorHAnsi" w:hAnsiTheme="majorHAnsi"/>
          <w:sz w:val="20"/>
          <w:szCs w:val="20"/>
          <w:lang w:val="es-ES_tradnl"/>
        </w:rPr>
        <w:t xml:space="preserve"> no es suficiente</w:t>
      </w:r>
      <w:r w:rsidR="00C63678" w:rsidRPr="00770564">
        <w:rPr>
          <w:rFonts w:asciiTheme="majorHAnsi" w:hAnsiTheme="majorHAnsi"/>
          <w:sz w:val="20"/>
          <w:szCs w:val="20"/>
          <w:lang w:val="es-ES_tradnl"/>
        </w:rPr>
        <w:t xml:space="preserve"> para que la sanción em</w:t>
      </w:r>
      <w:r w:rsidR="00AD34C9" w:rsidRPr="00770564">
        <w:rPr>
          <w:rFonts w:asciiTheme="majorHAnsi" w:hAnsiTheme="majorHAnsi"/>
          <w:sz w:val="20"/>
          <w:szCs w:val="20"/>
          <w:lang w:val="es-ES_tradnl"/>
        </w:rPr>
        <w:t>itida exclusivamente a las primeras repercuta en los derechos humanos de las segundas”.</w:t>
      </w:r>
    </w:p>
    <w:p w:rsidR="00E10B0A" w:rsidRPr="00EB3DC6" w:rsidRDefault="00393BB9" w:rsidP="00D31F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31FF5">
        <w:rPr>
          <w:rFonts w:asciiTheme="majorHAnsi" w:hAnsiTheme="majorHAnsi"/>
          <w:sz w:val="20"/>
          <w:szCs w:val="20"/>
          <w:lang w:val="es-ES_tradnl"/>
        </w:rPr>
        <w:t>Asimismo, el Estado alega que las personas físicas</w:t>
      </w:r>
      <w:r w:rsidR="00E71444" w:rsidRPr="00D31FF5">
        <w:rPr>
          <w:rFonts w:asciiTheme="majorHAnsi" w:hAnsiTheme="majorHAnsi"/>
          <w:sz w:val="20"/>
          <w:szCs w:val="20"/>
          <w:lang w:val="es-ES_tradnl"/>
        </w:rPr>
        <w:t xml:space="preserve"> no </w:t>
      </w:r>
      <w:r w:rsidRPr="00D31FF5">
        <w:rPr>
          <w:rFonts w:asciiTheme="majorHAnsi" w:hAnsiTheme="majorHAnsi"/>
          <w:sz w:val="20"/>
          <w:szCs w:val="20"/>
          <w:lang w:val="es-ES_tradnl"/>
        </w:rPr>
        <w:t>agotaron</w:t>
      </w:r>
      <w:r w:rsidR="00E71444" w:rsidRPr="00D31FF5">
        <w:rPr>
          <w:rFonts w:asciiTheme="majorHAnsi" w:hAnsiTheme="majorHAnsi"/>
          <w:sz w:val="20"/>
          <w:szCs w:val="20"/>
          <w:lang w:val="es-ES_tradnl"/>
        </w:rPr>
        <w:t xml:space="preserve"> los recursos</w:t>
      </w:r>
      <w:r w:rsidRPr="00D31FF5">
        <w:rPr>
          <w:rFonts w:asciiTheme="majorHAnsi" w:hAnsiTheme="majorHAnsi"/>
          <w:sz w:val="20"/>
          <w:szCs w:val="20"/>
          <w:lang w:val="es-ES_tradnl"/>
        </w:rPr>
        <w:t xml:space="preserve"> judiciales</w:t>
      </w:r>
      <w:r w:rsidR="00E71444" w:rsidRPr="00D31FF5">
        <w:rPr>
          <w:rFonts w:asciiTheme="majorHAnsi" w:hAnsiTheme="majorHAnsi"/>
          <w:sz w:val="20"/>
          <w:szCs w:val="20"/>
          <w:lang w:val="es-ES_tradnl"/>
        </w:rPr>
        <w:t xml:space="preserve"> internos</w:t>
      </w:r>
      <w:r w:rsidRPr="00D31FF5">
        <w:rPr>
          <w:rFonts w:asciiTheme="majorHAnsi" w:hAnsiTheme="majorHAnsi"/>
          <w:sz w:val="20"/>
          <w:szCs w:val="20"/>
          <w:lang w:val="es-ES_tradnl"/>
        </w:rPr>
        <w:t xml:space="preserve"> que estaban a su disposición</w:t>
      </w:r>
      <w:r w:rsidR="004A69C9" w:rsidRPr="00D31FF5">
        <w:rPr>
          <w:rFonts w:asciiTheme="majorHAnsi" w:hAnsiTheme="majorHAnsi"/>
          <w:sz w:val="20"/>
          <w:szCs w:val="20"/>
          <w:lang w:val="es-ES_tradnl"/>
        </w:rPr>
        <w:t xml:space="preserve"> y</w:t>
      </w:r>
      <w:r w:rsidR="00DE2050" w:rsidRPr="00D31FF5">
        <w:rPr>
          <w:rFonts w:asciiTheme="majorHAnsi" w:hAnsiTheme="majorHAnsi"/>
          <w:sz w:val="20"/>
          <w:szCs w:val="20"/>
          <w:lang w:val="es-ES_tradnl"/>
        </w:rPr>
        <w:t xml:space="preserve"> </w:t>
      </w:r>
      <w:r w:rsidR="006A0712" w:rsidRPr="00D31FF5">
        <w:rPr>
          <w:rFonts w:asciiTheme="majorHAnsi" w:hAnsiTheme="majorHAnsi"/>
          <w:sz w:val="20"/>
          <w:szCs w:val="20"/>
          <w:lang w:val="es-ES_tradnl"/>
        </w:rPr>
        <w:t xml:space="preserve">que hubiesen garantizado la protección de los derechos políticos electorales </w:t>
      </w:r>
      <w:r w:rsidR="007646D7" w:rsidRPr="00D31FF5">
        <w:rPr>
          <w:rFonts w:asciiTheme="majorHAnsi" w:hAnsiTheme="majorHAnsi"/>
          <w:sz w:val="20"/>
          <w:szCs w:val="20"/>
          <w:lang w:val="es-ES_tradnl"/>
        </w:rPr>
        <w:t xml:space="preserve">tanto de </w:t>
      </w:r>
      <w:r w:rsidR="004A69C9" w:rsidRPr="00D31FF5">
        <w:rPr>
          <w:rFonts w:asciiTheme="majorHAnsi" w:hAnsiTheme="majorHAnsi"/>
          <w:sz w:val="20"/>
          <w:szCs w:val="20"/>
          <w:lang w:val="es-ES_tradnl"/>
        </w:rPr>
        <w:t>los directivos de</w:t>
      </w:r>
      <w:r w:rsidR="000750B1" w:rsidRPr="00D31FF5">
        <w:rPr>
          <w:rFonts w:asciiTheme="majorHAnsi" w:hAnsiTheme="majorHAnsi"/>
          <w:sz w:val="20"/>
          <w:szCs w:val="20"/>
          <w:lang w:val="es-ES_tradnl"/>
        </w:rPr>
        <w:t xml:space="preserve"> los medios de comunicación como </w:t>
      </w:r>
      <w:r w:rsidR="004A69C9" w:rsidRPr="00D31FF5">
        <w:rPr>
          <w:rFonts w:asciiTheme="majorHAnsi" w:hAnsiTheme="majorHAnsi"/>
          <w:sz w:val="20"/>
          <w:szCs w:val="20"/>
          <w:lang w:val="es-ES_tradnl"/>
        </w:rPr>
        <w:t>de</w:t>
      </w:r>
      <w:r w:rsidR="000750B1" w:rsidRPr="00D31FF5">
        <w:rPr>
          <w:rFonts w:asciiTheme="majorHAnsi" w:hAnsiTheme="majorHAnsi"/>
          <w:sz w:val="20"/>
          <w:szCs w:val="20"/>
          <w:lang w:val="es-ES_tradnl"/>
        </w:rPr>
        <w:t xml:space="preserve"> terceros interesados</w:t>
      </w:r>
      <w:r w:rsidR="00DE2050" w:rsidRPr="00770564">
        <w:rPr>
          <w:rStyle w:val="FootnoteReference"/>
          <w:rFonts w:asciiTheme="majorHAnsi" w:hAnsiTheme="majorHAnsi"/>
          <w:sz w:val="20"/>
          <w:szCs w:val="20"/>
          <w:lang w:val="es-ES_tradnl"/>
        </w:rPr>
        <w:footnoteReference w:id="7"/>
      </w:r>
      <w:r w:rsidR="00DE2050" w:rsidRPr="00D31FF5">
        <w:rPr>
          <w:rFonts w:asciiTheme="majorHAnsi" w:hAnsiTheme="majorHAnsi"/>
          <w:sz w:val="20"/>
          <w:szCs w:val="20"/>
          <w:lang w:val="es-ES_tradnl"/>
        </w:rPr>
        <w:t>.</w:t>
      </w:r>
      <w:r w:rsidR="00E71444" w:rsidRPr="00D31FF5">
        <w:rPr>
          <w:rFonts w:asciiTheme="majorHAnsi" w:hAnsiTheme="majorHAnsi"/>
          <w:sz w:val="20"/>
          <w:szCs w:val="20"/>
          <w:lang w:val="es-ES_tradnl"/>
        </w:rPr>
        <w:t xml:space="preserve"> </w:t>
      </w:r>
      <w:r w:rsidRPr="00D31FF5">
        <w:rPr>
          <w:rFonts w:asciiTheme="majorHAnsi" w:hAnsiTheme="majorHAnsi"/>
          <w:sz w:val="20"/>
          <w:szCs w:val="20"/>
          <w:lang w:val="es-ES_tradnl"/>
        </w:rPr>
        <w:t>Explic</w:t>
      </w:r>
      <w:r w:rsidR="004C1F74" w:rsidRPr="00D31FF5">
        <w:rPr>
          <w:rFonts w:asciiTheme="majorHAnsi" w:hAnsiTheme="majorHAnsi"/>
          <w:sz w:val="20"/>
          <w:szCs w:val="20"/>
          <w:lang w:val="es-ES_tradnl"/>
        </w:rPr>
        <w:t xml:space="preserve">ó </w:t>
      </w:r>
      <w:r w:rsidRPr="00D31FF5">
        <w:rPr>
          <w:rFonts w:asciiTheme="majorHAnsi" w:hAnsiTheme="majorHAnsi"/>
          <w:sz w:val="20"/>
          <w:szCs w:val="20"/>
          <w:lang w:val="es-ES_tradnl"/>
        </w:rPr>
        <w:t xml:space="preserve">que conforme a la legislación mexicana </w:t>
      </w:r>
      <w:r w:rsidR="004A69C9" w:rsidRPr="00D31FF5">
        <w:rPr>
          <w:rFonts w:asciiTheme="majorHAnsi" w:hAnsiTheme="majorHAnsi"/>
          <w:sz w:val="20"/>
          <w:szCs w:val="20"/>
          <w:lang w:val="es-ES"/>
        </w:rPr>
        <w:t>“</w:t>
      </w:r>
      <w:r w:rsidRPr="00D31FF5">
        <w:rPr>
          <w:rFonts w:asciiTheme="majorHAnsi" w:hAnsiTheme="majorHAnsi"/>
          <w:sz w:val="20"/>
          <w:szCs w:val="20"/>
          <w:lang w:val="es-ES_tradnl"/>
        </w:rPr>
        <w:t xml:space="preserve">existe la posibilidad de que alguna persona física o moral con un interés legítimo en la causa derivado de un derecho incompatible con el que pretende el promovente del medio de impugnación, acuda a la </w:t>
      </w:r>
      <w:r w:rsidR="00AE0888" w:rsidRPr="00D31FF5">
        <w:rPr>
          <w:rFonts w:asciiTheme="majorHAnsi" w:hAnsiTheme="majorHAnsi"/>
          <w:sz w:val="20"/>
          <w:szCs w:val="20"/>
          <w:lang w:val="es-ES_tradnl"/>
        </w:rPr>
        <w:t>jurisdicción</w:t>
      </w:r>
      <w:r w:rsidRPr="00D31FF5">
        <w:rPr>
          <w:rFonts w:asciiTheme="majorHAnsi" w:hAnsiTheme="majorHAnsi"/>
          <w:sz w:val="20"/>
          <w:szCs w:val="20"/>
          <w:lang w:val="es-ES_tradnl"/>
        </w:rPr>
        <w:t xml:space="preserve"> del Estado</w:t>
      </w:r>
      <w:r w:rsidR="004A69C9" w:rsidRPr="00D31FF5">
        <w:rPr>
          <w:rFonts w:asciiTheme="majorHAnsi" w:hAnsiTheme="majorHAnsi"/>
          <w:sz w:val="20"/>
          <w:szCs w:val="20"/>
          <w:lang w:val="es-ES_tradnl"/>
        </w:rPr>
        <w:t>”</w:t>
      </w:r>
      <w:r w:rsidRPr="00D31FF5">
        <w:rPr>
          <w:rFonts w:asciiTheme="majorHAnsi" w:hAnsiTheme="majorHAnsi"/>
          <w:sz w:val="20"/>
          <w:szCs w:val="20"/>
          <w:lang w:val="es-ES_tradnl"/>
        </w:rPr>
        <w:t xml:space="preserve">. </w:t>
      </w:r>
      <w:r w:rsidR="004C1F74" w:rsidRPr="00D31FF5">
        <w:rPr>
          <w:rFonts w:asciiTheme="majorHAnsi" w:hAnsiTheme="majorHAnsi"/>
          <w:sz w:val="20"/>
          <w:szCs w:val="20"/>
          <w:lang w:val="es-ES_tradnl"/>
        </w:rPr>
        <w:t>El Estado informó que a</w:t>
      </w:r>
      <w:r w:rsidR="0098411D" w:rsidRPr="00D31FF5">
        <w:rPr>
          <w:rFonts w:asciiTheme="majorHAnsi" w:hAnsiTheme="majorHAnsi"/>
          <w:sz w:val="20"/>
          <w:szCs w:val="20"/>
          <w:lang w:val="es-ES_tradnl"/>
        </w:rPr>
        <w:t xml:space="preserve"> dicha figura se le</w:t>
      </w:r>
      <w:r w:rsidR="004A69C9" w:rsidRPr="00D31FF5">
        <w:rPr>
          <w:rFonts w:asciiTheme="majorHAnsi" w:hAnsiTheme="majorHAnsi"/>
          <w:sz w:val="20"/>
          <w:szCs w:val="20"/>
          <w:lang w:val="es-ES_tradnl"/>
        </w:rPr>
        <w:t xml:space="preserve"> llama tercero</w:t>
      </w:r>
      <w:r w:rsidR="004C1F74" w:rsidRPr="00D31FF5">
        <w:rPr>
          <w:rFonts w:asciiTheme="majorHAnsi" w:hAnsiTheme="majorHAnsi"/>
          <w:sz w:val="20"/>
          <w:szCs w:val="20"/>
          <w:lang w:val="es-ES_tradnl"/>
        </w:rPr>
        <w:t>s</w:t>
      </w:r>
      <w:r w:rsidR="004A69C9" w:rsidRPr="00D31FF5">
        <w:rPr>
          <w:rFonts w:asciiTheme="majorHAnsi" w:hAnsiTheme="majorHAnsi"/>
          <w:sz w:val="20"/>
          <w:szCs w:val="20"/>
          <w:lang w:val="es-ES_tradnl"/>
        </w:rPr>
        <w:t xml:space="preserve"> interesado</w:t>
      </w:r>
      <w:r w:rsidR="004C1F74" w:rsidRPr="00D31FF5">
        <w:rPr>
          <w:rFonts w:asciiTheme="majorHAnsi" w:hAnsiTheme="majorHAnsi"/>
          <w:sz w:val="20"/>
          <w:szCs w:val="20"/>
          <w:lang w:val="es-ES_tradnl"/>
        </w:rPr>
        <w:t>s</w:t>
      </w:r>
      <w:r w:rsidR="004A69C9" w:rsidRPr="00D31FF5">
        <w:rPr>
          <w:rFonts w:asciiTheme="majorHAnsi" w:hAnsiTheme="majorHAnsi"/>
          <w:sz w:val="20"/>
          <w:szCs w:val="20"/>
          <w:lang w:val="es-ES_tradnl"/>
        </w:rPr>
        <w:t xml:space="preserve"> </w:t>
      </w:r>
      <w:r w:rsidR="004A69C9" w:rsidRPr="00EB3DC6">
        <w:rPr>
          <w:rFonts w:asciiTheme="majorHAnsi" w:hAnsiTheme="majorHAnsi"/>
          <w:sz w:val="20"/>
          <w:szCs w:val="20"/>
          <w:lang w:val="es-ES_tradnl"/>
        </w:rPr>
        <w:t>y los órganos jurisdicciones está</w:t>
      </w:r>
      <w:r w:rsidR="0098411D" w:rsidRPr="00EB3DC6">
        <w:rPr>
          <w:rFonts w:asciiTheme="majorHAnsi" w:hAnsiTheme="majorHAnsi"/>
          <w:sz w:val="20"/>
          <w:szCs w:val="20"/>
          <w:lang w:val="es-ES_tradnl"/>
        </w:rPr>
        <w:t xml:space="preserve">n obligados a analizar </w:t>
      </w:r>
      <w:r w:rsidR="004C1F74" w:rsidRPr="00EB3DC6">
        <w:rPr>
          <w:rFonts w:asciiTheme="majorHAnsi" w:hAnsiTheme="majorHAnsi"/>
          <w:sz w:val="20"/>
          <w:szCs w:val="20"/>
          <w:lang w:val="es-ES_tradnl"/>
        </w:rPr>
        <w:t>sus</w:t>
      </w:r>
      <w:r w:rsidR="0098411D" w:rsidRPr="00EB3DC6">
        <w:rPr>
          <w:rFonts w:asciiTheme="majorHAnsi" w:hAnsiTheme="majorHAnsi"/>
          <w:sz w:val="20"/>
          <w:szCs w:val="20"/>
          <w:lang w:val="es-ES_tradnl"/>
        </w:rPr>
        <w:t xml:space="preserve"> pretensiones</w:t>
      </w:r>
      <w:r w:rsidR="004A69C9" w:rsidRPr="00EB3DC6">
        <w:rPr>
          <w:rFonts w:asciiTheme="majorHAnsi" w:hAnsiTheme="majorHAnsi"/>
          <w:sz w:val="20"/>
          <w:szCs w:val="20"/>
          <w:lang w:val="es-ES_tradnl"/>
        </w:rPr>
        <w:t xml:space="preserve"> a</w:t>
      </w:r>
      <w:r w:rsidR="0098411D" w:rsidRPr="00EB3DC6">
        <w:rPr>
          <w:rFonts w:asciiTheme="majorHAnsi" w:hAnsiTheme="majorHAnsi"/>
          <w:sz w:val="20"/>
          <w:szCs w:val="20"/>
          <w:lang w:val="es-ES_tradnl"/>
        </w:rPr>
        <w:t xml:space="preserve"> fin de garantizar el principio de exha</w:t>
      </w:r>
      <w:r w:rsidR="00D31FF5" w:rsidRPr="00EB3DC6">
        <w:rPr>
          <w:rFonts w:asciiTheme="majorHAnsi" w:hAnsiTheme="majorHAnsi"/>
          <w:sz w:val="20"/>
          <w:szCs w:val="20"/>
          <w:lang w:val="es-ES_tradnl"/>
        </w:rPr>
        <w:t xml:space="preserve">ustividad en las resoluciones. </w:t>
      </w:r>
      <w:r w:rsidR="0098411D" w:rsidRPr="00EB3DC6">
        <w:rPr>
          <w:rFonts w:asciiTheme="majorHAnsi" w:hAnsiTheme="majorHAnsi"/>
          <w:sz w:val="20"/>
          <w:szCs w:val="20"/>
          <w:lang w:val="es-ES_tradnl"/>
        </w:rPr>
        <w:t xml:space="preserve">El Estado sostiene que los peticionarios estuvieron en </w:t>
      </w:r>
      <w:r w:rsidR="004C1F74" w:rsidRPr="00EB3DC6">
        <w:rPr>
          <w:rFonts w:asciiTheme="majorHAnsi" w:hAnsiTheme="majorHAnsi"/>
          <w:sz w:val="20"/>
          <w:szCs w:val="20"/>
          <w:lang w:val="es-ES_tradnl"/>
        </w:rPr>
        <w:t>“</w:t>
      </w:r>
      <w:r w:rsidR="0098411D" w:rsidRPr="00EB3DC6">
        <w:rPr>
          <w:rFonts w:asciiTheme="majorHAnsi" w:hAnsiTheme="majorHAnsi"/>
          <w:sz w:val="20"/>
          <w:szCs w:val="20"/>
          <w:lang w:val="es-ES_tradnl"/>
        </w:rPr>
        <w:t>aptitud de comparecer en su carácter de terceros inter</w:t>
      </w:r>
      <w:r w:rsidR="004C1F74" w:rsidRPr="00EB3DC6">
        <w:rPr>
          <w:rFonts w:asciiTheme="majorHAnsi" w:hAnsiTheme="majorHAnsi"/>
          <w:sz w:val="20"/>
          <w:szCs w:val="20"/>
          <w:lang w:val="es-ES_tradnl"/>
        </w:rPr>
        <w:t>e</w:t>
      </w:r>
      <w:r w:rsidR="0098411D" w:rsidRPr="00EB3DC6">
        <w:rPr>
          <w:rFonts w:asciiTheme="majorHAnsi" w:hAnsiTheme="majorHAnsi"/>
          <w:sz w:val="20"/>
          <w:szCs w:val="20"/>
          <w:lang w:val="es-ES_tradnl"/>
        </w:rPr>
        <w:t>sados en las impugnaciones presentadas contra las determinaciones del IFE, particularmente si argumentan que la materia del procedimiento y las sanciones impuestas vulner</w:t>
      </w:r>
      <w:r w:rsidR="004C1F74" w:rsidRPr="00EB3DC6">
        <w:rPr>
          <w:rFonts w:asciiTheme="majorHAnsi" w:hAnsiTheme="majorHAnsi"/>
          <w:sz w:val="20"/>
          <w:szCs w:val="20"/>
          <w:lang w:val="es-ES_tradnl"/>
        </w:rPr>
        <w:t>a</w:t>
      </w:r>
      <w:r w:rsidR="0098411D" w:rsidRPr="00EB3DC6">
        <w:rPr>
          <w:rFonts w:asciiTheme="majorHAnsi" w:hAnsiTheme="majorHAnsi"/>
          <w:sz w:val="20"/>
          <w:szCs w:val="20"/>
          <w:lang w:val="es-ES_tradnl"/>
        </w:rPr>
        <w:t>ban sus derechos fundamentales</w:t>
      </w:r>
      <w:r w:rsidR="004C1F74" w:rsidRPr="00EB3DC6">
        <w:rPr>
          <w:rFonts w:asciiTheme="majorHAnsi" w:hAnsiTheme="majorHAnsi"/>
          <w:sz w:val="20"/>
          <w:szCs w:val="20"/>
          <w:lang w:val="es-ES_tradnl"/>
        </w:rPr>
        <w:t>”</w:t>
      </w:r>
      <w:r w:rsidR="0098411D" w:rsidRPr="00EB3DC6">
        <w:rPr>
          <w:rFonts w:asciiTheme="majorHAnsi" w:hAnsiTheme="majorHAnsi"/>
          <w:sz w:val="20"/>
          <w:szCs w:val="20"/>
          <w:lang w:val="es-ES_tradnl"/>
        </w:rPr>
        <w:t>.</w:t>
      </w:r>
    </w:p>
    <w:p w:rsidR="009D3F35" w:rsidRDefault="0098411D" w:rsidP="009D3F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B3DC6">
        <w:rPr>
          <w:rFonts w:asciiTheme="majorHAnsi" w:hAnsiTheme="majorHAnsi"/>
          <w:sz w:val="20"/>
          <w:szCs w:val="20"/>
          <w:lang w:val="es-ES_tradnl"/>
        </w:rPr>
        <w:t>Finalmente, e</w:t>
      </w:r>
      <w:r w:rsidR="0028392D" w:rsidRPr="00EB3DC6">
        <w:rPr>
          <w:rFonts w:asciiTheme="majorHAnsi" w:hAnsiTheme="majorHAnsi"/>
          <w:sz w:val="20"/>
          <w:szCs w:val="20"/>
          <w:lang w:val="es-ES_tradnl"/>
        </w:rPr>
        <w:t>l Estado alega</w:t>
      </w:r>
      <w:r w:rsidR="00EF64A7" w:rsidRPr="00EB3DC6">
        <w:rPr>
          <w:rFonts w:asciiTheme="majorHAnsi" w:hAnsiTheme="majorHAnsi"/>
          <w:sz w:val="20"/>
          <w:szCs w:val="20"/>
          <w:lang w:val="es-ES_tradnl"/>
        </w:rPr>
        <w:t xml:space="preserve"> que</w:t>
      </w:r>
      <w:r w:rsidR="008C630E" w:rsidRPr="00EB3DC6">
        <w:rPr>
          <w:rFonts w:asciiTheme="majorHAnsi" w:hAnsiTheme="majorHAnsi"/>
          <w:sz w:val="20"/>
          <w:szCs w:val="20"/>
          <w:lang w:val="es-ES_tradnl"/>
        </w:rPr>
        <w:t xml:space="preserve"> </w:t>
      </w:r>
      <w:r w:rsidR="0028392D" w:rsidRPr="00EB3DC6">
        <w:rPr>
          <w:rFonts w:asciiTheme="majorHAnsi" w:hAnsiTheme="majorHAnsi"/>
          <w:sz w:val="20"/>
          <w:szCs w:val="20"/>
          <w:lang w:val="es-ES_tradnl"/>
        </w:rPr>
        <w:t xml:space="preserve">los peticionarios no han </w:t>
      </w:r>
      <w:r w:rsidR="00DD641F" w:rsidRPr="00EB3DC6">
        <w:rPr>
          <w:rFonts w:asciiTheme="majorHAnsi" w:hAnsiTheme="majorHAnsi"/>
          <w:sz w:val="20"/>
          <w:szCs w:val="20"/>
          <w:lang w:val="es-ES_tradnl"/>
        </w:rPr>
        <w:t>exteriorizado</w:t>
      </w:r>
      <w:r w:rsidR="0028392D" w:rsidRPr="00EB3DC6">
        <w:rPr>
          <w:rFonts w:asciiTheme="majorHAnsi" w:hAnsiTheme="majorHAnsi"/>
          <w:sz w:val="20"/>
          <w:szCs w:val="20"/>
          <w:lang w:val="es-ES_tradnl"/>
        </w:rPr>
        <w:t xml:space="preserve"> hechos que caractericen </w:t>
      </w:r>
      <w:r w:rsidR="00653ADC" w:rsidRPr="00EB3DC6">
        <w:rPr>
          <w:rFonts w:asciiTheme="majorHAnsi" w:hAnsiTheme="majorHAnsi"/>
          <w:sz w:val="20"/>
          <w:szCs w:val="20"/>
          <w:lang w:val="es-ES_tradnl"/>
        </w:rPr>
        <w:t>l</w:t>
      </w:r>
      <w:r w:rsidR="0028392D" w:rsidRPr="00EB3DC6">
        <w:rPr>
          <w:rFonts w:asciiTheme="majorHAnsi" w:hAnsiTheme="majorHAnsi"/>
          <w:sz w:val="20"/>
          <w:szCs w:val="20"/>
          <w:lang w:val="es-ES_tradnl"/>
        </w:rPr>
        <w:t>a violación de alguno de los derechos previstos en la CADH</w:t>
      </w:r>
      <w:r w:rsidR="00991D49" w:rsidRPr="00EB3DC6">
        <w:rPr>
          <w:rFonts w:asciiTheme="majorHAnsi" w:hAnsiTheme="majorHAnsi"/>
          <w:sz w:val="20"/>
          <w:szCs w:val="20"/>
          <w:lang w:val="es-ES_tradnl"/>
        </w:rPr>
        <w:t>.</w:t>
      </w:r>
      <w:r w:rsidR="0028392D" w:rsidRPr="00EB3DC6">
        <w:rPr>
          <w:rFonts w:asciiTheme="majorHAnsi" w:hAnsiTheme="majorHAnsi"/>
          <w:sz w:val="20"/>
          <w:szCs w:val="20"/>
          <w:lang w:val="es-ES_tradnl"/>
        </w:rPr>
        <w:t xml:space="preserve"> </w:t>
      </w:r>
      <w:r w:rsidR="00991D49" w:rsidRPr="00EB3DC6">
        <w:rPr>
          <w:rFonts w:asciiTheme="majorHAnsi" w:hAnsiTheme="majorHAnsi"/>
          <w:sz w:val="20"/>
          <w:szCs w:val="20"/>
          <w:lang w:val="es-ES_tradnl"/>
        </w:rPr>
        <w:t>Dan cuenta</w:t>
      </w:r>
      <w:r w:rsidR="0028392D" w:rsidRPr="00EB3DC6">
        <w:rPr>
          <w:rFonts w:asciiTheme="majorHAnsi" w:hAnsiTheme="majorHAnsi"/>
          <w:sz w:val="20"/>
          <w:szCs w:val="20"/>
          <w:lang w:val="es-ES_tradnl"/>
        </w:rPr>
        <w:t xml:space="preserve"> que la sanción impuesta </w:t>
      </w:r>
      <w:r w:rsidR="00CC5930" w:rsidRPr="00EB3DC6">
        <w:rPr>
          <w:rFonts w:asciiTheme="majorHAnsi" w:hAnsiTheme="majorHAnsi"/>
          <w:sz w:val="20"/>
          <w:szCs w:val="20"/>
          <w:lang w:val="es-ES_tradnl"/>
        </w:rPr>
        <w:t xml:space="preserve">a las concesionarias </w:t>
      </w:r>
      <w:r w:rsidR="0028392D" w:rsidRPr="00EB3DC6">
        <w:rPr>
          <w:rFonts w:asciiTheme="majorHAnsi" w:hAnsiTheme="majorHAnsi"/>
          <w:sz w:val="20"/>
          <w:szCs w:val="20"/>
          <w:lang w:val="es-ES_tradnl"/>
        </w:rPr>
        <w:t>fue proporcional con la gravedad del ilícito</w:t>
      </w:r>
      <w:r w:rsidR="00CC5930" w:rsidRPr="00EB3DC6">
        <w:rPr>
          <w:rFonts w:asciiTheme="majorHAnsi" w:hAnsiTheme="majorHAnsi"/>
          <w:sz w:val="20"/>
          <w:szCs w:val="20"/>
          <w:lang w:val="es-ES_tradnl"/>
        </w:rPr>
        <w:t>;</w:t>
      </w:r>
      <w:r w:rsidR="00991D49" w:rsidRPr="00EB3DC6">
        <w:rPr>
          <w:rFonts w:asciiTheme="majorHAnsi" w:hAnsiTheme="majorHAnsi"/>
          <w:sz w:val="20"/>
          <w:szCs w:val="20"/>
          <w:lang w:val="es-ES_tradnl"/>
        </w:rPr>
        <w:t xml:space="preserve"> que </w:t>
      </w:r>
      <w:r w:rsidR="00CC5930" w:rsidRPr="00EB3DC6">
        <w:rPr>
          <w:rFonts w:asciiTheme="majorHAnsi" w:hAnsiTheme="majorHAnsi"/>
          <w:sz w:val="20"/>
          <w:szCs w:val="20"/>
          <w:lang w:val="es-ES_tradnl"/>
        </w:rPr>
        <w:t>no afectó la</w:t>
      </w:r>
      <w:r w:rsidR="00991D49" w:rsidRPr="00EB3DC6">
        <w:rPr>
          <w:rFonts w:asciiTheme="majorHAnsi" w:hAnsiTheme="majorHAnsi"/>
          <w:sz w:val="20"/>
          <w:szCs w:val="20"/>
          <w:lang w:val="es-ES_tradnl"/>
        </w:rPr>
        <w:t xml:space="preserve"> libertad de expresión </w:t>
      </w:r>
      <w:r w:rsidR="00CC5930" w:rsidRPr="00EB3DC6">
        <w:rPr>
          <w:rFonts w:asciiTheme="majorHAnsi" w:hAnsiTheme="majorHAnsi"/>
          <w:sz w:val="20"/>
          <w:szCs w:val="20"/>
          <w:lang w:val="es-ES_tradnl"/>
        </w:rPr>
        <w:t>de los peticionarios o la libertad comercial de las televisoras</w:t>
      </w:r>
      <w:r w:rsidR="0028392D" w:rsidRPr="00EB3DC6">
        <w:rPr>
          <w:rFonts w:asciiTheme="majorHAnsi" w:hAnsiTheme="majorHAnsi"/>
          <w:sz w:val="20"/>
          <w:szCs w:val="20"/>
          <w:lang w:val="es-ES_tradnl"/>
        </w:rPr>
        <w:t xml:space="preserve">. </w:t>
      </w:r>
      <w:r w:rsidR="0048108C" w:rsidRPr="00EB3DC6">
        <w:rPr>
          <w:rFonts w:asciiTheme="majorHAnsi" w:hAnsiTheme="majorHAnsi"/>
          <w:sz w:val="20"/>
          <w:szCs w:val="20"/>
          <w:lang w:val="es-ES_tradnl"/>
        </w:rPr>
        <w:t>S</w:t>
      </w:r>
      <w:r w:rsidR="0039345D" w:rsidRPr="00EB3DC6">
        <w:rPr>
          <w:rFonts w:asciiTheme="majorHAnsi" w:hAnsiTheme="majorHAnsi"/>
          <w:sz w:val="20"/>
          <w:szCs w:val="20"/>
          <w:lang w:val="es-ES_tradnl"/>
        </w:rPr>
        <w:t xml:space="preserve">ostiene que </w:t>
      </w:r>
      <w:r w:rsidR="00DD641F" w:rsidRPr="00EB3DC6">
        <w:rPr>
          <w:rFonts w:asciiTheme="majorHAnsi" w:hAnsiTheme="majorHAnsi"/>
          <w:sz w:val="20"/>
          <w:szCs w:val="20"/>
          <w:lang w:val="es-ES_tradnl"/>
        </w:rPr>
        <w:t>no hay una prohibición de difundir propaganda electoral, sino que ésta se encuentra regulada en forma, tiempo y espacio</w:t>
      </w:r>
      <w:r w:rsidR="00CD4A44" w:rsidRPr="00EB3DC6">
        <w:rPr>
          <w:rFonts w:asciiTheme="majorHAnsi" w:hAnsiTheme="majorHAnsi"/>
          <w:sz w:val="20"/>
          <w:szCs w:val="20"/>
          <w:lang w:val="es-ES_tradnl"/>
        </w:rPr>
        <w:t xml:space="preserve">. De allí que entienden que la difusión de la información contenida en la revista </w:t>
      </w:r>
      <w:r w:rsidR="00CD4A44" w:rsidRPr="00EB3DC6">
        <w:rPr>
          <w:rFonts w:asciiTheme="majorHAnsi" w:hAnsiTheme="majorHAnsi"/>
          <w:i/>
          <w:sz w:val="20"/>
          <w:szCs w:val="20"/>
          <w:lang w:val="es-ES_tradnl"/>
        </w:rPr>
        <w:t>Impacto</w:t>
      </w:r>
      <w:r w:rsidR="00CD4A44" w:rsidRPr="00EB3DC6">
        <w:rPr>
          <w:rFonts w:asciiTheme="majorHAnsi" w:hAnsiTheme="majorHAnsi"/>
          <w:sz w:val="20"/>
          <w:szCs w:val="20"/>
          <w:lang w:val="es-ES_tradnl"/>
        </w:rPr>
        <w:t>,</w:t>
      </w:r>
      <w:r w:rsidR="00DD5318" w:rsidRPr="00EB3DC6">
        <w:rPr>
          <w:rFonts w:asciiTheme="majorHAnsi" w:hAnsiTheme="majorHAnsi"/>
          <w:sz w:val="20"/>
          <w:szCs w:val="20"/>
          <w:lang w:val="es-ES_tradnl"/>
        </w:rPr>
        <w:t xml:space="preserve"> debió ser distribuida con la previa autorización que</w:t>
      </w:r>
      <w:r w:rsidR="00EC67F6" w:rsidRPr="00EB3DC6">
        <w:rPr>
          <w:rFonts w:asciiTheme="majorHAnsi" w:hAnsiTheme="majorHAnsi"/>
          <w:sz w:val="20"/>
          <w:szCs w:val="20"/>
          <w:lang w:val="es-ES_tradnl"/>
        </w:rPr>
        <w:t xml:space="preserve"> el</w:t>
      </w:r>
      <w:r w:rsidR="00DD5318" w:rsidRPr="00EB3DC6">
        <w:rPr>
          <w:rFonts w:asciiTheme="majorHAnsi" w:hAnsiTheme="majorHAnsi"/>
          <w:sz w:val="20"/>
          <w:szCs w:val="20"/>
          <w:lang w:val="es-ES_tradnl"/>
        </w:rPr>
        <w:t xml:space="preserve"> IFE asigna. </w:t>
      </w:r>
      <w:r w:rsidR="00EC67F6" w:rsidRPr="00EB3DC6">
        <w:rPr>
          <w:rFonts w:asciiTheme="majorHAnsi" w:hAnsiTheme="majorHAnsi"/>
          <w:sz w:val="20"/>
          <w:szCs w:val="20"/>
          <w:lang w:val="es-ES_tradnl"/>
        </w:rPr>
        <w:t>Concluye que</w:t>
      </w:r>
      <w:r w:rsidR="00E407AD" w:rsidRPr="00EB3DC6">
        <w:rPr>
          <w:rFonts w:asciiTheme="majorHAnsi" w:hAnsiTheme="majorHAnsi"/>
          <w:sz w:val="20"/>
          <w:szCs w:val="20"/>
          <w:lang w:val="es-ES_tradnl"/>
        </w:rPr>
        <w:t>,</w:t>
      </w:r>
      <w:r w:rsidR="00EC67F6" w:rsidRPr="00EB3DC6">
        <w:rPr>
          <w:rFonts w:asciiTheme="majorHAnsi" w:hAnsiTheme="majorHAnsi"/>
          <w:sz w:val="20"/>
          <w:szCs w:val="20"/>
          <w:lang w:val="es-ES_tradnl"/>
        </w:rPr>
        <w:t xml:space="preserve"> al</w:t>
      </w:r>
      <w:r w:rsidR="00DD5318" w:rsidRPr="00EB3DC6">
        <w:rPr>
          <w:rFonts w:asciiTheme="majorHAnsi" w:hAnsiTheme="majorHAnsi"/>
          <w:sz w:val="20"/>
          <w:szCs w:val="20"/>
          <w:lang w:val="es-ES_tradnl"/>
        </w:rPr>
        <w:t xml:space="preserve"> no haberse</w:t>
      </w:r>
      <w:r w:rsidR="00DD5318" w:rsidRPr="00770564">
        <w:rPr>
          <w:rFonts w:asciiTheme="majorHAnsi" w:hAnsiTheme="majorHAnsi"/>
          <w:sz w:val="20"/>
          <w:szCs w:val="20"/>
          <w:lang w:val="es-ES_tradnl"/>
        </w:rPr>
        <w:t xml:space="preserve"> cumplido con la reglamentación vigente, </w:t>
      </w:r>
      <w:r w:rsidR="0039345D" w:rsidRPr="00770564">
        <w:rPr>
          <w:rFonts w:asciiTheme="majorHAnsi" w:hAnsiTheme="majorHAnsi"/>
          <w:sz w:val="20"/>
          <w:szCs w:val="20"/>
          <w:lang w:val="es-ES_tradnl"/>
        </w:rPr>
        <w:t xml:space="preserve">la </w:t>
      </w:r>
      <w:r w:rsidR="00DD641F" w:rsidRPr="00770564">
        <w:rPr>
          <w:rFonts w:asciiTheme="majorHAnsi" w:hAnsiTheme="majorHAnsi"/>
          <w:sz w:val="20"/>
          <w:szCs w:val="20"/>
          <w:lang w:val="es-ES_tradnl"/>
        </w:rPr>
        <w:t>ley autoriza la medida adoptada.</w:t>
      </w:r>
    </w:p>
    <w:p w:rsidR="000666BF" w:rsidRDefault="000666BF">
      <w:pPr>
        <w:rPr>
          <w:rFonts w:asciiTheme="majorHAnsi" w:hAnsiTheme="majorHAnsi"/>
          <w:sz w:val="20"/>
          <w:szCs w:val="20"/>
          <w:lang w:val="es-ES_tradnl"/>
        </w:rPr>
      </w:pPr>
      <w:r>
        <w:rPr>
          <w:rFonts w:asciiTheme="majorHAnsi" w:hAnsiTheme="majorHAnsi"/>
          <w:sz w:val="20"/>
          <w:szCs w:val="20"/>
          <w:lang w:val="es-ES_tradnl"/>
        </w:rPr>
        <w:br w:type="page"/>
      </w:r>
    </w:p>
    <w:p w:rsidR="00F301EB" w:rsidRPr="00EB3DC6" w:rsidRDefault="003239B8" w:rsidP="000666BF">
      <w:pPr>
        <w:ind w:firstLine="720"/>
        <w:jc w:val="both"/>
        <w:rPr>
          <w:rFonts w:asciiTheme="majorHAnsi" w:hAnsiTheme="majorHAnsi"/>
          <w:sz w:val="20"/>
          <w:szCs w:val="20"/>
          <w:lang w:val="es-ES"/>
        </w:rPr>
      </w:pPr>
      <w:r w:rsidRPr="00EB3DC6">
        <w:rPr>
          <w:rFonts w:asciiTheme="majorHAnsi" w:eastAsia="Cambria" w:hAnsiTheme="majorHAnsi" w:cs="Cambria"/>
          <w:b/>
          <w:bCs/>
          <w:color w:val="000000"/>
          <w:sz w:val="20"/>
          <w:szCs w:val="20"/>
          <w:u w:color="000000"/>
          <w:lang w:val="es-ES" w:eastAsia="es-ES"/>
        </w:rPr>
        <w:lastRenderedPageBreak/>
        <w:t>VI.</w:t>
      </w:r>
      <w:r w:rsidR="0014118A" w:rsidRPr="00EB3DC6">
        <w:rPr>
          <w:rFonts w:asciiTheme="majorHAnsi" w:eastAsia="Cambria" w:hAnsiTheme="majorHAnsi" w:cs="Cambria"/>
          <w:b/>
          <w:bCs/>
          <w:color w:val="000000"/>
          <w:sz w:val="20"/>
          <w:szCs w:val="20"/>
          <w:u w:color="000000"/>
          <w:lang w:val="es-ES" w:eastAsia="es-ES"/>
        </w:rPr>
        <w:tab/>
        <w:t>COMPETENCIA RATIONE PERSONA</w:t>
      </w:r>
    </w:p>
    <w:p w:rsidR="008F6A1E" w:rsidRPr="00EB3DC6" w:rsidRDefault="00FE3CD2" w:rsidP="00FE3CD2">
      <w:pPr>
        <w:pStyle w:val="ListParagraph"/>
        <w:numPr>
          <w:ilvl w:val="0"/>
          <w:numId w:val="103"/>
        </w:numPr>
        <w:spacing w:before="240" w:after="240"/>
        <w:jc w:val="both"/>
        <w:rPr>
          <w:rFonts w:asciiTheme="majorHAnsi" w:hAnsiTheme="majorHAnsi" w:cs="Verdana"/>
          <w:sz w:val="20"/>
          <w:szCs w:val="20"/>
          <w:lang w:val="es-ES"/>
        </w:rPr>
      </w:pPr>
      <w:r w:rsidRPr="00EB3DC6">
        <w:rPr>
          <w:rFonts w:asciiTheme="majorHAnsi" w:hAnsiTheme="majorHAnsi"/>
          <w:sz w:val="20"/>
          <w:szCs w:val="20"/>
          <w:lang w:val="es-ES"/>
        </w:rPr>
        <w:t>L</w:t>
      </w:r>
      <w:r w:rsidRPr="00EB3DC6">
        <w:rPr>
          <w:rFonts w:asciiTheme="majorHAnsi" w:hAnsiTheme="majorHAnsi"/>
          <w:sz w:val="20"/>
          <w:szCs w:val="20"/>
          <w:lang w:val="es-AR"/>
        </w:rPr>
        <w:t>a Comisión estima oportuno reiterar que el concepto de persona dispuesto en el artículo 1.2 de la Convención Americana no incluye a las personas jurídicas</w:t>
      </w:r>
      <w:r w:rsidRPr="00EB3DC6">
        <w:rPr>
          <w:rStyle w:val="FootnoteReference"/>
          <w:rFonts w:asciiTheme="majorHAnsi" w:hAnsiTheme="majorHAnsi" w:cs="Times New Roman"/>
          <w:sz w:val="20"/>
          <w:szCs w:val="20"/>
          <w:lang w:val="es-ES"/>
        </w:rPr>
        <w:footnoteReference w:id="8"/>
      </w:r>
      <w:r w:rsidRPr="00EB3DC6">
        <w:rPr>
          <w:rFonts w:asciiTheme="majorHAnsi" w:hAnsiTheme="majorHAnsi"/>
          <w:sz w:val="20"/>
          <w:szCs w:val="20"/>
          <w:lang w:val="es-AR"/>
        </w:rPr>
        <w:t xml:space="preserve">. </w:t>
      </w:r>
      <w:r w:rsidR="00737BCB" w:rsidRPr="00EB3DC6">
        <w:rPr>
          <w:rFonts w:cs="Tahoma"/>
          <w:sz w:val="20"/>
          <w:szCs w:val="20"/>
          <w:lang w:val="es-ES_tradnl"/>
        </w:rPr>
        <w:t xml:space="preserve">Al respecto, la Comisión ha </w:t>
      </w:r>
      <w:r w:rsidR="0079088A" w:rsidRPr="00EB3DC6">
        <w:rPr>
          <w:rFonts w:cs="Tahoma"/>
          <w:sz w:val="20"/>
          <w:szCs w:val="20"/>
          <w:lang w:val="es-ES_tradnl"/>
        </w:rPr>
        <w:t>señalado</w:t>
      </w:r>
      <w:r w:rsidR="00737BCB" w:rsidRPr="00EB3DC6">
        <w:rPr>
          <w:rFonts w:cs="Tahoma"/>
          <w:sz w:val="20"/>
          <w:szCs w:val="20"/>
          <w:lang w:val="es-ES_tradnl"/>
        </w:rPr>
        <w:t xml:space="preserve"> que el Preámbulo de la Convención Americana y su artículo 1.2 establecen que “para los propósitos de esta Convención, 'persona' significa todo ser humano”, y que la protección otorgada por el Sistema Interamericano de Derechos Humanos se </w:t>
      </w:r>
      <w:r w:rsidR="00007ED1" w:rsidRPr="00EB3DC6">
        <w:rPr>
          <w:rFonts w:cs="Tahoma"/>
          <w:sz w:val="20"/>
          <w:szCs w:val="20"/>
          <w:lang w:val="es-ES_tradnl"/>
        </w:rPr>
        <w:t>circunscribe</w:t>
      </w:r>
      <w:r w:rsidR="00737BCB" w:rsidRPr="00EB3DC6">
        <w:rPr>
          <w:rFonts w:cs="Tahoma"/>
          <w:sz w:val="20"/>
          <w:szCs w:val="20"/>
          <w:lang w:val="es-ES_tradnl"/>
        </w:rPr>
        <w:t xml:space="preserve"> a las personas naturales</w:t>
      </w:r>
      <w:r w:rsidR="00737BCB" w:rsidRPr="00EB3DC6">
        <w:rPr>
          <w:rStyle w:val="FootnoteReference"/>
          <w:rFonts w:cs="Tahoma"/>
          <w:sz w:val="20"/>
          <w:szCs w:val="20"/>
          <w:lang w:val="es-ES_tradnl"/>
        </w:rPr>
        <w:footnoteReference w:id="9"/>
      </w:r>
      <w:r w:rsidR="00737BCB" w:rsidRPr="00EB3DC6">
        <w:rPr>
          <w:rFonts w:cs="Tahoma"/>
          <w:sz w:val="20"/>
          <w:szCs w:val="20"/>
          <w:lang w:val="es-ES_tradnl"/>
        </w:rPr>
        <w:t xml:space="preserve">. </w:t>
      </w:r>
      <w:r w:rsidRPr="00EB3DC6">
        <w:rPr>
          <w:rFonts w:asciiTheme="majorHAnsi" w:hAnsiTheme="majorHAnsi"/>
          <w:sz w:val="20"/>
          <w:szCs w:val="20"/>
          <w:lang w:val="es-AR"/>
        </w:rPr>
        <w:t>Con base en ello, la Comisión y la Corte IDH han entendido que l</w:t>
      </w:r>
      <w:r w:rsidRPr="00EB3DC6">
        <w:rPr>
          <w:rFonts w:asciiTheme="majorHAnsi" w:hAnsiTheme="majorHAnsi" w:cs="Times New Roman"/>
          <w:sz w:val="20"/>
          <w:szCs w:val="20"/>
          <w:lang w:val="es-ES"/>
        </w:rPr>
        <w:t xml:space="preserve">as personas jurídicas no pueden acceder </w:t>
      </w:r>
      <w:r w:rsidR="005F0273" w:rsidRPr="00EB3DC6">
        <w:rPr>
          <w:rFonts w:asciiTheme="majorHAnsi" w:hAnsiTheme="majorHAnsi" w:cs="Times New Roman"/>
          <w:sz w:val="20"/>
          <w:szCs w:val="20"/>
          <w:lang w:val="es-ES"/>
        </w:rPr>
        <w:t xml:space="preserve"> </w:t>
      </w:r>
      <w:r w:rsidRPr="00EB3DC6">
        <w:rPr>
          <w:rFonts w:asciiTheme="majorHAnsi" w:hAnsiTheme="majorHAnsi" w:cs="Times New Roman"/>
          <w:sz w:val="20"/>
          <w:szCs w:val="20"/>
          <w:lang w:val="es-ES"/>
        </w:rPr>
        <w:t>al sistema interamericano de derechos humanos como presuntas victimas</w:t>
      </w:r>
      <w:r w:rsidRPr="00EB3DC6">
        <w:rPr>
          <w:rFonts w:asciiTheme="majorHAnsi" w:eastAsia="Times New Roman" w:hAnsiTheme="majorHAnsi" w:cs="Times New Roman"/>
          <w:sz w:val="20"/>
          <w:szCs w:val="20"/>
          <w:lang w:val="es-CR"/>
        </w:rPr>
        <w:t xml:space="preserve"> en el marco de los procesos contenciosos</w:t>
      </w:r>
      <w:r w:rsidRPr="00EB3DC6">
        <w:rPr>
          <w:rStyle w:val="FootnoteReference"/>
          <w:rFonts w:asciiTheme="majorHAnsi" w:hAnsiTheme="majorHAnsi"/>
          <w:bCs/>
          <w:color w:val="auto"/>
          <w:sz w:val="20"/>
          <w:szCs w:val="20"/>
          <w:lang w:val="es-ES"/>
        </w:rPr>
        <w:footnoteReference w:id="10"/>
      </w:r>
      <w:r w:rsidR="00737BCB" w:rsidRPr="00EB3DC6">
        <w:rPr>
          <w:rFonts w:asciiTheme="majorHAnsi" w:eastAsia="Times New Roman" w:hAnsiTheme="majorHAnsi" w:cs="Times New Roman"/>
          <w:sz w:val="20"/>
          <w:szCs w:val="20"/>
          <w:lang w:val="es-CR"/>
        </w:rPr>
        <w:t xml:space="preserve">. </w:t>
      </w:r>
      <w:r w:rsidR="00737BCB" w:rsidRPr="00EB3DC6">
        <w:rPr>
          <w:rFonts w:asciiTheme="majorHAnsi" w:hAnsiTheme="majorHAnsi" w:cs="Times New Roman"/>
          <w:sz w:val="20"/>
          <w:szCs w:val="20"/>
          <w:lang w:val="es-ES"/>
        </w:rPr>
        <w:t xml:space="preserve"> </w:t>
      </w:r>
      <w:r w:rsidR="00396D70" w:rsidRPr="00EB3DC6">
        <w:rPr>
          <w:rFonts w:asciiTheme="majorHAnsi" w:hAnsiTheme="majorHAnsi"/>
          <w:bCs/>
          <w:color w:val="auto"/>
          <w:sz w:val="20"/>
          <w:szCs w:val="20"/>
          <w:lang w:val="es-ES"/>
        </w:rPr>
        <w:t>Esto</w:t>
      </w:r>
      <w:r w:rsidR="00314B4E" w:rsidRPr="00EB3DC6">
        <w:rPr>
          <w:rFonts w:asciiTheme="majorHAnsi" w:hAnsiTheme="majorHAnsi"/>
          <w:sz w:val="20"/>
          <w:szCs w:val="20"/>
          <w:lang w:val="es-ES_tradnl"/>
        </w:rPr>
        <w:t xml:space="preserve"> </w:t>
      </w:r>
      <w:r w:rsidR="00AF3F7C" w:rsidRPr="00EB3DC6">
        <w:rPr>
          <w:rFonts w:asciiTheme="majorHAnsi" w:hAnsiTheme="majorHAnsi" w:cs="Verdana"/>
          <w:sz w:val="20"/>
          <w:szCs w:val="20"/>
          <w:lang w:val="es-ES"/>
        </w:rPr>
        <w:t>no restringe la posibilidad de que bajo determinados supuestos</w:t>
      </w:r>
      <w:r w:rsidR="00703EC1" w:rsidRPr="00EB3DC6">
        <w:rPr>
          <w:rFonts w:asciiTheme="majorHAnsi" w:hAnsiTheme="majorHAnsi" w:cs="Verdana"/>
          <w:sz w:val="20"/>
          <w:szCs w:val="20"/>
          <w:lang w:val="es-ES"/>
        </w:rPr>
        <w:t xml:space="preserve"> excepcionales</w:t>
      </w:r>
      <w:r w:rsidR="00642BEF" w:rsidRPr="00EB3DC6">
        <w:rPr>
          <w:rFonts w:asciiTheme="majorHAnsi" w:hAnsiTheme="majorHAnsi" w:cs="Verdana"/>
          <w:sz w:val="20"/>
          <w:szCs w:val="20"/>
          <w:lang w:val="es-ES"/>
        </w:rPr>
        <w:t xml:space="preserve"> </w:t>
      </w:r>
      <w:r w:rsidR="00AF3F7C" w:rsidRPr="00EB3DC6">
        <w:rPr>
          <w:rFonts w:asciiTheme="majorHAnsi" w:hAnsiTheme="majorHAnsi" w:cs="Verdana"/>
          <w:sz w:val="20"/>
          <w:szCs w:val="20"/>
          <w:lang w:val="es-ES"/>
        </w:rPr>
        <w:t xml:space="preserve">el individuo que ejerza sus derechos a través de </w:t>
      </w:r>
      <w:r w:rsidR="00314B4E" w:rsidRPr="00EB3DC6">
        <w:rPr>
          <w:rFonts w:asciiTheme="majorHAnsi" w:hAnsiTheme="majorHAnsi" w:cs="Verdana"/>
          <w:sz w:val="20"/>
          <w:szCs w:val="20"/>
          <w:lang w:val="es-ES"/>
        </w:rPr>
        <w:t>personas</w:t>
      </w:r>
      <w:r w:rsidR="00AF3F7C" w:rsidRPr="00EB3DC6">
        <w:rPr>
          <w:rFonts w:asciiTheme="majorHAnsi" w:hAnsiTheme="majorHAnsi" w:cs="Verdana"/>
          <w:sz w:val="20"/>
          <w:szCs w:val="20"/>
          <w:lang w:val="es-ES"/>
        </w:rPr>
        <w:t xml:space="preserve"> </w:t>
      </w:r>
      <w:r w:rsidR="00EA6A3A" w:rsidRPr="00EB3DC6">
        <w:rPr>
          <w:rFonts w:asciiTheme="majorHAnsi" w:hAnsiTheme="majorHAnsi" w:cs="Verdana"/>
          <w:sz w:val="20"/>
          <w:szCs w:val="20"/>
          <w:lang w:val="es-ES"/>
        </w:rPr>
        <w:t xml:space="preserve">jurídicas </w:t>
      </w:r>
      <w:r w:rsidR="00AF3F7C" w:rsidRPr="00EB3DC6">
        <w:rPr>
          <w:rFonts w:asciiTheme="majorHAnsi" w:hAnsiTheme="majorHAnsi" w:cs="Verdana"/>
          <w:sz w:val="20"/>
          <w:szCs w:val="20"/>
          <w:lang w:val="es-ES"/>
        </w:rPr>
        <w:t>pueda acudir al sistema interamericano para hacer valer sus derechos fundamentales, aun cuando los mismos estén cubiertos por una figura o ficción jurídica cread</w:t>
      </w:r>
      <w:r w:rsidR="00396D70" w:rsidRPr="00EB3DC6">
        <w:rPr>
          <w:rFonts w:asciiTheme="majorHAnsi" w:hAnsiTheme="majorHAnsi" w:cs="Verdana"/>
          <w:sz w:val="20"/>
          <w:szCs w:val="20"/>
          <w:lang w:val="es-ES"/>
        </w:rPr>
        <w:t>a por el mismo sistema jurídico</w:t>
      </w:r>
      <w:r w:rsidR="00EA6A3A" w:rsidRPr="00EB3DC6">
        <w:rPr>
          <w:rStyle w:val="FootnoteReference"/>
          <w:rFonts w:asciiTheme="majorHAnsi" w:hAnsiTheme="majorHAnsi" w:cs="Verdana"/>
          <w:sz w:val="20"/>
          <w:szCs w:val="20"/>
          <w:lang w:val="es-ES"/>
        </w:rPr>
        <w:footnoteReference w:id="11"/>
      </w:r>
      <w:r w:rsidR="00AF3F7C" w:rsidRPr="00EB3DC6">
        <w:rPr>
          <w:rFonts w:asciiTheme="majorHAnsi" w:hAnsiTheme="majorHAnsi" w:cs="Verdana"/>
          <w:sz w:val="20"/>
          <w:szCs w:val="20"/>
          <w:lang w:val="es-ES"/>
        </w:rPr>
        <w:t xml:space="preserve">. </w:t>
      </w:r>
    </w:p>
    <w:p w:rsidR="00BC75EF" w:rsidRPr="00EB3DC6" w:rsidRDefault="00A51CAC" w:rsidP="00BC75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EB3DC6">
        <w:rPr>
          <w:rFonts w:asciiTheme="majorHAnsi" w:hAnsiTheme="majorHAnsi"/>
          <w:sz w:val="20"/>
          <w:szCs w:val="20"/>
          <w:lang w:val="es-ES"/>
        </w:rPr>
        <w:t>En efecto, la Corte Interamericana ha precisado que el solo hecho de ejercer un derecho a través de una persona jurídica no necesariamente lo excluye de la protección de la Convención</w:t>
      </w:r>
      <w:r w:rsidRPr="00EB3DC6">
        <w:rPr>
          <w:rStyle w:val="FootnoteReference"/>
          <w:rFonts w:asciiTheme="majorHAnsi" w:hAnsiTheme="majorHAnsi"/>
          <w:sz w:val="20"/>
          <w:szCs w:val="20"/>
          <w:lang w:val="es-ES"/>
        </w:rPr>
        <w:footnoteReference w:id="12"/>
      </w:r>
      <w:r w:rsidRPr="00EB3DC6">
        <w:rPr>
          <w:rFonts w:asciiTheme="majorHAnsi" w:hAnsiTheme="majorHAnsi"/>
          <w:sz w:val="20"/>
          <w:szCs w:val="20"/>
          <w:lang w:val="es-ES"/>
        </w:rPr>
        <w:t>. La Corte ha observado al respecto que, “</w:t>
      </w:r>
      <w:r w:rsidRPr="00EB3DC6">
        <w:rPr>
          <w:rFonts w:asciiTheme="majorHAnsi" w:hAnsiTheme="majorHAnsi"/>
          <w:sz w:val="20"/>
          <w:szCs w:val="20"/>
          <w:lang w:val="es-ES_tradnl"/>
        </w:rPr>
        <w:t>en general, los derechos y las obligaciones atribuidos a las personas morales se resuelven en derechos y obligaciones de las personas físicas que las constituyen o que actúan en su nombre o representación</w:t>
      </w:r>
      <w:r w:rsidR="00BC75EF" w:rsidRPr="00EB3DC6">
        <w:rPr>
          <w:rFonts w:asciiTheme="majorHAnsi" w:hAnsiTheme="majorHAnsi"/>
          <w:sz w:val="20"/>
          <w:szCs w:val="20"/>
          <w:lang w:val="es-ES_tradnl"/>
        </w:rPr>
        <w:t>¨</w:t>
      </w:r>
      <w:r w:rsidR="00BC75EF" w:rsidRPr="00EB3DC6">
        <w:rPr>
          <w:rStyle w:val="FootnoteReference"/>
          <w:rFonts w:asciiTheme="majorHAnsi" w:hAnsiTheme="majorHAnsi"/>
          <w:sz w:val="20"/>
          <w:szCs w:val="20"/>
          <w:lang w:val="es-ES_tradnl"/>
        </w:rPr>
        <w:footnoteReference w:id="13"/>
      </w:r>
      <w:r w:rsidR="00BC75EF" w:rsidRPr="00EB3DC6">
        <w:rPr>
          <w:rFonts w:asciiTheme="majorHAnsi" w:hAnsiTheme="majorHAnsi"/>
          <w:sz w:val="20"/>
          <w:szCs w:val="20"/>
          <w:lang w:val="es-ES_tradnl"/>
        </w:rPr>
        <w:t xml:space="preserve">. </w:t>
      </w:r>
      <w:r w:rsidR="00BC75EF" w:rsidRPr="00EB3DC6">
        <w:rPr>
          <w:rFonts w:asciiTheme="majorHAnsi" w:hAnsiTheme="majorHAnsi"/>
          <w:sz w:val="20"/>
          <w:szCs w:val="20"/>
          <w:lang w:val="es-MX"/>
        </w:rPr>
        <w:t xml:space="preserve">En este sentido, la CIDH ha sostenido que </w:t>
      </w:r>
      <w:r w:rsidR="00BC75EF" w:rsidRPr="00EB3DC6">
        <w:rPr>
          <w:rFonts w:asciiTheme="majorHAnsi" w:hAnsiTheme="majorHAnsi"/>
          <w:sz w:val="20"/>
          <w:szCs w:val="20"/>
          <w:lang w:val="es-ES"/>
        </w:rPr>
        <w:t>“</w:t>
      </w:r>
      <w:r w:rsidR="00BC75EF" w:rsidRPr="00EB3DC6">
        <w:rPr>
          <w:rFonts w:asciiTheme="majorHAnsi" w:hAnsiTheme="majorHAnsi"/>
          <w:sz w:val="20"/>
          <w:szCs w:val="20"/>
          <w:lang w:val="es-MX"/>
        </w:rPr>
        <w:t xml:space="preserve">un sistema destinado a la protección efectiva y material de los derechos humanos tiene la obligación de estudiar si en cada caso concreto, más allá de la apariencia formal, los actos presuntamente arbitrarios que afectaron a una persona jurídica, tuvieron también </w:t>
      </w:r>
      <w:r w:rsidR="00BC75EF" w:rsidRPr="00EB3DC6">
        <w:rPr>
          <w:rFonts w:asciiTheme="majorHAnsi" w:hAnsiTheme="majorHAnsi"/>
          <w:sz w:val="20"/>
          <w:szCs w:val="20"/>
          <w:lang w:val="es-MX"/>
        </w:rPr>
        <w:lastRenderedPageBreak/>
        <w:t>el efecto real (material o sustancial) de afectar por conexidad los derechos humanos de las personas naturales vinculadas, asociadas o de cualquier manera relacionadas con la persona jurídica. Si así fuera y se cumplieran los restantes requisitos necesarios para admitir la petición, la Comisión no podría rechazar el caso con el pretexto de que la violación afecta a la persona jurídica”</w:t>
      </w:r>
      <w:r w:rsidR="00BC75EF" w:rsidRPr="00EB3DC6">
        <w:rPr>
          <w:rStyle w:val="FootnoteReference"/>
          <w:rFonts w:asciiTheme="majorHAnsi" w:hAnsiTheme="majorHAnsi"/>
          <w:sz w:val="20"/>
          <w:szCs w:val="20"/>
          <w:lang w:val="es-MX"/>
        </w:rPr>
        <w:footnoteReference w:id="14"/>
      </w:r>
      <w:r w:rsidR="00BC75EF" w:rsidRPr="00EB3DC6">
        <w:rPr>
          <w:rFonts w:asciiTheme="majorHAnsi" w:hAnsiTheme="majorHAnsi"/>
          <w:sz w:val="20"/>
          <w:szCs w:val="20"/>
          <w:lang w:val="es-MX"/>
        </w:rPr>
        <w:t xml:space="preserve">. </w:t>
      </w:r>
    </w:p>
    <w:p w:rsidR="00766404" w:rsidRPr="00770564" w:rsidRDefault="00AE281C" w:rsidP="00805909">
      <w:pPr>
        <w:pStyle w:val="ListParagraph"/>
        <w:numPr>
          <w:ilvl w:val="0"/>
          <w:numId w:val="103"/>
        </w:numPr>
        <w:spacing w:before="240" w:after="240"/>
        <w:jc w:val="both"/>
        <w:rPr>
          <w:rFonts w:asciiTheme="majorHAnsi" w:hAnsiTheme="majorHAnsi" w:cs="Verdana"/>
          <w:sz w:val="20"/>
          <w:szCs w:val="20"/>
          <w:lang w:val="es-ES"/>
        </w:rPr>
      </w:pPr>
      <w:r w:rsidRPr="00EB3DC6">
        <w:rPr>
          <w:rFonts w:asciiTheme="majorHAnsi" w:hAnsiTheme="majorHAnsi" w:cs="Verdana"/>
          <w:sz w:val="20"/>
          <w:szCs w:val="20"/>
          <w:lang w:val="es-ES"/>
        </w:rPr>
        <w:t xml:space="preserve">En particular, tanto la CIDH y la Corte IDH </w:t>
      </w:r>
      <w:r w:rsidR="0092757C" w:rsidRPr="00EB3DC6">
        <w:rPr>
          <w:rFonts w:asciiTheme="majorHAnsi" w:hAnsiTheme="majorHAnsi" w:cs="Verdana"/>
          <w:sz w:val="20"/>
          <w:szCs w:val="20"/>
          <w:lang w:val="es-ES"/>
        </w:rPr>
        <w:t>se han pronunciado</w:t>
      </w:r>
      <w:r w:rsidR="0092757C" w:rsidRPr="00770564">
        <w:rPr>
          <w:rFonts w:asciiTheme="majorHAnsi" w:hAnsiTheme="majorHAnsi" w:cs="Verdana"/>
          <w:sz w:val="20"/>
          <w:szCs w:val="20"/>
          <w:lang w:val="es-ES"/>
        </w:rPr>
        <w:t xml:space="preserve"> en varias oportunidades sobre </w:t>
      </w:r>
      <w:r w:rsidR="0092757C" w:rsidRPr="00770564">
        <w:rPr>
          <w:rFonts w:asciiTheme="majorHAnsi" w:hAnsiTheme="majorHAnsi"/>
          <w:sz w:val="20"/>
          <w:szCs w:val="20"/>
          <w:lang w:val="es-ES"/>
        </w:rPr>
        <w:t>el derecho a la libertad de expresión y su materialización a través de una persona jurídica</w:t>
      </w:r>
      <w:r w:rsidR="0092757C" w:rsidRPr="00770564">
        <w:rPr>
          <w:rStyle w:val="FootnoteReference"/>
          <w:rFonts w:asciiTheme="majorHAnsi" w:hAnsiTheme="majorHAnsi"/>
          <w:sz w:val="20"/>
          <w:szCs w:val="20"/>
          <w:lang w:val="es-ES"/>
        </w:rPr>
        <w:footnoteReference w:id="15"/>
      </w:r>
      <w:r w:rsidR="0092757C" w:rsidRPr="00770564">
        <w:rPr>
          <w:rFonts w:asciiTheme="majorHAnsi" w:hAnsiTheme="majorHAnsi"/>
          <w:sz w:val="20"/>
          <w:szCs w:val="20"/>
          <w:lang w:val="es-ES"/>
        </w:rPr>
        <w:t xml:space="preserve">. </w:t>
      </w:r>
      <w:r w:rsidR="00805909" w:rsidRPr="00770564">
        <w:rPr>
          <w:rFonts w:asciiTheme="majorHAnsi" w:hAnsiTheme="majorHAnsi"/>
          <w:sz w:val="20"/>
          <w:szCs w:val="20"/>
          <w:lang w:val="es-ES"/>
        </w:rPr>
        <w:t>La CIDH ha observado que “hoy en día una parte importante del periodismo se ejerce a través de los medios de comunicación. Estos medios son, en efecto, asociaciones de personas que se han reunido para ejercer de manera sostenida su libertad de expresión. Al mismo tiempo, es inusual en la actualidad que un medio de comunicación no esté a nombre de una persona jurídica, por lo que las restricciones a la libertad de expresión frecuentemente se materializan a través de acciones estatales que afectan, formalmente, a esa persona jurídica”</w:t>
      </w:r>
      <w:r w:rsidR="00805909" w:rsidRPr="00770564">
        <w:rPr>
          <w:rStyle w:val="FootnoteReference"/>
          <w:rFonts w:asciiTheme="majorHAnsi" w:hAnsiTheme="majorHAnsi"/>
          <w:sz w:val="20"/>
          <w:szCs w:val="20"/>
          <w:lang w:val="es-ES"/>
        </w:rPr>
        <w:footnoteReference w:id="16"/>
      </w:r>
      <w:r w:rsidR="00805909" w:rsidRPr="00770564">
        <w:rPr>
          <w:rFonts w:asciiTheme="majorHAnsi" w:hAnsiTheme="majorHAnsi"/>
          <w:sz w:val="20"/>
          <w:szCs w:val="20"/>
          <w:lang w:val="es-ES"/>
        </w:rPr>
        <w:t xml:space="preserve">. En </w:t>
      </w:r>
      <w:r w:rsidR="00B62AD6" w:rsidRPr="00770564">
        <w:rPr>
          <w:rFonts w:asciiTheme="majorHAnsi" w:hAnsiTheme="majorHAnsi"/>
          <w:sz w:val="20"/>
          <w:szCs w:val="20"/>
          <w:lang w:val="es-ES"/>
        </w:rPr>
        <w:t>similar</w:t>
      </w:r>
      <w:r w:rsidR="00805909" w:rsidRPr="00770564">
        <w:rPr>
          <w:rFonts w:asciiTheme="majorHAnsi" w:hAnsiTheme="majorHAnsi"/>
          <w:sz w:val="20"/>
          <w:szCs w:val="20"/>
          <w:lang w:val="es-ES"/>
        </w:rPr>
        <w:t xml:space="preserve"> sentido</w:t>
      </w:r>
      <w:r w:rsidR="0092757C" w:rsidRPr="00770564">
        <w:rPr>
          <w:rFonts w:asciiTheme="majorHAnsi" w:hAnsiTheme="majorHAnsi"/>
          <w:sz w:val="20"/>
          <w:szCs w:val="20"/>
          <w:lang w:val="es-ES"/>
        </w:rPr>
        <w:t xml:space="preserve">, </w:t>
      </w:r>
      <w:r w:rsidR="00B62AD6" w:rsidRPr="00770564">
        <w:rPr>
          <w:rFonts w:asciiTheme="majorHAnsi" w:hAnsiTheme="majorHAnsi"/>
          <w:sz w:val="20"/>
          <w:szCs w:val="20"/>
          <w:lang w:val="es-ES"/>
        </w:rPr>
        <w:t xml:space="preserve">la Corte IDH </w:t>
      </w:r>
      <w:r w:rsidRPr="00770564">
        <w:rPr>
          <w:rFonts w:asciiTheme="majorHAnsi" w:hAnsiTheme="majorHAnsi" w:cs="Verdana"/>
          <w:sz w:val="20"/>
          <w:szCs w:val="20"/>
          <w:lang w:val="es-ES"/>
        </w:rPr>
        <w:t xml:space="preserve">ha reconocido que </w:t>
      </w:r>
      <w:r w:rsidR="00B31F19" w:rsidRPr="00770564">
        <w:rPr>
          <w:rFonts w:asciiTheme="majorHAnsi" w:hAnsiTheme="majorHAnsi" w:cs="Verdana"/>
          <w:sz w:val="20"/>
          <w:szCs w:val="20"/>
          <w:lang w:val="es-ES"/>
        </w:rPr>
        <w:t>“</w:t>
      </w:r>
      <w:r w:rsidRPr="00770564">
        <w:rPr>
          <w:rFonts w:asciiTheme="majorHAnsi" w:hAnsiTheme="majorHAnsi" w:cs="Verdana"/>
          <w:sz w:val="20"/>
          <w:szCs w:val="20"/>
          <w:lang w:val="es-ES"/>
        </w:rPr>
        <w:t>los medios</w:t>
      </w:r>
      <w:r w:rsidR="00EC0CD7" w:rsidRPr="00770564">
        <w:rPr>
          <w:rFonts w:asciiTheme="majorHAnsi" w:hAnsiTheme="majorHAnsi" w:cs="Verdana"/>
          <w:sz w:val="20"/>
          <w:szCs w:val="20"/>
          <w:lang w:val="es-ES"/>
        </w:rPr>
        <w:t xml:space="preserve"> de comunicación social</w:t>
      </w:r>
      <w:r w:rsidRPr="00770564">
        <w:rPr>
          <w:rFonts w:asciiTheme="majorHAnsi" w:hAnsiTheme="majorHAnsi" w:cs="Verdana"/>
          <w:sz w:val="20"/>
          <w:szCs w:val="20"/>
          <w:lang w:val="es-ES"/>
        </w:rPr>
        <w:t xml:space="preserve"> son mecanismos que sirven al ejercicio del derecho a la libertad de expresión de quienes los utilizan como medio de difusión de sus ideas e informaciones</w:t>
      </w:r>
      <w:r w:rsidR="00B31F19" w:rsidRPr="00770564">
        <w:rPr>
          <w:rFonts w:asciiTheme="majorHAnsi" w:hAnsiTheme="majorHAnsi" w:cs="Verdana"/>
          <w:sz w:val="20"/>
          <w:szCs w:val="20"/>
          <w:lang w:val="es-ES"/>
        </w:rPr>
        <w:t>”</w:t>
      </w:r>
      <w:r w:rsidR="00EA6A3A" w:rsidRPr="00770564">
        <w:rPr>
          <w:rStyle w:val="FootnoteReference"/>
          <w:rFonts w:asciiTheme="majorHAnsi" w:hAnsiTheme="majorHAnsi" w:cs="Verdana"/>
          <w:sz w:val="20"/>
          <w:szCs w:val="20"/>
          <w:lang w:val="es-ES"/>
        </w:rPr>
        <w:footnoteReference w:id="17"/>
      </w:r>
      <w:r w:rsidR="00B62AD6" w:rsidRPr="00770564">
        <w:rPr>
          <w:rFonts w:asciiTheme="majorHAnsi" w:hAnsiTheme="majorHAnsi" w:cs="Verdana"/>
          <w:sz w:val="20"/>
          <w:szCs w:val="20"/>
          <w:lang w:val="es-ES"/>
        </w:rPr>
        <w:t xml:space="preserve"> y h</w:t>
      </w:r>
      <w:r w:rsidR="0057213C" w:rsidRPr="00770564">
        <w:rPr>
          <w:rFonts w:asciiTheme="majorHAnsi" w:hAnsiTheme="majorHAnsi" w:cs="Verdana"/>
          <w:sz w:val="20"/>
          <w:szCs w:val="20"/>
          <w:lang w:val="es-ES"/>
        </w:rPr>
        <w:t>a advertido que l</w:t>
      </w:r>
      <w:r w:rsidRPr="00770564">
        <w:rPr>
          <w:rFonts w:asciiTheme="majorHAnsi" w:hAnsiTheme="majorHAnsi" w:cs="Verdana"/>
          <w:sz w:val="20"/>
          <w:szCs w:val="20"/>
          <w:lang w:val="es-ES"/>
        </w:rPr>
        <w:t xml:space="preserve">as restricciones a la libertad de expresión </w:t>
      </w:r>
      <w:r w:rsidR="00EA6A3A" w:rsidRPr="00770564">
        <w:rPr>
          <w:rFonts w:asciiTheme="majorHAnsi" w:hAnsiTheme="majorHAnsi" w:cs="Verdana"/>
          <w:sz w:val="20"/>
          <w:szCs w:val="20"/>
          <w:lang w:val="es-ES"/>
        </w:rPr>
        <w:t xml:space="preserve">a un medio de comunicación pueden afectar </w:t>
      </w:r>
      <w:r w:rsidRPr="00770564">
        <w:rPr>
          <w:rFonts w:asciiTheme="majorHAnsi" w:hAnsiTheme="majorHAnsi" w:cs="Verdana"/>
          <w:sz w:val="20"/>
          <w:szCs w:val="20"/>
          <w:lang w:val="es-ES"/>
        </w:rPr>
        <w:t xml:space="preserve">a </w:t>
      </w:r>
      <w:r w:rsidR="00EA6A3A" w:rsidRPr="00770564">
        <w:rPr>
          <w:rFonts w:asciiTheme="majorHAnsi" w:hAnsiTheme="majorHAnsi" w:cs="Verdana"/>
          <w:sz w:val="20"/>
          <w:szCs w:val="20"/>
          <w:lang w:val="es-ES"/>
        </w:rPr>
        <w:t>una</w:t>
      </w:r>
      <w:r w:rsidRPr="00770564">
        <w:rPr>
          <w:rFonts w:asciiTheme="majorHAnsi" w:hAnsiTheme="majorHAnsi" w:cs="Verdana"/>
          <w:sz w:val="20"/>
          <w:szCs w:val="20"/>
          <w:lang w:val="es-ES"/>
        </w:rPr>
        <w:t xml:space="preserve"> </w:t>
      </w:r>
      <w:r w:rsidR="00EA6A3A" w:rsidRPr="00770564">
        <w:rPr>
          <w:rFonts w:asciiTheme="majorHAnsi" w:hAnsiTheme="majorHAnsi" w:cs="Verdana"/>
          <w:sz w:val="20"/>
          <w:szCs w:val="20"/>
          <w:lang w:val="es-ES"/>
        </w:rPr>
        <w:t>“</w:t>
      </w:r>
      <w:r w:rsidRPr="00770564">
        <w:rPr>
          <w:rFonts w:asciiTheme="majorHAnsi" w:hAnsiTheme="majorHAnsi" w:cs="Verdana"/>
          <w:sz w:val="20"/>
          <w:szCs w:val="20"/>
          <w:lang w:val="es-ES"/>
        </w:rPr>
        <w:t>pluralidad de personas naturales, tales como sus accionistas o los periodistas que allí trabajan, que realizan actos de comunicación a través de la misma y cuyos derechos también pueden verse vulnerados</w:t>
      </w:r>
      <w:r w:rsidR="00EA6A3A" w:rsidRPr="00770564">
        <w:rPr>
          <w:rFonts w:asciiTheme="majorHAnsi" w:hAnsiTheme="majorHAnsi" w:cs="Verdana"/>
          <w:sz w:val="20"/>
          <w:szCs w:val="20"/>
          <w:lang w:val="es-ES"/>
        </w:rPr>
        <w:t>”</w:t>
      </w:r>
      <w:r w:rsidR="00EA6A3A" w:rsidRPr="00770564">
        <w:rPr>
          <w:rStyle w:val="FootnoteReference"/>
          <w:rFonts w:asciiTheme="majorHAnsi" w:hAnsiTheme="majorHAnsi" w:cs="Verdana"/>
          <w:sz w:val="20"/>
          <w:szCs w:val="20"/>
          <w:lang w:val="es-ES"/>
        </w:rPr>
        <w:footnoteReference w:id="18"/>
      </w:r>
      <w:r w:rsidRPr="00770564">
        <w:rPr>
          <w:rFonts w:asciiTheme="majorHAnsi" w:hAnsiTheme="majorHAnsi" w:cs="Verdana"/>
          <w:sz w:val="20"/>
          <w:szCs w:val="20"/>
          <w:lang w:val="es-ES"/>
        </w:rPr>
        <w:t>.</w:t>
      </w:r>
      <w:r w:rsidRPr="00770564">
        <w:rPr>
          <w:rFonts w:asciiTheme="majorHAnsi" w:hAnsiTheme="majorHAnsi" w:cs="Times"/>
          <w:sz w:val="20"/>
          <w:szCs w:val="20"/>
          <w:lang w:val="es-ES"/>
        </w:rPr>
        <w:t xml:space="preserve"> </w:t>
      </w:r>
      <w:r w:rsidR="007E568D" w:rsidRPr="00770564">
        <w:rPr>
          <w:rFonts w:asciiTheme="majorHAnsi" w:hAnsiTheme="majorHAnsi" w:cs="Times"/>
          <w:sz w:val="20"/>
          <w:szCs w:val="20"/>
          <w:lang w:val="es-ES"/>
        </w:rPr>
        <w:t>Al respecto, la CIDH ha precisado que “</w:t>
      </w:r>
      <w:r w:rsidR="007E568D" w:rsidRPr="00770564">
        <w:rPr>
          <w:rFonts w:asciiTheme="majorHAnsi" w:hAnsiTheme="majorHAnsi"/>
          <w:sz w:val="20"/>
          <w:szCs w:val="20"/>
          <w:lang w:val="es-ES"/>
        </w:rPr>
        <w:t>quienes se expresan a través de un medio de comunicación no son solamente los periodistas, o en el caso de una televisora, quienes aparecen en la pantalla. Existen múltiples roles dentro de un medio de comunicación desde los cuales un profesional puede contribuir a la misión comunicativa de la organización y ejercer, de esta forma, la libertad de expresión”.</w:t>
      </w:r>
      <w:r w:rsidR="007E568D" w:rsidRPr="00770564">
        <w:rPr>
          <w:rStyle w:val="FootnoteReference"/>
          <w:rFonts w:asciiTheme="majorHAnsi" w:hAnsiTheme="majorHAnsi"/>
          <w:sz w:val="20"/>
          <w:szCs w:val="20"/>
          <w:lang w:val="es-ES"/>
        </w:rPr>
        <w:footnoteReference w:id="19"/>
      </w:r>
    </w:p>
    <w:p w:rsidR="00A51CAC" w:rsidRPr="00770564" w:rsidRDefault="007E568D" w:rsidP="00766404">
      <w:pPr>
        <w:pStyle w:val="ListParagraph"/>
        <w:numPr>
          <w:ilvl w:val="0"/>
          <w:numId w:val="103"/>
        </w:numPr>
        <w:spacing w:before="240" w:after="240"/>
        <w:jc w:val="both"/>
        <w:rPr>
          <w:rFonts w:asciiTheme="majorHAnsi" w:hAnsiTheme="majorHAnsi" w:cs="Verdana"/>
          <w:sz w:val="20"/>
          <w:szCs w:val="20"/>
          <w:lang w:val="es-ES"/>
        </w:rPr>
      </w:pPr>
      <w:r w:rsidRPr="00770564">
        <w:rPr>
          <w:rFonts w:asciiTheme="majorHAnsi" w:hAnsiTheme="majorHAnsi" w:cs="Times"/>
          <w:sz w:val="20"/>
          <w:szCs w:val="20"/>
          <w:lang w:val="es-ES"/>
        </w:rPr>
        <w:t xml:space="preserve">En este tipo de casos </w:t>
      </w:r>
      <w:r w:rsidRPr="00770564">
        <w:rPr>
          <w:rFonts w:asciiTheme="majorHAnsi" w:hAnsiTheme="majorHAnsi" w:cs="Times New Roman"/>
          <w:sz w:val="20"/>
          <w:szCs w:val="20"/>
          <w:lang w:val="es-ES"/>
        </w:rPr>
        <w:t>la CIDH y la Corte IDH han establecido que p</w:t>
      </w:r>
      <w:r w:rsidR="00766404" w:rsidRPr="00770564">
        <w:rPr>
          <w:rFonts w:asciiTheme="majorHAnsi" w:hAnsiTheme="majorHAnsi" w:cs="Times New Roman"/>
          <w:sz w:val="20"/>
          <w:szCs w:val="20"/>
          <w:lang w:val="es-ES"/>
        </w:rPr>
        <w:t>ara determinar si una acción estatal que afectó a un medio de comunicación como persona jurídica también tuvo, por conexidad, un impacto negativo, cierto y sustancial sob</w:t>
      </w:r>
      <w:r w:rsidR="00EC0CD7" w:rsidRPr="00770564">
        <w:rPr>
          <w:rFonts w:asciiTheme="majorHAnsi" w:hAnsiTheme="majorHAnsi" w:cs="Times New Roman"/>
          <w:sz w:val="20"/>
          <w:szCs w:val="20"/>
          <w:lang w:val="es-ES"/>
        </w:rPr>
        <w:t xml:space="preserve">re la libertad de expresión de </w:t>
      </w:r>
      <w:r w:rsidR="00766404" w:rsidRPr="00770564">
        <w:rPr>
          <w:rFonts w:asciiTheme="majorHAnsi" w:hAnsiTheme="majorHAnsi" w:cs="Times New Roman"/>
          <w:sz w:val="20"/>
          <w:szCs w:val="20"/>
          <w:lang w:val="es-ES"/>
        </w:rPr>
        <w:t xml:space="preserve">personas naturales, </w:t>
      </w:r>
      <w:r w:rsidR="00994481">
        <w:rPr>
          <w:rFonts w:asciiTheme="majorHAnsi" w:hAnsiTheme="majorHAnsi" w:cs="Times New Roman"/>
          <w:sz w:val="20"/>
          <w:szCs w:val="20"/>
          <w:lang w:val="es-ES"/>
        </w:rPr>
        <w:t xml:space="preserve">es </w:t>
      </w:r>
      <w:r w:rsidRPr="00770564">
        <w:rPr>
          <w:rFonts w:asciiTheme="majorHAnsi" w:hAnsiTheme="majorHAnsi" w:cs="Times New Roman"/>
          <w:sz w:val="20"/>
          <w:szCs w:val="20"/>
          <w:lang w:val="es-ES"/>
        </w:rPr>
        <w:t>necesario</w:t>
      </w:r>
      <w:r w:rsidR="00766404" w:rsidRPr="00770564">
        <w:rPr>
          <w:rFonts w:asciiTheme="majorHAnsi" w:hAnsiTheme="majorHAnsi" w:cs="Times New Roman"/>
          <w:sz w:val="20"/>
          <w:szCs w:val="20"/>
          <w:lang w:val="es-ES"/>
        </w:rPr>
        <w:t xml:space="preserve"> analiza</w:t>
      </w:r>
      <w:r w:rsidRPr="00770564">
        <w:rPr>
          <w:rFonts w:asciiTheme="majorHAnsi" w:hAnsiTheme="majorHAnsi" w:cs="Times New Roman"/>
          <w:sz w:val="20"/>
          <w:szCs w:val="20"/>
          <w:lang w:val="es-ES"/>
        </w:rPr>
        <w:t>r</w:t>
      </w:r>
      <w:r w:rsidR="00766404" w:rsidRPr="00770564">
        <w:rPr>
          <w:rFonts w:asciiTheme="majorHAnsi" w:hAnsiTheme="majorHAnsi" w:cs="Times New Roman"/>
          <w:sz w:val="20"/>
          <w:szCs w:val="20"/>
          <w:lang w:val="es-ES"/>
        </w:rPr>
        <w:t xml:space="preserve"> el papel que cumplen las presuntas víctimas dentro del respectivo medio de comunicación y, en particular, la forma en que contribuían con la misión comunicacional del canal</w:t>
      </w:r>
      <w:r w:rsidR="00766404" w:rsidRPr="00770564">
        <w:rPr>
          <w:rStyle w:val="FootnoteReference"/>
          <w:rFonts w:asciiTheme="majorHAnsi" w:hAnsiTheme="majorHAnsi" w:cs="Times New Roman"/>
          <w:sz w:val="20"/>
          <w:szCs w:val="20"/>
          <w:lang w:val="es-ES"/>
        </w:rPr>
        <w:footnoteReference w:id="20"/>
      </w:r>
      <w:r w:rsidR="00766404" w:rsidRPr="00770564">
        <w:rPr>
          <w:rFonts w:asciiTheme="majorHAnsi" w:hAnsiTheme="majorHAnsi" w:cs="Times New Roman"/>
          <w:sz w:val="20"/>
          <w:szCs w:val="20"/>
          <w:lang w:val="es-ES"/>
        </w:rPr>
        <w:t xml:space="preserve">. </w:t>
      </w:r>
      <w:r w:rsidR="00766404" w:rsidRPr="00770564">
        <w:rPr>
          <w:rFonts w:asciiTheme="majorHAnsi" w:hAnsiTheme="majorHAnsi"/>
          <w:sz w:val="20"/>
          <w:szCs w:val="20"/>
          <w:lang w:val="es-AR"/>
        </w:rPr>
        <w:t xml:space="preserve">En este sentido, si bien </w:t>
      </w:r>
      <w:r w:rsidR="00766404" w:rsidRPr="00770564">
        <w:rPr>
          <w:rFonts w:asciiTheme="majorHAnsi" w:hAnsiTheme="majorHAnsi"/>
          <w:bCs/>
          <w:sz w:val="20"/>
          <w:szCs w:val="20"/>
          <w:lang w:val="es-ES_tradnl"/>
        </w:rPr>
        <w:t>l</w:t>
      </w:r>
      <w:r w:rsidR="00766404" w:rsidRPr="00770564">
        <w:rPr>
          <w:rFonts w:asciiTheme="majorHAnsi" w:hAnsiTheme="majorHAnsi"/>
          <w:bCs/>
          <w:sz w:val="20"/>
          <w:szCs w:val="20"/>
          <w:lang w:val="es-ES"/>
        </w:rPr>
        <w:t>as empresas concesionarias Radiotelevisora de México Norte S.A. de C.V.,  la Cadena Televisora del Norte S.A. de C.V. y Televimex S.A. de C.V,</w:t>
      </w:r>
      <w:r w:rsidR="00766404" w:rsidRPr="00770564">
        <w:rPr>
          <w:rFonts w:asciiTheme="majorHAnsi" w:hAnsiTheme="majorHAnsi"/>
          <w:bCs/>
          <w:color w:val="auto"/>
          <w:sz w:val="20"/>
          <w:szCs w:val="20"/>
          <w:lang w:val="es-ES"/>
        </w:rPr>
        <w:t xml:space="preserve"> </w:t>
      </w:r>
      <w:r w:rsidR="00A51CAC" w:rsidRPr="00770564">
        <w:rPr>
          <w:rFonts w:asciiTheme="majorHAnsi" w:hAnsiTheme="majorHAnsi"/>
          <w:sz w:val="20"/>
          <w:szCs w:val="20"/>
          <w:lang w:val="es-AR"/>
        </w:rPr>
        <w:t>no puede</w:t>
      </w:r>
      <w:r w:rsidR="00766404" w:rsidRPr="00770564">
        <w:rPr>
          <w:rFonts w:asciiTheme="majorHAnsi" w:hAnsiTheme="majorHAnsi"/>
          <w:sz w:val="20"/>
          <w:szCs w:val="20"/>
          <w:lang w:val="es-AR"/>
        </w:rPr>
        <w:t>n</w:t>
      </w:r>
      <w:r w:rsidR="00A51CAC" w:rsidRPr="00770564">
        <w:rPr>
          <w:rFonts w:asciiTheme="majorHAnsi" w:hAnsiTheme="majorHAnsi"/>
          <w:sz w:val="20"/>
          <w:szCs w:val="20"/>
          <w:lang w:val="es-AR"/>
        </w:rPr>
        <w:t xml:space="preserve"> ser considerada</w:t>
      </w:r>
      <w:r w:rsidR="00766404" w:rsidRPr="00770564">
        <w:rPr>
          <w:rFonts w:asciiTheme="majorHAnsi" w:hAnsiTheme="majorHAnsi"/>
          <w:sz w:val="20"/>
          <w:szCs w:val="20"/>
          <w:lang w:val="es-AR"/>
        </w:rPr>
        <w:t>s</w:t>
      </w:r>
      <w:r w:rsidR="00A51CAC" w:rsidRPr="00770564">
        <w:rPr>
          <w:rFonts w:asciiTheme="majorHAnsi" w:hAnsiTheme="majorHAnsi"/>
          <w:sz w:val="20"/>
          <w:szCs w:val="20"/>
          <w:lang w:val="es-AR"/>
        </w:rPr>
        <w:t xml:space="preserve"> presunta</w:t>
      </w:r>
      <w:r w:rsidR="00766404" w:rsidRPr="00770564">
        <w:rPr>
          <w:rFonts w:asciiTheme="majorHAnsi" w:hAnsiTheme="majorHAnsi"/>
          <w:sz w:val="20"/>
          <w:szCs w:val="20"/>
          <w:lang w:val="es-AR"/>
        </w:rPr>
        <w:t>s</w:t>
      </w:r>
      <w:r w:rsidR="00A51CAC" w:rsidRPr="00770564">
        <w:rPr>
          <w:rFonts w:asciiTheme="majorHAnsi" w:hAnsiTheme="majorHAnsi"/>
          <w:sz w:val="20"/>
          <w:szCs w:val="20"/>
          <w:lang w:val="es-AR"/>
        </w:rPr>
        <w:t xml:space="preserve"> víctima</w:t>
      </w:r>
      <w:r w:rsidR="00766404" w:rsidRPr="00770564">
        <w:rPr>
          <w:rFonts w:asciiTheme="majorHAnsi" w:hAnsiTheme="majorHAnsi"/>
          <w:sz w:val="20"/>
          <w:szCs w:val="20"/>
          <w:lang w:val="es-AR"/>
        </w:rPr>
        <w:t>s</w:t>
      </w:r>
      <w:r w:rsidR="00A51CAC" w:rsidRPr="00770564">
        <w:rPr>
          <w:rFonts w:asciiTheme="majorHAnsi" w:hAnsiTheme="majorHAnsi"/>
          <w:sz w:val="20"/>
          <w:szCs w:val="20"/>
          <w:lang w:val="es-AR"/>
        </w:rPr>
        <w:t xml:space="preserve">, la pregunta que debe resolver la CIDH en el presente </w:t>
      </w:r>
      <w:r w:rsidR="00C160C3" w:rsidRPr="00770564">
        <w:rPr>
          <w:rFonts w:asciiTheme="majorHAnsi" w:hAnsiTheme="majorHAnsi"/>
          <w:sz w:val="20"/>
          <w:szCs w:val="20"/>
          <w:lang w:val="es-AR"/>
        </w:rPr>
        <w:t>asunto</w:t>
      </w:r>
      <w:r w:rsidR="00A51CAC" w:rsidRPr="00770564">
        <w:rPr>
          <w:rFonts w:asciiTheme="majorHAnsi" w:hAnsiTheme="majorHAnsi"/>
          <w:sz w:val="20"/>
          <w:szCs w:val="20"/>
          <w:lang w:val="es-AR"/>
        </w:rPr>
        <w:t xml:space="preserve"> </w:t>
      </w:r>
      <w:r w:rsidR="00A51CAC" w:rsidRPr="00770564">
        <w:rPr>
          <w:rFonts w:asciiTheme="majorHAnsi" w:hAnsiTheme="majorHAnsi"/>
          <w:sz w:val="20"/>
          <w:szCs w:val="20"/>
          <w:lang w:val="es-AR"/>
        </w:rPr>
        <w:lastRenderedPageBreak/>
        <w:t xml:space="preserve">es si la imposición de una sanción ulterior contra un medio de comunicación a raíz de la publicación de una determinada información, puede haber afectado la libertad de expresión </w:t>
      </w:r>
      <w:r w:rsidR="00766404" w:rsidRPr="00770564">
        <w:rPr>
          <w:rFonts w:asciiTheme="majorHAnsi" w:hAnsiTheme="majorHAnsi"/>
          <w:sz w:val="20"/>
          <w:szCs w:val="20"/>
          <w:lang w:val="es-AR"/>
        </w:rPr>
        <w:t xml:space="preserve">de </w:t>
      </w:r>
      <w:r w:rsidR="003A2BA7" w:rsidRPr="00770564">
        <w:rPr>
          <w:rFonts w:asciiTheme="majorHAnsi" w:hAnsiTheme="majorHAnsi"/>
          <w:sz w:val="20"/>
          <w:szCs w:val="20"/>
          <w:lang w:val="es-AR"/>
        </w:rPr>
        <w:t>sus empleados</w:t>
      </w:r>
      <w:r w:rsidR="00E7622B" w:rsidRPr="00770564">
        <w:rPr>
          <w:rFonts w:asciiTheme="majorHAnsi" w:hAnsiTheme="majorHAnsi"/>
          <w:bCs/>
          <w:sz w:val="20"/>
          <w:szCs w:val="20"/>
          <w:lang w:val="es-ES_tradnl"/>
        </w:rPr>
        <w:t>.</w:t>
      </w:r>
      <w:r w:rsidR="00E7622B" w:rsidRPr="00770564">
        <w:rPr>
          <w:rFonts w:asciiTheme="majorHAnsi" w:hAnsiTheme="majorHAnsi"/>
          <w:sz w:val="20"/>
          <w:szCs w:val="20"/>
          <w:lang w:val="es-AR"/>
        </w:rPr>
        <w:t xml:space="preserve"> </w:t>
      </w:r>
    </w:p>
    <w:p w:rsidR="00974767" w:rsidRPr="00415755" w:rsidRDefault="005D37A9" w:rsidP="0041575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415755">
        <w:rPr>
          <w:rFonts w:asciiTheme="majorHAnsi" w:hAnsiTheme="majorHAnsi"/>
          <w:bCs/>
          <w:sz w:val="20"/>
          <w:szCs w:val="20"/>
          <w:lang w:val="es-ES"/>
        </w:rPr>
        <w:t>L</w:t>
      </w:r>
      <w:r w:rsidR="00D914AD" w:rsidRPr="00415755">
        <w:rPr>
          <w:rFonts w:asciiTheme="majorHAnsi" w:hAnsiTheme="majorHAnsi"/>
          <w:bCs/>
          <w:sz w:val="20"/>
          <w:szCs w:val="20"/>
          <w:lang w:val="es-ES"/>
        </w:rPr>
        <w:t xml:space="preserve">a Comisión observa que </w:t>
      </w:r>
      <w:r w:rsidRPr="00415755">
        <w:rPr>
          <w:rFonts w:asciiTheme="majorHAnsi" w:hAnsiTheme="majorHAnsi"/>
          <w:bCs/>
          <w:sz w:val="20"/>
          <w:szCs w:val="20"/>
          <w:lang w:val="es-ES"/>
        </w:rPr>
        <w:t xml:space="preserve">según lo alegado por los peticionarios y no controvertido por el Estado, </w:t>
      </w:r>
      <w:r w:rsidR="00D914AD" w:rsidRPr="00415755">
        <w:rPr>
          <w:rFonts w:asciiTheme="majorHAnsi" w:hAnsiTheme="majorHAnsi"/>
          <w:bCs/>
          <w:sz w:val="20"/>
          <w:szCs w:val="20"/>
          <w:lang w:val="es-ES_tradnl"/>
        </w:rPr>
        <w:t>Alejandro Fernando Aguilera Mendieta, Miguel Ángel Diez García, Ángel Israel Crespo Rueda, Miriam Villanueva Chiapas</w:t>
      </w:r>
      <w:r w:rsidR="00B91DDE" w:rsidRPr="00415755">
        <w:rPr>
          <w:rFonts w:asciiTheme="majorHAnsi" w:hAnsiTheme="majorHAnsi"/>
          <w:bCs/>
          <w:sz w:val="20"/>
          <w:szCs w:val="20"/>
          <w:lang w:val="es-ES_tradnl"/>
        </w:rPr>
        <w:t xml:space="preserve">, </w:t>
      </w:r>
      <w:r w:rsidR="00D914AD" w:rsidRPr="00415755">
        <w:rPr>
          <w:rFonts w:asciiTheme="majorHAnsi" w:hAnsiTheme="majorHAnsi"/>
          <w:bCs/>
          <w:sz w:val="20"/>
          <w:szCs w:val="20"/>
          <w:lang w:val="es-ES_tradnl"/>
        </w:rPr>
        <w:t>y Félix José Araujo Ramírez</w:t>
      </w:r>
      <w:r w:rsidR="00E208A0" w:rsidRPr="00415755">
        <w:rPr>
          <w:rFonts w:asciiTheme="majorHAnsi" w:hAnsiTheme="majorHAnsi"/>
          <w:bCs/>
          <w:sz w:val="20"/>
          <w:szCs w:val="20"/>
          <w:lang w:val="es-ES_tradnl"/>
        </w:rPr>
        <w:t xml:space="preserve"> </w:t>
      </w:r>
      <w:r w:rsidR="00F97A83" w:rsidRPr="00EB3DC6">
        <w:rPr>
          <w:rFonts w:asciiTheme="majorHAnsi" w:hAnsiTheme="majorHAnsi"/>
          <w:bCs/>
          <w:sz w:val="20"/>
          <w:szCs w:val="20"/>
          <w:lang w:val="es-ES_tradnl"/>
        </w:rPr>
        <w:t xml:space="preserve">fueron </w:t>
      </w:r>
      <w:r w:rsidR="001421A5" w:rsidRPr="00EB3DC6">
        <w:rPr>
          <w:rFonts w:asciiTheme="majorHAnsi" w:hAnsiTheme="majorHAnsi"/>
          <w:bCs/>
          <w:sz w:val="20"/>
          <w:szCs w:val="20"/>
          <w:lang w:val="es-ES_tradnl"/>
        </w:rPr>
        <w:t>las personas encargada</w:t>
      </w:r>
      <w:r w:rsidR="00F97A83" w:rsidRPr="00EB3DC6">
        <w:rPr>
          <w:rFonts w:asciiTheme="majorHAnsi" w:hAnsiTheme="majorHAnsi"/>
          <w:bCs/>
          <w:sz w:val="20"/>
          <w:szCs w:val="20"/>
          <w:lang w:val="es-ES_tradnl"/>
        </w:rPr>
        <w:t xml:space="preserve">s </w:t>
      </w:r>
      <w:r w:rsidR="00B91DDE" w:rsidRPr="00EB3DC6">
        <w:rPr>
          <w:rFonts w:asciiTheme="majorHAnsi" w:hAnsiTheme="majorHAnsi"/>
          <w:bCs/>
          <w:sz w:val="20"/>
          <w:szCs w:val="20"/>
          <w:lang w:val="es-ES_tradnl"/>
        </w:rPr>
        <w:t xml:space="preserve">de decidir </w:t>
      </w:r>
      <w:r w:rsidR="0086098E" w:rsidRPr="00EB3DC6">
        <w:rPr>
          <w:rFonts w:asciiTheme="majorHAnsi" w:hAnsiTheme="majorHAnsi"/>
          <w:bCs/>
          <w:sz w:val="20"/>
          <w:szCs w:val="20"/>
          <w:lang w:val="es-ES_tradnl"/>
        </w:rPr>
        <w:t>sobre la publicación de</w:t>
      </w:r>
      <w:r w:rsidR="00B91DDE" w:rsidRPr="00EB3DC6">
        <w:rPr>
          <w:rFonts w:asciiTheme="majorHAnsi" w:hAnsiTheme="majorHAnsi"/>
          <w:bCs/>
          <w:sz w:val="20"/>
          <w:szCs w:val="20"/>
          <w:lang w:val="es-ES_tradnl"/>
        </w:rPr>
        <w:t xml:space="preserve"> los contenidos </w:t>
      </w:r>
      <w:r w:rsidR="0086098E" w:rsidRPr="00EB3DC6">
        <w:rPr>
          <w:rFonts w:asciiTheme="majorHAnsi" w:hAnsiTheme="majorHAnsi"/>
          <w:bCs/>
          <w:sz w:val="20"/>
          <w:szCs w:val="20"/>
          <w:lang w:val="es-ES_tradnl"/>
        </w:rPr>
        <w:t>emitidos por</w:t>
      </w:r>
      <w:r w:rsidR="00F60159" w:rsidRPr="00EB3DC6">
        <w:rPr>
          <w:rFonts w:asciiTheme="majorHAnsi" w:hAnsiTheme="majorHAnsi"/>
          <w:bCs/>
          <w:sz w:val="20"/>
          <w:szCs w:val="20"/>
          <w:lang w:val="es-ES_tradnl"/>
        </w:rPr>
        <w:t xml:space="preserve"> </w:t>
      </w:r>
      <w:r w:rsidR="00664031" w:rsidRPr="00EB3DC6">
        <w:rPr>
          <w:rFonts w:asciiTheme="majorHAnsi" w:hAnsiTheme="majorHAnsi"/>
          <w:bCs/>
          <w:sz w:val="20"/>
          <w:szCs w:val="20"/>
          <w:lang w:val="es-ES_tradnl"/>
        </w:rPr>
        <w:t>dichos</w:t>
      </w:r>
      <w:r w:rsidR="00F60159" w:rsidRPr="00EB3DC6">
        <w:rPr>
          <w:rFonts w:asciiTheme="majorHAnsi" w:hAnsiTheme="majorHAnsi"/>
          <w:bCs/>
          <w:sz w:val="20"/>
          <w:szCs w:val="20"/>
          <w:lang w:val="es-ES_tradnl"/>
        </w:rPr>
        <w:t xml:space="preserve"> medios de comunicación y </w:t>
      </w:r>
      <w:r w:rsidR="00F97A83" w:rsidRPr="00EB3DC6">
        <w:rPr>
          <w:rFonts w:asciiTheme="majorHAnsi" w:hAnsiTheme="majorHAnsi"/>
          <w:bCs/>
          <w:sz w:val="20"/>
          <w:szCs w:val="20"/>
          <w:lang w:val="es-ES_tradnl"/>
        </w:rPr>
        <w:t>sancionados</w:t>
      </w:r>
      <w:r w:rsidR="001421A5" w:rsidRPr="00EB3DC6">
        <w:rPr>
          <w:rFonts w:asciiTheme="majorHAnsi" w:hAnsiTheme="majorHAnsi"/>
          <w:bCs/>
          <w:sz w:val="20"/>
          <w:szCs w:val="20"/>
          <w:lang w:val="es-ES_tradnl"/>
        </w:rPr>
        <w:t xml:space="preserve"> por las autoridades mexicanas</w:t>
      </w:r>
      <w:r w:rsidR="00BC75EF" w:rsidRPr="00EB3DC6">
        <w:rPr>
          <w:rFonts w:asciiTheme="majorHAnsi" w:hAnsiTheme="majorHAnsi"/>
          <w:bCs/>
          <w:sz w:val="20"/>
          <w:szCs w:val="20"/>
          <w:lang w:val="es-ES_tradnl"/>
        </w:rPr>
        <w:t xml:space="preserve"> </w:t>
      </w:r>
      <w:r w:rsidR="00BC75EF" w:rsidRPr="00EB3DC6">
        <w:rPr>
          <w:rFonts w:asciiTheme="majorHAnsi" w:hAnsiTheme="majorHAnsi"/>
          <w:sz w:val="20"/>
          <w:szCs w:val="20"/>
          <w:lang w:val="es-AR"/>
        </w:rPr>
        <w:t xml:space="preserve">y, </w:t>
      </w:r>
      <w:r w:rsidR="00E208A0" w:rsidRPr="00EB3DC6">
        <w:rPr>
          <w:rFonts w:asciiTheme="majorHAnsi" w:hAnsiTheme="majorHAnsi"/>
          <w:sz w:val="20"/>
          <w:szCs w:val="20"/>
          <w:lang w:val="es-AR"/>
        </w:rPr>
        <w:t>posteriormente</w:t>
      </w:r>
      <w:r w:rsidR="00BC75EF" w:rsidRPr="00EB3DC6">
        <w:rPr>
          <w:rFonts w:asciiTheme="majorHAnsi" w:hAnsiTheme="majorHAnsi"/>
          <w:sz w:val="20"/>
          <w:szCs w:val="20"/>
          <w:lang w:val="es-AR"/>
        </w:rPr>
        <w:t xml:space="preserve">, </w:t>
      </w:r>
      <w:r w:rsidR="00E208A0" w:rsidRPr="00EB3DC6">
        <w:rPr>
          <w:rFonts w:asciiTheme="majorHAnsi" w:hAnsiTheme="majorHAnsi"/>
          <w:sz w:val="20"/>
          <w:szCs w:val="20"/>
          <w:lang w:val="es-AR"/>
        </w:rPr>
        <w:t xml:space="preserve">son </w:t>
      </w:r>
      <w:r w:rsidR="00BC75EF" w:rsidRPr="00EB3DC6">
        <w:rPr>
          <w:rFonts w:asciiTheme="majorHAnsi" w:hAnsiTheme="majorHAnsi"/>
          <w:sz w:val="20"/>
          <w:szCs w:val="20"/>
          <w:lang w:val="es-AR"/>
        </w:rPr>
        <w:t xml:space="preserve">quienes </w:t>
      </w:r>
      <w:r w:rsidR="00E208A0" w:rsidRPr="00EB3DC6">
        <w:rPr>
          <w:rFonts w:asciiTheme="majorHAnsi" w:hAnsiTheme="majorHAnsi"/>
          <w:sz w:val="20"/>
          <w:szCs w:val="20"/>
          <w:lang w:val="es-AR"/>
        </w:rPr>
        <w:t>han</w:t>
      </w:r>
      <w:r w:rsidR="00BC75EF" w:rsidRPr="00EB3DC6">
        <w:rPr>
          <w:rFonts w:asciiTheme="majorHAnsi" w:hAnsiTheme="majorHAnsi"/>
          <w:sz w:val="20"/>
          <w:szCs w:val="20"/>
          <w:lang w:val="es-AR"/>
        </w:rPr>
        <w:t xml:space="preserve"> </w:t>
      </w:r>
      <w:r w:rsidR="00E208A0" w:rsidRPr="00EB3DC6">
        <w:rPr>
          <w:rFonts w:asciiTheme="majorHAnsi" w:hAnsiTheme="majorHAnsi"/>
          <w:sz w:val="20"/>
          <w:szCs w:val="20"/>
          <w:lang w:val="es-AR"/>
        </w:rPr>
        <w:t>ten</w:t>
      </w:r>
      <w:r w:rsidR="003A2BA7" w:rsidRPr="00EB3DC6">
        <w:rPr>
          <w:rFonts w:asciiTheme="majorHAnsi" w:hAnsiTheme="majorHAnsi"/>
          <w:sz w:val="20"/>
          <w:szCs w:val="20"/>
          <w:lang w:val="es-AR"/>
        </w:rPr>
        <w:t>id</w:t>
      </w:r>
      <w:r w:rsidR="00E208A0" w:rsidRPr="00EB3DC6">
        <w:rPr>
          <w:rFonts w:asciiTheme="majorHAnsi" w:hAnsiTheme="majorHAnsi"/>
          <w:sz w:val="20"/>
          <w:szCs w:val="20"/>
          <w:lang w:val="es-AR"/>
        </w:rPr>
        <w:t xml:space="preserve">o la responsabilidad de </w:t>
      </w:r>
      <w:r w:rsidR="00BC75EF" w:rsidRPr="00EB3DC6">
        <w:rPr>
          <w:rFonts w:asciiTheme="majorHAnsi" w:hAnsiTheme="majorHAnsi"/>
          <w:sz w:val="20"/>
          <w:szCs w:val="20"/>
          <w:lang w:val="es-AR"/>
        </w:rPr>
        <w:t>decidir qué se publica y qué no se publica</w:t>
      </w:r>
      <w:r w:rsidR="00E208A0" w:rsidRPr="00EB3DC6">
        <w:rPr>
          <w:rFonts w:asciiTheme="majorHAnsi" w:hAnsiTheme="majorHAnsi"/>
          <w:sz w:val="20"/>
          <w:szCs w:val="20"/>
          <w:lang w:val="es-AR"/>
        </w:rPr>
        <w:t xml:space="preserve"> para evitar futuras sanciones</w:t>
      </w:r>
      <w:r w:rsidR="0086098E" w:rsidRPr="00EB3DC6">
        <w:rPr>
          <w:rFonts w:asciiTheme="majorHAnsi" w:hAnsiTheme="majorHAnsi"/>
          <w:bCs/>
          <w:sz w:val="20"/>
          <w:szCs w:val="20"/>
          <w:lang w:val="es-ES_tradnl"/>
        </w:rPr>
        <w:t xml:space="preserve">. </w:t>
      </w:r>
      <w:r w:rsidR="00415755" w:rsidRPr="00EB3DC6">
        <w:rPr>
          <w:rFonts w:asciiTheme="majorHAnsi" w:hAnsiTheme="majorHAnsi"/>
          <w:bCs/>
          <w:sz w:val="20"/>
          <w:szCs w:val="20"/>
          <w:lang w:val="es-ES_tradnl"/>
        </w:rPr>
        <w:t xml:space="preserve">Es decir, contribuían a la misión comunicacional de los medios de manera directa, dirigiendo la producción y publicación de contenidos, o de manera indirecta, proveyendo servicios esenciales como el apoyo legal. </w:t>
      </w:r>
      <w:r w:rsidR="0086098E" w:rsidRPr="00EB3DC6">
        <w:rPr>
          <w:rFonts w:asciiTheme="majorHAnsi" w:hAnsiTheme="majorHAnsi"/>
          <w:bCs/>
          <w:sz w:val="20"/>
          <w:szCs w:val="20"/>
          <w:lang w:val="es-ES_tradnl"/>
        </w:rPr>
        <w:t xml:space="preserve">En esa medida, </w:t>
      </w:r>
      <w:r w:rsidR="00E208A0" w:rsidRPr="00EB3DC6">
        <w:rPr>
          <w:rFonts w:asciiTheme="majorHAnsi" w:hAnsiTheme="majorHAnsi" w:cs="Univers"/>
          <w:sz w:val="20"/>
          <w:szCs w:val="20"/>
          <w:lang w:val="es-MX"/>
        </w:rPr>
        <w:t>l</w:t>
      </w:r>
      <w:r w:rsidR="00766404" w:rsidRPr="00EB3DC6">
        <w:rPr>
          <w:rFonts w:asciiTheme="majorHAnsi" w:hAnsiTheme="majorHAnsi" w:cs="Univers"/>
          <w:sz w:val="20"/>
          <w:szCs w:val="20"/>
          <w:lang w:val="es-MX"/>
        </w:rPr>
        <w:t xml:space="preserve">a Comisión </w:t>
      </w:r>
      <w:r w:rsidR="00766404" w:rsidRPr="00EB3DC6">
        <w:rPr>
          <w:rFonts w:asciiTheme="majorHAnsi" w:hAnsiTheme="majorHAnsi"/>
          <w:sz w:val="20"/>
          <w:szCs w:val="20"/>
          <w:lang w:val="es-AR"/>
        </w:rPr>
        <w:t>considera que resulta plausible plantear que en el p</w:t>
      </w:r>
      <w:r w:rsidR="00E208A0" w:rsidRPr="00EB3DC6">
        <w:rPr>
          <w:rFonts w:asciiTheme="majorHAnsi" w:hAnsiTheme="majorHAnsi"/>
          <w:sz w:val="20"/>
          <w:szCs w:val="20"/>
          <w:lang w:val="es-AR"/>
        </w:rPr>
        <w:t xml:space="preserve">resente caso, dado el papel </w:t>
      </w:r>
      <w:r w:rsidR="00E7622B" w:rsidRPr="00EB3DC6">
        <w:rPr>
          <w:rFonts w:asciiTheme="majorHAnsi" w:hAnsiTheme="majorHAnsi"/>
          <w:sz w:val="20"/>
          <w:szCs w:val="20"/>
          <w:lang w:val="es-AR"/>
        </w:rPr>
        <w:t>de estas personas como directivos de los medios, la</w:t>
      </w:r>
      <w:r w:rsidR="00994481" w:rsidRPr="00EB3DC6">
        <w:rPr>
          <w:rFonts w:asciiTheme="majorHAnsi" w:hAnsiTheme="majorHAnsi"/>
          <w:sz w:val="20"/>
          <w:szCs w:val="20"/>
          <w:lang w:val="es-AR"/>
        </w:rPr>
        <w:t>s</w:t>
      </w:r>
      <w:r w:rsidR="00E7622B" w:rsidRPr="00EB3DC6">
        <w:rPr>
          <w:rFonts w:asciiTheme="majorHAnsi" w:hAnsiTheme="majorHAnsi"/>
          <w:sz w:val="20"/>
          <w:szCs w:val="20"/>
          <w:lang w:val="es-AR"/>
        </w:rPr>
        <w:t xml:space="preserve"> sanci</w:t>
      </w:r>
      <w:r w:rsidR="00E208A0" w:rsidRPr="00EB3DC6">
        <w:rPr>
          <w:rFonts w:asciiTheme="majorHAnsi" w:hAnsiTheme="majorHAnsi"/>
          <w:sz w:val="20"/>
          <w:szCs w:val="20"/>
          <w:lang w:val="es-AR"/>
        </w:rPr>
        <w:t>o</w:t>
      </w:r>
      <w:r w:rsidR="00E7622B" w:rsidRPr="00EB3DC6">
        <w:rPr>
          <w:rFonts w:asciiTheme="majorHAnsi" w:hAnsiTheme="majorHAnsi"/>
          <w:sz w:val="20"/>
          <w:szCs w:val="20"/>
          <w:lang w:val="es-AR"/>
        </w:rPr>
        <w:t xml:space="preserve">nes </w:t>
      </w:r>
      <w:r w:rsidR="00766404" w:rsidRPr="00EB3DC6">
        <w:rPr>
          <w:rFonts w:asciiTheme="majorHAnsi" w:hAnsiTheme="majorHAnsi"/>
          <w:sz w:val="20"/>
          <w:szCs w:val="20"/>
          <w:lang w:val="es-AR"/>
        </w:rPr>
        <w:t>impuesta</w:t>
      </w:r>
      <w:r w:rsidR="00E208A0" w:rsidRPr="00EB3DC6">
        <w:rPr>
          <w:rFonts w:asciiTheme="majorHAnsi" w:hAnsiTheme="majorHAnsi"/>
          <w:sz w:val="20"/>
          <w:szCs w:val="20"/>
          <w:lang w:val="es-AR"/>
        </w:rPr>
        <w:t>s</w:t>
      </w:r>
      <w:r w:rsidR="00766404" w:rsidRPr="00EB3DC6">
        <w:rPr>
          <w:rFonts w:asciiTheme="majorHAnsi" w:hAnsiTheme="majorHAnsi"/>
          <w:sz w:val="20"/>
          <w:szCs w:val="20"/>
          <w:lang w:val="es-AR"/>
        </w:rPr>
        <w:t xml:space="preserve"> contra </w:t>
      </w:r>
      <w:r w:rsidR="00E7622B" w:rsidRPr="00EB3DC6">
        <w:rPr>
          <w:rFonts w:asciiTheme="majorHAnsi" w:hAnsiTheme="majorHAnsi"/>
          <w:sz w:val="20"/>
          <w:szCs w:val="20"/>
          <w:lang w:val="es-AR"/>
        </w:rPr>
        <w:t>los medios en los que trabajan</w:t>
      </w:r>
      <w:r w:rsidR="00766404" w:rsidRPr="00EB3DC6">
        <w:rPr>
          <w:rFonts w:asciiTheme="majorHAnsi" w:hAnsiTheme="majorHAnsi"/>
          <w:sz w:val="20"/>
          <w:szCs w:val="20"/>
          <w:lang w:val="es-AR"/>
        </w:rPr>
        <w:t>, originada</w:t>
      </w:r>
      <w:r w:rsidR="00E208A0" w:rsidRPr="00EB3DC6">
        <w:rPr>
          <w:rFonts w:asciiTheme="majorHAnsi" w:hAnsiTheme="majorHAnsi"/>
          <w:sz w:val="20"/>
          <w:szCs w:val="20"/>
          <w:lang w:val="es-AR"/>
        </w:rPr>
        <w:t>s</w:t>
      </w:r>
      <w:r w:rsidR="00766404" w:rsidRPr="00EB3DC6">
        <w:rPr>
          <w:rFonts w:asciiTheme="majorHAnsi" w:hAnsiTheme="majorHAnsi"/>
          <w:sz w:val="20"/>
          <w:szCs w:val="20"/>
          <w:lang w:val="es-AR"/>
        </w:rPr>
        <w:t xml:space="preserve"> asimismo en </w:t>
      </w:r>
      <w:r w:rsidR="00E208A0" w:rsidRPr="00EB3DC6">
        <w:rPr>
          <w:rFonts w:asciiTheme="majorHAnsi" w:hAnsiTheme="majorHAnsi"/>
          <w:sz w:val="20"/>
          <w:szCs w:val="20"/>
          <w:lang w:val="es-AR"/>
        </w:rPr>
        <w:t xml:space="preserve">sus </w:t>
      </w:r>
      <w:r w:rsidR="00AE0888" w:rsidRPr="00EB3DC6">
        <w:rPr>
          <w:rFonts w:asciiTheme="majorHAnsi" w:hAnsiTheme="majorHAnsi"/>
          <w:sz w:val="20"/>
          <w:szCs w:val="20"/>
          <w:lang w:val="es-AR"/>
        </w:rPr>
        <w:t>decisiones</w:t>
      </w:r>
      <w:r w:rsidR="00E208A0" w:rsidRPr="00EB3DC6">
        <w:rPr>
          <w:rFonts w:asciiTheme="majorHAnsi" w:hAnsiTheme="majorHAnsi"/>
          <w:sz w:val="20"/>
          <w:szCs w:val="20"/>
          <w:lang w:val="es-AR"/>
        </w:rPr>
        <w:t xml:space="preserve"> de programación</w:t>
      </w:r>
      <w:r w:rsidR="00766404" w:rsidRPr="00EB3DC6">
        <w:rPr>
          <w:rFonts w:asciiTheme="majorHAnsi" w:hAnsiTheme="majorHAnsi"/>
          <w:sz w:val="20"/>
          <w:szCs w:val="20"/>
          <w:lang w:val="es-AR"/>
        </w:rPr>
        <w:t>, podría</w:t>
      </w:r>
      <w:r w:rsidR="00E208A0" w:rsidRPr="00EB3DC6">
        <w:rPr>
          <w:rFonts w:asciiTheme="majorHAnsi" w:hAnsiTheme="majorHAnsi"/>
          <w:sz w:val="20"/>
          <w:szCs w:val="20"/>
          <w:lang w:val="es-AR"/>
        </w:rPr>
        <w:t>n</w:t>
      </w:r>
      <w:r w:rsidR="00E7622B" w:rsidRPr="00EB3DC6">
        <w:rPr>
          <w:rFonts w:asciiTheme="majorHAnsi" w:hAnsiTheme="majorHAnsi"/>
          <w:sz w:val="20"/>
          <w:szCs w:val="20"/>
          <w:lang w:val="es-AR"/>
        </w:rPr>
        <w:t xml:space="preserve"> </w:t>
      </w:r>
      <w:r w:rsidR="00E7622B" w:rsidRPr="00EB3DC6">
        <w:rPr>
          <w:rFonts w:asciiTheme="majorHAnsi" w:hAnsiTheme="majorHAnsi"/>
          <w:bCs/>
          <w:sz w:val="20"/>
          <w:szCs w:val="20"/>
          <w:lang w:val="es-ES_tradnl"/>
        </w:rPr>
        <w:t xml:space="preserve">potencialmente </w:t>
      </w:r>
      <w:r w:rsidR="00E7622B" w:rsidRPr="00EB3DC6">
        <w:rPr>
          <w:rFonts w:asciiTheme="majorHAnsi" w:hAnsiTheme="majorHAnsi"/>
          <w:sz w:val="20"/>
          <w:szCs w:val="20"/>
          <w:lang w:val="es-AR"/>
        </w:rPr>
        <w:t xml:space="preserve">llegar </w:t>
      </w:r>
      <w:r w:rsidR="00766404" w:rsidRPr="00EB3DC6">
        <w:rPr>
          <w:rFonts w:asciiTheme="majorHAnsi" w:hAnsiTheme="majorHAnsi"/>
          <w:sz w:val="20"/>
          <w:szCs w:val="20"/>
          <w:lang w:val="es-AR"/>
        </w:rPr>
        <w:t>a afectar por conexidad su derecho a la libertad</w:t>
      </w:r>
      <w:r w:rsidR="00E208A0" w:rsidRPr="00EB3DC6">
        <w:rPr>
          <w:rFonts w:asciiTheme="majorHAnsi" w:hAnsiTheme="majorHAnsi"/>
          <w:sz w:val="20"/>
          <w:szCs w:val="20"/>
          <w:lang w:val="es-AR"/>
        </w:rPr>
        <w:t xml:space="preserve"> de expresión</w:t>
      </w:r>
      <w:r w:rsidR="00C57BF6" w:rsidRPr="00EB3DC6">
        <w:rPr>
          <w:rFonts w:asciiTheme="majorHAnsi" w:hAnsiTheme="majorHAnsi"/>
          <w:bCs/>
          <w:sz w:val="20"/>
          <w:szCs w:val="20"/>
          <w:lang w:val="es-ES_tradnl"/>
        </w:rPr>
        <w:t xml:space="preserve">. </w:t>
      </w:r>
      <w:r w:rsidR="00F97A83" w:rsidRPr="00EB3DC6">
        <w:rPr>
          <w:rFonts w:asciiTheme="majorHAnsi" w:hAnsiTheme="majorHAnsi"/>
          <w:bCs/>
          <w:sz w:val="20"/>
          <w:szCs w:val="20"/>
          <w:lang w:val="es-ES_tradnl"/>
        </w:rPr>
        <w:t xml:space="preserve">Los argumentos y evidencias sobre cómo </w:t>
      </w:r>
      <w:r w:rsidR="00A51693" w:rsidRPr="00EB3DC6">
        <w:rPr>
          <w:rFonts w:asciiTheme="majorHAnsi" w:hAnsiTheme="majorHAnsi"/>
          <w:bCs/>
          <w:sz w:val="20"/>
          <w:szCs w:val="20"/>
          <w:lang w:val="es-ES_tradnl"/>
        </w:rPr>
        <w:t>estas personas naturales</w:t>
      </w:r>
      <w:r w:rsidR="00F97A83" w:rsidRPr="00EB3DC6">
        <w:rPr>
          <w:rFonts w:asciiTheme="majorHAnsi" w:hAnsiTheme="majorHAnsi"/>
          <w:bCs/>
          <w:sz w:val="20"/>
          <w:szCs w:val="20"/>
          <w:lang w:val="es-ES_tradnl"/>
        </w:rPr>
        <w:t xml:space="preserve"> </w:t>
      </w:r>
      <w:r w:rsidR="00A51693" w:rsidRPr="00EB3DC6">
        <w:rPr>
          <w:rFonts w:asciiTheme="majorHAnsi" w:hAnsiTheme="majorHAnsi"/>
          <w:bCs/>
          <w:sz w:val="20"/>
          <w:szCs w:val="20"/>
          <w:lang w:val="es-ES_tradnl"/>
        </w:rPr>
        <w:t>ejercerían</w:t>
      </w:r>
      <w:r w:rsidR="00F97A83" w:rsidRPr="00EB3DC6">
        <w:rPr>
          <w:rFonts w:asciiTheme="majorHAnsi" w:hAnsiTheme="majorHAnsi"/>
          <w:bCs/>
          <w:sz w:val="20"/>
          <w:szCs w:val="20"/>
          <w:lang w:val="es-ES_tradnl"/>
        </w:rPr>
        <w:t xml:space="preserve"> los derechos presuntamente</w:t>
      </w:r>
      <w:r w:rsidR="00F97A83" w:rsidRPr="00415755">
        <w:rPr>
          <w:rFonts w:asciiTheme="majorHAnsi" w:hAnsiTheme="majorHAnsi"/>
          <w:bCs/>
          <w:sz w:val="20"/>
          <w:szCs w:val="20"/>
          <w:lang w:val="es-ES_tradnl"/>
        </w:rPr>
        <w:t xml:space="preserve"> vulnerados a través de </w:t>
      </w:r>
      <w:r w:rsidR="00A51693" w:rsidRPr="00415755">
        <w:rPr>
          <w:rFonts w:asciiTheme="majorHAnsi" w:hAnsiTheme="majorHAnsi"/>
          <w:bCs/>
          <w:sz w:val="20"/>
          <w:szCs w:val="20"/>
          <w:lang w:val="es-ES_tradnl"/>
        </w:rPr>
        <w:t>los medios de comunicación respectivos</w:t>
      </w:r>
      <w:r w:rsidR="00F97A83" w:rsidRPr="00415755">
        <w:rPr>
          <w:rFonts w:asciiTheme="majorHAnsi" w:hAnsiTheme="majorHAnsi"/>
          <w:bCs/>
          <w:sz w:val="20"/>
          <w:szCs w:val="20"/>
          <w:lang w:val="es-ES_tradnl"/>
        </w:rPr>
        <w:t xml:space="preserve"> serán analizados de manera particular </w:t>
      </w:r>
      <w:r w:rsidR="00A51693" w:rsidRPr="00415755">
        <w:rPr>
          <w:rFonts w:asciiTheme="majorHAnsi" w:hAnsiTheme="majorHAnsi"/>
          <w:bCs/>
          <w:sz w:val="20"/>
          <w:szCs w:val="20"/>
          <w:lang w:val="es-ES_tradnl"/>
        </w:rPr>
        <w:t>en la etapa de fondo</w:t>
      </w:r>
      <w:r w:rsidR="00E208A0" w:rsidRPr="00770564">
        <w:rPr>
          <w:rStyle w:val="FootnoteReference"/>
          <w:rFonts w:asciiTheme="majorHAnsi" w:hAnsiTheme="majorHAnsi" w:cs="Times New Roman"/>
          <w:sz w:val="20"/>
          <w:szCs w:val="20"/>
          <w:lang w:val="es-ES"/>
        </w:rPr>
        <w:footnoteReference w:id="21"/>
      </w:r>
      <w:r w:rsidR="00A51693" w:rsidRPr="00415755">
        <w:rPr>
          <w:rFonts w:asciiTheme="majorHAnsi" w:hAnsiTheme="majorHAnsi"/>
          <w:bCs/>
          <w:sz w:val="20"/>
          <w:szCs w:val="20"/>
          <w:lang w:val="es-ES_tradnl"/>
        </w:rPr>
        <w:t>.</w:t>
      </w:r>
      <w:r w:rsidR="00974767" w:rsidRPr="00415755">
        <w:rPr>
          <w:rFonts w:asciiTheme="majorHAnsi" w:hAnsiTheme="majorHAnsi"/>
          <w:bCs/>
          <w:sz w:val="20"/>
          <w:szCs w:val="20"/>
          <w:lang w:val="es-ES_tradnl"/>
        </w:rPr>
        <w:t xml:space="preserve"> </w:t>
      </w:r>
      <w:r w:rsidR="00770564" w:rsidRPr="00415755">
        <w:rPr>
          <w:rFonts w:asciiTheme="majorHAnsi" w:hAnsiTheme="majorHAnsi"/>
          <w:bCs/>
          <w:sz w:val="20"/>
          <w:szCs w:val="20"/>
          <w:lang w:val="es-ES_tradnl"/>
        </w:rPr>
        <w:t>No ocurre lo mismo e</w:t>
      </w:r>
      <w:r w:rsidR="00974767" w:rsidRPr="00415755">
        <w:rPr>
          <w:rFonts w:asciiTheme="majorHAnsi" w:hAnsiTheme="majorHAnsi"/>
          <w:sz w:val="20"/>
          <w:szCs w:val="20"/>
          <w:lang w:val="es-ES"/>
        </w:rPr>
        <w:t>n relación con Raquel Hidalgo Márquez, sobre quien se alega que</w:t>
      </w:r>
      <w:r w:rsidR="00770564" w:rsidRPr="00415755">
        <w:rPr>
          <w:rFonts w:asciiTheme="majorHAnsi" w:hAnsiTheme="majorHAnsi"/>
          <w:sz w:val="20"/>
          <w:szCs w:val="20"/>
          <w:lang w:val="es-ES"/>
        </w:rPr>
        <w:t>,</w:t>
      </w:r>
      <w:r w:rsidR="00974767" w:rsidRPr="00415755">
        <w:rPr>
          <w:rFonts w:asciiTheme="majorHAnsi" w:hAnsiTheme="majorHAnsi"/>
          <w:sz w:val="20"/>
          <w:szCs w:val="20"/>
          <w:lang w:val="es-ES"/>
        </w:rPr>
        <w:t xml:space="preserve"> como ciudadana mexicana</w:t>
      </w:r>
      <w:r w:rsidR="00770564" w:rsidRPr="00415755">
        <w:rPr>
          <w:rFonts w:asciiTheme="majorHAnsi" w:hAnsiTheme="majorHAnsi"/>
          <w:sz w:val="20"/>
          <w:szCs w:val="20"/>
          <w:lang w:val="es-ES"/>
        </w:rPr>
        <w:t>,</w:t>
      </w:r>
      <w:r w:rsidR="00974767" w:rsidRPr="00415755">
        <w:rPr>
          <w:rFonts w:asciiTheme="majorHAnsi" w:hAnsiTheme="majorHAnsi"/>
          <w:sz w:val="20"/>
          <w:szCs w:val="20"/>
          <w:lang w:val="es-ES"/>
        </w:rPr>
        <w:t xml:space="preserve"> vio afectado su derecho a recibir información en contextos electorales</w:t>
      </w:r>
      <w:r w:rsidR="00770564" w:rsidRPr="00415755">
        <w:rPr>
          <w:rFonts w:asciiTheme="majorHAnsi" w:hAnsiTheme="majorHAnsi"/>
          <w:sz w:val="20"/>
          <w:szCs w:val="20"/>
          <w:lang w:val="es-ES"/>
        </w:rPr>
        <w:t xml:space="preserve"> como consecuencia de las sanciones. L</w:t>
      </w:r>
      <w:r w:rsidR="00974767" w:rsidRPr="00415755">
        <w:rPr>
          <w:rFonts w:asciiTheme="majorHAnsi" w:hAnsiTheme="majorHAnsi"/>
          <w:sz w:val="20"/>
          <w:szCs w:val="20"/>
          <w:lang w:val="es-ES"/>
        </w:rPr>
        <w:t xml:space="preserve">a CIDH </w:t>
      </w:r>
      <w:r w:rsidR="00770564" w:rsidRPr="00415755">
        <w:rPr>
          <w:rFonts w:asciiTheme="majorHAnsi" w:hAnsiTheme="majorHAnsi"/>
          <w:sz w:val="20"/>
          <w:szCs w:val="20"/>
          <w:lang w:val="es-ES"/>
        </w:rPr>
        <w:t>estima</w:t>
      </w:r>
      <w:r w:rsidR="00974767" w:rsidRPr="00415755">
        <w:rPr>
          <w:rFonts w:asciiTheme="majorHAnsi" w:hAnsiTheme="majorHAnsi"/>
          <w:sz w:val="20"/>
          <w:szCs w:val="20"/>
          <w:lang w:val="es-ES"/>
        </w:rPr>
        <w:t xml:space="preserve"> que la parte peticionaria no brindó </w:t>
      </w:r>
      <w:r w:rsidR="00366C8B">
        <w:rPr>
          <w:rFonts w:asciiTheme="majorHAnsi" w:hAnsiTheme="majorHAnsi"/>
          <w:sz w:val="20"/>
          <w:szCs w:val="20"/>
          <w:lang w:val="es-ES"/>
        </w:rPr>
        <w:t>elementos</w:t>
      </w:r>
      <w:r w:rsidR="00974767" w:rsidRPr="00415755">
        <w:rPr>
          <w:rFonts w:asciiTheme="majorHAnsi" w:hAnsiTheme="majorHAnsi"/>
          <w:sz w:val="20"/>
          <w:szCs w:val="20"/>
          <w:lang w:val="es-ES"/>
        </w:rPr>
        <w:t xml:space="preserve"> suficiente</w:t>
      </w:r>
      <w:r w:rsidR="00366C8B">
        <w:rPr>
          <w:rFonts w:asciiTheme="majorHAnsi" w:hAnsiTheme="majorHAnsi"/>
          <w:sz w:val="20"/>
          <w:szCs w:val="20"/>
          <w:lang w:val="es-ES"/>
        </w:rPr>
        <w:t>s</w:t>
      </w:r>
      <w:r w:rsidR="00974767" w:rsidRPr="00415755">
        <w:rPr>
          <w:rFonts w:asciiTheme="majorHAnsi" w:hAnsiTheme="majorHAnsi"/>
          <w:sz w:val="20"/>
          <w:szCs w:val="20"/>
          <w:lang w:val="es-ES"/>
        </w:rPr>
        <w:t xml:space="preserve"> sobre la </w:t>
      </w:r>
      <w:r w:rsidR="00415755" w:rsidRPr="00415755">
        <w:rPr>
          <w:rFonts w:asciiTheme="majorHAnsi" w:hAnsiTheme="majorHAnsi"/>
          <w:sz w:val="20"/>
          <w:szCs w:val="20"/>
          <w:lang w:val="es-ES"/>
        </w:rPr>
        <w:t>relación de Raquel Hidalgo con los medios</w:t>
      </w:r>
      <w:r w:rsidR="00974767" w:rsidRPr="00415755">
        <w:rPr>
          <w:rFonts w:asciiTheme="majorHAnsi" w:hAnsiTheme="majorHAnsi"/>
          <w:sz w:val="20"/>
          <w:szCs w:val="20"/>
          <w:lang w:val="es-ES"/>
        </w:rPr>
        <w:t xml:space="preserve"> de</w:t>
      </w:r>
      <w:r w:rsidR="00415755" w:rsidRPr="00415755">
        <w:rPr>
          <w:rFonts w:asciiTheme="majorHAnsi" w:hAnsiTheme="majorHAnsi"/>
          <w:sz w:val="20"/>
          <w:szCs w:val="20"/>
          <w:lang w:val="es-ES"/>
        </w:rPr>
        <w:t xml:space="preserve"> comunicación </w:t>
      </w:r>
      <w:r w:rsidR="00366C8B">
        <w:rPr>
          <w:rFonts w:asciiTheme="majorHAnsi" w:hAnsiTheme="majorHAnsi"/>
          <w:sz w:val="20"/>
          <w:szCs w:val="20"/>
          <w:lang w:val="es-ES"/>
        </w:rPr>
        <w:t xml:space="preserve">sancionados, </w:t>
      </w:r>
      <w:r w:rsidR="00415755" w:rsidRPr="00415755">
        <w:rPr>
          <w:rFonts w:asciiTheme="majorHAnsi" w:hAnsiTheme="majorHAnsi"/>
          <w:sz w:val="20"/>
          <w:szCs w:val="20"/>
          <w:lang w:val="es-ES"/>
        </w:rPr>
        <w:t>el papel que en ellos ejercía</w:t>
      </w:r>
      <w:r w:rsidR="00366C8B">
        <w:rPr>
          <w:rFonts w:asciiTheme="majorHAnsi" w:hAnsiTheme="majorHAnsi"/>
          <w:sz w:val="20"/>
          <w:szCs w:val="20"/>
          <w:lang w:val="es-ES"/>
        </w:rPr>
        <w:t xml:space="preserve"> y la posible afectación de </w:t>
      </w:r>
      <w:r w:rsidR="00D00AAC">
        <w:rPr>
          <w:rFonts w:asciiTheme="majorHAnsi" w:hAnsiTheme="majorHAnsi"/>
          <w:sz w:val="20"/>
          <w:szCs w:val="20"/>
          <w:lang w:val="es-ES"/>
        </w:rPr>
        <w:t>sus derechos humanos</w:t>
      </w:r>
      <w:r w:rsidR="00366C8B">
        <w:rPr>
          <w:rFonts w:asciiTheme="majorHAnsi" w:hAnsiTheme="majorHAnsi"/>
          <w:sz w:val="20"/>
          <w:szCs w:val="20"/>
          <w:lang w:val="es-ES"/>
        </w:rPr>
        <w:t xml:space="preserve"> por los hechos del presente caso</w:t>
      </w:r>
      <w:r w:rsidR="00974767" w:rsidRPr="00415755">
        <w:rPr>
          <w:rFonts w:asciiTheme="majorHAnsi" w:hAnsiTheme="majorHAnsi"/>
          <w:sz w:val="20"/>
          <w:szCs w:val="20"/>
          <w:lang w:val="es-ES"/>
        </w:rPr>
        <w:t xml:space="preserve">. </w:t>
      </w:r>
    </w:p>
    <w:p w:rsidR="005C5DDC" w:rsidRPr="00770564" w:rsidRDefault="00BF3A8A" w:rsidP="00A02FB0">
      <w:pPr>
        <w:pStyle w:val="ListParagraph"/>
        <w:numPr>
          <w:ilvl w:val="0"/>
          <w:numId w:val="103"/>
        </w:numPr>
        <w:spacing w:before="240" w:after="240"/>
        <w:jc w:val="both"/>
        <w:rPr>
          <w:rFonts w:asciiTheme="majorHAnsi" w:hAnsiTheme="majorHAnsi"/>
          <w:bCs/>
          <w:sz w:val="20"/>
          <w:szCs w:val="20"/>
          <w:lang w:val="es-ES"/>
        </w:rPr>
      </w:pPr>
      <w:r w:rsidRPr="00770564">
        <w:rPr>
          <w:rFonts w:asciiTheme="majorHAnsi" w:hAnsiTheme="majorHAnsi"/>
          <w:bCs/>
          <w:sz w:val="20"/>
          <w:szCs w:val="20"/>
          <w:lang w:val="es-ES"/>
        </w:rPr>
        <w:t xml:space="preserve">Con fundamento en los razonamientos anteriores, </w:t>
      </w:r>
      <w:r w:rsidR="008F6A1E" w:rsidRPr="00770564">
        <w:rPr>
          <w:rFonts w:asciiTheme="majorHAnsi" w:hAnsiTheme="majorHAnsi"/>
          <w:bCs/>
          <w:sz w:val="20"/>
          <w:szCs w:val="20"/>
          <w:lang w:val="es-ES"/>
        </w:rPr>
        <w:t>la CIDH considera</w:t>
      </w:r>
      <w:r w:rsidR="00960EE3" w:rsidRPr="00770564">
        <w:rPr>
          <w:rFonts w:asciiTheme="majorHAnsi" w:hAnsiTheme="majorHAnsi"/>
          <w:bCs/>
          <w:color w:val="auto"/>
          <w:sz w:val="20"/>
          <w:szCs w:val="20"/>
          <w:lang w:val="es-ES"/>
        </w:rPr>
        <w:t xml:space="preserve"> </w:t>
      </w:r>
      <w:r w:rsidR="00960EE3" w:rsidRPr="00770564">
        <w:rPr>
          <w:rFonts w:asciiTheme="majorHAnsi" w:hAnsiTheme="majorHAnsi"/>
          <w:bCs/>
          <w:sz w:val="20"/>
          <w:szCs w:val="20"/>
          <w:lang w:val="es-ES"/>
        </w:rPr>
        <w:t xml:space="preserve">como presuntas víctimas en el presente asunto </w:t>
      </w:r>
      <w:r w:rsidRPr="00770564">
        <w:rPr>
          <w:rFonts w:asciiTheme="majorHAnsi" w:hAnsiTheme="majorHAnsi"/>
          <w:bCs/>
          <w:sz w:val="20"/>
          <w:szCs w:val="20"/>
          <w:lang w:val="es-ES"/>
        </w:rPr>
        <w:t xml:space="preserve">a </w:t>
      </w:r>
      <w:r w:rsidRPr="00770564">
        <w:rPr>
          <w:rFonts w:asciiTheme="majorHAnsi" w:hAnsiTheme="majorHAnsi"/>
          <w:bCs/>
          <w:sz w:val="20"/>
          <w:szCs w:val="20"/>
          <w:lang w:val="es-ES_tradnl"/>
        </w:rPr>
        <w:t>Alejandro Fernando Aguilera Mendieta, Miguel Ángel Diez García, Miriam Villanueva Chiapas y Félix José Araujo Ramírez, personas naturales respecto de quienes el Estado se comprometió a garantizar los derechos consagrados en la CADH.</w:t>
      </w:r>
      <w:r w:rsidR="003A2BA7" w:rsidRPr="00770564">
        <w:rPr>
          <w:rFonts w:asciiTheme="majorHAnsi" w:hAnsiTheme="majorHAnsi"/>
          <w:sz w:val="20"/>
          <w:szCs w:val="20"/>
          <w:lang w:val="es-ES_tradnl"/>
        </w:rPr>
        <w:t xml:space="preserve"> Por lo tanto, la Comisión concluye que tiene competencia </w:t>
      </w:r>
      <w:r w:rsidR="003A2BA7" w:rsidRPr="00770564">
        <w:rPr>
          <w:rFonts w:asciiTheme="majorHAnsi" w:hAnsiTheme="majorHAnsi"/>
          <w:i/>
          <w:iCs/>
          <w:sz w:val="20"/>
          <w:szCs w:val="20"/>
          <w:lang w:val="es-ES_tradnl"/>
        </w:rPr>
        <w:t>ratione personae</w:t>
      </w:r>
      <w:r w:rsidR="003A2BA7" w:rsidRPr="00770564">
        <w:rPr>
          <w:rFonts w:asciiTheme="majorHAnsi" w:hAnsiTheme="majorHAnsi"/>
          <w:sz w:val="20"/>
          <w:szCs w:val="20"/>
          <w:lang w:val="es-ES_tradnl"/>
        </w:rPr>
        <w:t xml:space="preserve"> para examinar la denuncia a la que se refiere el presente informe.</w:t>
      </w:r>
    </w:p>
    <w:p w:rsidR="00A02FB0" w:rsidRPr="00770564" w:rsidRDefault="00A02FB0" w:rsidP="00A02FB0">
      <w:pPr>
        <w:spacing w:before="240" w:after="240"/>
        <w:ind w:firstLine="720"/>
        <w:jc w:val="both"/>
        <w:rPr>
          <w:rFonts w:asciiTheme="majorHAnsi" w:eastAsia="Cambria" w:hAnsiTheme="majorHAnsi" w:cs="Cambria"/>
          <w:b/>
          <w:bCs/>
          <w:color w:val="000000"/>
          <w:sz w:val="20"/>
          <w:szCs w:val="20"/>
          <w:u w:color="000000"/>
          <w:lang w:val="es-ES" w:eastAsia="es-ES"/>
        </w:rPr>
      </w:pPr>
      <w:r w:rsidRPr="00770564">
        <w:rPr>
          <w:rFonts w:asciiTheme="majorHAnsi" w:hAnsiTheme="majorHAnsi"/>
          <w:b/>
          <w:sz w:val="20"/>
          <w:szCs w:val="20"/>
          <w:lang w:val="es-ES"/>
        </w:rPr>
        <w:t>VII.</w:t>
      </w:r>
      <w:r w:rsidRPr="00770564">
        <w:rPr>
          <w:rFonts w:asciiTheme="majorHAnsi" w:hAnsiTheme="majorHAnsi"/>
          <w:b/>
          <w:sz w:val="20"/>
          <w:szCs w:val="20"/>
          <w:lang w:val="es-ES"/>
        </w:rPr>
        <w:tab/>
      </w:r>
      <w:r w:rsidR="00C21FEF" w:rsidRPr="00770564">
        <w:rPr>
          <w:rFonts w:asciiTheme="majorHAnsi" w:hAnsiTheme="majorHAnsi"/>
          <w:b/>
          <w:sz w:val="20"/>
          <w:szCs w:val="20"/>
          <w:lang w:val="es-ES"/>
        </w:rPr>
        <w:t>AGOTAMIENTO DE LOS RECURSOS INTERNOS Y PLAZO DE PRESENTACIÓN</w:t>
      </w:r>
      <w:r w:rsidR="00C21FEF" w:rsidRPr="00770564">
        <w:rPr>
          <w:rFonts w:asciiTheme="majorHAnsi" w:eastAsia="Cambria" w:hAnsiTheme="majorHAnsi" w:cs="Cambria"/>
          <w:b/>
          <w:bCs/>
          <w:color w:val="000000"/>
          <w:sz w:val="20"/>
          <w:szCs w:val="20"/>
          <w:u w:color="000000"/>
          <w:lang w:val="es-ES" w:eastAsia="es-ES"/>
        </w:rPr>
        <w:t xml:space="preserve"> </w:t>
      </w:r>
    </w:p>
    <w:p w:rsidR="00A02FB0" w:rsidRPr="00770564" w:rsidRDefault="00771FB8" w:rsidP="00A02FB0">
      <w:pPr>
        <w:pStyle w:val="ListParagraph"/>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jc w:val="both"/>
        <w:rPr>
          <w:rFonts w:asciiTheme="majorHAnsi" w:hAnsiTheme="majorHAnsi" w:cs="Arial"/>
          <w:sz w:val="20"/>
          <w:szCs w:val="20"/>
          <w:lang w:val="es-PE"/>
        </w:rPr>
      </w:pPr>
      <w:r w:rsidRPr="00770564">
        <w:rPr>
          <w:rFonts w:asciiTheme="majorHAnsi" w:hAnsiTheme="majorHAnsi" w:cs="Verdana"/>
          <w:sz w:val="20"/>
          <w:szCs w:val="20"/>
          <w:lang w:val="es-ES"/>
        </w:rPr>
        <w:t xml:space="preserve">En el presente caso, </w:t>
      </w:r>
      <w:r w:rsidR="008129E0" w:rsidRPr="00770564">
        <w:rPr>
          <w:rFonts w:asciiTheme="majorHAnsi" w:hAnsiTheme="majorHAnsi"/>
          <w:sz w:val="20"/>
          <w:szCs w:val="20"/>
          <w:lang w:val="es-ES_tradnl"/>
        </w:rPr>
        <w:t xml:space="preserve">la CIDH observa que el 15 de julio de 2009, el </w:t>
      </w:r>
      <w:r w:rsidR="00EC0CD7" w:rsidRPr="00770564">
        <w:rPr>
          <w:rFonts w:asciiTheme="majorHAnsi" w:hAnsiTheme="majorHAnsi"/>
          <w:sz w:val="20"/>
          <w:szCs w:val="20"/>
          <w:lang w:val="es-ES_tradnl"/>
        </w:rPr>
        <w:t>IFE</w:t>
      </w:r>
      <w:r w:rsidR="008129E0" w:rsidRPr="00770564">
        <w:rPr>
          <w:rFonts w:asciiTheme="majorHAnsi" w:hAnsiTheme="majorHAnsi"/>
          <w:sz w:val="20"/>
          <w:szCs w:val="20"/>
          <w:lang w:val="es-ES_tradnl"/>
        </w:rPr>
        <w:t xml:space="preserve"> sancionó a los medios de comunicació</w:t>
      </w:r>
      <w:r w:rsidR="00A02FB0" w:rsidRPr="00770564">
        <w:rPr>
          <w:rFonts w:asciiTheme="majorHAnsi" w:hAnsiTheme="majorHAnsi"/>
          <w:sz w:val="20"/>
          <w:szCs w:val="20"/>
          <w:lang w:val="es-ES_tradnl"/>
        </w:rPr>
        <w:t>n</w:t>
      </w:r>
      <w:r w:rsidR="0057213C" w:rsidRPr="00770564">
        <w:rPr>
          <w:rFonts w:asciiTheme="majorHAnsi" w:hAnsiTheme="majorHAnsi"/>
          <w:sz w:val="20"/>
          <w:szCs w:val="20"/>
          <w:lang w:val="es-ES_tradnl"/>
        </w:rPr>
        <w:t xml:space="preserve"> por la </w:t>
      </w:r>
      <w:r w:rsidR="00EC0CD7" w:rsidRPr="00770564">
        <w:rPr>
          <w:rFonts w:asciiTheme="majorHAnsi" w:hAnsiTheme="majorHAnsi"/>
          <w:sz w:val="20"/>
          <w:szCs w:val="20"/>
          <w:lang w:val="es-ES_tradnl"/>
        </w:rPr>
        <w:t xml:space="preserve">supuesta </w:t>
      </w:r>
      <w:r w:rsidR="0057213C" w:rsidRPr="00770564">
        <w:rPr>
          <w:rFonts w:asciiTheme="majorHAnsi" w:hAnsiTheme="majorHAnsi"/>
          <w:sz w:val="20"/>
          <w:szCs w:val="20"/>
          <w:lang w:val="es-ES_tradnl"/>
        </w:rPr>
        <w:t>difusión de propaganda electoral prohibida</w:t>
      </w:r>
      <w:r w:rsidR="008129E0" w:rsidRPr="00770564">
        <w:rPr>
          <w:rFonts w:asciiTheme="majorHAnsi" w:hAnsiTheme="majorHAnsi"/>
          <w:sz w:val="20"/>
          <w:szCs w:val="20"/>
          <w:lang w:val="es-ES_tradnl"/>
        </w:rPr>
        <w:t xml:space="preserve">. Las tres </w:t>
      </w:r>
      <w:r w:rsidR="00EC0CD7" w:rsidRPr="00770564">
        <w:rPr>
          <w:rFonts w:asciiTheme="majorHAnsi" w:hAnsiTheme="majorHAnsi"/>
          <w:sz w:val="20"/>
          <w:szCs w:val="20"/>
          <w:lang w:val="es-ES_tradnl"/>
        </w:rPr>
        <w:t>empresas</w:t>
      </w:r>
      <w:r w:rsidR="008129E0" w:rsidRPr="00770564">
        <w:rPr>
          <w:rFonts w:asciiTheme="majorHAnsi" w:hAnsiTheme="majorHAnsi"/>
          <w:sz w:val="20"/>
          <w:szCs w:val="20"/>
          <w:lang w:val="es-ES_tradnl"/>
        </w:rPr>
        <w:t xml:space="preserve"> apelaron la decisión y el 26 de agosto de 2009, el </w:t>
      </w:r>
      <w:r w:rsidR="00EC0CD7" w:rsidRPr="00770564">
        <w:rPr>
          <w:rFonts w:asciiTheme="majorHAnsi" w:hAnsiTheme="majorHAnsi"/>
          <w:sz w:val="20"/>
          <w:szCs w:val="20"/>
          <w:lang w:val="es-ES_tradnl"/>
        </w:rPr>
        <w:t>TRIFE</w:t>
      </w:r>
      <w:r w:rsidR="008129E0" w:rsidRPr="00770564">
        <w:rPr>
          <w:rStyle w:val="FootnoteReference"/>
          <w:rFonts w:asciiTheme="majorHAnsi" w:hAnsiTheme="majorHAnsi"/>
          <w:sz w:val="20"/>
          <w:szCs w:val="20"/>
          <w:lang w:val="es-ES_tradnl"/>
        </w:rPr>
        <w:t>.</w:t>
      </w:r>
      <w:r w:rsidR="008129E0" w:rsidRPr="00770564">
        <w:rPr>
          <w:rStyle w:val="FootnoteReference"/>
          <w:rFonts w:asciiTheme="majorHAnsi" w:hAnsiTheme="majorHAnsi"/>
          <w:sz w:val="20"/>
          <w:szCs w:val="20"/>
          <w:vertAlign w:val="baseline"/>
          <w:lang w:val="es-ES_tradnl"/>
        </w:rPr>
        <w:t xml:space="preserve"> c</w:t>
      </w:r>
      <w:r w:rsidR="008129E0" w:rsidRPr="00770564">
        <w:rPr>
          <w:rFonts w:asciiTheme="majorHAnsi" w:hAnsiTheme="majorHAnsi"/>
          <w:sz w:val="20"/>
          <w:szCs w:val="20"/>
          <w:lang w:val="es-ES_tradnl"/>
        </w:rPr>
        <w:t xml:space="preserve">onfirmó la resolución </w:t>
      </w:r>
      <w:r w:rsidR="00EC0CD7" w:rsidRPr="00770564">
        <w:rPr>
          <w:rFonts w:asciiTheme="majorHAnsi" w:hAnsiTheme="majorHAnsi"/>
          <w:sz w:val="20"/>
          <w:szCs w:val="20"/>
          <w:lang w:val="es-ES_tradnl"/>
        </w:rPr>
        <w:t>de la autoridad</w:t>
      </w:r>
      <w:r w:rsidR="008129E0" w:rsidRPr="00770564">
        <w:rPr>
          <w:rFonts w:asciiTheme="majorHAnsi" w:hAnsiTheme="majorHAnsi"/>
          <w:sz w:val="20"/>
          <w:szCs w:val="20"/>
          <w:lang w:val="es-ES_tradnl"/>
        </w:rPr>
        <w:t xml:space="preserve">. </w:t>
      </w:r>
      <w:r w:rsidR="00EC0CD7" w:rsidRPr="00770564">
        <w:rPr>
          <w:rFonts w:asciiTheme="majorHAnsi" w:hAnsiTheme="majorHAnsi"/>
          <w:sz w:val="20"/>
          <w:szCs w:val="20"/>
          <w:lang w:val="es-ES_tradnl"/>
        </w:rPr>
        <w:t>Con ello, la CIDH entiende que l</w:t>
      </w:r>
      <w:r w:rsidR="0001106E" w:rsidRPr="00770564">
        <w:rPr>
          <w:rFonts w:asciiTheme="majorHAnsi" w:hAnsiTheme="majorHAnsi" w:cs="Verdana"/>
          <w:sz w:val="20"/>
          <w:szCs w:val="20"/>
          <w:lang w:val="es-ES"/>
        </w:rPr>
        <w:t>os m</w:t>
      </w:r>
      <w:r w:rsidR="007A6630" w:rsidRPr="00770564">
        <w:rPr>
          <w:rFonts w:asciiTheme="majorHAnsi" w:hAnsiTheme="majorHAnsi" w:cs="Verdana"/>
          <w:sz w:val="20"/>
          <w:szCs w:val="20"/>
          <w:lang w:val="es-ES"/>
        </w:rPr>
        <w:t>edios de comunicació</w:t>
      </w:r>
      <w:r w:rsidR="0001106E" w:rsidRPr="00770564">
        <w:rPr>
          <w:rFonts w:asciiTheme="majorHAnsi" w:hAnsiTheme="majorHAnsi" w:cs="Verdana"/>
          <w:sz w:val="20"/>
          <w:szCs w:val="20"/>
          <w:lang w:val="es-ES"/>
        </w:rPr>
        <w:t>n presentaron y agotaron los recursos disponi</w:t>
      </w:r>
      <w:r w:rsidR="007A6630" w:rsidRPr="00770564">
        <w:rPr>
          <w:rFonts w:asciiTheme="majorHAnsi" w:hAnsiTheme="majorHAnsi" w:cs="Verdana"/>
          <w:sz w:val="20"/>
          <w:szCs w:val="20"/>
          <w:lang w:val="es-ES"/>
        </w:rPr>
        <w:t>bles para impugnar la sanció</w:t>
      </w:r>
      <w:r w:rsidR="0001106E" w:rsidRPr="00770564">
        <w:rPr>
          <w:rFonts w:asciiTheme="majorHAnsi" w:hAnsiTheme="majorHAnsi" w:cs="Verdana"/>
          <w:sz w:val="20"/>
          <w:szCs w:val="20"/>
          <w:lang w:val="es-ES"/>
        </w:rPr>
        <w:t>n adoptada</w:t>
      </w:r>
      <w:r w:rsidR="00EC0CD7" w:rsidRPr="00770564">
        <w:rPr>
          <w:rFonts w:asciiTheme="majorHAnsi" w:hAnsiTheme="majorHAnsi" w:cs="Verdana"/>
          <w:sz w:val="20"/>
          <w:szCs w:val="20"/>
          <w:lang w:val="es-ES"/>
        </w:rPr>
        <w:t xml:space="preserve"> y que e</w:t>
      </w:r>
      <w:r w:rsidR="007A6630" w:rsidRPr="00770564">
        <w:rPr>
          <w:rFonts w:asciiTheme="majorHAnsi" w:hAnsiTheme="majorHAnsi" w:cs="Verdana"/>
          <w:sz w:val="20"/>
          <w:szCs w:val="20"/>
          <w:lang w:val="es-ES"/>
        </w:rPr>
        <w:t xml:space="preserve">sto último </w:t>
      </w:r>
      <w:r w:rsidR="00EC0CD7" w:rsidRPr="00770564">
        <w:rPr>
          <w:rFonts w:asciiTheme="majorHAnsi" w:hAnsiTheme="majorHAnsi" w:cs="Verdana"/>
          <w:sz w:val="20"/>
          <w:szCs w:val="20"/>
          <w:lang w:val="es-ES"/>
        </w:rPr>
        <w:t>fue</w:t>
      </w:r>
      <w:r w:rsidR="00B03058" w:rsidRPr="00770564">
        <w:rPr>
          <w:rFonts w:asciiTheme="majorHAnsi" w:hAnsiTheme="majorHAnsi" w:cs="Verdana"/>
          <w:sz w:val="20"/>
          <w:szCs w:val="20"/>
          <w:lang w:val="es-ES"/>
        </w:rPr>
        <w:t xml:space="preserve"> </w:t>
      </w:r>
      <w:r w:rsidR="007A6630" w:rsidRPr="00770564">
        <w:rPr>
          <w:rFonts w:asciiTheme="majorHAnsi" w:hAnsiTheme="majorHAnsi" w:cs="Verdana"/>
          <w:sz w:val="20"/>
          <w:szCs w:val="20"/>
          <w:lang w:val="es-ES"/>
        </w:rPr>
        <w:t>aceptado por el Estado</w:t>
      </w:r>
      <w:r w:rsidR="0057213C" w:rsidRPr="00770564">
        <w:rPr>
          <w:rFonts w:asciiTheme="majorHAnsi" w:hAnsiTheme="majorHAnsi" w:cs="Verdana"/>
          <w:sz w:val="20"/>
          <w:szCs w:val="20"/>
          <w:lang w:val="es-ES"/>
        </w:rPr>
        <w:t xml:space="preserve">. </w:t>
      </w:r>
    </w:p>
    <w:p w:rsidR="00EC0CD7" w:rsidRPr="00EB3DC6" w:rsidRDefault="007A446E" w:rsidP="0057213C">
      <w:pPr>
        <w:pStyle w:val="ListParagraph"/>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jc w:val="both"/>
        <w:rPr>
          <w:rFonts w:asciiTheme="majorHAnsi" w:hAnsiTheme="majorHAnsi" w:cs="Times New Roman"/>
          <w:sz w:val="20"/>
          <w:szCs w:val="20"/>
          <w:vertAlign w:val="superscript"/>
          <w:lang w:val="es-ES_tradnl" w:eastAsia="en-US"/>
        </w:rPr>
      </w:pPr>
      <w:r w:rsidRPr="00770564">
        <w:rPr>
          <w:rFonts w:asciiTheme="majorHAnsi" w:hAnsiTheme="majorHAnsi"/>
          <w:sz w:val="20"/>
          <w:szCs w:val="20"/>
          <w:lang w:val="es-PE"/>
        </w:rPr>
        <w:t>E</w:t>
      </w:r>
      <w:r w:rsidR="00EC0CD7" w:rsidRPr="00770564">
        <w:rPr>
          <w:rFonts w:asciiTheme="majorHAnsi" w:hAnsiTheme="majorHAnsi"/>
          <w:sz w:val="20"/>
          <w:szCs w:val="20"/>
          <w:lang w:val="es-ES"/>
        </w:rPr>
        <w:t xml:space="preserve">l Estado </w:t>
      </w:r>
      <w:r w:rsidR="00583D5E" w:rsidRPr="00770564">
        <w:rPr>
          <w:rFonts w:asciiTheme="majorHAnsi" w:hAnsiTheme="majorHAnsi"/>
          <w:sz w:val="20"/>
          <w:szCs w:val="20"/>
          <w:lang w:val="es-ES"/>
        </w:rPr>
        <w:t>alega</w:t>
      </w:r>
      <w:r w:rsidRPr="00770564">
        <w:rPr>
          <w:rFonts w:asciiTheme="majorHAnsi" w:hAnsiTheme="majorHAnsi"/>
          <w:sz w:val="20"/>
          <w:szCs w:val="20"/>
          <w:lang w:val="es-ES"/>
        </w:rPr>
        <w:t>, sin embargo,</w:t>
      </w:r>
      <w:r w:rsidR="00EC0CD7" w:rsidRPr="00770564">
        <w:rPr>
          <w:rFonts w:asciiTheme="majorHAnsi" w:hAnsiTheme="majorHAnsi"/>
          <w:sz w:val="20"/>
          <w:szCs w:val="20"/>
          <w:lang w:val="es-ES"/>
        </w:rPr>
        <w:t xml:space="preserve"> que las presuntas víctimas</w:t>
      </w:r>
      <w:r w:rsidRPr="00770564">
        <w:rPr>
          <w:rFonts w:asciiTheme="majorHAnsi" w:hAnsiTheme="majorHAnsi"/>
          <w:sz w:val="20"/>
          <w:szCs w:val="20"/>
          <w:lang w:val="es-ES"/>
        </w:rPr>
        <w:t xml:space="preserve"> </w:t>
      </w:r>
      <w:r w:rsidR="00583D5E" w:rsidRPr="00770564">
        <w:rPr>
          <w:rFonts w:asciiTheme="majorHAnsi" w:hAnsiTheme="majorHAnsi"/>
          <w:sz w:val="20"/>
          <w:szCs w:val="20"/>
          <w:lang w:val="es-ES"/>
        </w:rPr>
        <w:t xml:space="preserve">no </w:t>
      </w:r>
      <w:r w:rsidR="00EC0CD7" w:rsidRPr="00770564">
        <w:rPr>
          <w:rFonts w:asciiTheme="majorHAnsi" w:hAnsiTheme="majorHAnsi"/>
          <w:sz w:val="20"/>
          <w:szCs w:val="20"/>
          <w:lang w:val="es-ES"/>
        </w:rPr>
        <w:t>agota</w:t>
      </w:r>
      <w:r w:rsidR="00583D5E" w:rsidRPr="00770564">
        <w:rPr>
          <w:rFonts w:asciiTheme="majorHAnsi" w:hAnsiTheme="majorHAnsi"/>
          <w:sz w:val="20"/>
          <w:szCs w:val="20"/>
          <w:lang w:val="es-ES"/>
        </w:rPr>
        <w:t>ron</w:t>
      </w:r>
      <w:r w:rsidR="00EC0CD7" w:rsidRPr="00770564">
        <w:rPr>
          <w:rFonts w:asciiTheme="majorHAnsi" w:hAnsiTheme="majorHAnsi"/>
          <w:sz w:val="20"/>
          <w:szCs w:val="20"/>
          <w:lang w:val="es-ES"/>
        </w:rPr>
        <w:t xml:space="preserve"> los recursos internos, en tanto personas naturales</w:t>
      </w:r>
      <w:r w:rsidR="00583D5E" w:rsidRPr="00770564">
        <w:rPr>
          <w:rFonts w:asciiTheme="majorHAnsi" w:hAnsiTheme="majorHAnsi"/>
          <w:sz w:val="20"/>
          <w:szCs w:val="20"/>
          <w:lang w:val="es-ES"/>
        </w:rPr>
        <w:t xml:space="preserve">. </w:t>
      </w:r>
      <w:r w:rsidR="00EC0CD7" w:rsidRPr="00770564">
        <w:rPr>
          <w:rFonts w:asciiTheme="majorHAnsi" w:hAnsiTheme="majorHAnsi"/>
          <w:sz w:val="20"/>
          <w:szCs w:val="20"/>
          <w:lang w:val="es-ES"/>
        </w:rPr>
        <w:t xml:space="preserve">El Estado </w:t>
      </w:r>
      <w:r w:rsidR="00583D5E" w:rsidRPr="00770564">
        <w:rPr>
          <w:rFonts w:asciiTheme="majorHAnsi" w:hAnsiTheme="majorHAnsi"/>
          <w:sz w:val="20"/>
          <w:szCs w:val="20"/>
          <w:lang w:val="es-ES"/>
        </w:rPr>
        <w:t>sostiene</w:t>
      </w:r>
      <w:r w:rsidR="00EC0CD7" w:rsidRPr="00770564">
        <w:rPr>
          <w:rFonts w:asciiTheme="majorHAnsi" w:hAnsiTheme="majorHAnsi"/>
          <w:sz w:val="20"/>
          <w:szCs w:val="20"/>
          <w:lang w:val="es-ES"/>
        </w:rPr>
        <w:t xml:space="preserve"> que el Tribunal Electoral del Poder Judicial Federal puede </w:t>
      </w:r>
      <w:r w:rsidR="00EC0CD7" w:rsidRPr="00EB3DC6">
        <w:rPr>
          <w:rFonts w:asciiTheme="majorHAnsi" w:hAnsiTheme="majorHAnsi"/>
          <w:sz w:val="20"/>
          <w:szCs w:val="20"/>
          <w:lang w:val="es-ES"/>
        </w:rPr>
        <w:t>resolver impugnaciones sobre actos y resoluciones que violen derechos políticos</w:t>
      </w:r>
      <w:r w:rsidR="00583D5E" w:rsidRPr="00EB3DC6">
        <w:rPr>
          <w:rFonts w:asciiTheme="majorHAnsi" w:hAnsiTheme="majorHAnsi"/>
          <w:sz w:val="20"/>
          <w:szCs w:val="20"/>
          <w:lang w:val="es-ES"/>
        </w:rPr>
        <w:t xml:space="preserve"> electorales de los ciudadanos. D</w:t>
      </w:r>
      <w:r w:rsidR="00EC0CD7" w:rsidRPr="00EB3DC6">
        <w:rPr>
          <w:rFonts w:asciiTheme="majorHAnsi" w:hAnsiTheme="majorHAnsi"/>
          <w:sz w:val="20"/>
          <w:szCs w:val="20"/>
          <w:lang w:val="es-ES"/>
        </w:rPr>
        <w:t>ichos recursos, enfatiza, se encuentran reconocidos en la Ley General del Sistema de Medios de Impugnación en materia electoral, en los artículos 79</w:t>
      </w:r>
      <w:r w:rsidR="001A29E8" w:rsidRPr="00EB3DC6">
        <w:rPr>
          <w:rFonts w:asciiTheme="majorHAnsi" w:hAnsiTheme="majorHAnsi"/>
          <w:sz w:val="20"/>
          <w:szCs w:val="20"/>
          <w:lang w:val="es-ES"/>
        </w:rPr>
        <w:t xml:space="preserve"> y 80</w:t>
      </w:r>
      <w:r w:rsidR="00EC0CD7" w:rsidRPr="00EB3DC6">
        <w:rPr>
          <w:rFonts w:asciiTheme="majorHAnsi" w:hAnsiTheme="majorHAnsi"/>
          <w:sz w:val="20"/>
          <w:szCs w:val="20"/>
          <w:lang w:val="es-ES"/>
        </w:rPr>
        <w:t>. Asimismo, agrega que, en la misma ley, el artículo 12 contempla la figura de “tercero interesado”, que permitiría a la persona física vincularse al procedimiento seguido contra la persona jurídica para garantizar la protección de sus derechos político</w:t>
      </w:r>
      <w:r w:rsidR="00583D5E" w:rsidRPr="00EB3DC6">
        <w:rPr>
          <w:rFonts w:asciiTheme="majorHAnsi" w:hAnsiTheme="majorHAnsi"/>
          <w:sz w:val="20"/>
          <w:szCs w:val="20"/>
          <w:lang w:val="es-ES"/>
        </w:rPr>
        <w:t>s</w:t>
      </w:r>
      <w:r w:rsidR="00EC0CD7" w:rsidRPr="00EB3DC6">
        <w:rPr>
          <w:rFonts w:asciiTheme="majorHAnsi" w:hAnsiTheme="majorHAnsi"/>
          <w:sz w:val="20"/>
          <w:szCs w:val="20"/>
          <w:lang w:val="es-ES"/>
        </w:rPr>
        <w:t xml:space="preserve"> electorales como ciudadano.  </w:t>
      </w:r>
    </w:p>
    <w:p w:rsidR="00007ED1" w:rsidRPr="00EB3DC6" w:rsidRDefault="00007ED1" w:rsidP="0057213C">
      <w:pPr>
        <w:pStyle w:val="ListParagraph"/>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jc w:val="both"/>
        <w:rPr>
          <w:rFonts w:asciiTheme="majorHAnsi" w:hAnsiTheme="majorHAnsi" w:cs="Times New Roman"/>
          <w:sz w:val="20"/>
          <w:szCs w:val="20"/>
          <w:vertAlign w:val="superscript"/>
          <w:lang w:val="es-ES_tradnl" w:eastAsia="en-US"/>
        </w:rPr>
      </w:pPr>
      <w:r w:rsidRPr="00EB3DC6">
        <w:rPr>
          <w:rFonts w:asciiTheme="majorHAnsi" w:hAnsiTheme="majorHAnsi" w:cs="Times New Roman"/>
          <w:sz w:val="20"/>
          <w:szCs w:val="20"/>
          <w:lang w:val="es-ES_tradnl" w:eastAsia="en-US"/>
        </w:rPr>
        <w:t>La CIDH</w:t>
      </w:r>
      <w:r w:rsidR="00625DC1" w:rsidRPr="00EB3DC6">
        <w:rPr>
          <w:rFonts w:asciiTheme="majorHAnsi" w:hAnsiTheme="majorHAnsi" w:cs="Times New Roman"/>
          <w:sz w:val="20"/>
          <w:szCs w:val="20"/>
          <w:lang w:val="es-ES_tradnl" w:eastAsia="en-US"/>
        </w:rPr>
        <w:t xml:space="preserve"> </w:t>
      </w:r>
      <w:r w:rsidR="00A43428" w:rsidRPr="00EB3DC6">
        <w:rPr>
          <w:rFonts w:asciiTheme="majorHAnsi" w:hAnsiTheme="majorHAnsi" w:cs="Times New Roman"/>
          <w:sz w:val="20"/>
          <w:szCs w:val="20"/>
          <w:lang w:val="es-ES_tradnl" w:eastAsia="en-US"/>
        </w:rPr>
        <w:t xml:space="preserve">ha entendido </w:t>
      </w:r>
      <w:r w:rsidRPr="00EB3DC6">
        <w:rPr>
          <w:sz w:val="20"/>
          <w:szCs w:val="20"/>
          <w:lang w:val="es-ES"/>
        </w:rPr>
        <w:t xml:space="preserve">que el hecho de que los recursos internos hubieran sido agotados en nombre de una persona jurídica, no excluye automáticamente la posibilidad de pronunciarse sobre las afectaciones a los derechos de las personas naturales como consecuencia de actos u omisiones que afectan a personas jurídicas. Corresponde entonces evaluar, en cada caso, si la persona natural contaba - efectivamente y frente al acto u omisión estatal específico - con recursos para alegar en calidad de tal la violación a sus derechos humanos. </w:t>
      </w:r>
      <w:r w:rsidR="00A43428" w:rsidRPr="00EB3DC6">
        <w:rPr>
          <w:sz w:val="20"/>
          <w:szCs w:val="20"/>
          <w:lang w:val="es-ES"/>
        </w:rPr>
        <w:t>Cuando los</w:t>
      </w:r>
      <w:r w:rsidRPr="00EB3DC6">
        <w:rPr>
          <w:sz w:val="20"/>
          <w:szCs w:val="20"/>
          <w:lang w:val="es-ES"/>
        </w:rPr>
        <w:t xml:space="preserve"> recursos </w:t>
      </w:r>
      <w:r w:rsidR="00A43428" w:rsidRPr="00EB3DC6">
        <w:rPr>
          <w:sz w:val="20"/>
          <w:szCs w:val="20"/>
          <w:lang w:val="es-ES"/>
        </w:rPr>
        <w:t xml:space="preserve">judiciales </w:t>
      </w:r>
      <w:r w:rsidRPr="00EB3DC6">
        <w:rPr>
          <w:sz w:val="20"/>
          <w:szCs w:val="20"/>
          <w:lang w:val="es-ES"/>
        </w:rPr>
        <w:t xml:space="preserve">sólo podían ser agotados en nombre de la persona jurídica, la Comisión </w:t>
      </w:r>
      <w:r w:rsidR="00A43428" w:rsidRPr="00EB3DC6">
        <w:rPr>
          <w:sz w:val="20"/>
          <w:szCs w:val="20"/>
          <w:lang w:val="es-ES"/>
        </w:rPr>
        <w:t xml:space="preserve">ha </w:t>
      </w:r>
      <w:r w:rsidRPr="00EB3DC6">
        <w:rPr>
          <w:sz w:val="20"/>
          <w:szCs w:val="20"/>
          <w:lang w:val="es-ES"/>
        </w:rPr>
        <w:t>prest</w:t>
      </w:r>
      <w:r w:rsidR="00A43428" w:rsidRPr="00EB3DC6">
        <w:rPr>
          <w:sz w:val="20"/>
          <w:szCs w:val="20"/>
          <w:lang w:val="es-ES"/>
        </w:rPr>
        <w:t>ado</w:t>
      </w:r>
      <w:r w:rsidRPr="00EB3DC6">
        <w:rPr>
          <w:sz w:val="20"/>
          <w:szCs w:val="20"/>
          <w:lang w:val="es-ES"/>
        </w:rPr>
        <w:t xml:space="preserve"> especial atención a la coincidencia de argumentos a nivel interno respecto de los </w:t>
      </w:r>
      <w:r w:rsidRPr="00EB3DC6">
        <w:rPr>
          <w:sz w:val="20"/>
          <w:szCs w:val="20"/>
          <w:lang w:val="es-ES"/>
        </w:rPr>
        <w:lastRenderedPageBreak/>
        <w:t>planteados ante la Comisión”</w:t>
      </w:r>
      <w:r w:rsidR="00A43428" w:rsidRPr="00EB3DC6">
        <w:rPr>
          <w:rStyle w:val="FootnoteReference"/>
          <w:sz w:val="20"/>
          <w:szCs w:val="20"/>
          <w:lang w:val="es-ES"/>
        </w:rPr>
        <w:footnoteReference w:id="22"/>
      </w:r>
      <w:r w:rsidRPr="00EB3DC6">
        <w:rPr>
          <w:sz w:val="20"/>
          <w:szCs w:val="20"/>
          <w:lang w:val="es-ES"/>
        </w:rPr>
        <w:t>.</w:t>
      </w:r>
    </w:p>
    <w:p w:rsidR="0057213C" w:rsidRPr="00EB3DC6" w:rsidRDefault="00A07C45" w:rsidP="0057213C">
      <w:pPr>
        <w:pStyle w:val="ListParagraph"/>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jc w:val="both"/>
        <w:rPr>
          <w:rFonts w:asciiTheme="majorHAnsi" w:hAnsiTheme="majorHAnsi" w:cs="Times New Roman"/>
          <w:sz w:val="20"/>
          <w:szCs w:val="20"/>
          <w:vertAlign w:val="superscript"/>
          <w:lang w:val="es-ES_tradnl" w:eastAsia="en-US"/>
        </w:rPr>
      </w:pPr>
      <w:r w:rsidRPr="00EB3DC6">
        <w:rPr>
          <w:rFonts w:asciiTheme="majorHAnsi" w:hAnsiTheme="majorHAnsi" w:cs="Verdana"/>
          <w:sz w:val="20"/>
          <w:szCs w:val="20"/>
          <w:lang w:val="es-ES"/>
        </w:rPr>
        <w:t>Asimismo</w:t>
      </w:r>
      <w:r w:rsidR="00007ED1" w:rsidRPr="00EB3DC6">
        <w:rPr>
          <w:rFonts w:asciiTheme="majorHAnsi" w:hAnsiTheme="majorHAnsi" w:cs="Verdana"/>
          <w:sz w:val="20"/>
          <w:szCs w:val="20"/>
          <w:lang w:val="es-ES"/>
        </w:rPr>
        <w:t>, l</w:t>
      </w:r>
      <w:r w:rsidR="0057213C" w:rsidRPr="00EB3DC6">
        <w:rPr>
          <w:rFonts w:asciiTheme="majorHAnsi" w:hAnsiTheme="majorHAnsi" w:cs="Verdana"/>
          <w:sz w:val="20"/>
          <w:szCs w:val="20"/>
          <w:lang w:val="es-ES"/>
        </w:rPr>
        <w:t xml:space="preserve">a Corte </w:t>
      </w:r>
      <w:r w:rsidR="00583D5E" w:rsidRPr="00EB3DC6">
        <w:rPr>
          <w:rFonts w:asciiTheme="majorHAnsi" w:hAnsiTheme="majorHAnsi" w:cs="Verdana"/>
          <w:sz w:val="20"/>
          <w:szCs w:val="20"/>
          <w:lang w:val="es-ES"/>
        </w:rPr>
        <w:t xml:space="preserve">IDH </w:t>
      </w:r>
      <w:r w:rsidR="0057213C" w:rsidRPr="00EB3DC6">
        <w:rPr>
          <w:rFonts w:asciiTheme="majorHAnsi" w:hAnsiTheme="majorHAnsi" w:cs="Verdana"/>
          <w:sz w:val="20"/>
          <w:szCs w:val="20"/>
          <w:lang w:val="es-ES"/>
        </w:rPr>
        <w:t>ha afirmado que</w:t>
      </w:r>
      <w:r w:rsidR="00007ED1" w:rsidRPr="00EB3DC6">
        <w:rPr>
          <w:rFonts w:asciiTheme="majorHAnsi" w:hAnsiTheme="majorHAnsi" w:cs="Verdana"/>
          <w:sz w:val="20"/>
          <w:szCs w:val="20"/>
          <w:lang w:val="es-ES"/>
        </w:rPr>
        <w:t>,</w:t>
      </w:r>
      <w:r w:rsidR="0057213C" w:rsidRPr="00EB3DC6">
        <w:rPr>
          <w:rFonts w:asciiTheme="majorHAnsi" w:hAnsiTheme="majorHAnsi" w:cs="Verdana"/>
          <w:sz w:val="20"/>
          <w:szCs w:val="20"/>
          <w:lang w:val="es-ES"/>
        </w:rPr>
        <w:t xml:space="preserve"> </w:t>
      </w:r>
      <w:r w:rsidR="00007ED1" w:rsidRPr="00EB3DC6">
        <w:rPr>
          <w:rFonts w:asciiTheme="majorHAnsi" w:hAnsiTheme="majorHAnsi" w:cs="Verdana"/>
          <w:sz w:val="20"/>
          <w:szCs w:val="20"/>
          <w:lang w:val="es-ES"/>
        </w:rPr>
        <w:t xml:space="preserve">para los efectos de la admisibilidad de la petición, </w:t>
      </w:r>
      <w:r w:rsidR="000776DE" w:rsidRPr="00EB3DC6">
        <w:rPr>
          <w:rFonts w:asciiTheme="majorHAnsi" w:hAnsiTheme="majorHAnsi" w:cs="Verdana"/>
          <w:sz w:val="20"/>
          <w:szCs w:val="20"/>
          <w:lang w:val="es-ES"/>
        </w:rPr>
        <w:t>“</w:t>
      </w:r>
      <w:r w:rsidR="00013314" w:rsidRPr="00EB3DC6">
        <w:rPr>
          <w:rFonts w:asciiTheme="majorHAnsi" w:hAnsiTheme="majorHAnsi" w:cs="Verdana"/>
          <w:sz w:val="20"/>
          <w:szCs w:val="20"/>
          <w:lang w:val="es-ES"/>
        </w:rPr>
        <w:t>si se comprueba que el recurso agotado por la persona jurídica protege los derechos individuales de las personas naturales que pretenden acudir ante el sistema interamericano, el mismo podrá ser entendido como un recurso idóneo y efectivo</w:t>
      </w:r>
      <w:r w:rsidR="00013314" w:rsidRPr="00EB3DC6">
        <w:rPr>
          <w:rStyle w:val="FootnoteReference"/>
          <w:rFonts w:asciiTheme="majorHAnsi" w:hAnsiTheme="majorHAnsi" w:cs="Verdana"/>
          <w:sz w:val="20"/>
          <w:szCs w:val="20"/>
          <w:lang w:val="es-ES"/>
        </w:rPr>
        <w:footnoteReference w:id="23"/>
      </w:r>
      <w:r w:rsidR="00013314" w:rsidRPr="00EB3DC6">
        <w:rPr>
          <w:rFonts w:asciiTheme="majorHAnsi" w:hAnsiTheme="majorHAnsi" w:cs="Verdana"/>
          <w:sz w:val="20"/>
          <w:szCs w:val="20"/>
          <w:lang w:val="es-ES"/>
        </w:rPr>
        <w:t>.</w:t>
      </w:r>
      <w:r w:rsidR="00AA3787" w:rsidRPr="00EB3DC6">
        <w:rPr>
          <w:rFonts w:asciiTheme="majorHAnsi" w:hAnsiTheme="majorHAnsi" w:cs="Verdana"/>
          <w:sz w:val="20"/>
          <w:szCs w:val="20"/>
          <w:lang w:val="es-ES"/>
        </w:rPr>
        <w:t xml:space="preserve"> </w:t>
      </w:r>
      <w:r w:rsidR="00AA3787" w:rsidRPr="00EB3DC6">
        <w:rPr>
          <w:rFonts w:asciiTheme="majorHAnsi" w:hAnsiTheme="majorHAnsi" w:cs="Times"/>
          <w:sz w:val="20"/>
          <w:szCs w:val="20"/>
          <w:lang w:val="es-ES_tradnl"/>
        </w:rPr>
        <w:t>A este respecto, la Corte IDH e</w:t>
      </w:r>
      <w:r w:rsidR="00737BCB" w:rsidRPr="00EB3DC6">
        <w:rPr>
          <w:rFonts w:asciiTheme="majorHAnsi" w:hAnsiTheme="majorHAnsi" w:cs="Times"/>
          <w:sz w:val="20"/>
          <w:szCs w:val="20"/>
          <w:lang w:val="es-ES"/>
        </w:rPr>
        <w:t>nfatizó</w:t>
      </w:r>
      <w:r w:rsidR="0057213C" w:rsidRPr="00EB3DC6">
        <w:rPr>
          <w:rFonts w:asciiTheme="majorHAnsi" w:hAnsiTheme="majorHAnsi" w:cs="Times"/>
          <w:sz w:val="20"/>
          <w:szCs w:val="20"/>
          <w:lang w:val="es-ES"/>
        </w:rPr>
        <w:t xml:space="preserve"> que</w:t>
      </w:r>
      <w:r w:rsidR="00013314" w:rsidRPr="00EB3DC6">
        <w:rPr>
          <w:rFonts w:asciiTheme="majorHAnsi" w:hAnsiTheme="majorHAnsi" w:cs="Times"/>
          <w:sz w:val="20"/>
          <w:szCs w:val="20"/>
          <w:lang w:val="es-ES"/>
        </w:rPr>
        <w:t>,</w:t>
      </w:r>
      <w:r w:rsidR="0057213C" w:rsidRPr="00EB3DC6">
        <w:rPr>
          <w:rFonts w:asciiTheme="majorHAnsi" w:hAnsiTheme="majorHAnsi" w:cs="Times"/>
          <w:sz w:val="20"/>
          <w:szCs w:val="20"/>
          <w:lang w:val="es-ES"/>
        </w:rPr>
        <w:t xml:space="preserve"> en</w:t>
      </w:r>
      <w:r w:rsidR="00AA3787" w:rsidRPr="00EB3DC6">
        <w:rPr>
          <w:rFonts w:asciiTheme="majorHAnsi" w:hAnsiTheme="majorHAnsi" w:cs="Times"/>
          <w:sz w:val="20"/>
          <w:szCs w:val="20"/>
          <w:lang w:val="es-ES"/>
        </w:rPr>
        <w:t xml:space="preserve"> este tipo de asuntos</w:t>
      </w:r>
      <w:r w:rsidR="0057213C" w:rsidRPr="00EB3DC6">
        <w:rPr>
          <w:rFonts w:asciiTheme="majorHAnsi" w:hAnsiTheme="majorHAnsi" w:cs="Times"/>
          <w:sz w:val="20"/>
          <w:szCs w:val="20"/>
          <w:lang w:val="es-ES"/>
        </w:rPr>
        <w:t xml:space="preserve">, </w:t>
      </w:r>
      <w:r w:rsidR="00A64BEB" w:rsidRPr="00EB3DC6">
        <w:rPr>
          <w:rFonts w:asciiTheme="majorHAnsi" w:hAnsiTheme="majorHAnsi" w:cs="Times"/>
          <w:sz w:val="20"/>
          <w:szCs w:val="20"/>
          <w:lang w:val="es-ES"/>
        </w:rPr>
        <w:t>“</w:t>
      </w:r>
      <w:r w:rsidR="0057213C" w:rsidRPr="00EB3DC6">
        <w:rPr>
          <w:rFonts w:asciiTheme="majorHAnsi" w:hAnsiTheme="majorHAnsi" w:cs="Verdana"/>
          <w:sz w:val="20"/>
          <w:szCs w:val="20"/>
          <w:lang w:val="es-ES"/>
        </w:rPr>
        <w:t>se deben tener por agotados los recursos internos en cumplimiento del artículo 46.1.a) de la Convención cuando: i) se compruebe que se presentaron los recursos disponibles, idóneos y efectivos para la protección de sus derechos, independientemente de que dichos recursos hayan sido presentados y resueltos a favor de una persona jurídica, y ii) se demuestre que existe una coincidencia entre las pretensiones que la persona jurídica alegó en los procedimientos internos y las presuntas violaciones que se argumenten ante el sistema interamericano</w:t>
      </w:r>
      <w:r w:rsidR="00A64BEB" w:rsidRPr="00EB3DC6">
        <w:rPr>
          <w:rFonts w:asciiTheme="majorHAnsi" w:hAnsiTheme="majorHAnsi" w:cs="Verdana"/>
          <w:sz w:val="20"/>
          <w:szCs w:val="20"/>
          <w:lang w:val="es-ES"/>
        </w:rPr>
        <w:t>”</w:t>
      </w:r>
      <w:r w:rsidR="00A64BEB" w:rsidRPr="00EB3DC6">
        <w:rPr>
          <w:rStyle w:val="FootnoteReference"/>
          <w:rFonts w:asciiTheme="majorHAnsi" w:hAnsiTheme="majorHAnsi" w:cs="Verdana"/>
          <w:sz w:val="20"/>
          <w:szCs w:val="20"/>
          <w:lang w:val="es-ES"/>
        </w:rPr>
        <w:footnoteReference w:id="24"/>
      </w:r>
      <w:r w:rsidR="000666BF">
        <w:rPr>
          <w:rFonts w:asciiTheme="majorHAnsi" w:hAnsiTheme="majorHAnsi" w:cs="Verdana"/>
          <w:sz w:val="20"/>
          <w:szCs w:val="20"/>
          <w:lang w:val="es-ES"/>
        </w:rPr>
        <w:t>.</w:t>
      </w:r>
    </w:p>
    <w:p w:rsidR="001A29E8" w:rsidRPr="00EB3DC6" w:rsidRDefault="00735906" w:rsidP="005A12A4">
      <w:pPr>
        <w:pStyle w:val="ListParagraph"/>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adjustRightInd w:val="0"/>
        <w:spacing w:before="240" w:after="240"/>
        <w:jc w:val="both"/>
        <w:rPr>
          <w:rFonts w:asciiTheme="majorHAnsi" w:eastAsia="Arial Unicode MS" w:hAnsiTheme="majorHAnsi" w:cs="Times New Roman"/>
          <w:color w:val="auto"/>
          <w:sz w:val="20"/>
          <w:szCs w:val="20"/>
          <w:lang w:val="es-ES" w:eastAsia="en-US"/>
        </w:rPr>
      </w:pPr>
      <w:r w:rsidRPr="00EB3DC6">
        <w:rPr>
          <w:rFonts w:asciiTheme="majorHAnsi" w:hAnsiTheme="majorHAnsi"/>
          <w:sz w:val="20"/>
          <w:szCs w:val="20"/>
          <w:lang w:val="es-ES"/>
        </w:rPr>
        <w:t xml:space="preserve">En cuanto a los recursos que el Estado aduce </w:t>
      </w:r>
      <w:r w:rsidR="00744F0C" w:rsidRPr="00EB3DC6">
        <w:rPr>
          <w:rFonts w:asciiTheme="majorHAnsi" w:hAnsiTheme="majorHAnsi"/>
          <w:sz w:val="20"/>
          <w:szCs w:val="20"/>
          <w:lang w:val="es-ES"/>
        </w:rPr>
        <w:t xml:space="preserve">que </w:t>
      </w:r>
      <w:r w:rsidRPr="00EB3DC6">
        <w:rPr>
          <w:rFonts w:asciiTheme="majorHAnsi" w:hAnsiTheme="majorHAnsi"/>
          <w:sz w:val="20"/>
          <w:szCs w:val="20"/>
          <w:lang w:val="es-ES"/>
        </w:rPr>
        <w:t>debían ser agotados por las presuntas víctimas en el presente caso, l</w:t>
      </w:r>
      <w:r w:rsidR="0000532E" w:rsidRPr="00EB3DC6">
        <w:rPr>
          <w:rFonts w:asciiTheme="majorHAnsi" w:hAnsiTheme="majorHAnsi"/>
          <w:sz w:val="20"/>
          <w:szCs w:val="20"/>
          <w:lang w:val="es-ES"/>
        </w:rPr>
        <w:t xml:space="preserve">a CIDH advierte que </w:t>
      </w:r>
      <w:r w:rsidR="005A12A4" w:rsidRPr="00EB3DC6">
        <w:rPr>
          <w:rFonts w:asciiTheme="majorHAnsi" w:hAnsiTheme="majorHAnsi"/>
          <w:sz w:val="20"/>
          <w:szCs w:val="20"/>
          <w:lang w:val="es-ES"/>
        </w:rPr>
        <w:t>según el artículo 12, primer párrafo, inciso c)</w:t>
      </w:r>
      <w:r w:rsidR="001A29E8" w:rsidRPr="00EB3DC6">
        <w:rPr>
          <w:rStyle w:val="FootnoteReference"/>
          <w:rFonts w:asciiTheme="majorHAnsi" w:hAnsiTheme="majorHAnsi"/>
          <w:sz w:val="20"/>
          <w:szCs w:val="20"/>
          <w:lang w:val="es-ES"/>
        </w:rPr>
        <w:t xml:space="preserve"> </w:t>
      </w:r>
      <w:r w:rsidR="001A29E8" w:rsidRPr="00EB3DC6">
        <w:rPr>
          <w:rStyle w:val="FootnoteReference"/>
          <w:rFonts w:asciiTheme="majorHAnsi" w:hAnsiTheme="majorHAnsi"/>
          <w:sz w:val="20"/>
          <w:szCs w:val="20"/>
          <w:lang w:val="es-ES"/>
        </w:rPr>
        <w:footnoteReference w:id="25"/>
      </w:r>
      <w:r w:rsidR="00132621" w:rsidRPr="00EB3DC6">
        <w:rPr>
          <w:rFonts w:asciiTheme="majorHAnsi" w:hAnsiTheme="majorHAnsi"/>
          <w:sz w:val="20"/>
          <w:szCs w:val="20"/>
          <w:lang w:val="es-ES"/>
        </w:rPr>
        <w:t>,</w:t>
      </w:r>
      <w:r w:rsidR="005A12A4" w:rsidRPr="00EB3DC6">
        <w:rPr>
          <w:rFonts w:asciiTheme="majorHAnsi" w:hAnsiTheme="majorHAnsi"/>
          <w:sz w:val="20"/>
          <w:szCs w:val="20"/>
          <w:lang w:val="es-ES"/>
        </w:rPr>
        <w:t xml:space="preserve"> de la </w:t>
      </w:r>
      <w:r w:rsidR="00B66691" w:rsidRPr="00EB3DC6">
        <w:rPr>
          <w:rFonts w:asciiTheme="majorHAnsi" w:hAnsiTheme="majorHAnsi"/>
          <w:sz w:val="20"/>
          <w:szCs w:val="20"/>
          <w:lang w:val="es-AR"/>
        </w:rPr>
        <w:t xml:space="preserve">Ley General del Sistema de Medios de Impugnación en Materia Electoral </w:t>
      </w:r>
      <w:r w:rsidR="005A12A4" w:rsidRPr="00EB3DC6">
        <w:rPr>
          <w:sz w:val="20"/>
          <w:szCs w:val="20"/>
          <w:lang w:val="es-AR"/>
        </w:rPr>
        <w:t>LGSMIME</w:t>
      </w:r>
      <w:r w:rsidR="005A12A4" w:rsidRPr="00EB3DC6">
        <w:rPr>
          <w:rFonts w:asciiTheme="majorHAnsi" w:hAnsiTheme="majorHAnsi"/>
          <w:sz w:val="20"/>
          <w:szCs w:val="20"/>
          <w:lang w:val="es-ES"/>
        </w:rPr>
        <w:t xml:space="preserve">, </w:t>
      </w:r>
      <w:r w:rsidR="007C5E14" w:rsidRPr="00EB3DC6">
        <w:rPr>
          <w:rFonts w:asciiTheme="majorHAnsi" w:hAnsiTheme="majorHAnsi"/>
          <w:sz w:val="20"/>
          <w:szCs w:val="20"/>
          <w:lang w:val="es-ES"/>
        </w:rPr>
        <w:t xml:space="preserve">un </w:t>
      </w:r>
      <w:r w:rsidR="00B66691" w:rsidRPr="00EB3DC6">
        <w:rPr>
          <w:rFonts w:asciiTheme="majorHAnsi" w:hAnsiTheme="majorHAnsi"/>
          <w:sz w:val="20"/>
          <w:szCs w:val="20"/>
          <w:lang w:val="es-ES"/>
        </w:rPr>
        <w:t>“</w:t>
      </w:r>
      <w:r w:rsidR="007C5E14" w:rsidRPr="00EB3DC6">
        <w:rPr>
          <w:sz w:val="20"/>
          <w:szCs w:val="20"/>
          <w:lang w:val="es-ES"/>
        </w:rPr>
        <w:t>ciudadano</w:t>
      </w:r>
      <w:r w:rsidR="005A12A4" w:rsidRPr="00EB3DC6">
        <w:rPr>
          <w:sz w:val="20"/>
          <w:szCs w:val="20"/>
          <w:lang w:val="es-ES"/>
        </w:rPr>
        <w:t>”</w:t>
      </w:r>
      <w:r w:rsidR="005A12A4" w:rsidRPr="00EB3DC6">
        <w:rPr>
          <w:rFonts w:asciiTheme="majorHAnsi" w:hAnsiTheme="majorHAnsi"/>
          <w:sz w:val="20"/>
          <w:szCs w:val="20"/>
          <w:lang w:val="es-ES"/>
        </w:rPr>
        <w:t xml:space="preserve"> </w:t>
      </w:r>
      <w:r w:rsidR="00FF0FC1" w:rsidRPr="00EB3DC6">
        <w:rPr>
          <w:rFonts w:asciiTheme="majorHAnsi" w:hAnsiTheme="majorHAnsi"/>
          <w:sz w:val="20"/>
          <w:szCs w:val="20"/>
          <w:lang w:val="es-ES"/>
        </w:rPr>
        <w:t xml:space="preserve">podría ser </w:t>
      </w:r>
      <w:r w:rsidR="005A12A4" w:rsidRPr="00EB3DC6">
        <w:rPr>
          <w:rFonts w:asciiTheme="majorHAnsi" w:hAnsiTheme="majorHAnsi"/>
          <w:sz w:val="20"/>
          <w:szCs w:val="20"/>
          <w:lang w:val="es-ES"/>
        </w:rPr>
        <w:t xml:space="preserve">parte </w:t>
      </w:r>
      <w:r w:rsidR="00B66691" w:rsidRPr="00EB3DC6">
        <w:rPr>
          <w:rFonts w:asciiTheme="majorHAnsi" w:hAnsiTheme="majorHAnsi"/>
          <w:sz w:val="20"/>
          <w:szCs w:val="20"/>
          <w:lang w:val="es-ES"/>
        </w:rPr>
        <w:t>de</w:t>
      </w:r>
      <w:r w:rsidR="00FF0FC1" w:rsidRPr="00EB3DC6">
        <w:rPr>
          <w:rFonts w:asciiTheme="majorHAnsi" w:hAnsiTheme="majorHAnsi"/>
          <w:sz w:val="20"/>
          <w:szCs w:val="20"/>
          <w:lang w:val="es-ES"/>
        </w:rPr>
        <w:t xml:space="preserve"> un</w:t>
      </w:r>
      <w:r w:rsidR="005A12A4" w:rsidRPr="00EB3DC6">
        <w:rPr>
          <w:rFonts w:asciiTheme="majorHAnsi" w:hAnsiTheme="majorHAnsi"/>
          <w:sz w:val="20"/>
          <w:szCs w:val="20"/>
          <w:lang w:val="es-ES"/>
        </w:rPr>
        <w:t xml:space="preserve"> procedimiento </w:t>
      </w:r>
      <w:r w:rsidR="0023609F" w:rsidRPr="00EB3DC6">
        <w:rPr>
          <w:rFonts w:asciiTheme="majorHAnsi" w:hAnsiTheme="majorHAnsi"/>
          <w:sz w:val="20"/>
          <w:szCs w:val="20"/>
          <w:lang w:val="es-ES"/>
        </w:rPr>
        <w:t>de impugnació</w:t>
      </w:r>
      <w:r w:rsidR="00B66691" w:rsidRPr="00EB3DC6">
        <w:rPr>
          <w:rFonts w:asciiTheme="majorHAnsi" w:hAnsiTheme="majorHAnsi"/>
          <w:sz w:val="20"/>
          <w:szCs w:val="20"/>
          <w:lang w:val="es-ES"/>
        </w:rPr>
        <w:t xml:space="preserve">n en materia electoral como “tercero interesado” </w:t>
      </w:r>
      <w:r w:rsidR="007C5E14" w:rsidRPr="00EB3DC6">
        <w:rPr>
          <w:rFonts w:asciiTheme="majorHAnsi" w:hAnsiTheme="majorHAnsi"/>
          <w:sz w:val="20"/>
          <w:szCs w:val="20"/>
          <w:lang w:val="es-ES"/>
        </w:rPr>
        <w:t>cuando tenga un “[i]nterés legí</w:t>
      </w:r>
      <w:r w:rsidR="005A12A4" w:rsidRPr="00EB3DC6">
        <w:rPr>
          <w:rFonts w:asciiTheme="majorHAnsi" w:hAnsiTheme="majorHAnsi"/>
          <w:sz w:val="20"/>
          <w:szCs w:val="20"/>
          <w:lang w:val="es-ES"/>
        </w:rPr>
        <w:t xml:space="preserve">timo en la causa derivado de un derecho incompatible con el que pretende el actor”. </w:t>
      </w:r>
      <w:r w:rsidR="00B66691" w:rsidRPr="00EB3DC6">
        <w:rPr>
          <w:sz w:val="20"/>
          <w:szCs w:val="20"/>
          <w:lang w:val="es-AR"/>
        </w:rPr>
        <w:t xml:space="preserve">Asimismo, observa que, </w:t>
      </w:r>
      <w:r w:rsidR="007C5E14" w:rsidRPr="00EB3DC6">
        <w:rPr>
          <w:rFonts w:asciiTheme="majorHAnsi" w:hAnsiTheme="majorHAnsi"/>
          <w:sz w:val="20"/>
          <w:szCs w:val="20"/>
          <w:lang w:val="es-ES"/>
        </w:rPr>
        <w:t>d</w:t>
      </w:r>
      <w:r w:rsidR="001A29E8" w:rsidRPr="00EB3DC6">
        <w:rPr>
          <w:rFonts w:asciiTheme="majorHAnsi" w:hAnsiTheme="majorHAnsi"/>
          <w:sz w:val="20"/>
          <w:szCs w:val="20"/>
          <w:lang w:val="es-ES"/>
        </w:rPr>
        <w:t>e acuerdo con el artículo 79</w:t>
      </w:r>
      <w:r w:rsidR="001A29E8" w:rsidRPr="00EB3DC6">
        <w:rPr>
          <w:rStyle w:val="FootnoteReference"/>
          <w:rFonts w:asciiTheme="majorHAnsi" w:hAnsiTheme="majorHAnsi"/>
          <w:sz w:val="20"/>
          <w:szCs w:val="20"/>
          <w:lang w:val="es-ES"/>
        </w:rPr>
        <w:footnoteReference w:id="26"/>
      </w:r>
      <w:r w:rsidR="001A29E8" w:rsidRPr="00EB3DC6">
        <w:rPr>
          <w:rFonts w:asciiTheme="majorHAnsi" w:hAnsiTheme="majorHAnsi"/>
          <w:sz w:val="20"/>
          <w:szCs w:val="20"/>
          <w:lang w:val="es-ES"/>
        </w:rPr>
        <w:t xml:space="preserve"> </w:t>
      </w:r>
      <w:r w:rsidR="007C5E14" w:rsidRPr="00EB3DC6">
        <w:rPr>
          <w:rFonts w:asciiTheme="majorHAnsi" w:hAnsiTheme="majorHAnsi"/>
          <w:sz w:val="20"/>
          <w:szCs w:val="20"/>
          <w:lang w:val="es-ES"/>
        </w:rPr>
        <w:t xml:space="preserve">de la </w:t>
      </w:r>
      <w:r w:rsidR="007C5E14" w:rsidRPr="00EB3DC6">
        <w:rPr>
          <w:sz w:val="20"/>
          <w:szCs w:val="20"/>
          <w:lang w:val="es-AR"/>
        </w:rPr>
        <w:t>LGSMIME</w:t>
      </w:r>
      <w:r w:rsidR="005A12A4" w:rsidRPr="00EB3DC6">
        <w:rPr>
          <w:rFonts w:asciiTheme="majorHAnsi" w:hAnsiTheme="majorHAnsi"/>
          <w:sz w:val="20"/>
          <w:szCs w:val="20"/>
          <w:lang w:val="es-ES"/>
        </w:rPr>
        <w:t xml:space="preserve">, </w:t>
      </w:r>
      <w:r w:rsidR="00B66691" w:rsidRPr="00EB3DC6">
        <w:rPr>
          <w:rFonts w:asciiTheme="majorHAnsi" w:hAnsiTheme="majorHAnsi"/>
          <w:sz w:val="20"/>
          <w:szCs w:val="20"/>
          <w:lang w:val="es-ES"/>
        </w:rPr>
        <w:t xml:space="preserve">el juicio para la protección de los derechos político-electorales </w:t>
      </w:r>
      <w:r w:rsidR="00A267AF" w:rsidRPr="00EB3DC6">
        <w:rPr>
          <w:rFonts w:asciiTheme="majorHAnsi" w:hAnsiTheme="majorHAnsi"/>
          <w:sz w:val="20"/>
          <w:szCs w:val="20"/>
          <w:lang w:val="es-ES"/>
        </w:rPr>
        <w:t>“sólo procederá cuando el ciudadano por sí mismo y en forma individual o a través de sus representantes legales, haga valer presuntas violaciones a sus derechos de votar y ser votado en las elecciones populares, de asociarse individual y libremente para tomar parte en forma pacífica en los asuntos políticos y de afiliarse libre e individua</w:t>
      </w:r>
      <w:r w:rsidR="00E06F04" w:rsidRPr="00EB3DC6">
        <w:rPr>
          <w:rFonts w:asciiTheme="majorHAnsi" w:hAnsiTheme="majorHAnsi"/>
          <w:sz w:val="20"/>
          <w:szCs w:val="20"/>
          <w:lang w:val="es-ES"/>
        </w:rPr>
        <w:t>lmente a los partidos políticos</w:t>
      </w:r>
      <w:r w:rsidR="00A267AF" w:rsidRPr="00EB3DC6">
        <w:rPr>
          <w:rFonts w:asciiTheme="majorHAnsi" w:hAnsiTheme="majorHAnsi"/>
          <w:sz w:val="20"/>
          <w:szCs w:val="20"/>
          <w:lang w:val="es-ES"/>
        </w:rPr>
        <w:t>”</w:t>
      </w:r>
      <w:r w:rsidR="005A12A4" w:rsidRPr="00EB3DC6">
        <w:rPr>
          <w:rFonts w:asciiTheme="majorHAnsi" w:hAnsiTheme="majorHAnsi"/>
          <w:sz w:val="20"/>
          <w:szCs w:val="20"/>
          <w:lang w:val="es-ES"/>
        </w:rPr>
        <w:t>. El artículo</w:t>
      </w:r>
      <w:r w:rsidR="001A29E8" w:rsidRPr="00EB3DC6">
        <w:rPr>
          <w:rFonts w:asciiTheme="majorHAnsi" w:hAnsiTheme="majorHAnsi"/>
          <w:sz w:val="20"/>
          <w:szCs w:val="20"/>
          <w:lang w:val="es-ES"/>
        </w:rPr>
        <w:t xml:space="preserve"> 80</w:t>
      </w:r>
      <w:r w:rsidR="001A29E8" w:rsidRPr="00EB3DC6">
        <w:rPr>
          <w:rStyle w:val="FootnoteReference"/>
          <w:rFonts w:asciiTheme="majorHAnsi" w:hAnsiTheme="majorHAnsi"/>
          <w:sz w:val="20"/>
          <w:szCs w:val="20"/>
          <w:lang w:val="es-ES"/>
        </w:rPr>
        <w:footnoteReference w:id="27"/>
      </w:r>
      <w:r w:rsidR="005A12A4" w:rsidRPr="00EB3DC6">
        <w:rPr>
          <w:rFonts w:asciiTheme="majorHAnsi" w:hAnsiTheme="majorHAnsi"/>
          <w:sz w:val="20"/>
          <w:szCs w:val="20"/>
          <w:lang w:val="es-ES"/>
        </w:rPr>
        <w:t xml:space="preserve">, a su vez, establece </w:t>
      </w:r>
      <w:r w:rsidR="00744F0C" w:rsidRPr="00EB3DC6">
        <w:rPr>
          <w:rFonts w:asciiTheme="majorHAnsi" w:hAnsiTheme="majorHAnsi"/>
          <w:sz w:val="20"/>
          <w:szCs w:val="20"/>
          <w:lang w:val="es-ES"/>
        </w:rPr>
        <w:t xml:space="preserve">que </w:t>
      </w:r>
      <w:r w:rsidR="005A12A4" w:rsidRPr="00EB3DC6">
        <w:rPr>
          <w:rFonts w:asciiTheme="majorHAnsi" w:hAnsiTheme="majorHAnsi"/>
          <w:sz w:val="20"/>
          <w:szCs w:val="20"/>
          <w:lang w:val="es-ES"/>
        </w:rPr>
        <w:t xml:space="preserve">este juicio </w:t>
      </w:r>
      <w:r w:rsidR="005A12A4" w:rsidRPr="00EB3DC6">
        <w:rPr>
          <w:rFonts w:asciiTheme="majorHAnsi" w:hAnsiTheme="majorHAnsi"/>
          <w:sz w:val="20"/>
          <w:szCs w:val="20"/>
          <w:lang w:val="es-ES"/>
        </w:rPr>
        <w:lastRenderedPageBreak/>
        <w:t>podría ser promovido por ciudadano</w:t>
      </w:r>
      <w:r w:rsidR="0023609F" w:rsidRPr="00EB3DC6">
        <w:rPr>
          <w:rFonts w:asciiTheme="majorHAnsi" w:hAnsiTheme="majorHAnsi"/>
          <w:sz w:val="20"/>
          <w:szCs w:val="20"/>
          <w:lang w:val="es-ES"/>
        </w:rPr>
        <w:t>s</w:t>
      </w:r>
      <w:r w:rsidR="005A12A4" w:rsidRPr="00EB3DC6">
        <w:rPr>
          <w:rFonts w:asciiTheme="majorHAnsi" w:hAnsiTheme="majorHAnsi"/>
          <w:sz w:val="20"/>
          <w:szCs w:val="20"/>
          <w:lang w:val="es-ES"/>
        </w:rPr>
        <w:t xml:space="preserve"> </w:t>
      </w:r>
      <w:r w:rsidR="00A267AF" w:rsidRPr="00EB3DC6">
        <w:rPr>
          <w:rFonts w:asciiTheme="majorHAnsi" w:hAnsiTheme="majorHAnsi"/>
          <w:sz w:val="20"/>
          <w:szCs w:val="20"/>
          <w:lang w:val="es-ES"/>
        </w:rPr>
        <w:t>cuando</w:t>
      </w:r>
      <w:r w:rsidR="0023609F" w:rsidRPr="00EB3DC6">
        <w:rPr>
          <w:rFonts w:asciiTheme="majorHAnsi" w:hAnsiTheme="majorHAnsi"/>
          <w:sz w:val="20"/>
          <w:szCs w:val="20"/>
          <w:lang w:val="es-ES"/>
        </w:rPr>
        <w:t xml:space="preserve"> “</w:t>
      </w:r>
      <w:r w:rsidR="005A12A4" w:rsidRPr="00EB3DC6">
        <w:rPr>
          <w:rFonts w:asciiTheme="majorHAnsi" w:hAnsiTheme="majorHAnsi"/>
          <w:sz w:val="20"/>
          <w:szCs w:val="20"/>
          <w:lang w:val="es-ES"/>
        </w:rPr>
        <w:t xml:space="preserve">un acto o resolución de la autoridad es violatorio de cualquier otro de los derechos político-electorales a que se refiere el artículo anterior”. </w:t>
      </w:r>
    </w:p>
    <w:p w:rsidR="005A12A4" w:rsidRPr="00EB3DC6" w:rsidRDefault="00FF3891" w:rsidP="002B1660">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adjustRightInd w:val="0"/>
        <w:spacing w:before="240" w:after="240"/>
        <w:jc w:val="both"/>
        <w:rPr>
          <w:rFonts w:ascii="Cambria" w:hAnsi="Cambria"/>
          <w:sz w:val="20"/>
          <w:szCs w:val="20"/>
          <w:lang w:val="es-ES"/>
        </w:rPr>
      </w:pPr>
      <w:r w:rsidRPr="00EB3DC6">
        <w:rPr>
          <w:rFonts w:ascii="Cambria" w:hAnsi="Cambria"/>
          <w:sz w:val="20"/>
          <w:szCs w:val="20"/>
          <w:lang w:val="es-ES"/>
        </w:rPr>
        <w:t xml:space="preserve">La </w:t>
      </w:r>
      <w:r w:rsidR="007766BD" w:rsidRPr="00EB3DC6">
        <w:rPr>
          <w:rFonts w:ascii="Cambria" w:hAnsi="Cambria"/>
          <w:sz w:val="20"/>
          <w:szCs w:val="20"/>
          <w:lang w:val="es-ES"/>
        </w:rPr>
        <w:t>Comisión observa</w:t>
      </w:r>
      <w:r w:rsidRPr="00EB3DC6">
        <w:rPr>
          <w:rFonts w:ascii="Cambria" w:hAnsi="Cambria"/>
          <w:sz w:val="20"/>
          <w:szCs w:val="20"/>
          <w:lang w:val="es-ES"/>
        </w:rPr>
        <w:t xml:space="preserve"> que </w:t>
      </w:r>
      <w:r w:rsidR="003B7C54" w:rsidRPr="00EB3DC6">
        <w:rPr>
          <w:rFonts w:ascii="Cambria" w:hAnsi="Cambria"/>
          <w:sz w:val="20"/>
          <w:szCs w:val="20"/>
          <w:lang w:val="es-ES"/>
        </w:rPr>
        <w:t xml:space="preserve">de la lectura de esta normativa no se desprende </w:t>
      </w:r>
      <w:r w:rsidR="0027323E" w:rsidRPr="00EB3DC6">
        <w:rPr>
          <w:rFonts w:ascii="Cambria" w:hAnsi="Cambria"/>
          <w:sz w:val="20"/>
          <w:szCs w:val="20"/>
          <w:lang w:val="es-ES"/>
        </w:rPr>
        <w:t>con claridad</w:t>
      </w:r>
      <w:r w:rsidR="007766BD" w:rsidRPr="00EB3DC6">
        <w:rPr>
          <w:rFonts w:ascii="Cambria" w:hAnsi="Cambria"/>
          <w:sz w:val="20"/>
          <w:szCs w:val="20"/>
          <w:lang w:val="es-ES"/>
        </w:rPr>
        <w:t xml:space="preserve"> </w:t>
      </w:r>
      <w:r w:rsidR="003B7C54" w:rsidRPr="00EB3DC6">
        <w:rPr>
          <w:rFonts w:ascii="Cambria" w:hAnsi="Cambria"/>
          <w:sz w:val="20"/>
          <w:szCs w:val="20"/>
          <w:lang w:val="es-ES"/>
        </w:rPr>
        <w:t xml:space="preserve">que </w:t>
      </w:r>
      <w:r w:rsidR="00BC5BB0" w:rsidRPr="00EB3DC6">
        <w:rPr>
          <w:rFonts w:ascii="Cambria" w:hAnsi="Cambria"/>
          <w:sz w:val="20"/>
          <w:szCs w:val="20"/>
          <w:lang w:val="es-ES"/>
        </w:rPr>
        <w:t xml:space="preserve">las presuntas víctimas estaban habilitadas procesalmente para </w:t>
      </w:r>
      <w:r w:rsidR="007766BD" w:rsidRPr="00EB3DC6">
        <w:rPr>
          <w:rFonts w:ascii="Cambria" w:hAnsi="Cambria"/>
          <w:sz w:val="20"/>
          <w:szCs w:val="20"/>
          <w:lang w:val="es-ES"/>
        </w:rPr>
        <w:t>interponerlos</w:t>
      </w:r>
      <w:r w:rsidR="00BC5BB0" w:rsidRPr="00EB3DC6">
        <w:rPr>
          <w:rFonts w:ascii="Cambria" w:hAnsi="Cambria"/>
          <w:sz w:val="20"/>
          <w:szCs w:val="20"/>
          <w:lang w:val="es-ES"/>
        </w:rPr>
        <w:t xml:space="preserve"> </w:t>
      </w:r>
      <w:r w:rsidR="003B7C54" w:rsidRPr="00EB3DC6">
        <w:rPr>
          <w:rFonts w:ascii="Cambria" w:hAnsi="Cambria"/>
          <w:sz w:val="20"/>
          <w:szCs w:val="20"/>
          <w:lang w:val="es-ES"/>
        </w:rPr>
        <w:t>ni que serían efectivos para</w:t>
      </w:r>
      <w:r w:rsidRPr="00EB3DC6">
        <w:rPr>
          <w:rFonts w:ascii="Cambria" w:hAnsi="Cambria"/>
          <w:sz w:val="20"/>
          <w:szCs w:val="20"/>
          <w:lang w:val="es-ES"/>
        </w:rPr>
        <w:t xml:space="preserve"> reparar la</w:t>
      </w:r>
      <w:r w:rsidR="00366745" w:rsidRPr="00EB3DC6">
        <w:rPr>
          <w:rFonts w:ascii="Cambria" w:hAnsi="Cambria"/>
          <w:sz w:val="20"/>
          <w:szCs w:val="20"/>
          <w:lang w:val="es-ES"/>
        </w:rPr>
        <w:t xml:space="preserve">s </w:t>
      </w:r>
      <w:r w:rsidRPr="00EB3DC6">
        <w:rPr>
          <w:rFonts w:ascii="Cambria" w:hAnsi="Cambria"/>
          <w:sz w:val="20"/>
          <w:szCs w:val="20"/>
          <w:lang w:val="es-ES"/>
        </w:rPr>
        <w:t>violaci</w:t>
      </w:r>
      <w:r w:rsidR="00366745" w:rsidRPr="00EB3DC6">
        <w:rPr>
          <w:rFonts w:ascii="Cambria" w:hAnsi="Cambria"/>
          <w:sz w:val="20"/>
          <w:szCs w:val="20"/>
          <w:lang w:val="es-ES"/>
        </w:rPr>
        <w:t>ones</w:t>
      </w:r>
      <w:r w:rsidRPr="00EB3DC6">
        <w:rPr>
          <w:rFonts w:ascii="Cambria" w:hAnsi="Cambria"/>
          <w:sz w:val="20"/>
          <w:szCs w:val="20"/>
          <w:lang w:val="es-ES"/>
        </w:rPr>
        <w:t xml:space="preserve"> del derecho a la libertad de expresión </w:t>
      </w:r>
      <w:r w:rsidR="00BC5BB0" w:rsidRPr="00EB3DC6">
        <w:rPr>
          <w:rFonts w:ascii="Cambria" w:hAnsi="Cambria"/>
          <w:sz w:val="20"/>
          <w:szCs w:val="20"/>
          <w:lang w:val="es-ES"/>
        </w:rPr>
        <w:t xml:space="preserve">y </w:t>
      </w:r>
      <w:r w:rsidR="00744F0C" w:rsidRPr="00EB3DC6">
        <w:rPr>
          <w:rFonts w:ascii="Cambria" w:hAnsi="Cambria"/>
          <w:sz w:val="20"/>
          <w:szCs w:val="20"/>
          <w:lang w:val="es-ES"/>
        </w:rPr>
        <w:t xml:space="preserve">del </w:t>
      </w:r>
      <w:r w:rsidR="00BC5BB0" w:rsidRPr="00EB3DC6">
        <w:rPr>
          <w:rFonts w:ascii="Cambria" w:hAnsi="Cambria"/>
          <w:sz w:val="20"/>
          <w:szCs w:val="20"/>
          <w:lang w:val="es-ES"/>
        </w:rPr>
        <w:t>principio de legalidad</w:t>
      </w:r>
      <w:r w:rsidR="003F4C27" w:rsidRPr="00EB3DC6">
        <w:rPr>
          <w:rFonts w:ascii="Cambria" w:hAnsi="Cambria"/>
          <w:sz w:val="20"/>
          <w:szCs w:val="20"/>
          <w:lang w:val="es-ES"/>
        </w:rPr>
        <w:t xml:space="preserve"> alegadas en el presente caso</w:t>
      </w:r>
      <w:r w:rsidRPr="00EB3DC6">
        <w:rPr>
          <w:rFonts w:ascii="Cambria" w:hAnsi="Cambria"/>
          <w:sz w:val="20"/>
          <w:szCs w:val="20"/>
          <w:lang w:val="es-ES"/>
        </w:rPr>
        <w:t xml:space="preserve">. </w:t>
      </w:r>
      <w:r w:rsidR="002B1660" w:rsidRPr="00EB3DC6">
        <w:rPr>
          <w:rFonts w:ascii="Cambria" w:hAnsi="Cambria"/>
          <w:sz w:val="20"/>
          <w:szCs w:val="20"/>
          <w:lang w:val="es-ES"/>
        </w:rPr>
        <w:t>La figura de tercero interesado se limita a quienes sustente</w:t>
      </w:r>
      <w:r w:rsidR="003F4C27" w:rsidRPr="00EB3DC6">
        <w:rPr>
          <w:rFonts w:ascii="Cambria" w:hAnsi="Cambria"/>
          <w:sz w:val="20"/>
          <w:szCs w:val="20"/>
          <w:lang w:val="es-ES"/>
        </w:rPr>
        <w:t>n</w:t>
      </w:r>
      <w:r w:rsidR="002B1660" w:rsidRPr="00EB3DC6">
        <w:rPr>
          <w:rFonts w:ascii="Cambria" w:hAnsi="Cambria"/>
          <w:sz w:val="20"/>
          <w:szCs w:val="20"/>
          <w:lang w:val="es-ES"/>
        </w:rPr>
        <w:t xml:space="preserve"> </w:t>
      </w:r>
      <w:r w:rsidR="006938C2" w:rsidRPr="00EB3DC6">
        <w:rPr>
          <w:rFonts w:ascii="Cambria" w:hAnsi="Cambria"/>
          <w:sz w:val="20"/>
          <w:szCs w:val="20"/>
          <w:lang w:val="es-ES"/>
        </w:rPr>
        <w:t>“</w:t>
      </w:r>
      <w:r w:rsidR="002B1660" w:rsidRPr="00EB3DC6">
        <w:rPr>
          <w:rFonts w:ascii="Cambria" w:hAnsi="Cambria"/>
          <w:sz w:val="20"/>
          <w:szCs w:val="20"/>
          <w:lang w:val="es-ES"/>
        </w:rPr>
        <w:t>un derecho incompatible con el que pretende el actor</w:t>
      </w:r>
      <w:r w:rsidR="006938C2" w:rsidRPr="00EB3DC6">
        <w:rPr>
          <w:rFonts w:ascii="Cambria" w:hAnsi="Cambria"/>
          <w:sz w:val="20"/>
          <w:szCs w:val="20"/>
          <w:lang w:val="es-ES"/>
        </w:rPr>
        <w:t>”</w:t>
      </w:r>
      <w:r w:rsidR="002B1660" w:rsidRPr="00EB3DC6">
        <w:rPr>
          <w:rFonts w:ascii="Cambria" w:hAnsi="Cambria"/>
          <w:sz w:val="20"/>
          <w:szCs w:val="20"/>
          <w:lang w:val="es-ES"/>
        </w:rPr>
        <w:t xml:space="preserve">, lo que no correspondería en este caso. Las presuntas víctimas no han alegado la violación de derechos políticos-electorales </w:t>
      </w:r>
      <w:r w:rsidR="003F4C27" w:rsidRPr="00EB3DC6">
        <w:rPr>
          <w:rFonts w:ascii="Cambria" w:hAnsi="Cambria"/>
          <w:sz w:val="20"/>
          <w:szCs w:val="20"/>
          <w:lang w:val="es-ES"/>
        </w:rPr>
        <w:t>vinculados</w:t>
      </w:r>
      <w:r w:rsidR="002B1660" w:rsidRPr="00EB3DC6">
        <w:rPr>
          <w:rFonts w:ascii="Cambria" w:hAnsi="Cambria"/>
          <w:sz w:val="20"/>
          <w:szCs w:val="20"/>
          <w:lang w:val="es-ES"/>
        </w:rPr>
        <w:t xml:space="preserve"> </w:t>
      </w:r>
      <w:r w:rsidR="006938C2" w:rsidRPr="00EB3DC6">
        <w:rPr>
          <w:rFonts w:ascii="Cambria" w:hAnsi="Cambria"/>
          <w:sz w:val="20"/>
          <w:szCs w:val="20"/>
          <w:lang w:val="es-ES"/>
        </w:rPr>
        <w:t>a</w:t>
      </w:r>
      <w:r w:rsidR="002B1660" w:rsidRPr="00EB3DC6">
        <w:rPr>
          <w:rFonts w:ascii="Cambria" w:hAnsi="Cambria"/>
          <w:sz w:val="20"/>
          <w:szCs w:val="20"/>
          <w:lang w:val="es-ES"/>
        </w:rPr>
        <w:t>l derecho a elegir y ser elegido</w:t>
      </w:r>
      <w:r w:rsidR="00D113B0" w:rsidRPr="00EB3DC6">
        <w:rPr>
          <w:rFonts w:ascii="Cambria" w:hAnsi="Cambria"/>
          <w:sz w:val="20"/>
          <w:szCs w:val="20"/>
          <w:lang w:val="es-ES"/>
        </w:rPr>
        <w:t xml:space="preserve">, </w:t>
      </w:r>
      <w:r w:rsidR="003F4C27" w:rsidRPr="00EB3DC6">
        <w:rPr>
          <w:rFonts w:ascii="Cambria" w:hAnsi="Cambria"/>
          <w:sz w:val="20"/>
          <w:szCs w:val="20"/>
          <w:lang w:val="es-ES"/>
        </w:rPr>
        <w:t xml:space="preserve">lo que les impediría interponer un juicio de protección de esos derechos, </w:t>
      </w:r>
      <w:r w:rsidR="00D113B0" w:rsidRPr="00EB3DC6">
        <w:rPr>
          <w:rFonts w:ascii="Cambria" w:hAnsi="Cambria"/>
          <w:sz w:val="20"/>
          <w:szCs w:val="20"/>
          <w:lang w:val="es-ES"/>
        </w:rPr>
        <w:t>de acuerdo con los supuestos de la legislación</w:t>
      </w:r>
      <w:r w:rsidR="002B1660" w:rsidRPr="00EB3DC6">
        <w:rPr>
          <w:rFonts w:ascii="Cambria" w:hAnsi="Cambria"/>
          <w:sz w:val="20"/>
          <w:szCs w:val="20"/>
          <w:lang w:val="es-ES"/>
        </w:rPr>
        <w:t xml:space="preserve">. </w:t>
      </w:r>
      <w:r w:rsidR="003B7C54" w:rsidRPr="00EB3DC6">
        <w:rPr>
          <w:rFonts w:ascii="Cambria" w:hAnsi="Cambria"/>
          <w:sz w:val="20"/>
          <w:szCs w:val="20"/>
          <w:lang w:val="es-ES"/>
        </w:rPr>
        <w:t xml:space="preserve">El Estado tampoco presentó elementos suficientes y relevantes para demostrar que, </w:t>
      </w:r>
      <w:r w:rsidR="007766BD" w:rsidRPr="00EB3DC6">
        <w:rPr>
          <w:rFonts w:ascii="Cambria" w:hAnsi="Cambria"/>
          <w:sz w:val="20"/>
          <w:szCs w:val="20"/>
          <w:lang w:val="es-ES"/>
        </w:rPr>
        <w:t xml:space="preserve">de conformidad con </w:t>
      </w:r>
      <w:r w:rsidR="00CF34D1" w:rsidRPr="00EB3DC6">
        <w:rPr>
          <w:rFonts w:ascii="Cambria" w:hAnsi="Cambria"/>
          <w:sz w:val="20"/>
          <w:szCs w:val="20"/>
          <w:lang w:val="es-ES"/>
        </w:rPr>
        <w:t>la práctica</w:t>
      </w:r>
      <w:r w:rsidR="007766BD" w:rsidRPr="00EB3DC6">
        <w:rPr>
          <w:rFonts w:ascii="Cambria" w:hAnsi="Cambria"/>
          <w:sz w:val="20"/>
          <w:szCs w:val="20"/>
          <w:lang w:val="es-ES"/>
        </w:rPr>
        <w:t xml:space="preserve"> y </w:t>
      </w:r>
      <w:r w:rsidR="003B2F3B" w:rsidRPr="00EB3DC6">
        <w:rPr>
          <w:rFonts w:ascii="Cambria" w:hAnsi="Cambria"/>
          <w:sz w:val="20"/>
          <w:szCs w:val="20"/>
          <w:lang w:val="es-ES"/>
        </w:rPr>
        <w:t xml:space="preserve">la </w:t>
      </w:r>
      <w:r w:rsidR="007766BD" w:rsidRPr="00EB3DC6">
        <w:rPr>
          <w:rFonts w:ascii="Cambria" w:hAnsi="Cambria"/>
          <w:sz w:val="20"/>
          <w:szCs w:val="20"/>
          <w:lang w:val="es-ES"/>
        </w:rPr>
        <w:t>jurisprudencia</w:t>
      </w:r>
      <w:r w:rsidR="00CF34D1" w:rsidRPr="00EB3DC6">
        <w:rPr>
          <w:rFonts w:ascii="Cambria" w:hAnsi="Cambria"/>
          <w:sz w:val="20"/>
          <w:szCs w:val="20"/>
          <w:lang w:val="es-ES"/>
        </w:rPr>
        <w:t xml:space="preserve">, </w:t>
      </w:r>
      <w:r w:rsidR="007766BD" w:rsidRPr="00EB3DC6">
        <w:rPr>
          <w:rFonts w:ascii="Cambria" w:hAnsi="Cambria"/>
          <w:sz w:val="20"/>
          <w:szCs w:val="20"/>
          <w:lang w:val="es-ES"/>
        </w:rPr>
        <w:t>estos recur</w:t>
      </w:r>
      <w:r w:rsidR="003B2F3B" w:rsidRPr="00EB3DC6">
        <w:rPr>
          <w:rFonts w:ascii="Cambria" w:hAnsi="Cambria"/>
          <w:sz w:val="20"/>
          <w:szCs w:val="20"/>
          <w:lang w:val="es-ES"/>
        </w:rPr>
        <w:t>s</w:t>
      </w:r>
      <w:r w:rsidR="007766BD" w:rsidRPr="00EB3DC6">
        <w:rPr>
          <w:rFonts w:ascii="Cambria" w:hAnsi="Cambria"/>
          <w:sz w:val="20"/>
          <w:szCs w:val="20"/>
          <w:lang w:val="es-ES"/>
        </w:rPr>
        <w:t xml:space="preserve">os </w:t>
      </w:r>
      <w:r w:rsidR="003B2F3B" w:rsidRPr="00EB3DC6">
        <w:rPr>
          <w:rFonts w:ascii="Cambria" w:hAnsi="Cambria"/>
          <w:sz w:val="20"/>
          <w:szCs w:val="20"/>
          <w:lang w:val="es-ES"/>
        </w:rPr>
        <w:t>habrían podido ser declarados admisibles y resultado efectivos</w:t>
      </w:r>
      <w:r w:rsidR="003B7C54" w:rsidRPr="00EB3DC6">
        <w:rPr>
          <w:rFonts w:ascii="Cambria" w:hAnsi="Cambria"/>
          <w:sz w:val="20"/>
          <w:szCs w:val="20"/>
          <w:lang w:val="es-ES"/>
        </w:rPr>
        <w:t xml:space="preserve">. </w:t>
      </w:r>
      <w:r w:rsidR="002B1660" w:rsidRPr="00EB3DC6">
        <w:rPr>
          <w:rFonts w:ascii="Cambria" w:hAnsi="Cambria"/>
          <w:sz w:val="20"/>
          <w:szCs w:val="20"/>
          <w:lang w:val="es-ES"/>
        </w:rPr>
        <w:t xml:space="preserve">Las sentencias </w:t>
      </w:r>
      <w:r w:rsidR="00D113B0" w:rsidRPr="00EB3DC6">
        <w:rPr>
          <w:rFonts w:ascii="Cambria" w:hAnsi="Cambria"/>
          <w:sz w:val="20"/>
          <w:szCs w:val="20"/>
          <w:lang w:val="es-ES"/>
        </w:rPr>
        <w:t xml:space="preserve">de los tribunales electorales </w:t>
      </w:r>
      <w:r w:rsidR="002B1660" w:rsidRPr="00EB3DC6">
        <w:rPr>
          <w:rFonts w:ascii="Cambria" w:hAnsi="Cambria"/>
          <w:sz w:val="20"/>
          <w:szCs w:val="20"/>
          <w:lang w:val="es-ES"/>
        </w:rPr>
        <w:t xml:space="preserve">presentadas a la CIDH tampoco demuestran que la normativa </w:t>
      </w:r>
      <w:r w:rsidR="003F4C27" w:rsidRPr="00EB3DC6">
        <w:rPr>
          <w:rFonts w:ascii="Cambria" w:hAnsi="Cambria"/>
          <w:sz w:val="20"/>
          <w:szCs w:val="20"/>
          <w:lang w:val="es-ES"/>
        </w:rPr>
        <w:t xml:space="preserve">citada </w:t>
      </w:r>
      <w:r w:rsidR="002B1660" w:rsidRPr="00EB3DC6">
        <w:rPr>
          <w:rFonts w:ascii="Cambria" w:hAnsi="Cambria"/>
          <w:sz w:val="20"/>
          <w:szCs w:val="20"/>
          <w:lang w:val="es-ES"/>
        </w:rPr>
        <w:t xml:space="preserve">haya sido interpretada </w:t>
      </w:r>
      <w:r w:rsidR="0027323E" w:rsidRPr="00EB3DC6">
        <w:rPr>
          <w:rFonts w:ascii="Cambria" w:hAnsi="Cambria"/>
          <w:sz w:val="20"/>
          <w:szCs w:val="20"/>
          <w:lang w:val="es-ES"/>
        </w:rPr>
        <w:t xml:space="preserve">de tal manera que </w:t>
      </w:r>
      <w:r w:rsidR="00D113B0" w:rsidRPr="00EB3DC6">
        <w:rPr>
          <w:rFonts w:ascii="Cambria" w:hAnsi="Cambria"/>
          <w:sz w:val="20"/>
          <w:szCs w:val="20"/>
          <w:lang w:val="es-ES"/>
        </w:rPr>
        <w:t>in</w:t>
      </w:r>
      <w:r w:rsidR="002B1660" w:rsidRPr="00EB3DC6">
        <w:rPr>
          <w:rFonts w:ascii="Cambria" w:hAnsi="Cambria"/>
          <w:sz w:val="20"/>
          <w:szCs w:val="20"/>
          <w:lang w:val="es-ES"/>
        </w:rPr>
        <w:t>c</w:t>
      </w:r>
      <w:r w:rsidR="00D113B0" w:rsidRPr="00EB3DC6">
        <w:rPr>
          <w:rFonts w:ascii="Cambria" w:hAnsi="Cambria"/>
          <w:sz w:val="20"/>
          <w:szCs w:val="20"/>
          <w:lang w:val="es-ES"/>
        </w:rPr>
        <w:t>l</w:t>
      </w:r>
      <w:r w:rsidR="002B1660" w:rsidRPr="00EB3DC6">
        <w:rPr>
          <w:rFonts w:ascii="Cambria" w:hAnsi="Cambria"/>
          <w:sz w:val="20"/>
          <w:szCs w:val="20"/>
          <w:lang w:val="es-ES"/>
        </w:rPr>
        <w:t>u</w:t>
      </w:r>
      <w:r w:rsidR="0027323E" w:rsidRPr="00EB3DC6">
        <w:rPr>
          <w:rFonts w:ascii="Cambria" w:hAnsi="Cambria"/>
          <w:sz w:val="20"/>
          <w:szCs w:val="20"/>
          <w:lang w:val="es-ES"/>
        </w:rPr>
        <w:t>ya</w:t>
      </w:r>
      <w:r w:rsidR="002B1660" w:rsidRPr="00EB3DC6">
        <w:rPr>
          <w:rFonts w:ascii="Cambria" w:hAnsi="Cambria"/>
          <w:sz w:val="20"/>
          <w:szCs w:val="20"/>
          <w:lang w:val="es-ES"/>
        </w:rPr>
        <w:t xml:space="preserve"> el tipo de reclamos de las presuntas víctimas. </w:t>
      </w:r>
      <w:r w:rsidR="001A29E8" w:rsidRPr="00EB3DC6">
        <w:rPr>
          <w:rFonts w:ascii="Cambria" w:hAnsi="Cambria"/>
          <w:sz w:val="20"/>
          <w:szCs w:val="20"/>
          <w:lang w:val="es-ES"/>
        </w:rPr>
        <w:t xml:space="preserve">A este respecto, </w:t>
      </w:r>
      <w:r w:rsidR="0023609F" w:rsidRPr="00EB3DC6">
        <w:rPr>
          <w:rFonts w:ascii="Cambria" w:hAnsi="Cambria"/>
          <w:sz w:val="20"/>
          <w:szCs w:val="20"/>
          <w:lang w:val="es-ES"/>
        </w:rPr>
        <w:t>la</w:t>
      </w:r>
      <w:r w:rsidR="00B66691" w:rsidRPr="00EB3DC6">
        <w:rPr>
          <w:rFonts w:ascii="Cambria" w:hAnsi="Cambria" w:cs="Arial"/>
          <w:sz w:val="20"/>
          <w:szCs w:val="20"/>
          <w:lang w:val="es-ES_tradnl"/>
        </w:rPr>
        <w:t xml:space="preserve"> Comisión reitera que un Estado que aduce la falta de agotamiento de esos recursos está obligado a probar que existen recursos internos aún no agotados, y que los mismos son efectivos</w:t>
      </w:r>
      <w:r w:rsidR="00B66691" w:rsidRPr="00EB3DC6">
        <w:rPr>
          <w:rStyle w:val="FootnoteReference"/>
          <w:rFonts w:ascii="Cambria" w:hAnsi="Cambria" w:cs="Arial"/>
          <w:sz w:val="20"/>
          <w:szCs w:val="20"/>
          <w:lang w:val="es-ES_tradnl"/>
        </w:rPr>
        <w:footnoteReference w:id="28"/>
      </w:r>
      <w:r w:rsidR="00446D0C" w:rsidRPr="00EB3DC6">
        <w:rPr>
          <w:rFonts w:ascii="Cambria" w:hAnsi="Cambria" w:cs="Arial"/>
          <w:sz w:val="20"/>
          <w:szCs w:val="20"/>
          <w:shd w:val="clear" w:color="auto" w:fill="FFFFFF"/>
          <w:lang w:val="es-ES"/>
        </w:rPr>
        <w:t>.</w:t>
      </w:r>
      <w:r w:rsidR="00446D0C" w:rsidRPr="00EB3DC6">
        <w:rPr>
          <w:rFonts w:ascii="Cambria" w:hAnsi="Cambria" w:cs="Arial"/>
          <w:sz w:val="20"/>
          <w:szCs w:val="20"/>
          <w:lang w:val="es-ES_tradnl"/>
        </w:rPr>
        <w:t xml:space="preserve"> </w:t>
      </w:r>
      <w:r w:rsidR="00BB02C2" w:rsidRPr="00EB3DC6">
        <w:rPr>
          <w:rFonts w:ascii="Cambria" w:hAnsi="Cambria" w:cs="Arial"/>
          <w:sz w:val="20"/>
          <w:szCs w:val="20"/>
          <w:lang w:val="es-ES_tradnl"/>
        </w:rPr>
        <w:t>Si bien la Corte Interamericana de Derechos Humanos ha expresado que no se puede presumir con ligereza que un Estado Parte en la Convención ha incumplido con su obligación de proporcionar recursos internos eficaces</w:t>
      </w:r>
      <w:r w:rsidR="00BB02C2" w:rsidRPr="00EB3DC6">
        <w:rPr>
          <w:rStyle w:val="FootnoteReference"/>
          <w:rFonts w:ascii="Cambria" w:hAnsi="Cambria"/>
          <w:sz w:val="20"/>
          <w:szCs w:val="20"/>
          <w:lang w:val="es-ES_tradnl"/>
        </w:rPr>
        <w:footnoteReference w:id="29"/>
      </w:r>
      <w:r w:rsidR="00BB02C2" w:rsidRPr="00EB3DC6">
        <w:rPr>
          <w:rFonts w:ascii="Cambria" w:hAnsi="Cambria" w:cs="Arial"/>
          <w:sz w:val="20"/>
          <w:szCs w:val="20"/>
          <w:lang w:val="es-ES_tradnl"/>
        </w:rPr>
        <w:t>, l</w:t>
      </w:r>
      <w:r w:rsidR="001A29E8" w:rsidRPr="00EB3DC6">
        <w:rPr>
          <w:rFonts w:ascii="Cambria" w:hAnsi="Cambria"/>
          <w:sz w:val="20"/>
          <w:szCs w:val="20"/>
          <w:lang w:val="es-ES"/>
        </w:rPr>
        <w:t>a disponibilidad</w:t>
      </w:r>
      <w:r w:rsidR="0023609F" w:rsidRPr="00EB3DC6">
        <w:rPr>
          <w:rFonts w:ascii="Cambria" w:hAnsi="Cambria"/>
          <w:sz w:val="20"/>
          <w:szCs w:val="20"/>
          <w:lang w:val="es-ES"/>
        </w:rPr>
        <w:t xml:space="preserve"> y efectividad</w:t>
      </w:r>
      <w:r w:rsidR="001A29E8" w:rsidRPr="00EB3DC6">
        <w:rPr>
          <w:rFonts w:ascii="Cambria" w:hAnsi="Cambria"/>
          <w:sz w:val="20"/>
          <w:szCs w:val="20"/>
          <w:lang w:val="es-ES"/>
        </w:rPr>
        <w:t xml:space="preserve"> de </w:t>
      </w:r>
      <w:r w:rsidR="0023609F" w:rsidRPr="00EB3DC6">
        <w:rPr>
          <w:rFonts w:ascii="Cambria" w:hAnsi="Cambria"/>
          <w:sz w:val="20"/>
          <w:szCs w:val="20"/>
          <w:lang w:val="es-ES"/>
        </w:rPr>
        <w:t xml:space="preserve">estos </w:t>
      </w:r>
      <w:r w:rsidR="001A29E8" w:rsidRPr="00EB3DC6">
        <w:rPr>
          <w:rFonts w:ascii="Cambria" w:hAnsi="Cambria"/>
          <w:sz w:val="20"/>
          <w:szCs w:val="20"/>
          <w:lang w:val="es-ES"/>
        </w:rPr>
        <w:t>recurso</w:t>
      </w:r>
      <w:r w:rsidR="0023609F" w:rsidRPr="00EB3DC6">
        <w:rPr>
          <w:rFonts w:ascii="Cambria" w:hAnsi="Cambria"/>
          <w:sz w:val="20"/>
          <w:szCs w:val="20"/>
          <w:lang w:val="es-ES"/>
        </w:rPr>
        <w:t>s</w:t>
      </w:r>
      <w:r w:rsidR="001A29E8" w:rsidRPr="00EB3DC6">
        <w:rPr>
          <w:rFonts w:ascii="Cambria" w:hAnsi="Cambria"/>
          <w:sz w:val="20"/>
          <w:szCs w:val="20"/>
          <w:lang w:val="es-ES"/>
        </w:rPr>
        <w:t xml:space="preserve">, </w:t>
      </w:r>
      <w:r w:rsidR="001A29E8" w:rsidRPr="00EB3DC6">
        <w:rPr>
          <w:rFonts w:ascii="Cambria" w:eastAsia="Times New Roman" w:hAnsi="Cambria" w:cs="Courier New"/>
          <w:sz w:val="20"/>
          <w:szCs w:val="20"/>
          <w:bdr w:val="none" w:sz="0" w:space="0" w:color="auto"/>
          <w:lang w:val="es-ES"/>
        </w:rPr>
        <w:t>incluido su alcance</w:t>
      </w:r>
      <w:r w:rsidR="00446D0C" w:rsidRPr="00EB3DC6">
        <w:rPr>
          <w:rFonts w:ascii="Cambria" w:eastAsia="Times New Roman" w:hAnsi="Cambria" w:cs="Courier New"/>
          <w:sz w:val="20"/>
          <w:szCs w:val="20"/>
          <w:bdr w:val="none" w:sz="0" w:space="0" w:color="auto"/>
          <w:lang w:val="es-ES"/>
        </w:rPr>
        <w:t>,</w:t>
      </w:r>
      <w:r w:rsidR="001A29E8" w:rsidRPr="00EB3DC6">
        <w:rPr>
          <w:rFonts w:ascii="Cambria" w:eastAsia="Times New Roman" w:hAnsi="Cambria" w:cs="Courier New"/>
          <w:sz w:val="20"/>
          <w:szCs w:val="20"/>
          <w:bdr w:val="none" w:sz="0" w:space="0" w:color="auto"/>
          <w:lang w:val="es-ES"/>
        </w:rPr>
        <w:t xml:space="preserve"> aplicación</w:t>
      </w:r>
      <w:r w:rsidR="00446D0C" w:rsidRPr="00EB3DC6">
        <w:rPr>
          <w:rFonts w:ascii="Cambria" w:hAnsi="Cambria" w:cs="Arial"/>
          <w:sz w:val="20"/>
          <w:szCs w:val="20"/>
          <w:shd w:val="clear" w:color="auto" w:fill="FFFFFF"/>
          <w:lang w:val="es-ES"/>
        </w:rPr>
        <w:t xml:space="preserve"> y perspectivas razonables de éxito</w:t>
      </w:r>
      <w:r w:rsidR="001A29E8" w:rsidRPr="00EB3DC6">
        <w:rPr>
          <w:rFonts w:ascii="Cambria" w:eastAsia="Times New Roman" w:hAnsi="Cambria" w:cs="Courier New"/>
          <w:sz w:val="20"/>
          <w:szCs w:val="20"/>
          <w:bdr w:val="none" w:sz="0" w:space="0" w:color="auto"/>
          <w:lang w:val="es-ES"/>
        </w:rPr>
        <w:t>,</w:t>
      </w:r>
      <w:r w:rsidR="001A29E8" w:rsidRPr="00EB3DC6">
        <w:rPr>
          <w:rFonts w:ascii="Cambria" w:hAnsi="Cambria"/>
          <w:sz w:val="20"/>
          <w:szCs w:val="20"/>
          <w:lang w:val="es-ES"/>
        </w:rPr>
        <w:t xml:space="preserve"> debe ser lo suficientemente clara en la legislación y</w:t>
      </w:r>
      <w:r w:rsidR="00BB02C2" w:rsidRPr="00EB3DC6">
        <w:rPr>
          <w:rFonts w:ascii="Cambria" w:hAnsi="Cambria"/>
          <w:sz w:val="20"/>
          <w:szCs w:val="20"/>
          <w:lang w:val="es-ES"/>
        </w:rPr>
        <w:t xml:space="preserve"> confirmado</w:t>
      </w:r>
      <w:r w:rsidR="001A29E8" w:rsidRPr="00EB3DC6">
        <w:rPr>
          <w:rFonts w:ascii="Cambria" w:hAnsi="Cambria"/>
          <w:sz w:val="20"/>
          <w:szCs w:val="20"/>
          <w:lang w:val="es-ES"/>
        </w:rPr>
        <w:t xml:space="preserve"> en la práctica</w:t>
      </w:r>
      <w:r w:rsidR="00BC5BB0" w:rsidRPr="00EB3DC6">
        <w:rPr>
          <w:rStyle w:val="FootnoteReference"/>
          <w:rFonts w:ascii="Cambria" w:hAnsi="Cambria"/>
          <w:sz w:val="20"/>
          <w:szCs w:val="20"/>
          <w:lang w:val="es-ES"/>
        </w:rPr>
        <w:footnoteReference w:id="30"/>
      </w:r>
      <w:r w:rsidR="001A29E8" w:rsidRPr="00EB3DC6">
        <w:rPr>
          <w:rFonts w:ascii="Cambria" w:hAnsi="Cambria"/>
          <w:sz w:val="20"/>
          <w:szCs w:val="20"/>
          <w:lang w:val="es-ES"/>
        </w:rPr>
        <w:t xml:space="preserve">.  </w:t>
      </w:r>
    </w:p>
    <w:p w:rsidR="009520FE" w:rsidRPr="00EB3DC6" w:rsidRDefault="00366745" w:rsidP="00F04B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EB3DC6">
        <w:rPr>
          <w:rFonts w:asciiTheme="majorHAnsi" w:hAnsiTheme="majorHAnsi"/>
          <w:sz w:val="20"/>
          <w:szCs w:val="20"/>
          <w:lang w:val="es-ES"/>
        </w:rPr>
        <w:t>En todo caso, l</w:t>
      </w:r>
      <w:r w:rsidR="00111E14" w:rsidRPr="00EB3DC6">
        <w:rPr>
          <w:rFonts w:asciiTheme="majorHAnsi" w:hAnsiTheme="majorHAnsi"/>
          <w:sz w:val="20"/>
          <w:szCs w:val="20"/>
          <w:lang w:val="es-ES"/>
        </w:rPr>
        <w:t xml:space="preserve">a Comisión entiende que </w:t>
      </w:r>
      <w:r w:rsidR="00111E14" w:rsidRPr="00EB3DC6">
        <w:rPr>
          <w:rFonts w:asciiTheme="majorHAnsi" w:hAnsiTheme="majorHAnsi"/>
          <w:bCs/>
          <w:sz w:val="20"/>
          <w:szCs w:val="20"/>
          <w:lang w:val="es-ES_tradnl"/>
        </w:rPr>
        <w:t>Alejandro Fernando Aguilera Mendieta, Miguel Ángel Diez García, Miriam Villanueva Chiapas y Félix José Araujo Ramírez,</w:t>
      </w:r>
      <w:r w:rsidR="00111E14" w:rsidRPr="00EB3DC6">
        <w:rPr>
          <w:rFonts w:asciiTheme="majorHAnsi" w:hAnsiTheme="majorHAnsi"/>
          <w:sz w:val="20"/>
          <w:szCs w:val="20"/>
          <w:lang w:val="es-ES"/>
        </w:rPr>
        <w:t xml:space="preserve"> como directores de </w:t>
      </w:r>
      <w:r w:rsidR="00111E14" w:rsidRPr="00EB3DC6">
        <w:rPr>
          <w:rFonts w:asciiTheme="majorHAnsi" w:hAnsiTheme="majorHAnsi"/>
          <w:bCs/>
          <w:sz w:val="20"/>
          <w:szCs w:val="20"/>
          <w:lang w:val="es-ES"/>
        </w:rPr>
        <w:t>Radiotelevisora de México Norte S.A. de C.V.,  la Cadena Televisora del Norte S.A. de C.V. y Televimex S.A. de C.V,</w:t>
      </w:r>
      <w:r w:rsidR="009520FE" w:rsidRPr="00EB3DC6">
        <w:rPr>
          <w:rFonts w:asciiTheme="majorHAnsi" w:hAnsiTheme="majorHAnsi"/>
          <w:sz w:val="20"/>
          <w:szCs w:val="20"/>
          <w:lang w:val="es-ES"/>
        </w:rPr>
        <w:t xml:space="preserve"> </w:t>
      </w:r>
      <w:r w:rsidR="00111E14" w:rsidRPr="00EB3DC6">
        <w:rPr>
          <w:rFonts w:asciiTheme="majorHAnsi" w:hAnsiTheme="majorHAnsi"/>
          <w:sz w:val="20"/>
          <w:szCs w:val="20"/>
          <w:lang w:val="es-ES"/>
        </w:rPr>
        <w:t xml:space="preserve">agotaron los recursos que el derecho mexicano disponía para impugnar las sanciones impuestas a dichos medios de comunicación. Si bien estos recursos internos se agotaron en nombre de las empresas, </w:t>
      </w:r>
      <w:r w:rsidR="009E7095" w:rsidRPr="00EB3DC6">
        <w:rPr>
          <w:rFonts w:asciiTheme="majorHAnsi" w:hAnsiTheme="majorHAnsi"/>
          <w:sz w:val="20"/>
          <w:szCs w:val="20"/>
          <w:lang w:val="es-ES"/>
        </w:rPr>
        <w:t xml:space="preserve">la CIDH advierte que </w:t>
      </w:r>
      <w:r w:rsidR="00111E14" w:rsidRPr="00EB3DC6">
        <w:rPr>
          <w:rFonts w:asciiTheme="majorHAnsi" w:hAnsiTheme="majorHAnsi"/>
          <w:sz w:val="20"/>
          <w:szCs w:val="20"/>
          <w:lang w:val="es-ES"/>
        </w:rPr>
        <w:t>la cuestión de la posible violación de la libertad de expresión y principio de legalidad fue planteada en el proceso interno ante el IFE y resuelta por el TRIFE</w:t>
      </w:r>
      <w:r w:rsidR="00111E14" w:rsidRPr="00EB3DC6">
        <w:rPr>
          <w:rStyle w:val="FootnoteReference"/>
          <w:rFonts w:asciiTheme="majorHAnsi" w:hAnsiTheme="majorHAnsi"/>
          <w:sz w:val="20"/>
          <w:szCs w:val="20"/>
          <w:lang w:val="es-ES"/>
        </w:rPr>
        <w:footnoteReference w:id="31"/>
      </w:r>
      <w:r w:rsidR="00111E14" w:rsidRPr="00EB3DC6">
        <w:rPr>
          <w:rFonts w:asciiTheme="majorHAnsi" w:hAnsiTheme="majorHAnsi"/>
          <w:sz w:val="20"/>
          <w:szCs w:val="20"/>
          <w:lang w:val="es-ES"/>
        </w:rPr>
        <w:t xml:space="preserve">. En este sentido, existe una coincidencia entre las reclamaciones formuladas en el proceso que fue agotado  a nivel interno y aquellas presentadas ante la CIDH.  </w:t>
      </w:r>
      <w:r w:rsidR="00A64BEB" w:rsidRPr="00EB3DC6">
        <w:rPr>
          <w:rFonts w:asciiTheme="majorHAnsi" w:hAnsiTheme="majorHAnsi"/>
          <w:sz w:val="20"/>
          <w:szCs w:val="20"/>
          <w:lang w:val="es-ES"/>
        </w:rPr>
        <w:t>La Comisión considera por tanto que se agotaron los recursos de la jurisdicción interna, conforme al artículo 46(1</w:t>
      </w:r>
      <w:r w:rsidR="00AE0888" w:rsidRPr="00EB3DC6">
        <w:rPr>
          <w:rFonts w:asciiTheme="majorHAnsi" w:hAnsiTheme="majorHAnsi"/>
          <w:sz w:val="20"/>
          <w:szCs w:val="20"/>
          <w:lang w:val="es-ES"/>
        </w:rPr>
        <w:t>) (</w:t>
      </w:r>
      <w:r w:rsidR="00A64BEB" w:rsidRPr="00EB3DC6">
        <w:rPr>
          <w:rFonts w:asciiTheme="majorHAnsi" w:hAnsiTheme="majorHAnsi"/>
          <w:sz w:val="20"/>
          <w:szCs w:val="20"/>
          <w:lang w:val="es-ES"/>
        </w:rPr>
        <w:t>a) de la Convención Americana.</w:t>
      </w:r>
    </w:p>
    <w:p w:rsidR="00AE2FEE" w:rsidRDefault="00202CED" w:rsidP="00AE2FEE">
      <w:pPr>
        <w:pStyle w:val="ListParagraph"/>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autoSpaceDE w:val="0"/>
        <w:autoSpaceDN w:val="0"/>
        <w:adjustRightInd w:val="0"/>
        <w:spacing w:before="240" w:after="240"/>
        <w:jc w:val="both"/>
        <w:rPr>
          <w:rFonts w:asciiTheme="majorHAnsi" w:hAnsiTheme="majorHAnsi"/>
          <w:sz w:val="20"/>
          <w:szCs w:val="20"/>
          <w:lang w:val="es-ES"/>
        </w:rPr>
      </w:pPr>
      <w:r w:rsidRPr="00EB3DC6">
        <w:rPr>
          <w:rFonts w:asciiTheme="majorHAnsi" w:hAnsiTheme="majorHAnsi"/>
          <w:sz w:val="20"/>
          <w:szCs w:val="20"/>
          <w:lang w:val="es-ES"/>
        </w:rPr>
        <w:t>E</w:t>
      </w:r>
      <w:r w:rsidR="001711AD" w:rsidRPr="00EB3DC6">
        <w:rPr>
          <w:rFonts w:asciiTheme="majorHAnsi" w:hAnsiTheme="majorHAnsi"/>
          <w:sz w:val="20"/>
          <w:szCs w:val="20"/>
          <w:lang w:val="es-ES"/>
        </w:rPr>
        <w:t xml:space="preserve">n relación con el plazo de presentación, </w:t>
      </w:r>
      <w:r w:rsidR="005245D0" w:rsidRPr="00EB3DC6">
        <w:rPr>
          <w:rFonts w:asciiTheme="majorHAnsi" w:hAnsiTheme="majorHAnsi"/>
          <w:sz w:val="20"/>
          <w:szCs w:val="20"/>
          <w:lang w:val="es-ES"/>
        </w:rPr>
        <w:t>en tanto</w:t>
      </w:r>
      <w:r w:rsidR="001711AD" w:rsidRPr="00EB3DC6">
        <w:rPr>
          <w:rFonts w:asciiTheme="majorHAnsi" w:hAnsiTheme="majorHAnsi"/>
          <w:sz w:val="20"/>
          <w:szCs w:val="20"/>
          <w:lang w:val="es-ES"/>
        </w:rPr>
        <w:t xml:space="preserve"> la decisión que puso fin al trámite procesal en sede interna fue adoptada por el TRIFE el 26 de agosto de 2009</w:t>
      </w:r>
      <w:r w:rsidR="005245D0" w:rsidRPr="00EB3DC6">
        <w:rPr>
          <w:rFonts w:asciiTheme="majorHAnsi" w:hAnsiTheme="majorHAnsi"/>
          <w:sz w:val="20"/>
          <w:szCs w:val="20"/>
          <w:lang w:val="es-ES"/>
        </w:rPr>
        <w:t xml:space="preserve"> y </w:t>
      </w:r>
      <w:r w:rsidR="001711AD" w:rsidRPr="00EB3DC6">
        <w:rPr>
          <w:rFonts w:asciiTheme="majorHAnsi" w:hAnsiTheme="majorHAnsi"/>
          <w:sz w:val="20"/>
          <w:szCs w:val="20"/>
          <w:lang w:val="es-ES"/>
        </w:rPr>
        <w:t>la petición fue presentada el 26 de febrero de 2010</w:t>
      </w:r>
      <w:r w:rsidR="005245D0" w:rsidRPr="00EB3DC6">
        <w:rPr>
          <w:rFonts w:asciiTheme="majorHAnsi" w:hAnsiTheme="majorHAnsi"/>
          <w:sz w:val="20"/>
          <w:szCs w:val="20"/>
          <w:lang w:val="es-ES"/>
        </w:rPr>
        <w:t>, la Comisión nota que cumple co</w:t>
      </w:r>
      <w:r w:rsidR="009520FE" w:rsidRPr="00EB3DC6">
        <w:rPr>
          <w:rFonts w:asciiTheme="majorHAnsi" w:hAnsiTheme="majorHAnsi"/>
          <w:sz w:val="20"/>
          <w:szCs w:val="20"/>
          <w:lang w:val="es-ES"/>
        </w:rPr>
        <w:t>n los requisitos exigidos en el artículo</w:t>
      </w:r>
      <w:r w:rsidR="005245D0" w:rsidRPr="00EB3DC6">
        <w:rPr>
          <w:rFonts w:asciiTheme="majorHAnsi" w:hAnsiTheme="majorHAnsi"/>
          <w:sz w:val="20"/>
          <w:szCs w:val="20"/>
          <w:lang w:val="es-ES"/>
        </w:rPr>
        <w:t xml:space="preserve"> 46.1.b) de la Convención Americana</w:t>
      </w:r>
      <w:r w:rsidR="000666BF">
        <w:rPr>
          <w:rFonts w:asciiTheme="majorHAnsi" w:hAnsiTheme="majorHAnsi"/>
          <w:sz w:val="20"/>
          <w:szCs w:val="20"/>
          <w:lang w:val="es-ES"/>
        </w:rPr>
        <w:t>.</w:t>
      </w:r>
    </w:p>
    <w:p w:rsidR="000666BF" w:rsidRDefault="000666BF">
      <w:pPr>
        <w:rPr>
          <w:rFonts w:asciiTheme="majorHAnsi" w:eastAsia="Cambria" w:hAnsiTheme="majorHAnsi" w:cs="Cambria"/>
          <w:color w:val="000000"/>
          <w:sz w:val="20"/>
          <w:szCs w:val="20"/>
          <w:u w:color="000000"/>
          <w:lang w:val="es-ES" w:eastAsia="es-ES"/>
        </w:rPr>
      </w:pPr>
      <w:r>
        <w:rPr>
          <w:rFonts w:asciiTheme="majorHAnsi" w:hAnsiTheme="majorHAnsi"/>
          <w:sz w:val="20"/>
          <w:szCs w:val="20"/>
          <w:lang w:val="es-ES"/>
        </w:rPr>
        <w:br w:type="page"/>
      </w:r>
    </w:p>
    <w:p w:rsidR="003239B8" w:rsidRPr="00770564" w:rsidRDefault="003239B8" w:rsidP="003239B8">
      <w:pPr>
        <w:pStyle w:val="ListParagraph"/>
        <w:spacing w:before="240" w:after="240"/>
        <w:jc w:val="both"/>
        <w:rPr>
          <w:rFonts w:asciiTheme="majorHAnsi" w:hAnsiTheme="majorHAnsi"/>
          <w:b/>
          <w:sz w:val="20"/>
          <w:szCs w:val="20"/>
          <w:lang w:val="es-ES"/>
        </w:rPr>
      </w:pPr>
      <w:r w:rsidRPr="00770564">
        <w:rPr>
          <w:rFonts w:asciiTheme="majorHAnsi" w:hAnsiTheme="majorHAnsi"/>
          <w:b/>
          <w:bCs/>
          <w:sz w:val="20"/>
          <w:szCs w:val="20"/>
          <w:lang w:val="es-ES"/>
        </w:rPr>
        <w:lastRenderedPageBreak/>
        <w:t>VI</w:t>
      </w:r>
      <w:r w:rsidR="00A02FB0" w:rsidRPr="00770564">
        <w:rPr>
          <w:rFonts w:asciiTheme="majorHAnsi" w:hAnsiTheme="majorHAnsi"/>
          <w:b/>
          <w:bCs/>
          <w:sz w:val="20"/>
          <w:szCs w:val="20"/>
          <w:lang w:val="es-ES"/>
        </w:rPr>
        <w:t>I</w:t>
      </w:r>
      <w:r w:rsidRPr="00770564">
        <w:rPr>
          <w:rFonts w:asciiTheme="majorHAnsi" w:hAnsiTheme="majorHAnsi"/>
          <w:b/>
          <w:bCs/>
          <w:sz w:val="20"/>
          <w:szCs w:val="20"/>
          <w:lang w:val="es-ES"/>
        </w:rPr>
        <w:t>I.</w:t>
      </w:r>
      <w:r w:rsidRPr="00770564">
        <w:rPr>
          <w:rFonts w:asciiTheme="majorHAnsi" w:hAnsiTheme="majorHAnsi"/>
          <w:b/>
          <w:bCs/>
          <w:sz w:val="20"/>
          <w:szCs w:val="20"/>
          <w:lang w:val="es-ES"/>
        </w:rPr>
        <w:tab/>
      </w:r>
      <w:r w:rsidR="00C21FEF" w:rsidRPr="00770564">
        <w:rPr>
          <w:rFonts w:asciiTheme="majorHAnsi" w:hAnsiTheme="majorHAnsi"/>
          <w:b/>
          <w:bCs/>
          <w:sz w:val="20"/>
          <w:szCs w:val="20"/>
          <w:lang w:val="es-ES"/>
        </w:rPr>
        <w:t xml:space="preserve">CARACTERIZACIÓN </w:t>
      </w:r>
      <w:r w:rsidR="00C21FEF" w:rsidRPr="00770564">
        <w:rPr>
          <w:rFonts w:asciiTheme="majorHAnsi" w:hAnsiTheme="majorHAnsi"/>
          <w:b/>
          <w:bCs/>
          <w:sz w:val="20"/>
          <w:szCs w:val="20"/>
          <w:lang w:val="es-UY"/>
        </w:rPr>
        <w:t>DE LOS HECHOS ALEGADOS</w:t>
      </w:r>
    </w:p>
    <w:p w:rsidR="00E95E55" w:rsidRPr="00770564" w:rsidRDefault="00DF6F48" w:rsidP="00A02FB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70564">
        <w:rPr>
          <w:rFonts w:asciiTheme="majorHAnsi" w:hAnsiTheme="majorHAnsi"/>
          <w:sz w:val="20"/>
          <w:szCs w:val="20"/>
          <w:lang w:val="es-ES"/>
        </w:rPr>
        <w:t>En vista de los elementos de hecho y de derecho presentados por la parte peticionaria y la naturaleza del asunto pues</w:t>
      </w:r>
      <w:r w:rsidR="003F2AAC" w:rsidRPr="00770564">
        <w:rPr>
          <w:rFonts w:asciiTheme="majorHAnsi" w:hAnsiTheme="majorHAnsi"/>
          <w:sz w:val="20"/>
          <w:szCs w:val="20"/>
          <w:lang w:val="es-ES"/>
        </w:rPr>
        <w:t xml:space="preserve">to bajo su conocimiento, </w:t>
      </w:r>
      <w:r w:rsidR="003F2AAC" w:rsidRPr="00770564">
        <w:rPr>
          <w:rFonts w:asciiTheme="majorHAnsi" w:hAnsiTheme="majorHAnsi"/>
          <w:sz w:val="20"/>
          <w:szCs w:val="20"/>
          <w:bdr w:val="none" w:sz="0" w:space="0" w:color="auto" w:frame="1"/>
          <w:lang w:val="es-ES_tradnl"/>
        </w:rPr>
        <w:t xml:space="preserve">la Comisión </w:t>
      </w:r>
      <w:r w:rsidR="007A1EC1" w:rsidRPr="00770564">
        <w:rPr>
          <w:rFonts w:asciiTheme="majorHAnsi" w:hAnsiTheme="majorHAnsi"/>
          <w:sz w:val="20"/>
          <w:szCs w:val="20"/>
          <w:bdr w:val="none" w:sz="0" w:space="0" w:color="auto" w:frame="1"/>
          <w:lang w:val="es-ES_tradnl"/>
        </w:rPr>
        <w:t xml:space="preserve">decide </w:t>
      </w:r>
      <w:r w:rsidR="003F2AAC" w:rsidRPr="00770564">
        <w:rPr>
          <w:rFonts w:asciiTheme="majorHAnsi" w:hAnsiTheme="majorHAnsi"/>
          <w:sz w:val="20"/>
          <w:szCs w:val="20"/>
          <w:bdr w:val="none" w:sz="0" w:space="0" w:color="auto" w:frame="1"/>
          <w:lang w:val="es-ES_tradnl"/>
        </w:rPr>
        <w:t xml:space="preserve">analizar las </w:t>
      </w:r>
      <w:r w:rsidR="00EA0F8E" w:rsidRPr="00770564">
        <w:rPr>
          <w:rFonts w:asciiTheme="majorHAnsi" w:hAnsiTheme="majorHAnsi"/>
          <w:sz w:val="20"/>
          <w:szCs w:val="20"/>
          <w:lang w:val="es-ES"/>
        </w:rPr>
        <w:t xml:space="preserve">posibles violaciones de los artículos </w:t>
      </w:r>
      <w:r w:rsidR="00DA2C06" w:rsidRPr="00770564">
        <w:rPr>
          <w:rFonts w:asciiTheme="majorHAnsi" w:hAnsiTheme="majorHAnsi"/>
          <w:sz w:val="20"/>
          <w:szCs w:val="20"/>
          <w:lang w:val="es-ES"/>
        </w:rPr>
        <w:t xml:space="preserve">8, </w:t>
      </w:r>
      <w:r w:rsidR="00EA0F8E" w:rsidRPr="00770564">
        <w:rPr>
          <w:rFonts w:asciiTheme="majorHAnsi" w:hAnsiTheme="majorHAnsi"/>
          <w:sz w:val="20"/>
          <w:szCs w:val="20"/>
          <w:lang w:val="es-ES"/>
        </w:rPr>
        <w:t>9, 13 y 25 de la CADH</w:t>
      </w:r>
      <w:r w:rsidR="00B85192" w:rsidRPr="00770564">
        <w:rPr>
          <w:rFonts w:asciiTheme="majorHAnsi" w:hAnsiTheme="majorHAnsi"/>
          <w:sz w:val="20"/>
          <w:szCs w:val="20"/>
          <w:lang w:val="es-ES"/>
        </w:rPr>
        <w:t xml:space="preserve"> en relación con el artículo 1.1</w:t>
      </w:r>
      <w:r w:rsidR="00252F56">
        <w:rPr>
          <w:rFonts w:asciiTheme="majorHAnsi" w:hAnsiTheme="majorHAnsi"/>
          <w:sz w:val="20"/>
          <w:szCs w:val="20"/>
          <w:lang w:val="es-ES"/>
        </w:rPr>
        <w:t xml:space="preserve"> y </w:t>
      </w:r>
      <w:r w:rsidR="00252F56" w:rsidRPr="00770564">
        <w:rPr>
          <w:rFonts w:asciiTheme="majorHAnsi" w:hAnsiTheme="majorHAnsi"/>
          <w:sz w:val="20"/>
          <w:szCs w:val="20"/>
          <w:lang w:val="es-ES"/>
        </w:rPr>
        <w:t>2</w:t>
      </w:r>
      <w:r w:rsidR="00252F56">
        <w:rPr>
          <w:rFonts w:asciiTheme="majorHAnsi" w:hAnsiTheme="majorHAnsi"/>
          <w:sz w:val="20"/>
          <w:szCs w:val="20"/>
          <w:lang w:val="es-ES"/>
        </w:rPr>
        <w:t xml:space="preserve"> de dicho tratado</w:t>
      </w:r>
      <w:r w:rsidR="00EA0F8E" w:rsidRPr="00770564">
        <w:rPr>
          <w:rFonts w:asciiTheme="majorHAnsi" w:hAnsiTheme="majorHAnsi"/>
          <w:sz w:val="20"/>
          <w:szCs w:val="20"/>
          <w:lang w:val="es-ES"/>
        </w:rPr>
        <w:t xml:space="preserve">, respecto de </w:t>
      </w:r>
      <w:r w:rsidR="00E95E55" w:rsidRPr="00770564">
        <w:rPr>
          <w:rFonts w:asciiTheme="majorHAnsi" w:hAnsiTheme="majorHAnsi"/>
          <w:bCs/>
          <w:sz w:val="20"/>
          <w:szCs w:val="20"/>
          <w:lang w:val="es-ES_tradnl"/>
        </w:rPr>
        <w:t xml:space="preserve">Alejandro Fernando Aguilera Mendieta, Miguel Ángel Diez García, </w:t>
      </w:r>
      <w:r w:rsidR="00EF3C28" w:rsidRPr="00770564">
        <w:rPr>
          <w:rFonts w:asciiTheme="majorHAnsi" w:hAnsiTheme="majorHAnsi"/>
          <w:sz w:val="20"/>
          <w:szCs w:val="20"/>
          <w:lang w:val="es-AR"/>
        </w:rPr>
        <w:t xml:space="preserve">Ángel Israel Crespo Rueda, </w:t>
      </w:r>
      <w:r w:rsidR="00E95E55" w:rsidRPr="00770564">
        <w:rPr>
          <w:rFonts w:asciiTheme="majorHAnsi" w:hAnsiTheme="majorHAnsi"/>
          <w:bCs/>
          <w:sz w:val="20"/>
          <w:szCs w:val="20"/>
          <w:lang w:val="es-ES_tradnl"/>
        </w:rPr>
        <w:t>Miriam Villanueva Chia</w:t>
      </w:r>
      <w:r w:rsidR="007A1EC1" w:rsidRPr="00770564">
        <w:rPr>
          <w:rFonts w:asciiTheme="majorHAnsi" w:hAnsiTheme="majorHAnsi"/>
          <w:bCs/>
          <w:sz w:val="20"/>
          <w:szCs w:val="20"/>
          <w:lang w:val="es-ES_tradnl"/>
        </w:rPr>
        <w:t>pas y Félix José Araujo Ramírez, en la etapa del fondo.</w:t>
      </w:r>
    </w:p>
    <w:p w:rsidR="0099550A" w:rsidRPr="00770564" w:rsidRDefault="00974767" w:rsidP="00A02FB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70564">
        <w:rPr>
          <w:rFonts w:asciiTheme="majorHAnsi" w:hAnsiTheme="majorHAnsi"/>
          <w:sz w:val="20"/>
          <w:szCs w:val="20"/>
          <w:lang w:val="es-VE"/>
        </w:rPr>
        <w:t>En</w:t>
      </w:r>
      <w:r w:rsidR="00845A5F" w:rsidRPr="00770564">
        <w:rPr>
          <w:rFonts w:asciiTheme="majorHAnsi" w:hAnsiTheme="majorHAnsi"/>
          <w:sz w:val="20"/>
          <w:szCs w:val="20"/>
          <w:lang w:val="es-VE"/>
        </w:rPr>
        <w:t xml:space="preserve"> cuanto al alegato de la parte peticionaria relacionado con violaciones a los artículos IV y XXVI de la Declaración Americana, </w:t>
      </w:r>
      <w:r w:rsidR="004E36F3">
        <w:rPr>
          <w:rFonts w:asciiTheme="majorHAnsi" w:hAnsiTheme="majorHAnsi"/>
          <w:sz w:val="20"/>
          <w:szCs w:val="20"/>
          <w:lang w:val="es-VE"/>
        </w:rPr>
        <w:t>l</w:t>
      </w:r>
      <w:r w:rsidR="00EF3C28" w:rsidRPr="00770564">
        <w:rPr>
          <w:rFonts w:asciiTheme="majorHAnsi" w:hAnsiTheme="majorHAnsi"/>
          <w:bCs/>
          <w:sz w:val="20"/>
          <w:szCs w:val="20"/>
          <w:lang w:val="es-ES"/>
        </w:rPr>
        <w:t xml:space="preserve">a CIDH entiende que </w:t>
      </w:r>
      <w:r w:rsidR="00DA2C06" w:rsidRPr="00770564">
        <w:rPr>
          <w:rFonts w:asciiTheme="majorHAnsi" w:hAnsiTheme="majorHAnsi"/>
          <w:bCs/>
          <w:sz w:val="20"/>
          <w:szCs w:val="20"/>
          <w:lang w:val="es-ES"/>
        </w:rPr>
        <w:t>el derecho a la libertad de expresión y debido proceso se encuentra protegido</w:t>
      </w:r>
      <w:r w:rsidR="00EF3C28" w:rsidRPr="00770564">
        <w:rPr>
          <w:rFonts w:asciiTheme="majorHAnsi" w:hAnsiTheme="majorHAnsi" w:cs="Tahoma"/>
          <w:sz w:val="20"/>
          <w:szCs w:val="20"/>
          <w:lang w:val="es-ES_tradnl"/>
        </w:rPr>
        <w:t xml:space="preserve"> en los artículos </w:t>
      </w:r>
      <w:r w:rsidR="00DA2C06" w:rsidRPr="00770564">
        <w:rPr>
          <w:rFonts w:asciiTheme="majorHAnsi" w:hAnsiTheme="majorHAnsi" w:cs="Tahoma"/>
          <w:sz w:val="20"/>
          <w:szCs w:val="20"/>
          <w:lang w:val="es-ES_tradnl"/>
        </w:rPr>
        <w:t>13</w:t>
      </w:r>
      <w:r w:rsidR="00EF3C28" w:rsidRPr="00770564">
        <w:rPr>
          <w:rFonts w:asciiTheme="majorHAnsi" w:hAnsiTheme="majorHAnsi" w:cs="Tahoma"/>
          <w:sz w:val="20"/>
          <w:szCs w:val="20"/>
          <w:lang w:val="es-ES_tradnl"/>
        </w:rPr>
        <w:t xml:space="preserve"> y </w:t>
      </w:r>
      <w:r w:rsidR="00DA2C06" w:rsidRPr="00770564">
        <w:rPr>
          <w:rFonts w:asciiTheme="majorHAnsi" w:hAnsiTheme="majorHAnsi" w:cs="Tahoma"/>
          <w:sz w:val="20"/>
          <w:szCs w:val="20"/>
          <w:lang w:val="es-ES_tradnl"/>
        </w:rPr>
        <w:t>8</w:t>
      </w:r>
      <w:r w:rsidR="00EF3C28" w:rsidRPr="00770564">
        <w:rPr>
          <w:rFonts w:asciiTheme="majorHAnsi" w:hAnsiTheme="majorHAnsi" w:cs="Tahoma"/>
          <w:sz w:val="20"/>
          <w:szCs w:val="20"/>
          <w:lang w:val="es-ES_tradnl"/>
        </w:rPr>
        <w:t xml:space="preserve"> de la Convención Americana, por lo tanto, no resulta necesario referirse a violaciones de la Declaración Americana en este caso</w:t>
      </w:r>
      <w:r w:rsidR="00845A5F" w:rsidRPr="00770564">
        <w:rPr>
          <w:rFonts w:asciiTheme="majorHAnsi" w:hAnsiTheme="majorHAnsi"/>
          <w:sz w:val="20"/>
          <w:szCs w:val="20"/>
          <w:lang w:val="es-VE"/>
        </w:rPr>
        <w:t>.</w:t>
      </w:r>
    </w:p>
    <w:p w:rsidR="003239B8" w:rsidRPr="00770564" w:rsidRDefault="003239B8" w:rsidP="003239B8">
      <w:pPr>
        <w:pStyle w:val="ListParagraph"/>
        <w:spacing w:before="240" w:after="240"/>
        <w:jc w:val="both"/>
        <w:rPr>
          <w:rFonts w:asciiTheme="majorHAnsi" w:hAnsiTheme="majorHAnsi"/>
          <w:b/>
          <w:bCs/>
          <w:sz w:val="20"/>
          <w:szCs w:val="20"/>
          <w:lang w:val="es-ES"/>
        </w:rPr>
      </w:pPr>
      <w:r w:rsidRPr="00770564">
        <w:rPr>
          <w:rFonts w:asciiTheme="majorHAnsi" w:hAnsiTheme="majorHAnsi"/>
          <w:b/>
          <w:bCs/>
          <w:sz w:val="20"/>
          <w:szCs w:val="20"/>
          <w:lang w:val="es-ES"/>
        </w:rPr>
        <w:t xml:space="preserve">VIII. </w:t>
      </w:r>
      <w:r w:rsidRPr="00770564">
        <w:rPr>
          <w:rFonts w:asciiTheme="majorHAnsi" w:hAnsiTheme="majorHAnsi"/>
          <w:b/>
          <w:bCs/>
          <w:sz w:val="20"/>
          <w:szCs w:val="20"/>
          <w:lang w:val="es-ES"/>
        </w:rPr>
        <w:tab/>
        <w:t>DECISIÓN</w:t>
      </w:r>
    </w:p>
    <w:p w:rsidR="003239B8" w:rsidRDefault="003239B8" w:rsidP="0065174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70564">
        <w:rPr>
          <w:rFonts w:asciiTheme="majorHAnsi" w:hAnsiTheme="majorHAnsi"/>
          <w:sz w:val="20"/>
          <w:szCs w:val="20"/>
          <w:lang w:val="es-ES"/>
        </w:rPr>
        <w:t>Declarar admisible la presente petición en relación con</w:t>
      </w:r>
      <w:r w:rsidR="00C75004" w:rsidRPr="00770564">
        <w:rPr>
          <w:rFonts w:asciiTheme="majorHAnsi" w:hAnsiTheme="majorHAnsi"/>
          <w:sz w:val="20"/>
          <w:szCs w:val="20"/>
          <w:lang w:val="es-ES"/>
        </w:rPr>
        <w:t xml:space="preserve"> </w:t>
      </w:r>
      <w:r w:rsidR="00C75004" w:rsidRPr="00770564">
        <w:rPr>
          <w:rFonts w:asciiTheme="majorHAnsi" w:hAnsiTheme="majorHAnsi"/>
          <w:bCs/>
          <w:sz w:val="20"/>
          <w:szCs w:val="20"/>
          <w:lang w:val="es-ES_tradnl"/>
        </w:rPr>
        <w:t xml:space="preserve">Alejandro Fernando Aguilera Mendieta, Miguel Ángel Diez García, </w:t>
      </w:r>
      <w:r w:rsidR="00DA2C06" w:rsidRPr="00770564">
        <w:rPr>
          <w:rFonts w:asciiTheme="majorHAnsi" w:hAnsiTheme="majorHAnsi"/>
          <w:sz w:val="20"/>
          <w:szCs w:val="20"/>
          <w:lang w:val="es-AR"/>
        </w:rPr>
        <w:t>Ángel Israel Crespo Rueda</w:t>
      </w:r>
      <w:r w:rsidR="00DA2C06" w:rsidRPr="00770564">
        <w:rPr>
          <w:rFonts w:asciiTheme="majorHAnsi" w:hAnsiTheme="majorHAnsi"/>
          <w:bCs/>
          <w:sz w:val="20"/>
          <w:szCs w:val="20"/>
          <w:lang w:val="es-ES_tradnl"/>
        </w:rPr>
        <w:t xml:space="preserve">, </w:t>
      </w:r>
      <w:r w:rsidR="00C75004" w:rsidRPr="00770564">
        <w:rPr>
          <w:rFonts w:asciiTheme="majorHAnsi" w:hAnsiTheme="majorHAnsi"/>
          <w:bCs/>
          <w:sz w:val="20"/>
          <w:szCs w:val="20"/>
          <w:lang w:val="es-ES_tradnl"/>
        </w:rPr>
        <w:t>Miriam Villanueva Chiapas y Félix José Araujo Ramírez</w:t>
      </w:r>
      <w:r w:rsidR="00A758AA" w:rsidRPr="00770564">
        <w:rPr>
          <w:rFonts w:asciiTheme="majorHAnsi" w:hAnsiTheme="majorHAnsi"/>
          <w:sz w:val="20"/>
          <w:szCs w:val="20"/>
          <w:lang w:val="es-ES"/>
        </w:rPr>
        <w:t>;</w:t>
      </w:r>
    </w:p>
    <w:p w:rsidR="00651748" w:rsidRPr="00770564" w:rsidRDefault="00651748" w:rsidP="0065174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rsidR="000419AD" w:rsidRDefault="000419AD" w:rsidP="00651748">
      <w:pPr>
        <w:pStyle w:val="ListParagraph"/>
        <w:numPr>
          <w:ilvl w:val="0"/>
          <w:numId w:val="109"/>
        </w:numPr>
        <w:jc w:val="both"/>
        <w:rPr>
          <w:rFonts w:asciiTheme="majorHAnsi" w:eastAsia="Arial Unicode MS" w:hAnsiTheme="majorHAnsi" w:cs="Times New Roman"/>
          <w:color w:val="auto"/>
          <w:sz w:val="20"/>
          <w:szCs w:val="20"/>
          <w:lang w:val="es-ES" w:eastAsia="en-US"/>
        </w:rPr>
      </w:pPr>
      <w:r w:rsidRPr="00770564">
        <w:rPr>
          <w:rFonts w:asciiTheme="majorHAnsi" w:eastAsia="Arial Unicode MS" w:hAnsiTheme="majorHAnsi" w:cs="Times New Roman"/>
          <w:color w:val="auto"/>
          <w:sz w:val="20"/>
          <w:szCs w:val="20"/>
          <w:lang w:val="es-ES" w:eastAsia="en-US"/>
        </w:rPr>
        <w:t>Declarar inadmisible la presente petición en relación con</w:t>
      </w:r>
      <w:r w:rsidR="00C75004" w:rsidRPr="00770564">
        <w:rPr>
          <w:rFonts w:asciiTheme="majorHAnsi" w:eastAsia="Arial Unicode MS" w:hAnsiTheme="majorHAnsi" w:cs="Times New Roman"/>
          <w:color w:val="auto"/>
          <w:sz w:val="20"/>
          <w:szCs w:val="20"/>
          <w:lang w:val="es-ES" w:eastAsia="en-US"/>
        </w:rPr>
        <w:t xml:space="preserve"> </w:t>
      </w:r>
      <w:r w:rsidR="00C75004" w:rsidRPr="00770564">
        <w:rPr>
          <w:rFonts w:asciiTheme="majorHAnsi" w:hAnsiTheme="majorHAnsi"/>
          <w:color w:val="auto"/>
          <w:sz w:val="20"/>
          <w:szCs w:val="20"/>
          <w:lang w:val="es-ES"/>
        </w:rPr>
        <w:t>Raquel Hidalgo Márquez, Ra</w:t>
      </w:r>
      <w:r w:rsidR="00C75004" w:rsidRPr="00770564">
        <w:rPr>
          <w:rFonts w:asciiTheme="majorHAnsi" w:hAnsiTheme="majorHAnsi"/>
          <w:bCs/>
          <w:color w:val="auto"/>
          <w:sz w:val="20"/>
          <w:szCs w:val="20"/>
          <w:lang w:val="es-ES_tradnl"/>
        </w:rPr>
        <w:t xml:space="preserve">diotelevisora </w:t>
      </w:r>
      <w:r w:rsidR="00C75004" w:rsidRPr="00770564">
        <w:rPr>
          <w:rFonts w:asciiTheme="majorHAnsi" w:hAnsiTheme="majorHAnsi"/>
          <w:bCs/>
          <w:sz w:val="20"/>
          <w:szCs w:val="20"/>
          <w:lang w:val="es-ES_tradnl"/>
        </w:rPr>
        <w:t>de México Norte S.A. de C.V., Cadena Televisora del Norte S.A. de C.V. y Televimex</w:t>
      </w:r>
      <w:r w:rsidR="007503BC" w:rsidRPr="00770564">
        <w:rPr>
          <w:rFonts w:asciiTheme="majorHAnsi" w:hAnsiTheme="majorHAnsi"/>
          <w:bCs/>
          <w:sz w:val="20"/>
          <w:szCs w:val="20"/>
          <w:lang w:val="es-ES_tradnl"/>
        </w:rPr>
        <w:t xml:space="preserve"> S.A. de C.V</w:t>
      </w:r>
      <w:r w:rsidR="00A758AA" w:rsidRPr="00770564">
        <w:rPr>
          <w:rFonts w:asciiTheme="majorHAnsi" w:eastAsia="Arial Unicode MS" w:hAnsiTheme="majorHAnsi" w:cs="Times New Roman"/>
          <w:color w:val="auto"/>
          <w:sz w:val="20"/>
          <w:szCs w:val="20"/>
          <w:lang w:val="es-ES" w:eastAsia="en-US"/>
        </w:rPr>
        <w:t>;</w:t>
      </w:r>
    </w:p>
    <w:p w:rsidR="00252F56" w:rsidRDefault="00252F56" w:rsidP="00651748">
      <w:pPr>
        <w:pStyle w:val="ListParagraph"/>
        <w:jc w:val="both"/>
        <w:rPr>
          <w:rFonts w:asciiTheme="majorHAnsi" w:eastAsia="Arial Unicode MS" w:hAnsiTheme="majorHAnsi" w:cs="Times New Roman"/>
          <w:color w:val="auto"/>
          <w:sz w:val="20"/>
          <w:szCs w:val="20"/>
          <w:lang w:val="es-ES" w:eastAsia="en-US"/>
        </w:rPr>
      </w:pPr>
    </w:p>
    <w:p w:rsidR="00252F56" w:rsidRPr="00651748" w:rsidRDefault="00252F56" w:rsidP="0065174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Pr>
          <w:rFonts w:asciiTheme="majorHAnsi" w:hAnsiTheme="majorHAnsi"/>
          <w:sz w:val="20"/>
          <w:szCs w:val="20"/>
          <w:lang w:val="es-ES"/>
        </w:rPr>
        <w:t>los artículos 8, 9, 13 y 25 de la Convención Americana en conexión los artículos 1.1 y 2 del mismo instrumento</w:t>
      </w:r>
      <w:r>
        <w:rPr>
          <w:rFonts w:ascii="Cambria" w:hAnsi="Cambria"/>
          <w:sz w:val="20"/>
          <w:szCs w:val="20"/>
          <w:bdr w:val="none" w:sz="0" w:space="0" w:color="auto" w:frame="1"/>
          <w:lang w:val="es-ES_tradnl"/>
        </w:rPr>
        <w:t>; y</w:t>
      </w:r>
    </w:p>
    <w:p w:rsidR="00651748" w:rsidRDefault="00651748" w:rsidP="00651748">
      <w:pPr>
        <w:pStyle w:val="ListParagraph"/>
        <w:rPr>
          <w:sz w:val="20"/>
          <w:szCs w:val="20"/>
          <w:lang w:val="es-ES"/>
        </w:rPr>
      </w:pPr>
    </w:p>
    <w:p w:rsidR="00722C9F" w:rsidRDefault="003239B8" w:rsidP="0065174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70564">
        <w:rPr>
          <w:rFonts w:asciiTheme="majorHAnsi" w:hAnsiTheme="majorHAnsi"/>
          <w:sz w:val="20"/>
          <w:szCs w:val="20"/>
          <w:lang w:val="es-ES"/>
        </w:rPr>
        <w:t>Notificar a las partes la presente decisión;</w:t>
      </w:r>
      <w:r w:rsidR="00CB2264">
        <w:rPr>
          <w:rFonts w:asciiTheme="majorHAnsi" w:hAnsiTheme="majorHAnsi"/>
          <w:sz w:val="20"/>
          <w:szCs w:val="20"/>
          <w:lang w:val="es-ES"/>
        </w:rPr>
        <w:t xml:space="preserve"> c</w:t>
      </w:r>
      <w:r w:rsidRPr="00CB2264">
        <w:rPr>
          <w:rFonts w:asciiTheme="majorHAnsi" w:hAnsiTheme="majorHAnsi"/>
          <w:sz w:val="20"/>
          <w:szCs w:val="20"/>
          <w:lang w:val="es-ES"/>
        </w:rPr>
        <w:t>ontinuar con el análisis del fondo de la cuestión; y</w:t>
      </w:r>
      <w:r w:rsidR="00CB2264">
        <w:rPr>
          <w:rFonts w:asciiTheme="majorHAnsi" w:hAnsiTheme="majorHAnsi"/>
          <w:sz w:val="20"/>
          <w:szCs w:val="20"/>
          <w:lang w:val="es-ES"/>
        </w:rPr>
        <w:t xml:space="preserve"> p</w:t>
      </w:r>
      <w:r w:rsidRPr="00CB2264">
        <w:rPr>
          <w:rFonts w:asciiTheme="majorHAnsi" w:hAnsiTheme="majorHAnsi"/>
          <w:sz w:val="20"/>
          <w:szCs w:val="20"/>
          <w:lang w:val="es-ES"/>
        </w:rPr>
        <w:t>ublicar esta decisión e incluirla en su Informe Anual a la Asamblea General de la Organización de los Estados Americanos.</w:t>
      </w:r>
    </w:p>
    <w:p w:rsidR="00651748" w:rsidRDefault="00651748" w:rsidP="0065174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rsidR="00E3040F" w:rsidRPr="00396544" w:rsidRDefault="00E3040F" w:rsidP="00E3040F">
      <w:pPr>
        <w:pStyle w:val="ListParagraph"/>
        <w:suppressAutoHyphens/>
        <w:ind w:left="0" w:firstLine="720"/>
        <w:jc w:val="both"/>
        <w:rPr>
          <w:sz w:val="20"/>
          <w:szCs w:val="20"/>
          <w:lang w:val="es-ES"/>
        </w:rPr>
      </w:pPr>
      <w:r w:rsidRPr="00091857">
        <w:rPr>
          <w:sz w:val="20"/>
          <w:szCs w:val="20"/>
          <w:lang w:val="es-ES"/>
        </w:rPr>
        <w:t xml:space="preserve">Aprobado por la Comisión Interamericana de Derechos Humanos </w:t>
      </w:r>
      <w:r w:rsidR="00456483" w:rsidRPr="00A37B82">
        <w:rPr>
          <w:rFonts w:asciiTheme="majorHAnsi" w:hAnsiTheme="majorHAnsi" w:cs="Arial"/>
          <w:noProof/>
          <w:spacing w:val="-2"/>
          <w:sz w:val="20"/>
          <w:szCs w:val="20"/>
          <w:lang w:val="es-CL"/>
        </w:rPr>
        <w:t xml:space="preserve">en la ciudad de </w:t>
      </w:r>
      <w:r w:rsidR="00456483">
        <w:rPr>
          <w:rFonts w:asciiTheme="majorHAnsi" w:hAnsiTheme="majorHAnsi" w:cs="Arial"/>
          <w:noProof/>
          <w:spacing w:val="-2"/>
          <w:sz w:val="20"/>
          <w:szCs w:val="20"/>
          <w:lang w:val="es-CL"/>
        </w:rPr>
        <w:t>Santo Domingo</w:t>
      </w:r>
      <w:r w:rsidR="00456483" w:rsidRPr="00A37B82">
        <w:rPr>
          <w:rFonts w:asciiTheme="majorHAnsi" w:hAnsiTheme="majorHAnsi" w:cs="Arial"/>
          <w:noProof/>
          <w:spacing w:val="-2"/>
          <w:sz w:val="20"/>
          <w:szCs w:val="20"/>
          <w:lang w:val="es-CL"/>
        </w:rPr>
        <w:t>,</w:t>
      </w:r>
      <w:r w:rsidR="00456483">
        <w:rPr>
          <w:rFonts w:asciiTheme="majorHAnsi" w:hAnsiTheme="majorHAnsi" w:cs="Arial"/>
          <w:noProof/>
          <w:spacing w:val="-2"/>
          <w:sz w:val="20"/>
          <w:szCs w:val="20"/>
          <w:lang w:val="es-CL"/>
        </w:rPr>
        <w:t xml:space="preserve"> Rep</w:t>
      </w:r>
      <w:r w:rsidR="00456483" w:rsidRPr="00B22110">
        <w:rPr>
          <w:rFonts w:asciiTheme="majorHAnsi" w:hAnsiTheme="majorHAnsi" w:cs="Arial"/>
          <w:noProof/>
          <w:spacing w:val="-2"/>
          <w:sz w:val="20"/>
          <w:szCs w:val="20"/>
          <w:lang w:val="es-ES"/>
        </w:rPr>
        <w:t>ública Dominicana</w:t>
      </w:r>
      <w:r w:rsidR="00456483" w:rsidRPr="00A37B82">
        <w:rPr>
          <w:rFonts w:asciiTheme="majorHAnsi" w:hAnsiTheme="majorHAnsi" w:cs="Arial"/>
          <w:noProof/>
          <w:spacing w:val="-2"/>
          <w:sz w:val="20"/>
          <w:szCs w:val="20"/>
          <w:lang w:val="es-CL"/>
        </w:rPr>
        <w:t xml:space="preserve"> a los </w:t>
      </w:r>
      <w:r w:rsidR="00456483">
        <w:rPr>
          <w:rFonts w:asciiTheme="majorHAnsi" w:hAnsiTheme="majorHAnsi" w:cs="Arial"/>
          <w:noProof/>
          <w:spacing w:val="-2"/>
          <w:sz w:val="20"/>
          <w:szCs w:val="20"/>
          <w:lang w:val="es-CL"/>
        </w:rPr>
        <w:t>5</w:t>
      </w:r>
      <w:r w:rsidR="00456483" w:rsidRPr="00A37B82">
        <w:rPr>
          <w:rFonts w:asciiTheme="majorHAnsi" w:hAnsiTheme="majorHAnsi" w:cs="Arial"/>
          <w:noProof/>
          <w:spacing w:val="-2"/>
          <w:sz w:val="20"/>
          <w:szCs w:val="20"/>
          <w:lang w:val="es-CL"/>
        </w:rPr>
        <w:t xml:space="preserve"> días del mes de </w:t>
      </w:r>
      <w:r w:rsidR="00456483">
        <w:rPr>
          <w:rFonts w:asciiTheme="majorHAnsi" w:hAnsiTheme="majorHAnsi" w:cs="Arial"/>
          <w:noProof/>
          <w:spacing w:val="-2"/>
          <w:sz w:val="20"/>
          <w:szCs w:val="20"/>
          <w:lang w:val="es-CL"/>
        </w:rPr>
        <w:t>mayo</w:t>
      </w:r>
      <w:r w:rsidR="00456483" w:rsidRPr="00A37B82">
        <w:rPr>
          <w:rFonts w:asciiTheme="majorHAnsi" w:hAnsiTheme="majorHAnsi" w:cs="Arial"/>
          <w:noProof/>
          <w:spacing w:val="-2"/>
          <w:sz w:val="20"/>
          <w:szCs w:val="20"/>
          <w:lang w:val="es-CL"/>
        </w:rPr>
        <w:t xml:space="preserve"> de </w:t>
      </w:r>
      <w:r w:rsidR="00456483">
        <w:rPr>
          <w:rFonts w:asciiTheme="majorHAnsi" w:hAnsiTheme="majorHAnsi" w:cs="Arial"/>
          <w:noProof/>
          <w:spacing w:val="-2"/>
          <w:sz w:val="20"/>
          <w:szCs w:val="20"/>
          <w:lang w:val="es-CL"/>
        </w:rPr>
        <w:t>2018</w:t>
      </w:r>
      <w:r w:rsidR="00456483" w:rsidRPr="00A37B82">
        <w:rPr>
          <w:rFonts w:asciiTheme="majorHAnsi" w:hAnsiTheme="majorHAnsi" w:cs="Arial"/>
          <w:noProof/>
          <w:spacing w:val="-2"/>
          <w:sz w:val="20"/>
          <w:szCs w:val="20"/>
          <w:lang w:val="es-CL"/>
        </w:rPr>
        <w:t>.</w:t>
      </w:r>
      <w:r w:rsidRPr="00091857">
        <w:rPr>
          <w:sz w:val="20"/>
          <w:szCs w:val="20"/>
          <w:lang w:val="es-ES"/>
        </w:rPr>
        <w:t xml:space="preserve">  (Firmado): Margarette </w:t>
      </w:r>
      <w:r w:rsidRPr="00E3040F">
        <w:rPr>
          <w:sz w:val="20"/>
          <w:szCs w:val="20"/>
          <w:lang w:val="es-NI"/>
        </w:rPr>
        <w:t>May</w:t>
      </w:r>
      <w:r w:rsidRPr="00091857">
        <w:rPr>
          <w:sz w:val="20"/>
          <w:szCs w:val="20"/>
          <w:lang w:val="es-ES"/>
        </w:rPr>
        <w:t xml:space="preserve"> </w:t>
      </w:r>
      <w:r w:rsidRPr="00E3040F">
        <w:rPr>
          <w:sz w:val="20"/>
          <w:szCs w:val="20"/>
          <w:lang w:val="es-NI"/>
        </w:rPr>
        <w:t>Macaulay</w:t>
      </w:r>
      <w:r w:rsidRPr="00091857">
        <w:rPr>
          <w:sz w:val="20"/>
          <w:szCs w:val="20"/>
          <w:lang w:val="es-ES"/>
        </w:rPr>
        <w:t xml:space="preserve">, Presidenta; Esmeralda E. Arosemena Bernal de Troitiño, Primera Vicepresidenta; Luis Ernesto Vargas Silva, Segundo Vicepresidente; Antonia Urrejola y Flávia </w:t>
      </w:r>
      <w:r w:rsidRPr="00091857">
        <w:rPr>
          <w:sz w:val="20"/>
          <w:szCs w:val="20"/>
          <w:lang w:val="es-NI"/>
        </w:rPr>
        <w:t>Piovesan</w:t>
      </w:r>
      <w:r w:rsidRPr="00091857">
        <w:rPr>
          <w:sz w:val="20"/>
          <w:szCs w:val="20"/>
          <w:lang w:val="es-ES"/>
        </w:rPr>
        <w:t>, Miembros de la Comisión.</w:t>
      </w:r>
    </w:p>
    <w:p w:rsidR="00E3040F" w:rsidRDefault="00E3040F" w:rsidP="00E3040F">
      <w:pPr>
        <w:pStyle w:val="ListParagraph"/>
        <w:suppressAutoHyphens/>
        <w:ind w:left="0" w:firstLine="720"/>
        <w:jc w:val="both"/>
        <w:rPr>
          <w:sz w:val="20"/>
          <w:szCs w:val="20"/>
          <w:lang w:val="es-ES"/>
        </w:rPr>
      </w:pPr>
    </w:p>
    <w:sectPr w:rsidR="00E3040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819" w:rsidRDefault="00A55819">
      <w:r>
        <w:separator/>
      </w:r>
    </w:p>
  </w:endnote>
  <w:endnote w:type="continuationSeparator" w:id="0">
    <w:p w:rsidR="00A55819" w:rsidRDefault="00A5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Univers LT Std">
    <w:altName w:val="Times New Roman"/>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70" w:rsidRDefault="00F337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157771"/>
      <w:docPartObj>
        <w:docPartGallery w:val="Page Numbers (Bottom of Page)"/>
        <w:docPartUnique/>
      </w:docPartObj>
    </w:sdtPr>
    <w:sdtEndPr>
      <w:rPr>
        <w:noProof/>
        <w:sz w:val="16"/>
        <w:szCs w:val="22"/>
      </w:rPr>
    </w:sdtEndPr>
    <w:sdtContent>
      <w:p w:rsidR="008129E0" w:rsidRPr="00934A2C" w:rsidRDefault="008129E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33770">
          <w:rPr>
            <w:noProof/>
            <w:sz w:val="16"/>
            <w:szCs w:val="22"/>
          </w:rPr>
          <w:t>1</w:t>
        </w:r>
        <w:r w:rsidRPr="00934A2C">
          <w:rPr>
            <w:noProof/>
            <w:sz w:val="16"/>
            <w:szCs w:val="22"/>
          </w:rPr>
          <w:fldChar w:fldCharType="end"/>
        </w:r>
      </w:p>
    </w:sdtContent>
  </w:sdt>
  <w:p w:rsidR="008129E0" w:rsidRDefault="008129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9E0" w:rsidRPr="00934A2C" w:rsidRDefault="008129E0">
    <w:pPr>
      <w:pStyle w:val="Footer"/>
      <w:jc w:val="center"/>
      <w:rPr>
        <w:sz w:val="16"/>
        <w:szCs w:val="22"/>
      </w:rPr>
    </w:pPr>
  </w:p>
  <w:p w:rsidR="008129E0" w:rsidRDefault="00812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819" w:rsidRPr="000F35ED" w:rsidRDefault="00A55819">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A55819" w:rsidRPr="000F35ED" w:rsidRDefault="00A55819" w:rsidP="000F35ED">
      <w:pPr>
        <w:rPr>
          <w:rFonts w:asciiTheme="majorHAnsi" w:hAnsiTheme="majorHAnsi"/>
          <w:sz w:val="16"/>
          <w:szCs w:val="16"/>
        </w:rPr>
      </w:pPr>
      <w:r w:rsidRPr="000F35ED">
        <w:rPr>
          <w:rFonts w:asciiTheme="majorHAnsi" w:hAnsiTheme="majorHAnsi"/>
          <w:sz w:val="16"/>
          <w:szCs w:val="16"/>
        </w:rPr>
        <w:separator/>
      </w:r>
    </w:p>
    <w:p w:rsidR="00A55819" w:rsidRPr="000F35ED" w:rsidRDefault="00A5581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A55819" w:rsidRPr="000F35ED" w:rsidRDefault="00A5581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8129E0" w:rsidRPr="00EB3DC6" w:rsidRDefault="008129E0" w:rsidP="000666BF">
      <w:pPr>
        <w:pStyle w:val="NoSpacing"/>
        <w:spacing w:after="120"/>
        <w:ind w:firstLine="720"/>
        <w:jc w:val="both"/>
        <w:rPr>
          <w:rFonts w:asciiTheme="majorHAnsi" w:hAnsiTheme="majorHAnsi"/>
          <w:sz w:val="16"/>
          <w:szCs w:val="16"/>
          <w:lang w:val="es-ES_tradnl"/>
        </w:rPr>
      </w:pPr>
      <w:r w:rsidRPr="00EB3DC6">
        <w:rPr>
          <w:rStyle w:val="FootnoteReference"/>
          <w:rFonts w:asciiTheme="majorHAnsi" w:hAnsiTheme="majorHAnsi"/>
          <w:sz w:val="16"/>
          <w:szCs w:val="16"/>
        </w:rPr>
        <w:footnoteRef/>
      </w:r>
      <w:r w:rsidRPr="00EB3DC6">
        <w:rPr>
          <w:rFonts w:asciiTheme="majorHAnsi" w:hAnsiTheme="majorHAnsi"/>
          <w:sz w:val="16"/>
          <w:szCs w:val="16"/>
          <w:lang w:val="es-ES_tradnl"/>
        </w:rPr>
        <w:t xml:space="preserve"> </w:t>
      </w:r>
      <w:r w:rsidRPr="00EB3DC6">
        <w:rPr>
          <w:rFonts w:asciiTheme="majorHAnsi" w:hAnsiTheme="majorHAnsi"/>
          <w:bCs/>
          <w:sz w:val="16"/>
          <w:szCs w:val="16"/>
          <w:lang w:val="es-ES_tradnl"/>
        </w:rPr>
        <w:t xml:space="preserve">Miguel Ángel Diez García, Ángel Israel Crespo Rueda, Miriam Villanueva Chiapas, Félix José Araujo Ramírez, Raquel Hidalgo Márquez, </w:t>
      </w:r>
      <w:proofErr w:type="spellStart"/>
      <w:r w:rsidRPr="00EB3DC6">
        <w:rPr>
          <w:rFonts w:asciiTheme="majorHAnsi" w:hAnsiTheme="majorHAnsi"/>
          <w:bCs/>
          <w:sz w:val="16"/>
          <w:szCs w:val="16"/>
          <w:lang w:val="es-ES_tradnl"/>
        </w:rPr>
        <w:t>Radiotelevisora</w:t>
      </w:r>
      <w:proofErr w:type="spellEnd"/>
      <w:r w:rsidRPr="00EB3DC6">
        <w:rPr>
          <w:rFonts w:asciiTheme="majorHAnsi" w:hAnsiTheme="majorHAnsi"/>
          <w:bCs/>
          <w:sz w:val="16"/>
          <w:szCs w:val="16"/>
          <w:lang w:val="es-ES_tradnl"/>
        </w:rPr>
        <w:t xml:space="preserve"> de México Norte S.A. de C.V., Cadena Televisora del Norte S.A. de C.V. y </w:t>
      </w:r>
      <w:proofErr w:type="spellStart"/>
      <w:r w:rsidRPr="00EB3DC6">
        <w:rPr>
          <w:rFonts w:asciiTheme="majorHAnsi" w:hAnsiTheme="majorHAnsi"/>
          <w:bCs/>
          <w:sz w:val="16"/>
          <w:szCs w:val="16"/>
          <w:lang w:val="es-ES_tradnl"/>
        </w:rPr>
        <w:t>Televimex</w:t>
      </w:r>
      <w:proofErr w:type="spellEnd"/>
      <w:r w:rsidRPr="00EB3DC6">
        <w:rPr>
          <w:rFonts w:asciiTheme="majorHAnsi" w:hAnsiTheme="majorHAnsi"/>
          <w:bCs/>
          <w:sz w:val="16"/>
          <w:szCs w:val="16"/>
          <w:lang w:val="es-ES_tradnl"/>
        </w:rPr>
        <w:t xml:space="preserve"> S.A. de C.V.</w:t>
      </w:r>
    </w:p>
  </w:footnote>
  <w:footnote w:id="3">
    <w:p w:rsidR="00DB51DA" w:rsidRPr="00EB3DC6" w:rsidRDefault="00CB2264" w:rsidP="000666BF">
      <w:pPr>
        <w:pStyle w:val="NoSpacing"/>
        <w:spacing w:after="120"/>
        <w:ind w:firstLine="720"/>
        <w:jc w:val="both"/>
        <w:rPr>
          <w:rFonts w:asciiTheme="majorHAnsi" w:hAnsiTheme="majorHAnsi"/>
          <w:sz w:val="16"/>
          <w:szCs w:val="16"/>
          <w:lang w:val="es-ES"/>
        </w:rPr>
      </w:pPr>
      <w:r w:rsidRPr="00EB3DC6">
        <w:rPr>
          <w:rStyle w:val="FootnoteReference"/>
          <w:rFonts w:asciiTheme="majorHAnsi" w:hAnsiTheme="majorHAnsi"/>
          <w:sz w:val="16"/>
          <w:szCs w:val="16"/>
        </w:rPr>
        <w:footnoteRef/>
      </w:r>
      <w:r w:rsidRPr="00EB3DC6">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r w:rsidR="00EF007D">
        <w:rPr>
          <w:rFonts w:asciiTheme="majorHAnsi" w:hAnsiTheme="majorHAnsi"/>
          <w:sz w:val="16"/>
          <w:szCs w:val="16"/>
          <w:lang w:val="es-ES"/>
        </w:rPr>
        <w:t xml:space="preserve"> </w:t>
      </w:r>
      <w:r w:rsidR="00DB51DA">
        <w:rPr>
          <w:rFonts w:asciiTheme="majorHAnsi" w:hAnsiTheme="majorHAnsi"/>
          <w:sz w:val="16"/>
          <w:szCs w:val="16"/>
          <w:lang w:val="es-ES"/>
        </w:rPr>
        <w:t xml:space="preserve">El Comisionado Francisco José Eguiguren Praeli se </w:t>
      </w:r>
      <w:r w:rsidR="000666BF" w:rsidRPr="000666BF">
        <w:rPr>
          <w:rFonts w:asciiTheme="majorHAnsi" w:hAnsiTheme="majorHAnsi"/>
          <w:sz w:val="16"/>
          <w:szCs w:val="16"/>
          <w:lang w:val="es-ES"/>
        </w:rPr>
        <w:t>abstuvo</w:t>
      </w:r>
      <w:r w:rsidR="00DB51DA">
        <w:rPr>
          <w:rFonts w:asciiTheme="majorHAnsi" w:hAnsiTheme="majorHAnsi"/>
          <w:sz w:val="16"/>
          <w:szCs w:val="16"/>
          <w:lang w:val="es-ES"/>
        </w:rPr>
        <w:t xml:space="preserve"> de votar en este caso.</w:t>
      </w:r>
    </w:p>
  </w:footnote>
  <w:footnote w:id="4">
    <w:p w:rsidR="005D3753" w:rsidRPr="00EB3DC6" w:rsidRDefault="005D3753" w:rsidP="000666BF">
      <w:pPr>
        <w:pStyle w:val="NoSpacing"/>
        <w:spacing w:after="120"/>
        <w:ind w:firstLine="720"/>
        <w:jc w:val="both"/>
        <w:rPr>
          <w:rFonts w:asciiTheme="majorHAnsi" w:hAnsiTheme="majorHAnsi"/>
          <w:sz w:val="16"/>
          <w:szCs w:val="16"/>
          <w:lang w:val="es-AR"/>
        </w:rPr>
      </w:pPr>
      <w:r w:rsidRPr="00EB3DC6">
        <w:rPr>
          <w:rStyle w:val="FootnoteReference"/>
          <w:rFonts w:asciiTheme="majorHAnsi" w:hAnsiTheme="majorHAnsi"/>
          <w:sz w:val="16"/>
          <w:szCs w:val="16"/>
        </w:rPr>
        <w:footnoteRef/>
      </w:r>
      <w:r w:rsidRPr="00EB3DC6">
        <w:rPr>
          <w:rFonts w:asciiTheme="majorHAnsi" w:hAnsiTheme="majorHAnsi"/>
          <w:sz w:val="16"/>
          <w:szCs w:val="16"/>
          <w:lang w:val="es-AR"/>
        </w:rPr>
        <w:t xml:space="preserve"> En adelante “CADH” o “Convención Americana”. </w:t>
      </w:r>
    </w:p>
  </w:footnote>
  <w:footnote w:id="5">
    <w:p w:rsidR="008129E0" w:rsidRPr="00EB3DC6" w:rsidRDefault="008129E0" w:rsidP="000666BF">
      <w:pPr>
        <w:pStyle w:val="NoSpacing"/>
        <w:spacing w:after="120"/>
        <w:ind w:firstLine="720"/>
        <w:jc w:val="both"/>
        <w:rPr>
          <w:rFonts w:asciiTheme="majorHAnsi" w:hAnsiTheme="majorHAnsi"/>
          <w:sz w:val="16"/>
          <w:szCs w:val="16"/>
          <w:lang w:val="es-AR"/>
        </w:rPr>
      </w:pPr>
      <w:r w:rsidRPr="00EB3DC6">
        <w:rPr>
          <w:rStyle w:val="FootnoteReference"/>
          <w:rFonts w:asciiTheme="majorHAnsi" w:hAnsiTheme="majorHAnsi"/>
          <w:sz w:val="16"/>
          <w:szCs w:val="16"/>
        </w:rPr>
        <w:footnoteRef/>
      </w:r>
      <w:r w:rsidR="0003259F">
        <w:rPr>
          <w:rFonts w:asciiTheme="majorHAnsi" w:hAnsiTheme="majorHAnsi"/>
          <w:sz w:val="16"/>
          <w:szCs w:val="16"/>
          <w:lang w:val="es-AR"/>
        </w:rPr>
        <w:t xml:space="preserve"> En adelante “Declaración Americana”</w:t>
      </w:r>
      <w:r w:rsidRPr="00EB3DC6">
        <w:rPr>
          <w:rFonts w:asciiTheme="majorHAnsi" w:hAnsiTheme="majorHAnsi"/>
          <w:sz w:val="16"/>
          <w:szCs w:val="16"/>
          <w:lang w:val="es-AR"/>
        </w:rPr>
        <w:t xml:space="preserve"> </w:t>
      </w:r>
    </w:p>
  </w:footnote>
  <w:footnote w:id="6">
    <w:p w:rsidR="008129E0" w:rsidRPr="00EB3DC6" w:rsidRDefault="008129E0" w:rsidP="000666BF">
      <w:pPr>
        <w:pStyle w:val="NoSpacing"/>
        <w:spacing w:after="120"/>
        <w:ind w:firstLine="720"/>
        <w:jc w:val="both"/>
        <w:rPr>
          <w:rFonts w:asciiTheme="majorHAnsi" w:hAnsiTheme="majorHAnsi"/>
          <w:sz w:val="16"/>
          <w:szCs w:val="16"/>
          <w:lang w:val="es-ES"/>
        </w:rPr>
      </w:pPr>
      <w:r w:rsidRPr="00EB3DC6">
        <w:rPr>
          <w:rStyle w:val="FootnoteReference"/>
          <w:rFonts w:asciiTheme="majorHAnsi" w:hAnsiTheme="majorHAnsi"/>
          <w:sz w:val="16"/>
          <w:szCs w:val="16"/>
        </w:rPr>
        <w:footnoteRef/>
      </w:r>
      <w:r w:rsidRPr="00EB3DC6">
        <w:rPr>
          <w:rFonts w:asciiTheme="majorHAnsi" w:hAnsiTheme="majorHAnsi"/>
          <w:sz w:val="16"/>
          <w:szCs w:val="16"/>
          <w:lang w:val="es-ES"/>
        </w:rPr>
        <w:t xml:space="preserve"> Las observaciones de cada parte fueron debidamente trasladadas a la parte contraria.</w:t>
      </w:r>
    </w:p>
  </w:footnote>
  <w:footnote w:id="7">
    <w:p w:rsidR="008129E0" w:rsidRPr="00EB3DC6" w:rsidRDefault="008129E0" w:rsidP="000666BF">
      <w:pPr>
        <w:pStyle w:val="NoSpacing"/>
        <w:spacing w:after="120"/>
        <w:ind w:firstLine="720"/>
        <w:jc w:val="both"/>
        <w:rPr>
          <w:rFonts w:asciiTheme="majorHAnsi" w:hAnsiTheme="majorHAnsi"/>
          <w:sz w:val="16"/>
          <w:szCs w:val="16"/>
          <w:lang w:val="es-ES_tradnl"/>
        </w:rPr>
      </w:pPr>
      <w:r w:rsidRPr="00EB3DC6">
        <w:rPr>
          <w:rStyle w:val="FootnoteReference"/>
          <w:rFonts w:asciiTheme="majorHAnsi" w:hAnsiTheme="majorHAnsi"/>
          <w:sz w:val="16"/>
          <w:szCs w:val="16"/>
        </w:rPr>
        <w:footnoteRef/>
      </w:r>
      <w:r w:rsidRPr="00EB3DC6">
        <w:rPr>
          <w:rFonts w:asciiTheme="majorHAnsi" w:hAnsiTheme="majorHAnsi"/>
          <w:sz w:val="16"/>
          <w:szCs w:val="16"/>
          <w:lang w:val="es-ES_tradnl"/>
        </w:rPr>
        <w:t xml:space="preserve"> Constitución Política de los Estados Unidos Mexicanos, artículo 41, Párrafo Segundo, Base VI y artículo 99; Ley General del Sistema de Medios de Impugnación, artículos 12, 17. 4, 45 y 79</w:t>
      </w:r>
    </w:p>
  </w:footnote>
  <w:footnote w:id="8">
    <w:p w:rsidR="00FE3CD2" w:rsidRPr="00EB3DC6" w:rsidRDefault="00FE3CD2" w:rsidP="000666BF">
      <w:pPr>
        <w:pStyle w:val="FootnoteText"/>
        <w:spacing w:after="120"/>
        <w:ind w:firstLine="720"/>
        <w:jc w:val="both"/>
        <w:rPr>
          <w:rFonts w:asciiTheme="majorHAnsi" w:hAnsiTheme="majorHAnsi"/>
          <w:sz w:val="16"/>
          <w:szCs w:val="16"/>
          <w:lang w:val="es-ES"/>
        </w:rPr>
      </w:pPr>
      <w:r w:rsidRPr="00EB3DC6">
        <w:rPr>
          <w:rStyle w:val="FootnoteReference"/>
          <w:rFonts w:asciiTheme="majorHAnsi" w:hAnsiTheme="majorHAnsi"/>
          <w:sz w:val="16"/>
          <w:szCs w:val="16"/>
        </w:rPr>
        <w:footnoteRef/>
      </w:r>
      <w:r w:rsidRPr="00EB3DC6">
        <w:rPr>
          <w:rFonts w:asciiTheme="majorHAnsi" w:hAnsiTheme="majorHAnsi"/>
          <w:sz w:val="16"/>
          <w:szCs w:val="16"/>
          <w:lang w:val="es-ES"/>
        </w:rPr>
        <w:t xml:space="preserve"> </w:t>
      </w:r>
      <w:r w:rsidR="00A51CAC" w:rsidRPr="00EB3DC6">
        <w:rPr>
          <w:rFonts w:asciiTheme="majorHAnsi" w:hAnsiTheme="majorHAnsi"/>
          <w:sz w:val="16"/>
          <w:szCs w:val="16"/>
          <w:lang w:val="es-ES"/>
        </w:rPr>
        <w:t xml:space="preserve">CIDH. Informe No. 72/11, Petición 1164-05, Admisibilidad, William Gómez Vargas, Costa Rica, 31 de Marzo de 2011, Párr. </w:t>
      </w:r>
      <w:r w:rsidR="003A2BA7" w:rsidRPr="00EB3DC6">
        <w:rPr>
          <w:rFonts w:asciiTheme="majorHAnsi" w:hAnsiTheme="majorHAnsi"/>
          <w:sz w:val="16"/>
          <w:szCs w:val="16"/>
          <w:lang w:val="es-ES"/>
        </w:rPr>
        <w:t>32</w:t>
      </w:r>
      <w:r w:rsidR="00E40B98" w:rsidRPr="00EB3DC6">
        <w:rPr>
          <w:rFonts w:asciiTheme="majorHAnsi" w:hAnsiTheme="majorHAnsi"/>
          <w:sz w:val="16"/>
          <w:szCs w:val="16"/>
          <w:lang w:val="es-ES"/>
        </w:rPr>
        <w:t xml:space="preserve">; </w:t>
      </w:r>
      <w:r w:rsidR="00E40B98" w:rsidRPr="00EB3DC6">
        <w:rPr>
          <w:rStyle w:val="Strong"/>
          <w:rFonts w:asciiTheme="majorHAnsi" w:hAnsiTheme="majorHAnsi"/>
          <w:b w:val="0"/>
          <w:sz w:val="16"/>
          <w:szCs w:val="16"/>
          <w:shd w:val="clear" w:color="auto" w:fill="FFFFFF"/>
          <w:lang w:val="es-ES"/>
        </w:rPr>
        <w:t xml:space="preserve">Corte IDH. Caso </w:t>
      </w:r>
      <w:proofErr w:type="spellStart"/>
      <w:r w:rsidR="00E40B98" w:rsidRPr="00EB3DC6">
        <w:rPr>
          <w:rStyle w:val="Strong"/>
          <w:rFonts w:asciiTheme="majorHAnsi" w:hAnsiTheme="majorHAnsi"/>
          <w:b w:val="0"/>
          <w:sz w:val="16"/>
          <w:szCs w:val="16"/>
          <w:shd w:val="clear" w:color="auto" w:fill="FFFFFF"/>
          <w:lang w:val="es-ES"/>
        </w:rPr>
        <w:t>Granier</w:t>
      </w:r>
      <w:proofErr w:type="spellEnd"/>
      <w:r w:rsidR="00E40B98" w:rsidRPr="00EB3DC6">
        <w:rPr>
          <w:rStyle w:val="Strong"/>
          <w:rFonts w:asciiTheme="majorHAnsi" w:hAnsiTheme="majorHAnsi"/>
          <w:b w:val="0"/>
          <w:sz w:val="16"/>
          <w:szCs w:val="16"/>
          <w:shd w:val="clear" w:color="auto" w:fill="FFFFFF"/>
          <w:lang w:val="es-ES"/>
        </w:rPr>
        <w:t xml:space="preserve"> y otros (Radio Caracas Televisión) Vs. Venezuela. Excepciones Preliminares, Fondo, Reparaciones y Costas. Sentencia de 22 de ju</w:t>
      </w:r>
      <w:r w:rsidR="00E70679" w:rsidRPr="00EB3DC6">
        <w:rPr>
          <w:rStyle w:val="Strong"/>
          <w:rFonts w:asciiTheme="majorHAnsi" w:hAnsiTheme="majorHAnsi"/>
          <w:b w:val="0"/>
          <w:sz w:val="16"/>
          <w:szCs w:val="16"/>
          <w:shd w:val="clear" w:color="auto" w:fill="FFFFFF"/>
          <w:lang w:val="es-ES"/>
        </w:rPr>
        <w:t xml:space="preserve">nio de 2015. Serie C No. 293, </w:t>
      </w:r>
      <w:proofErr w:type="spellStart"/>
      <w:r w:rsidR="00E70679" w:rsidRPr="00EB3DC6">
        <w:rPr>
          <w:rStyle w:val="Strong"/>
          <w:rFonts w:asciiTheme="majorHAnsi" w:hAnsiTheme="majorHAnsi"/>
          <w:b w:val="0"/>
          <w:sz w:val="16"/>
          <w:szCs w:val="16"/>
          <w:shd w:val="clear" w:color="auto" w:fill="FFFFFF"/>
          <w:lang w:val="es-ES"/>
        </w:rPr>
        <w:t>Pá</w:t>
      </w:r>
      <w:r w:rsidR="00E40B98" w:rsidRPr="00EB3DC6">
        <w:rPr>
          <w:rStyle w:val="Strong"/>
          <w:rFonts w:asciiTheme="majorHAnsi" w:hAnsiTheme="majorHAnsi"/>
          <w:b w:val="0"/>
          <w:sz w:val="16"/>
          <w:szCs w:val="16"/>
          <w:shd w:val="clear" w:color="auto" w:fill="FFFFFF"/>
          <w:lang w:val="es-ES"/>
        </w:rPr>
        <w:t>rr</w:t>
      </w:r>
      <w:r w:rsidR="00E70679" w:rsidRPr="00EB3DC6">
        <w:rPr>
          <w:rStyle w:val="Strong"/>
          <w:rFonts w:asciiTheme="majorHAnsi" w:hAnsiTheme="majorHAnsi"/>
          <w:b w:val="0"/>
          <w:sz w:val="16"/>
          <w:szCs w:val="16"/>
          <w:shd w:val="clear" w:color="auto" w:fill="FFFFFF"/>
          <w:lang w:val="es-ES"/>
        </w:rPr>
        <w:t>s</w:t>
      </w:r>
      <w:proofErr w:type="spellEnd"/>
      <w:r w:rsidR="00E40B98" w:rsidRPr="00EB3DC6">
        <w:rPr>
          <w:rStyle w:val="Strong"/>
          <w:rFonts w:asciiTheme="majorHAnsi" w:hAnsiTheme="majorHAnsi"/>
          <w:b w:val="0"/>
          <w:sz w:val="16"/>
          <w:szCs w:val="16"/>
          <w:shd w:val="clear" w:color="auto" w:fill="FFFFFF"/>
          <w:lang w:val="es-ES"/>
        </w:rPr>
        <w:t>. 19</w:t>
      </w:r>
      <w:r w:rsidR="00E70679" w:rsidRPr="00EB3DC6">
        <w:rPr>
          <w:rStyle w:val="Strong"/>
          <w:rFonts w:asciiTheme="majorHAnsi" w:hAnsiTheme="majorHAnsi"/>
          <w:b w:val="0"/>
          <w:sz w:val="16"/>
          <w:szCs w:val="16"/>
          <w:shd w:val="clear" w:color="auto" w:fill="FFFFFF"/>
          <w:lang w:val="es-ES"/>
        </w:rPr>
        <w:t xml:space="preserve"> y 146</w:t>
      </w:r>
      <w:r w:rsidR="00E40B98" w:rsidRPr="00EB3DC6">
        <w:rPr>
          <w:rStyle w:val="Strong"/>
          <w:rFonts w:asciiTheme="majorHAnsi" w:hAnsiTheme="majorHAnsi"/>
          <w:b w:val="0"/>
          <w:sz w:val="16"/>
          <w:szCs w:val="16"/>
          <w:shd w:val="clear" w:color="auto" w:fill="FFFFFF"/>
          <w:lang w:val="es-ES"/>
        </w:rPr>
        <w:t>,</w:t>
      </w:r>
      <w:r w:rsidR="003A2BA7" w:rsidRPr="00EB3DC6">
        <w:rPr>
          <w:rFonts w:asciiTheme="majorHAnsi" w:hAnsiTheme="majorHAnsi"/>
          <w:sz w:val="16"/>
          <w:szCs w:val="16"/>
          <w:lang w:val="es-ES"/>
        </w:rPr>
        <w:t xml:space="preserve"> y </w:t>
      </w:r>
      <w:r w:rsidR="003A2BA7" w:rsidRPr="00EB3DC6">
        <w:rPr>
          <w:rFonts w:asciiTheme="majorHAnsi" w:hAnsiTheme="majorHAnsi"/>
          <w:sz w:val="16"/>
          <w:szCs w:val="16"/>
          <w:lang w:val="es-ES_tradnl"/>
        </w:rPr>
        <w:t>Corte IDH. Opinión Consultiva 22/16.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8.1.a y b del Protocolo de San Salvador). 22 de febrero de 2016. Párr. 70.</w:t>
      </w:r>
    </w:p>
  </w:footnote>
  <w:footnote w:id="9">
    <w:p w:rsidR="00737BCB" w:rsidRPr="00EB3DC6" w:rsidRDefault="00737BCB" w:rsidP="000666BF">
      <w:pPr>
        <w:pStyle w:val="FootnoteText"/>
        <w:spacing w:after="120"/>
        <w:ind w:firstLine="720"/>
        <w:jc w:val="both"/>
        <w:rPr>
          <w:rFonts w:asciiTheme="majorHAnsi" w:hAnsiTheme="majorHAnsi"/>
          <w:sz w:val="16"/>
          <w:szCs w:val="16"/>
          <w:lang w:val="es-ES"/>
        </w:rPr>
      </w:pPr>
      <w:r w:rsidRPr="00EB3DC6">
        <w:rPr>
          <w:rStyle w:val="FootnoteReference"/>
          <w:rFonts w:asciiTheme="majorHAnsi" w:hAnsiTheme="majorHAnsi"/>
          <w:sz w:val="16"/>
          <w:szCs w:val="16"/>
        </w:rPr>
        <w:footnoteRef/>
      </w:r>
      <w:r w:rsidRPr="00EB3DC6">
        <w:rPr>
          <w:rFonts w:asciiTheme="majorHAnsi" w:hAnsiTheme="majorHAnsi"/>
          <w:sz w:val="16"/>
          <w:szCs w:val="16"/>
          <w:lang w:val="es-ES"/>
        </w:rPr>
        <w:t xml:space="preserve"> </w:t>
      </w:r>
      <w:r w:rsidRPr="00EB3DC6">
        <w:rPr>
          <w:rFonts w:asciiTheme="majorHAnsi" w:hAnsiTheme="majorHAnsi"/>
          <w:sz w:val="16"/>
          <w:szCs w:val="16"/>
          <w:lang w:val="es-ES_tradnl"/>
        </w:rPr>
        <w:t xml:space="preserve">CIDH, Informe Nº </w:t>
      </w:r>
      <w:r w:rsidRPr="00EB3DC6">
        <w:rPr>
          <w:rFonts w:asciiTheme="majorHAnsi" w:hAnsiTheme="majorHAnsi" w:cs="Tahoma"/>
          <w:sz w:val="16"/>
          <w:szCs w:val="16"/>
          <w:lang w:val="es-ES_tradnl"/>
        </w:rPr>
        <w:t xml:space="preserve">122/10 </w:t>
      </w:r>
      <w:r w:rsidRPr="00EB3DC6">
        <w:rPr>
          <w:rFonts w:asciiTheme="majorHAnsi" w:hAnsiTheme="majorHAnsi"/>
          <w:sz w:val="16"/>
          <w:szCs w:val="16"/>
          <w:lang w:val="es-ES_tradnl"/>
        </w:rPr>
        <w:t xml:space="preserve">(Admisibilidad), </w:t>
      </w:r>
      <w:r w:rsidRPr="00EB3DC6">
        <w:rPr>
          <w:rFonts w:asciiTheme="majorHAnsi" w:hAnsiTheme="majorHAnsi" w:cs="Tahoma"/>
          <w:sz w:val="16"/>
          <w:szCs w:val="16"/>
          <w:lang w:val="es-ES_tradnl"/>
        </w:rPr>
        <w:t>Petición 475-00, Carlos Arturo Betancourt Estrada y otros, Colombia, 23 de octubre de 2010, párr. 29</w:t>
      </w:r>
      <w:r w:rsidR="00703EC1" w:rsidRPr="00EB3DC6">
        <w:rPr>
          <w:rFonts w:asciiTheme="majorHAnsi" w:hAnsiTheme="majorHAnsi" w:cs="Tahoma"/>
          <w:sz w:val="16"/>
          <w:szCs w:val="16"/>
          <w:lang w:val="es-ES_tradnl"/>
        </w:rPr>
        <w:t>.</w:t>
      </w:r>
    </w:p>
  </w:footnote>
  <w:footnote w:id="10">
    <w:p w:rsidR="00FE3CD2" w:rsidRPr="00EB3DC6" w:rsidRDefault="00FE3CD2" w:rsidP="000666BF">
      <w:pPr>
        <w:spacing w:after="120"/>
        <w:ind w:firstLine="720"/>
        <w:jc w:val="both"/>
        <w:rPr>
          <w:rFonts w:asciiTheme="majorHAnsi" w:hAnsiTheme="majorHAnsi"/>
          <w:sz w:val="16"/>
          <w:szCs w:val="16"/>
          <w:lang w:val="es-AR"/>
        </w:rPr>
      </w:pPr>
      <w:r w:rsidRPr="00EB3DC6">
        <w:rPr>
          <w:rStyle w:val="FootnoteReference"/>
          <w:rFonts w:asciiTheme="majorHAnsi" w:hAnsiTheme="majorHAnsi"/>
          <w:sz w:val="16"/>
          <w:szCs w:val="16"/>
        </w:rPr>
        <w:footnoteRef/>
      </w:r>
      <w:r w:rsidRPr="00EB3DC6">
        <w:rPr>
          <w:rFonts w:asciiTheme="majorHAnsi" w:hAnsiTheme="majorHAnsi"/>
          <w:sz w:val="16"/>
          <w:szCs w:val="16"/>
          <w:lang w:val="es-ES_tradnl"/>
        </w:rPr>
        <w:t xml:space="preserve"> </w:t>
      </w:r>
      <w:r w:rsidRPr="00EB3DC6">
        <w:rPr>
          <w:rStyle w:val="Strong"/>
          <w:rFonts w:asciiTheme="majorHAnsi" w:hAnsiTheme="majorHAnsi"/>
          <w:b w:val="0"/>
          <w:color w:val="000000"/>
          <w:sz w:val="16"/>
          <w:szCs w:val="16"/>
          <w:shd w:val="clear" w:color="auto" w:fill="FFFFFF"/>
          <w:lang w:val="es-ES"/>
        </w:rPr>
        <w:t xml:space="preserve">Corte IDH. Caso </w:t>
      </w:r>
      <w:proofErr w:type="spellStart"/>
      <w:r w:rsidRPr="00EB3DC6">
        <w:rPr>
          <w:rStyle w:val="Strong"/>
          <w:rFonts w:asciiTheme="majorHAnsi" w:hAnsiTheme="majorHAnsi"/>
          <w:b w:val="0"/>
          <w:color w:val="000000"/>
          <w:sz w:val="16"/>
          <w:szCs w:val="16"/>
          <w:shd w:val="clear" w:color="auto" w:fill="FFFFFF"/>
          <w:lang w:val="es-ES"/>
        </w:rPr>
        <w:t>Granier</w:t>
      </w:r>
      <w:proofErr w:type="spellEnd"/>
      <w:r w:rsidRPr="00EB3DC6">
        <w:rPr>
          <w:rStyle w:val="Strong"/>
          <w:rFonts w:asciiTheme="majorHAnsi" w:hAnsiTheme="majorHAnsi"/>
          <w:b w:val="0"/>
          <w:color w:val="000000"/>
          <w:sz w:val="16"/>
          <w:szCs w:val="16"/>
          <w:shd w:val="clear" w:color="auto" w:fill="FFFFFF"/>
          <w:lang w:val="es-ES"/>
        </w:rPr>
        <w:t xml:space="preserve"> y otros (Radio Caracas Televisión) Vs. Venezuela. Excepciones Preliminares, Fondo, Reparaciones y Costas. Sentencia de 22 de ju</w:t>
      </w:r>
      <w:r w:rsidR="00E70679" w:rsidRPr="00EB3DC6">
        <w:rPr>
          <w:rStyle w:val="Strong"/>
          <w:rFonts w:asciiTheme="majorHAnsi" w:hAnsiTheme="majorHAnsi"/>
          <w:b w:val="0"/>
          <w:color w:val="000000"/>
          <w:sz w:val="16"/>
          <w:szCs w:val="16"/>
          <w:shd w:val="clear" w:color="auto" w:fill="FFFFFF"/>
          <w:lang w:val="es-ES"/>
        </w:rPr>
        <w:t xml:space="preserve">nio de 2015. Serie C No. 293, </w:t>
      </w:r>
      <w:proofErr w:type="spellStart"/>
      <w:r w:rsidR="00E70679" w:rsidRPr="00EB3DC6">
        <w:rPr>
          <w:rStyle w:val="Strong"/>
          <w:rFonts w:asciiTheme="majorHAnsi" w:hAnsiTheme="majorHAnsi"/>
          <w:b w:val="0"/>
          <w:color w:val="000000"/>
          <w:sz w:val="16"/>
          <w:szCs w:val="16"/>
          <w:shd w:val="clear" w:color="auto" w:fill="FFFFFF"/>
          <w:lang w:val="es-ES"/>
        </w:rPr>
        <w:t>Pá</w:t>
      </w:r>
      <w:r w:rsidRPr="00EB3DC6">
        <w:rPr>
          <w:rStyle w:val="Strong"/>
          <w:rFonts w:asciiTheme="majorHAnsi" w:hAnsiTheme="majorHAnsi"/>
          <w:b w:val="0"/>
          <w:color w:val="000000"/>
          <w:sz w:val="16"/>
          <w:szCs w:val="16"/>
          <w:shd w:val="clear" w:color="auto" w:fill="FFFFFF"/>
          <w:lang w:val="es-ES"/>
        </w:rPr>
        <w:t>rr</w:t>
      </w:r>
      <w:r w:rsidR="00E70679" w:rsidRPr="00EB3DC6">
        <w:rPr>
          <w:rStyle w:val="Strong"/>
          <w:rFonts w:asciiTheme="majorHAnsi" w:hAnsiTheme="majorHAnsi"/>
          <w:b w:val="0"/>
          <w:color w:val="000000"/>
          <w:sz w:val="16"/>
          <w:szCs w:val="16"/>
          <w:shd w:val="clear" w:color="auto" w:fill="FFFFFF"/>
          <w:lang w:val="es-ES"/>
        </w:rPr>
        <w:t>s</w:t>
      </w:r>
      <w:proofErr w:type="spellEnd"/>
      <w:r w:rsidRPr="00EB3DC6">
        <w:rPr>
          <w:rStyle w:val="Strong"/>
          <w:rFonts w:asciiTheme="majorHAnsi" w:hAnsiTheme="majorHAnsi"/>
          <w:b w:val="0"/>
          <w:color w:val="000000"/>
          <w:sz w:val="16"/>
          <w:szCs w:val="16"/>
          <w:shd w:val="clear" w:color="auto" w:fill="FFFFFF"/>
          <w:lang w:val="es-ES"/>
        </w:rPr>
        <w:t>. 107</w:t>
      </w:r>
      <w:r w:rsidR="00E70679" w:rsidRPr="00EB3DC6">
        <w:rPr>
          <w:rStyle w:val="Strong"/>
          <w:rFonts w:asciiTheme="majorHAnsi" w:hAnsiTheme="majorHAnsi"/>
          <w:b w:val="0"/>
          <w:color w:val="000000"/>
          <w:sz w:val="16"/>
          <w:szCs w:val="16"/>
          <w:shd w:val="clear" w:color="auto" w:fill="FFFFFF"/>
          <w:lang w:val="es-ES"/>
        </w:rPr>
        <w:t xml:space="preserve"> y 146</w:t>
      </w:r>
      <w:r w:rsidRPr="00EB3DC6">
        <w:rPr>
          <w:rStyle w:val="Strong"/>
          <w:rFonts w:asciiTheme="majorHAnsi" w:hAnsiTheme="majorHAnsi"/>
          <w:b w:val="0"/>
          <w:color w:val="000000"/>
          <w:sz w:val="16"/>
          <w:szCs w:val="16"/>
          <w:shd w:val="clear" w:color="auto" w:fill="FFFFFF"/>
          <w:lang w:val="es-ES"/>
        </w:rPr>
        <w:t xml:space="preserve">, y </w:t>
      </w:r>
      <w:r w:rsidRPr="00EB3DC6">
        <w:rPr>
          <w:rFonts w:asciiTheme="majorHAnsi" w:hAnsiTheme="majorHAnsi"/>
          <w:sz w:val="16"/>
          <w:szCs w:val="16"/>
          <w:lang w:val="es-ES_tradnl"/>
        </w:rPr>
        <w:t xml:space="preserve">Corte IDH. Opinión Consultiva 22/16.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8.1.a y b del Protocolo de San Salvador). 22 de febrero de 2016. Párr. 70. </w:t>
      </w:r>
      <w:r w:rsidR="00770BBB" w:rsidRPr="00EB3DC6">
        <w:rPr>
          <w:rFonts w:asciiTheme="majorHAnsi" w:hAnsiTheme="majorHAnsi"/>
          <w:sz w:val="16"/>
          <w:szCs w:val="16"/>
          <w:lang w:val="es-ES_tradnl"/>
        </w:rPr>
        <w:t>En similar sentido, v</w:t>
      </w:r>
      <w:r w:rsidR="003A2BA7" w:rsidRPr="00EB3DC6">
        <w:rPr>
          <w:rFonts w:asciiTheme="majorHAnsi" w:hAnsiTheme="majorHAnsi"/>
          <w:sz w:val="16"/>
          <w:szCs w:val="16"/>
          <w:lang w:val="es-ES_tradnl"/>
        </w:rPr>
        <w:t xml:space="preserve">er, </w:t>
      </w:r>
      <w:r w:rsidR="003A2BA7" w:rsidRPr="00EB3DC6">
        <w:rPr>
          <w:rFonts w:asciiTheme="majorHAnsi" w:hAnsiTheme="majorHAnsi"/>
          <w:sz w:val="16"/>
          <w:szCs w:val="16"/>
          <w:lang w:val="es-ES"/>
        </w:rPr>
        <w:t>CIDH. Informe No. 72/11, Petición 1164-05, Admisibilidad, William Gómez Vargas, Costa Rica, 31 de Marzo de 2011, Párr. 32</w:t>
      </w:r>
      <w:r w:rsidR="00770BBB" w:rsidRPr="00EB3DC6">
        <w:rPr>
          <w:rFonts w:asciiTheme="majorHAnsi" w:hAnsiTheme="majorHAnsi"/>
          <w:sz w:val="16"/>
          <w:szCs w:val="16"/>
          <w:lang w:val="es-ES"/>
        </w:rPr>
        <w:t xml:space="preserve">, y </w:t>
      </w:r>
      <w:r w:rsidR="00770BBB" w:rsidRPr="00EB3DC6">
        <w:rPr>
          <w:rFonts w:asciiTheme="majorHAnsi" w:hAnsiTheme="majorHAnsi"/>
          <w:sz w:val="16"/>
          <w:szCs w:val="16"/>
          <w:lang w:val="es-AR"/>
        </w:rPr>
        <w:t xml:space="preserve">CIDH, Informe No. 67/01, Caso 11.859, </w:t>
      </w:r>
      <w:r w:rsidR="00770BBB" w:rsidRPr="00EB3DC6">
        <w:rPr>
          <w:rFonts w:asciiTheme="majorHAnsi" w:hAnsiTheme="majorHAnsi"/>
          <w:iCs/>
          <w:sz w:val="16"/>
          <w:szCs w:val="16"/>
          <w:lang w:val="es-AR"/>
        </w:rPr>
        <w:t>Tomás Enrique Carvallo Quintana</w:t>
      </w:r>
      <w:r w:rsidR="00770BBB" w:rsidRPr="00EB3DC6">
        <w:rPr>
          <w:rFonts w:asciiTheme="majorHAnsi" w:hAnsiTheme="majorHAnsi"/>
          <w:sz w:val="16"/>
          <w:szCs w:val="16"/>
          <w:lang w:val="es-AR"/>
        </w:rPr>
        <w:t xml:space="preserve">, Argentina, </w:t>
      </w:r>
      <w:r w:rsidR="00904E9D" w:rsidRPr="00EB3DC6">
        <w:rPr>
          <w:rFonts w:asciiTheme="majorHAnsi" w:hAnsiTheme="majorHAnsi"/>
          <w:sz w:val="16"/>
          <w:szCs w:val="16"/>
          <w:lang w:val="es-AR"/>
        </w:rPr>
        <w:t>14 de junio de 2001, P</w:t>
      </w:r>
      <w:proofErr w:type="spellStart"/>
      <w:r w:rsidR="00904E9D" w:rsidRPr="00EB3DC6">
        <w:rPr>
          <w:rFonts w:asciiTheme="majorHAnsi" w:hAnsiTheme="majorHAnsi"/>
          <w:sz w:val="16"/>
          <w:szCs w:val="16"/>
          <w:lang w:val="es-ES"/>
        </w:rPr>
        <w:t>árr</w:t>
      </w:r>
      <w:proofErr w:type="spellEnd"/>
      <w:r w:rsidR="00904E9D" w:rsidRPr="00EB3DC6">
        <w:rPr>
          <w:rFonts w:asciiTheme="majorHAnsi" w:hAnsiTheme="majorHAnsi"/>
          <w:sz w:val="16"/>
          <w:szCs w:val="16"/>
          <w:lang w:val="es-ES"/>
        </w:rPr>
        <w:t>. 54.</w:t>
      </w:r>
    </w:p>
  </w:footnote>
  <w:footnote w:id="11">
    <w:p w:rsidR="00EA6A3A" w:rsidRPr="00EB3DC6" w:rsidRDefault="00EA6A3A" w:rsidP="000666BF">
      <w:pPr>
        <w:spacing w:after="120"/>
        <w:ind w:firstLine="720"/>
        <w:jc w:val="both"/>
        <w:rPr>
          <w:rFonts w:asciiTheme="majorHAnsi" w:hAnsiTheme="majorHAnsi"/>
          <w:b/>
          <w:sz w:val="16"/>
          <w:szCs w:val="16"/>
          <w:lang w:val="es-ES"/>
        </w:rPr>
      </w:pPr>
      <w:r w:rsidRPr="00EB3DC6">
        <w:rPr>
          <w:rStyle w:val="FootnoteReference"/>
          <w:rFonts w:asciiTheme="majorHAnsi" w:hAnsiTheme="majorHAnsi"/>
          <w:b/>
          <w:sz w:val="16"/>
          <w:szCs w:val="16"/>
        </w:rPr>
        <w:footnoteRef/>
      </w:r>
      <w:r w:rsidRPr="00EB3DC6">
        <w:rPr>
          <w:rFonts w:asciiTheme="majorHAnsi" w:hAnsiTheme="majorHAnsi"/>
          <w:b/>
          <w:sz w:val="16"/>
          <w:szCs w:val="16"/>
          <w:lang w:val="es-ES"/>
        </w:rPr>
        <w:t xml:space="preserve"> </w:t>
      </w:r>
      <w:r w:rsidR="00F60159" w:rsidRPr="00EB3DC6">
        <w:rPr>
          <w:rStyle w:val="Strong"/>
          <w:rFonts w:asciiTheme="majorHAnsi" w:hAnsiTheme="majorHAnsi"/>
          <w:b w:val="0"/>
          <w:sz w:val="16"/>
          <w:szCs w:val="16"/>
          <w:shd w:val="clear" w:color="auto" w:fill="FFFFFF"/>
          <w:lang w:val="es-ES"/>
        </w:rPr>
        <w:t xml:space="preserve">Corte IDH. Caso </w:t>
      </w:r>
      <w:proofErr w:type="spellStart"/>
      <w:r w:rsidR="00F60159" w:rsidRPr="00EB3DC6">
        <w:rPr>
          <w:rStyle w:val="Strong"/>
          <w:rFonts w:asciiTheme="majorHAnsi" w:hAnsiTheme="majorHAnsi"/>
          <w:b w:val="0"/>
          <w:sz w:val="16"/>
          <w:szCs w:val="16"/>
          <w:shd w:val="clear" w:color="auto" w:fill="FFFFFF"/>
          <w:lang w:val="es-ES"/>
        </w:rPr>
        <w:t>Granier</w:t>
      </w:r>
      <w:proofErr w:type="spellEnd"/>
      <w:r w:rsidR="00F60159" w:rsidRPr="00EB3DC6">
        <w:rPr>
          <w:rStyle w:val="Strong"/>
          <w:rFonts w:asciiTheme="majorHAnsi" w:hAnsiTheme="majorHAnsi"/>
          <w:b w:val="0"/>
          <w:sz w:val="16"/>
          <w:szCs w:val="16"/>
          <w:shd w:val="clear" w:color="auto" w:fill="FFFFFF"/>
          <w:lang w:val="es-ES"/>
        </w:rPr>
        <w:t xml:space="preserve"> y otros (Radio Caracas Televisión) Vs. Venezuela. Excepciones Preliminares, Fondo, Reparaciones y Costas. Sentencia de 22 de junio de 2015. Serie C No. 293.</w:t>
      </w:r>
      <w:r w:rsidR="00BC75EF" w:rsidRPr="00EB3DC6">
        <w:rPr>
          <w:rStyle w:val="Strong"/>
          <w:rFonts w:asciiTheme="majorHAnsi" w:hAnsiTheme="majorHAnsi"/>
          <w:b w:val="0"/>
          <w:sz w:val="16"/>
          <w:szCs w:val="16"/>
          <w:shd w:val="clear" w:color="auto" w:fill="FFFFFF"/>
          <w:lang w:val="es-ES"/>
        </w:rPr>
        <w:t xml:space="preserve"> </w:t>
      </w:r>
      <w:proofErr w:type="spellStart"/>
      <w:r w:rsidR="00BC75EF" w:rsidRPr="00EB3DC6">
        <w:rPr>
          <w:rStyle w:val="Strong"/>
          <w:rFonts w:asciiTheme="majorHAnsi" w:hAnsiTheme="majorHAnsi"/>
          <w:b w:val="0"/>
          <w:sz w:val="16"/>
          <w:szCs w:val="16"/>
          <w:shd w:val="clear" w:color="auto" w:fill="FFFFFF"/>
          <w:lang w:val="es-ES"/>
        </w:rPr>
        <w:t>Parr</w:t>
      </w:r>
      <w:proofErr w:type="spellEnd"/>
      <w:r w:rsidR="00BC75EF" w:rsidRPr="00EB3DC6">
        <w:rPr>
          <w:rStyle w:val="Strong"/>
          <w:rFonts w:asciiTheme="majorHAnsi" w:hAnsiTheme="majorHAnsi"/>
          <w:b w:val="0"/>
          <w:sz w:val="16"/>
          <w:szCs w:val="16"/>
          <w:shd w:val="clear" w:color="auto" w:fill="FFFFFF"/>
          <w:lang w:val="es-ES"/>
        </w:rPr>
        <w:t>. 146</w:t>
      </w:r>
      <w:r w:rsidR="00E40B98" w:rsidRPr="00EB3DC6">
        <w:rPr>
          <w:rStyle w:val="Strong"/>
          <w:rFonts w:asciiTheme="majorHAnsi" w:hAnsiTheme="majorHAnsi"/>
          <w:b w:val="0"/>
          <w:sz w:val="16"/>
          <w:szCs w:val="16"/>
          <w:shd w:val="clear" w:color="auto" w:fill="FFFFFF"/>
          <w:lang w:val="es-ES"/>
        </w:rPr>
        <w:t xml:space="preserve">; </w:t>
      </w:r>
      <w:r w:rsidR="00BC75EF" w:rsidRPr="00EB3DC6">
        <w:rPr>
          <w:rFonts w:asciiTheme="majorHAnsi" w:hAnsiTheme="majorHAnsi"/>
          <w:sz w:val="16"/>
          <w:szCs w:val="16"/>
          <w:lang w:val="es-ES"/>
        </w:rPr>
        <w:t xml:space="preserve">Corte </w:t>
      </w:r>
      <w:smartTag w:uri="urn:schemas-microsoft-com:office:smarttags" w:element="stockticker">
        <w:r w:rsidR="00BC75EF" w:rsidRPr="00EB3DC6">
          <w:rPr>
            <w:rFonts w:asciiTheme="majorHAnsi" w:hAnsiTheme="majorHAnsi"/>
            <w:sz w:val="16"/>
            <w:szCs w:val="16"/>
            <w:lang w:val="es-ES"/>
          </w:rPr>
          <w:t>IDH</w:t>
        </w:r>
      </w:smartTag>
      <w:r w:rsidR="00BC75EF" w:rsidRPr="00EB3DC6">
        <w:rPr>
          <w:rFonts w:asciiTheme="majorHAnsi" w:hAnsiTheme="majorHAnsi"/>
          <w:sz w:val="16"/>
          <w:szCs w:val="16"/>
          <w:lang w:val="es-ES"/>
        </w:rPr>
        <w:t xml:space="preserve">, </w:t>
      </w:r>
      <w:r w:rsidR="00E70679" w:rsidRPr="00EB3DC6">
        <w:rPr>
          <w:rFonts w:asciiTheme="majorHAnsi" w:hAnsiTheme="majorHAnsi"/>
          <w:sz w:val="16"/>
          <w:szCs w:val="16"/>
          <w:lang w:val="es-ES"/>
        </w:rPr>
        <w:t>Caso Cantos V</w:t>
      </w:r>
      <w:r w:rsidR="00BC75EF" w:rsidRPr="00EB3DC6">
        <w:rPr>
          <w:rFonts w:asciiTheme="majorHAnsi" w:hAnsiTheme="majorHAnsi"/>
          <w:sz w:val="16"/>
          <w:szCs w:val="16"/>
          <w:lang w:val="es-ES"/>
        </w:rPr>
        <w:t xml:space="preserve">s. Argentina. </w:t>
      </w:r>
      <w:r w:rsidR="00BC75EF" w:rsidRPr="00EB3DC6">
        <w:rPr>
          <w:rFonts w:asciiTheme="majorHAnsi" w:hAnsiTheme="majorHAnsi"/>
          <w:sz w:val="16"/>
          <w:szCs w:val="16"/>
          <w:lang w:val="es-ES_tradnl"/>
        </w:rPr>
        <w:t>Excepciones Preliminares. Sentencia de 7 de septiembre de 2001. S</w:t>
      </w:r>
      <w:r w:rsidR="00E70679" w:rsidRPr="00EB3DC6">
        <w:rPr>
          <w:rFonts w:asciiTheme="majorHAnsi" w:hAnsiTheme="majorHAnsi"/>
          <w:sz w:val="16"/>
          <w:szCs w:val="16"/>
          <w:lang w:val="es-ES_tradnl"/>
        </w:rPr>
        <w:t xml:space="preserve">erie C No. 85, </w:t>
      </w:r>
      <w:proofErr w:type="spellStart"/>
      <w:r w:rsidR="00E70679" w:rsidRPr="00EB3DC6">
        <w:rPr>
          <w:rFonts w:asciiTheme="majorHAnsi" w:hAnsiTheme="majorHAnsi"/>
          <w:sz w:val="16"/>
          <w:szCs w:val="16"/>
          <w:lang w:val="es-ES_tradnl"/>
        </w:rPr>
        <w:t>P</w:t>
      </w:r>
      <w:r w:rsidR="00BC75EF" w:rsidRPr="00EB3DC6">
        <w:rPr>
          <w:rFonts w:asciiTheme="majorHAnsi" w:hAnsiTheme="majorHAnsi"/>
          <w:sz w:val="16"/>
          <w:szCs w:val="16"/>
          <w:lang w:val="es-ES_tradnl"/>
        </w:rPr>
        <w:t>árrs</w:t>
      </w:r>
      <w:proofErr w:type="spellEnd"/>
      <w:r w:rsidR="00BC75EF" w:rsidRPr="00EB3DC6">
        <w:rPr>
          <w:rFonts w:asciiTheme="majorHAnsi" w:hAnsiTheme="majorHAnsi"/>
          <w:sz w:val="16"/>
          <w:szCs w:val="16"/>
          <w:lang w:val="es-ES_tradnl"/>
        </w:rPr>
        <w:t>. 27, 29</w:t>
      </w:r>
      <w:r w:rsidR="00907687" w:rsidRPr="00EB3DC6">
        <w:rPr>
          <w:rFonts w:asciiTheme="majorHAnsi" w:hAnsiTheme="majorHAnsi"/>
          <w:sz w:val="16"/>
          <w:szCs w:val="16"/>
          <w:lang w:val="es-ES"/>
        </w:rPr>
        <w:t xml:space="preserve">; </w:t>
      </w:r>
      <w:r w:rsidR="00907687" w:rsidRPr="00EB3DC6">
        <w:rPr>
          <w:rFonts w:asciiTheme="majorHAnsi" w:hAnsiTheme="majorHAnsi"/>
          <w:noProof/>
          <w:sz w:val="16"/>
          <w:szCs w:val="16"/>
          <w:lang w:val="es-ES"/>
        </w:rPr>
        <w:t xml:space="preserve">Corte IDH. </w:t>
      </w:r>
      <w:r w:rsidR="00907687" w:rsidRPr="00EB3DC6">
        <w:rPr>
          <w:rFonts w:asciiTheme="majorHAnsi" w:hAnsiTheme="majorHAnsi"/>
          <w:i/>
          <w:noProof/>
          <w:sz w:val="16"/>
          <w:szCs w:val="16"/>
          <w:lang w:val="es-ES"/>
        </w:rPr>
        <w:t>Caso Perozo y otros Vs. Venezuela</w:t>
      </w:r>
      <w:r w:rsidR="00907687" w:rsidRPr="00EB3DC6">
        <w:rPr>
          <w:rFonts w:asciiTheme="majorHAnsi" w:hAnsiTheme="majorHAnsi"/>
          <w:noProof/>
          <w:sz w:val="16"/>
          <w:szCs w:val="16"/>
          <w:lang w:val="es-ES"/>
        </w:rPr>
        <w:t xml:space="preserve">. Excepciones Preliminares, Fondo, Reparaciones y Costas. Sentencia de 28 de enero de 2009. Serie C No. 195. </w:t>
      </w:r>
      <w:r w:rsidR="00907687" w:rsidRPr="00EB3DC6">
        <w:rPr>
          <w:rFonts w:asciiTheme="majorHAnsi" w:hAnsiTheme="majorHAnsi"/>
          <w:sz w:val="16"/>
          <w:szCs w:val="16"/>
          <w:lang w:val="es-ES"/>
        </w:rPr>
        <w:t xml:space="preserve">Párr. 399, </w:t>
      </w:r>
      <w:r w:rsidR="00E40B98" w:rsidRPr="00EB3DC6">
        <w:rPr>
          <w:rFonts w:asciiTheme="majorHAnsi" w:hAnsiTheme="majorHAnsi"/>
          <w:sz w:val="16"/>
          <w:szCs w:val="16"/>
          <w:lang w:val="es-ES"/>
        </w:rPr>
        <w:t xml:space="preserve"> y </w:t>
      </w:r>
      <w:r w:rsidR="00E40B98" w:rsidRPr="00EB3DC6">
        <w:rPr>
          <w:rFonts w:asciiTheme="majorHAnsi" w:hAnsiTheme="majorHAnsi"/>
          <w:sz w:val="16"/>
          <w:szCs w:val="16"/>
          <w:lang w:val="es-ES_tradnl"/>
        </w:rPr>
        <w:t>Corte IDH. Opinión Consultiva 22/16.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8.1.a y b del Protocolo de San Salvador). 22 de febrero de 2016. Párr. 70</w:t>
      </w:r>
      <w:r w:rsidR="00904E9D" w:rsidRPr="00EB3DC6">
        <w:rPr>
          <w:rFonts w:asciiTheme="majorHAnsi" w:hAnsiTheme="majorHAnsi"/>
          <w:sz w:val="16"/>
          <w:szCs w:val="16"/>
          <w:lang w:val="es-ES_tradnl"/>
        </w:rPr>
        <w:t xml:space="preserve">. En similar sentido, ver, </w:t>
      </w:r>
      <w:r w:rsidR="00904E9D" w:rsidRPr="00EB3DC6">
        <w:rPr>
          <w:rFonts w:asciiTheme="majorHAnsi" w:hAnsiTheme="majorHAnsi"/>
          <w:sz w:val="16"/>
          <w:szCs w:val="16"/>
          <w:lang w:val="es-ES"/>
        </w:rPr>
        <w:t xml:space="preserve">CIDH. Informe No. 72/11, Petición 1164-05, Admisibilidad, William Gómez Vargas, Costa Rica, 31 de Marzo de 2011, Párr. 32, y </w:t>
      </w:r>
      <w:r w:rsidR="00904E9D" w:rsidRPr="00EB3DC6">
        <w:rPr>
          <w:rFonts w:asciiTheme="majorHAnsi" w:hAnsiTheme="majorHAnsi"/>
          <w:sz w:val="16"/>
          <w:szCs w:val="16"/>
          <w:lang w:val="es-AR"/>
        </w:rPr>
        <w:t xml:space="preserve">CIDH, Informe No. 67/01, Caso 11.859, </w:t>
      </w:r>
      <w:r w:rsidR="00904E9D" w:rsidRPr="00EB3DC6">
        <w:rPr>
          <w:rFonts w:asciiTheme="majorHAnsi" w:hAnsiTheme="majorHAnsi"/>
          <w:iCs/>
          <w:sz w:val="16"/>
          <w:szCs w:val="16"/>
          <w:lang w:val="es-AR"/>
        </w:rPr>
        <w:t>Tomás Enrique Carvallo Quintana</w:t>
      </w:r>
      <w:r w:rsidR="00904E9D" w:rsidRPr="00EB3DC6">
        <w:rPr>
          <w:rFonts w:asciiTheme="majorHAnsi" w:hAnsiTheme="majorHAnsi"/>
          <w:sz w:val="16"/>
          <w:szCs w:val="16"/>
          <w:lang w:val="es-AR"/>
        </w:rPr>
        <w:t>, Argentina, 14 de junio de 2001, P</w:t>
      </w:r>
      <w:proofErr w:type="spellStart"/>
      <w:r w:rsidR="00904E9D" w:rsidRPr="00EB3DC6">
        <w:rPr>
          <w:rFonts w:asciiTheme="majorHAnsi" w:hAnsiTheme="majorHAnsi"/>
          <w:sz w:val="16"/>
          <w:szCs w:val="16"/>
          <w:lang w:val="es-ES"/>
        </w:rPr>
        <w:t>árr</w:t>
      </w:r>
      <w:proofErr w:type="spellEnd"/>
      <w:r w:rsidR="00904E9D" w:rsidRPr="00EB3DC6">
        <w:rPr>
          <w:rFonts w:asciiTheme="majorHAnsi" w:hAnsiTheme="majorHAnsi"/>
          <w:sz w:val="16"/>
          <w:szCs w:val="16"/>
          <w:lang w:val="es-ES"/>
        </w:rPr>
        <w:t>. 54, expresando que “en principio, los accionistas no pueden considerarse víctimas de actos de interferencia con los derechos de una empresa, a menos que prueben que sus derechos se han visto afectados directamente”.</w:t>
      </w:r>
    </w:p>
  </w:footnote>
  <w:footnote w:id="12">
    <w:p w:rsidR="00A51CAC" w:rsidRPr="00EB3DC6" w:rsidRDefault="00A51CAC" w:rsidP="000666BF">
      <w:pPr>
        <w:pStyle w:val="FootnoteText"/>
        <w:spacing w:after="120"/>
        <w:ind w:firstLine="720"/>
        <w:jc w:val="both"/>
        <w:rPr>
          <w:rFonts w:asciiTheme="majorHAnsi" w:hAnsiTheme="majorHAnsi"/>
          <w:sz w:val="16"/>
          <w:szCs w:val="16"/>
          <w:lang w:val="es-ES"/>
        </w:rPr>
      </w:pPr>
      <w:r w:rsidRPr="00EB3DC6">
        <w:rPr>
          <w:rStyle w:val="FootnoteReference"/>
          <w:rFonts w:asciiTheme="majorHAnsi" w:hAnsiTheme="majorHAnsi"/>
          <w:sz w:val="16"/>
          <w:szCs w:val="16"/>
        </w:rPr>
        <w:footnoteRef/>
      </w:r>
      <w:r w:rsidRPr="00EB3DC6">
        <w:rPr>
          <w:rFonts w:asciiTheme="majorHAnsi" w:hAnsiTheme="majorHAnsi"/>
          <w:sz w:val="16"/>
          <w:szCs w:val="16"/>
          <w:lang w:val="pt-BR"/>
        </w:rPr>
        <w:t xml:space="preserve"> Corte </w:t>
      </w:r>
      <w:smartTag w:uri="urn:schemas-microsoft-com:office:smarttags" w:element="stockticker">
        <w:r w:rsidRPr="00EB3DC6">
          <w:rPr>
            <w:rFonts w:asciiTheme="majorHAnsi" w:hAnsiTheme="majorHAnsi"/>
            <w:sz w:val="16"/>
            <w:szCs w:val="16"/>
            <w:lang w:val="pt-BR"/>
          </w:rPr>
          <w:t>IDH</w:t>
        </w:r>
      </w:smartTag>
      <w:r w:rsidRPr="00EB3DC6">
        <w:rPr>
          <w:rFonts w:asciiTheme="majorHAnsi" w:hAnsiTheme="majorHAnsi"/>
          <w:sz w:val="16"/>
          <w:szCs w:val="16"/>
          <w:lang w:val="pt-BR"/>
        </w:rPr>
        <w:t>, Caso Cantos vs. Argentina</w:t>
      </w:r>
      <w:r w:rsidRPr="00EB3DC6">
        <w:rPr>
          <w:rFonts w:asciiTheme="majorHAnsi" w:hAnsiTheme="majorHAnsi"/>
          <w:i/>
          <w:sz w:val="16"/>
          <w:szCs w:val="16"/>
          <w:lang w:val="pt-BR"/>
        </w:rPr>
        <w:t>.</w:t>
      </w:r>
      <w:r w:rsidRPr="00EB3DC6">
        <w:rPr>
          <w:rFonts w:asciiTheme="majorHAnsi" w:hAnsiTheme="majorHAnsi"/>
          <w:sz w:val="16"/>
          <w:szCs w:val="16"/>
          <w:lang w:val="pt-BR"/>
        </w:rPr>
        <w:t xml:space="preserve"> </w:t>
      </w:r>
      <w:r w:rsidRPr="00EB3DC6">
        <w:rPr>
          <w:rFonts w:asciiTheme="majorHAnsi" w:hAnsiTheme="majorHAnsi"/>
          <w:sz w:val="16"/>
          <w:szCs w:val="16"/>
          <w:lang w:val="es-ES_tradnl"/>
        </w:rPr>
        <w:t>Excepciones Preliminares. Sentencia de 7 de septiembre de 2001. Serie C No. 85, párr. 29</w:t>
      </w:r>
      <w:r w:rsidR="00904E9D" w:rsidRPr="00EB3DC6">
        <w:rPr>
          <w:rFonts w:asciiTheme="majorHAnsi" w:hAnsiTheme="majorHAnsi"/>
          <w:sz w:val="16"/>
          <w:szCs w:val="16"/>
          <w:lang w:val="es-ES"/>
        </w:rPr>
        <w:t xml:space="preserve">, y </w:t>
      </w:r>
      <w:r w:rsidR="00904E9D" w:rsidRPr="00EB3DC6">
        <w:rPr>
          <w:rFonts w:asciiTheme="majorHAnsi" w:hAnsiTheme="majorHAnsi"/>
          <w:sz w:val="16"/>
          <w:szCs w:val="16"/>
          <w:lang w:val="es-ES_tradnl"/>
        </w:rPr>
        <w:t xml:space="preserve">Corte IDH. Opinión Consultiva 22/16.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8.1.a y b del Protocolo de San Salvador). 22 de febrero de 2016. Párr. </w:t>
      </w:r>
      <w:r w:rsidR="00E06FC9" w:rsidRPr="00EB3DC6">
        <w:rPr>
          <w:rFonts w:asciiTheme="majorHAnsi" w:hAnsiTheme="majorHAnsi"/>
          <w:sz w:val="16"/>
          <w:szCs w:val="16"/>
          <w:lang w:val="es-ES_tradnl"/>
        </w:rPr>
        <w:t>111</w:t>
      </w:r>
      <w:r w:rsidR="00904E9D" w:rsidRPr="00EB3DC6">
        <w:rPr>
          <w:rFonts w:asciiTheme="majorHAnsi" w:hAnsiTheme="majorHAnsi"/>
          <w:sz w:val="16"/>
          <w:szCs w:val="16"/>
          <w:lang w:val="es-ES_tradnl"/>
        </w:rPr>
        <w:t xml:space="preserve">. </w:t>
      </w:r>
      <w:r w:rsidRPr="00EB3DC6">
        <w:rPr>
          <w:rFonts w:asciiTheme="majorHAnsi" w:hAnsiTheme="majorHAnsi"/>
          <w:sz w:val="16"/>
          <w:szCs w:val="16"/>
          <w:lang w:val="es-ES"/>
        </w:rPr>
        <w:t>Ver también</w:t>
      </w:r>
      <w:r w:rsidR="00904E9D" w:rsidRPr="00EB3DC6">
        <w:rPr>
          <w:rFonts w:asciiTheme="majorHAnsi" w:hAnsiTheme="majorHAnsi"/>
          <w:sz w:val="16"/>
          <w:szCs w:val="16"/>
          <w:lang w:val="es-ES"/>
        </w:rPr>
        <w:t>,</w:t>
      </w:r>
      <w:r w:rsidRPr="00EB3DC6">
        <w:rPr>
          <w:rFonts w:asciiTheme="majorHAnsi" w:hAnsiTheme="majorHAnsi"/>
          <w:sz w:val="16"/>
          <w:szCs w:val="16"/>
          <w:lang w:val="es-ES"/>
        </w:rPr>
        <w:t xml:space="preserve"> </w:t>
      </w:r>
      <w:r w:rsidR="00907687" w:rsidRPr="00EB3DC6">
        <w:rPr>
          <w:rFonts w:asciiTheme="majorHAnsi" w:hAnsiTheme="majorHAnsi"/>
          <w:sz w:val="16"/>
          <w:szCs w:val="16"/>
          <w:lang w:val="es-ES"/>
        </w:rPr>
        <w:t>CIDH. Informe No. 72/11, Petición 1164-05, Admisibilidad, William Gómez Vargas, Costa Rica, 31 de Marzo de 2011, Párr. 32</w:t>
      </w:r>
      <w:r w:rsidR="00904E9D" w:rsidRPr="00EB3DC6">
        <w:rPr>
          <w:rFonts w:asciiTheme="majorHAnsi" w:hAnsiTheme="majorHAnsi"/>
          <w:sz w:val="16"/>
          <w:szCs w:val="16"/>
          <w:lang w:val="es-ES"/>
        </w:rPr>
        <w:t>.</w:t>
      </w:r>
    </w:p>
  </w:footnote>
  <w:footnote w:id="13">
    <w:p w:rsidR="00BC75EF" w:rsidRPr="00EB3DC6" w:rsidRDefault="00BC75EF" w:rsidP="000666BF">
      <w:pPr>
        <w:pStyle w:val="FootnoteText"/>
        <w:spacing w:after="120"/>
        <w:ind w:firstLine="720"/>
        <w:jc w:val="both"/>
        <w:rPr>
          <w:rFonts w:asciiTheme="majorHAnsi" w:hAnsiTheme="majorHAnsi"/>
          <w:sz w:val="16"/>
          <w:szCs w:val="16"/>
          <w:lang w:val="es-ES"/>
        </w:rPr>
      </w:pPr>
      <w:r w:rsidRPr="00EB3DC6">
        <w:rPr>
          <w:rStyle w:val="FootnoteReference"/>
          <w:rFonts w:asciiTheme="majorHAnsi" w:hAnsiTheme="majorHAnsi"/>
          <w:sz w:val="16"/>
          <w:szCs w:val="16"/>
        </w:rPr>
        <w:footnoteRef/>
      </w:r>
      <w:r w:rsidRPr="00EB3DC6">
        <w:rPr>
          <w:rFonts w:asciiTheme="majorHAnsi" w:hAnsiTheme="majorHAnsi"/>
          <w:sz w:val="16"/>
          <w:szCs w:val="16"/>
          <w:lang w:val="es-ES"/>
        </w:rPr>
        <w:t xml:space="preserve"> </w:t>
      </w:r>
      <w:r w:rsidRPr="00EB3DC6">
        <w:rPr>
          <w:rStyle w:val="Strong"/>
          <w:rFonts w:asciiTheme="majorHAnsi" w:hAnsiTheme="majorHAnsi"/>
          <w:b w:val="0"/>
          <w:sz w:val="16"/>
          <w:szCs w:val="16"/>
          <w:shd w:val="clear" w:color="auto" w:fill="FFFFFF"/>
          <w:lang w:val="es-ES"/>
        </w:rPr>
        <w:t xml:space="preserve">Corte IDH. Caso </w:t>
      </w:r>
      <w:proofErr w:type="spellStart"/>
      <w:r w:rsidRPr="00EB3DC6">
        <w:rPr>
          <w:rStyle w:val="Strong"/>
          <w:rFonts w:asciiTheme="majorHAnsi" w:hAnsiTheme="majorHAnsi"/>
          <w:b w:val="0"/>
          <w:sz w:val="16"/>
          <w:szCs w:val="16"/>
          <w:shd w:val="clear" w:color="auto" w:fill="FFFFFF"/>
          <w:lang w:val="es-ES"/>
        </w:rPr>
        <w:t>Granier</w:t>
      </w:r>
      <w:proofErr w:type="spellEnd"/>
      <w:r w:rsidRPr="00EB3DC6">
        <w:rPr>
          <w:rStyle w:val="Strong"/>
          <w:rFonts w:asciiTheme="majorHAnsi" w:hAnsiTheme="majorHAnsi"/>
          <w:b w:val="0"/>
          <w:sz w:val="16"/>
          <w:szCs w:val="16"/>
          <w:shd w:val="clear" w:color="auto" w:fill="FFFFFF"/>
          <w:lang w:val="es-ES"/>
        </w:rPr>
        <w:t xml:space="preserve"> y otros (Radio Caracas Televisión) Vs. Venezuela. Excepciones Preliminares, Fondo, Reparaciones y Costas. Sentencia de 22 de junio de 2015. Serie C No. 293, </w:t>
      </w:r>
      <w:proofErr w:type="spellStart"/>
      <w:r w:rsidRPr="00EB3DC6">
        <w:rPr>
          <w:rStyle w:val="Strong"/>
          <w:rFonts w:asciiTheme="majorHAnsi" w:hAnsiTheme="majorHAnsi"/>
          <w:b w:val="0"/>
          <w:sz w:val="16"/>
          <w:szCs w:val="16"/>
          <w:shd w:val="clear" w:color="auto" w:fill="FFFFFF"/>
          <w:lang w:val="es-ES"/>
        </w:rPr>
        <w:t>Parr</w:t>
      </w:r>
      <w:proofErr w:type="spellEnd"/>
      <w:r w:rsidRPr="00EB3DC6">
        <w:rPr>
          <w:rStyle w:val="Strong"/>
          <w:rFonts w:asciiTheme="majorHAnsi" w:hAnsiTheme="majorHAnsi"/>
          <w:b w:val="0"/>
          <w:sz w:val="16"/>
          <w:szCs w:val="16"/>
          <w:shd w:val="clear" w:color="auto" w:fill="FFFFFF"/>
          <w:lang w:val="es-ES"/>
        </w:rPr>
        <w:t xml:space="preserve">. 107, y </w:t>
      </w:r>
      <w:r w:rsidRPr="00EB3DC6">
        <w:rPr>
          <w:rFonts w:asciiTheme="majorHAnsi" w:hAnsiTheme="majorHAnsi"/>
          <w:sz w:val="16"/>
          <w:szCs w:val="16"/>
          <w:lang w:val="es-ES_tradnl"/>
        </w:rPr>
        <w:t xml:space="preserve">Corte IDH. Opinión Consultiva 22/16.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8.1.a y b del Protocolo de San Salvador). 22 de febrero de 2016. Párr. </w:t>
      </w:r>
      <w:r w:rsidR="00E06FC9" w:rsidRPr="00EB3DC6">
        <w:rPr>
          <w:rFonts w:asciiTheme="majorHAnsi" w:hAnsiTheme="majorHAnsi"/>
          <w:sz w:val="16"/>
          <w:szCs w:val="16"/>
          <w:lang w:val="es-ES_tradnl"/>
        </w:rPr>
        <w:t>111</w:t>
      </w:r>
      <w:r w:rsidRPr="00EB3DC6">
        <w:rPr>
          <w:rFonts w:asciiTheme="majorHAnsi" w:hAnsiTheme="majorHAnsi"/>
          <w:sz w:val="16"/>
          <w:szCs w:val="16"/>
          <w:lang w:val="es-ES_tradnl"/>
        </w:rPr>
        <w:t>.</w:t>
      </w:r>
    </w:p>
  </w:footnote>
  <w:footnote w:id="14">
    <w:p w:rsidR="00BC75EF" w:rsidRPr="00EB3DC6" w:rsidRDefault="00BC75EF" w:rsidP="000666BF">
      <w:pPr>
        <w:pStyle w:val="FootnoteText"/>
        <w:spacing w:after="120"/>
        <w:ind w:firstLine="720"/>
        <w:jc w:val="both"/>
        <w:rPr>
          <w:rFonts w:asciiTheme="majorHAnsi" w:hAnsiTheme="majorHAnsi"/>
          <w:sz w:val="16"/>
          <w:szCs w:val="16"/>
          <w:lang w:val="es-ES"/>
        </w:rPr>
      </w:pPr>
      <w:r w:rsidRPr="00EB3DC6">
        <w:rPr>
          <w:rStyle w:val="FootnoteReference"/>
          <w:rFonts w:asciiTheme="majorHAnsi" w:hAnsiTheme="majorHAnsi"/>
          <w:sz w:val="16"/>
          <w:szCs w:val="16"/>
        </w:rPr>
        <w:footnoteRef/>
      </w:r>
      <w:r w:rsidRPr="00EB3DC6">
        <w:rPr>
          <w:rFonts w:asciiTheme="majorHAnsi" w:hAnsiTheme="majorHAnsi"/>
          <w:sz w:val="16"/>
          <w:szCs w:val="16"/>
          <w:lang w:val="es-ES"/>
        </w:rPr>
        <w:t xml:space="preserve"> CIDH. Informe No. 72/11, Petición 1164-05, Admisibilidad, William Gómez Vargas, Costa Rica, 31 de Marzo de 2011, Párr. 32.</w:t>
      </w:r>
    </w:p>
  </w:footnote>
  <w:footnote w:id="15">
    <w:p w:rsidR="0092757C" w:rsidRPr="00EB3DC6" w:rsidRDefault="0092757C" w:rsidP="000666BF">
      <w:pPr>
        <w:pStyle w:val="FootnoteText"/>
        <w:spacing w:after="120"/>
        <w:ind w:firstLine="720"/>
        <w:jc w:val="both"/>
        <w:rPr>
          <w:rFonts w:asciiTheme="majorHAnsi" w:hAnsiTheme="majorHAnsi"/>
          <w:sz w:val="16"/>
          <w:szCs w:val="16"/>
          <w:lang w:val="es-ES"/>
        </w:rPr>
      </w:pPr>
      <w:r w:rsidRPr="00EB3DC6">
        <w:rPr>
          <w:rStyle w:val="FootnoteReference"/>
          <w:rFonts w:asciiTheme="majorHAnsi" w:hAnsiTheme="majorHAnsi"/>
          <w:sz w:val="16"/>
          <w:szCs w:val="16"/>
        </w:rPr>
        <w:footnoteRef/>
      </w:r>
      <w:r w:rsidRPr="00EB3DC6">
        <w:rPr>
          <w:rFonts w:asciiTheme="majorHAnsi" w:hAnsiTheme="majorHAnsi"/>
          <w:sz w:val="16"/>
          <w:szCs w:val="16"/>
          <w:lang w:val="es-ES"/>
        </w:rPr>
        <w:t xml:space="preserve"> </w:t>
      </w:r>
      <w:r w:rsidRPr="00EB3DC6">
        <w:rPr>
          <w:rStyle w:val="Strong"/>
          <w:rFonts w:asciiTheme="majorHAnsi" w:hAnsiTheme="majorHAnsi"/>
          <w:b w:val="0"/>
          <w:sz w:val="16"/>
          <w:szCs w:val="16"/>
          <w:shd w:val="clear" w:color="auto" w:fill="FFFFFF"/>
          <w:lang w:val="es-ES"/>
        </w:rPr>
        <w:t xml:space="preserve">Corte IDH. Caso </w:t>
      </w:r>
      <w:proofErr w:type="spellStart"/>
      <w:r w:rsidRPr="00EB3DC6">
        <w:rPr>
          <w:rStyle w:val="Strong"/>
          <w:rFonts w:asciiTheme="majorHAnsi" w:hAnsiTheme="majorHAnsi"/>
          <w:b w:val="0"/>
          <w:sz w:val="16"/>
          <w:szCs w:val="16"/>
          <w:shd w:val="clear" w:color="auto" w:fill="FFFFFF"/>
          <w:lang w:val="es-ES"/>
        </w:rPr>
        <w:t>Granier</w:t>
      </w:r>
      <w:proofErr w:type="spellEnd"/>
      <w:r w:rsidRPr="00EB3DC6">
        <w:rPr>
          <w:rStyle w:val="Strong"/>
          <w:rFonts w:asciiTheme="majorHAnsi" w:hAnsiTheme="majorHAnsi"/>
          <w:b w:val="0"/>
          <w:sz w:val="16"/>
          <w:szCs w:val="16"/>
          <w:shd w:val="clear" w:color="auto" w:fill="FFFFFF"/>
          <w:lang w:val="es-ES"/>
        </w:rPr>
        <w:t xml:space="preserve"> y otros (Radio Caracas Televisión) Vs. Venezuela. Excepciones Preliminares, Fondo, Reparaciones y Costas. Sentencia de 22 de junio de 2015. Serie C No. 293. </w:t>
      </w:r>
      <w:proofErr w:type="spellStart"/>
      <w:r w:rsidRPr="00EB3DC6">
        <w:rPr>
          <w:rStyle w:val="Strong"/>
          <w:rFonts w:asciiTheme="majorHAnsi" w:hAnsiTheme="majorHAnsi"/>
          <w:b w:val="0"/>
          <w:sz w:val="16"/>
          <w:szCs w:val="16"/>
          <w:shd w:val="clear" w:color="auto" w:fill="FFFFFF"/>
          <w:lang w:val="es-ES"/>
        </w:rPr>
        <w:t>Parr</w:t>
      </w:r>
      <w:proofErr w:type="spellEnd"/>
      <w:r w:rsidRPr="00EB3DC6">
        <w:rPr>
          <w:rStyle w:val="Strong"/>
          <w:rFonts w:asciiTheme="majorHAnsi" w:hAnsiTheme="majorHAnsi"/>
          <w:b w:val="0"/>
          <w:sz w:val="16"/>
          <w:szCs w:val="16"/>
          <w:shd w:val="clear" w:color="auto" w:fill="FFFFFF"/>
          <w:lang w:val="es-ES"/>
        </w:rPr>
        <w:t xml:space="preserve">. 148, </w:t>
      </w:r>
      <w:r w:rsidRPr="00EB3DC6">
        <w:rPr>
          <w:rFonts w:asciiTheme="majorHAnsi" w:hAnsiTheme="majorHAnsi"/>
          <w:sz w:val="16"/>
          <w:szCs w:val="16"/>
          <w:lang w:val="es-ES_tradnl"/>
        </w:rPr>
        <w:t>Corte IDH. Opinión Consultiva 22/16.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8.1.a y b del Protocolo de San Salvador). 22 de febrero de 2016. Párr. 111. En similar sentido,</w:t>
      </w:r>
      <w:r w:rsidRPr="00EB3DC6">
        <w:rPr>
          <w:rStyle w:val="Strong"/>
          <w:rFonts w:asciiTheme="majorHAnsi" w:hAnsiTheme="majorHAnsi"/>
          <w:b w:val="0"/>
          <w:sz w:val="16"/>
          <w:szCs w:val="16"/>
          <w:shd w:val="clear" w:color="auto" w:fill="FFFFFF"/>
          <w:lang w:val="es-ES"/>
        </w:rPr>
        <w:t xml:space="preserve"> </w:t>
      </w:r>
      <w:r w:rsidRPr="00EB3DC6">
        <w:rPr>
          <w:rFonts w:asciiTheme="majorHAnsi" w:hAnsiTheme="majorHAnsi"/>
          <w:sz w:val="16"/>
          <w:szCs w:val="16"/>
          <w:lang w:val="es-ES"/>
        </w:rPr>
        <w:t>CIDH. Informe No. 72/11, Petición 1164-05, Admisibilidad, William Gómez Vargas, Costa Rica, 3</w:t>
      </w:r>
      <w:r w:rsidR="00805909" w:rsidRPr="00EB3DC6">
        <w:rPr>
          <w:rFonts w:asciiTheme="majorHAnsi" w:hAnsiTheme="majorHAnsi"/>
          <w:sz w:val="16"/>
          <w:szCs w:val="16"/>
          <w:lang w:val="es-ES"/>
        </w:rPr>
        <w:t xml:space="preserve">1 de Marzo de 2011, Párr. 32, y CIDH, Informe No. 112/12, Caso  12.828, Fondo, Marcel </w:t>
      </w:r>
      <w:proofErr w:type="spellStart"/>
      <w:r w:rsidR="00805909" w:rsidRPr="00EB3DC6">
        <w:rPr>
          <w:rFonts w:asciiTheme="majorHAnsi" w:hAnsiTheme="majorHAnsi"/>
          <w:sz w:val="16"/>
          <w:szCs w:val="16"/>
          <w:lang w:val="es-ES"/>
        </w:rPr>
        <w:t>Granier</w:t>
      </w:r>
      <w:proofErr w:type="spellEnd"/>
      <w:r w:rsidR="00805909" w:rsidRPr="00EB3DC6">
        <w:rPr>
          <w:rFonts w:asciiTheme="majorHAnsi" w:hAnsiTheme="majorHAnsi"/>
          <w:sz w:val="16"/>
          <w:szCs w:val="16"/>
          <w:lang w:val="es-ES"/>
        </w:rPr>
        <w:t xml:space="preserve"> y otros, Venezuela. Párr. 128. </w:t>
      </w:r>
    </w:p>
  </w:footnote>
  <w:footnote w:id="16">
    <w:p w:rsidR="00805909" w:rsidRPr="00EB3DC6" w:rsidRDefault="00805909" w:rsidP="000666BF">
      <w:pPr>
        <w:pStyle w:val="FootnoteText"/>
        <w:spacing w:after="120"/>
        <w:ind w:firstLine="720"/>
        <w:jc w:val="both"/>
        <w:rPr>
          <w:rFonts w:asciiTheme="majorHAnsi" w:hAnsiTheme="majorHAnsi"/>
          <w:sz w:val="16"/>
          <w:szCs w:val="16"/>
          <w:lang w:val="es-ES"/>
        </w:rPr>
      </w:pPr>
      <w:r w:rsidRPr="00EB3DC6">
        <w:rPr>
          <w:rStyle w:val="FootnoteReference"/>
          <w:rFonts w:asciiTheme="majorHAnsi" w:hAnsiTheme="majorHAnsi"/>
          <w:sz w:val="16"/>
          <w:szCs w:val="16"/>
        </w:rPr>
        <w:footnoteRef/>
      </w:r>
      <w:r w:rsidRPr="00EB3DC6">
        <w:rPr>
          <w:rFonts w:asciiTheme="majorHAnsi" w:hAnsiTheme="majorHAnsi"/>
          <w:sz w:val="16"/>
          <w:szCs w:val="16"/>
          <w:lang w:val="es-ES"/>
        </w:rPr>
        <w:t xml:space="preserve"> CIDH, Informe No. 112/12, Caso  12.828, Fondo, Marcel </w:t>
      </w:r>
      <w:proofErr w:type="spellStart"/>
      <w:r w:rsidRPr="00EB3DC6">
        <w:rPr>
          <w:rFonts w:asciiTheme="majorHAnsi" w:hAnsiTheme="majorHAnsi"/>
          <w:sz w:val="16"/>
          <w:szCs w:val="16"/>
          <w:lang w:val="es-ES"/>
        </w:rPr>
        <w:t>Granier</w:t>
      </w:r>
      <w:proofErr w:type="spellEnd"/>
      <w:r w:rsidRPr="00EB3DC6">
        <w:rPr>
          <w:rFonts w:asciiTheme="majorHAnsi" w:hAnsiTheme="majorHAnsi"/>
          <w:sz w:val="16"/>
          <w:szCs w:val="16"/>
          <w:lang w:val="es-ES"/>
        </w:rPr>
        <w:t xml:space="preserve"> y otros, Venezuela. Párr. 128.</w:t>
      </w:r>
    </w:p>
  </w:footnote>
  <w:footnote w:id="17">
    <w:p w:rsidR="00EA6A3A" w:rsidRPr="00EB3DC6" w:rsidRDefault="00EA6A3A" w:rsidP="000666BF">
      <w:pPr>
        <w:pStyle w:val="FootnoteText"/>
        <w:spacing w:after="120"/>
        <w:ind w:firstLine="720"/>
        <w:jc w:val="both"/>
        <w:rPr>
          <w:rFonts w:asciiTheme="majorHAnsi" w:hAnsiTheme="majorHAnsi"/>
          <w:sz w:val="16"/>
          <w:szCs w:val="16"/>
          <w:lang w:val="es-ES"/>
        </w:rPr>
      </w:pPr>
      <w:r w:rsidRPr="00EB3DC6">
        <w:rPr>
          <w:rStyle w:val="FootnoteReference"/>
          <w:rFonts w:asciiTheme="majorHAnsi" w:hAnsiTheme="majorHAnsi"/>
          <w:b/>
          <w:sz w:val="16"/>
          <w:szCs w:val="16"/>
        </w:rPr>
        <w:footnoteRef/>
      </w:r>
      <w:r w:rsidRPr="00EB3DC6">
        <w:rPr>
          <w:rFonts w:asciiTheme="majorHAnsi" w:hAnsiTheme="majorHAnsi"/>
          <w:b/>
          <w:sz w:val="16"/>
          <w:szCs w:val="16"/>
          <w:lang w:val="es-ES"/>
        </w:rPr>
        <w:t xml:space="preserve"> </w:t>
      </w:r>
      <w:r w:rsidR="00F60159" w:rsidRPr="00EB3DC6">
        <w:rPr>
          <w:rStyle w:val="Strong"/>
          <w:rFonts w:asciiTheme="majorHAnsi" w:hAnsiTheme="majorHAnsi"/>
          <w:b w:val="0"/>
          <w:sz w:val="16"/>
          <w:szCs w:val="16"/>
          <w:shd w:val="clear" w:color="auto" w:fill="FFFFFF"/>
          <w:lang w:val="es-ES"/>
        </w:rPr>
        <w:t xml:space="preserve">Corte IDH. Caso </w:t>
      </w:r>
      <w:proofErr w:type="spellStart"/>
      <w:r w:rsidR="00F60159" w:rsidRPr="00EB3DC6">
        <w:rPr>
          <w:rStyle w:val="Strong"/>
          <w:rFonts w:asciiTheme="majorHAnsi" w:hAnsiTheme="majorHAnsi"/>
          <w:b w:val="0"/>
          <w:sz w:val="16"/>
          <w:szCs w:val="16"/>
          <w:shd w:val="clear" w:color="auto" w:fill="FFFFFF"/>
          <w:lang w:val="es-ES"/>
        </w:rPr>
        <w:t>Granier</w:t>
      </w:r>
      <w:proofErr w:type="spellEnd"/>
      <w:r w:rsidR="00F60159" w:rsidRPr="00EB3DC6">
        <w:rPr>
          <w:rStyle w:val="Strong"/>
          <w:rFonts w:asciiTheme="majorHAnsi" w:hAnsiTheme="majorHAnsi"/>
          <w:b w:val="0"/>
          <w:sz w:val="16"/>
          <w:szCs w:val="16"/>
          <w:shd w:val="clear" w:color="auto" w:fill="FFFFFF"/>
          <w:lang w:val="es-ES"/>
        </w:rPr>
        <w:t xml:space="preserve"> y otros (Radio Caracas Televisión) Vs. Venezuela. Excepciones Preliminares, Fondo, Reparaciones y Costas. Sentencia de 22 de junio de 2015. Serie C No. 293.</w:t>
      </w:r>
      <w:r w:rsidR="00E06FC9" w:rsidRPr="00EB3DC6">
        <w:rPr>
          <w:rStyle w:val="Strong"/>
          <w:rFonts w:asciiTheme="majorHAnsi" w:hAnsiTheme="majorHAnsi"/>
          <w:b w:val="0"/>
          <w:sz w:val="16"/>
          <w:szCs w:val="16"/>
          <w:shd w:val="clear" w:color="auto" w:fill="FFFFFF"/>
          <w:lang w:val="es-ES"/>
        </w:rPr>
        <w:t xml:space="preserve"> </w:t>
      </w:r>
      <w:proofErr w:type="spellStart"/>
      <w:r w:rsidR="00E06FC9" w:rsidRPr="00EB3DC6">
        <w:rPr>
          <w:rStyle w:val="Strong"/>
          <w:rFonts w:asciiTheme="majorHAnsi" w:hAnsiTheme="majorHAnsi"/>
          <w:b w:val="0"/>
          <w:sz w:val="16"/>
          <w:szCs w:val="16"/>
          <w:shd w:val="clear" w:color="auto" w:fill="FFFFFF"/>
          <w:lang w:val="es-ES"/>
        </w:rPr>
        <w:t>Parr</w:t>
      </w:r>
      <w:proofErr w:type="spellEnd"/>
      <w:r w:rsidR="00E06FC9" w:rsidRPr="00EB3DC6">
        <w:rPr>
          <w:rStyle w:val="Strong"/>
          <w:rFonts w:asciiTheme="majorHAnsi" w:hAnsiTheme="majorHAnsi"/>
          <w:b w:val="0"/>
          <w:sz w:val="16"/>
          <w:szCs w:val="16"/>
          <w:shd w:val="clear" w:color="auto" w:fill="FFFFFF"/>
          <w:lang w:val="es-ES"/>
        </w:rPr>
        <w:t xml:space="preserve">. 148, </w:t>
      </w:r>
      <w:r w:rsidR="00E06FC9" w:rsidRPr="00EB3DC6">
        <w:rPr>
          <w:rFonts w:asciiTheme="majorHAnsi" w:hAnsiTheme="majorHAnsi"/>
          <w:sz w:val="16"/>
          <w:szCs w:val="16"/>
          <w:lang w:val="es-ES_tradnl"/>
        </w:rPr>
        <w:t>Corte IDH. Opinión Consultiva 22/16.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8.1.a y b del Protocolo de San Salvador). 22 de febrero de 2016. Párr. 111. En similar sentido,</w:t>
      </w:r>
      <w:r w:rsidR="00E06FC9" w:rsidRPr="00EB3DC6">
        <w:rPr>
          <w:rStyle w:val="Strong"/>
          <w:rFonts w:asciiTheme="majorHAnsi" w:hAnsiTheme="majorHAnsi"/>
          <w:b w:val="0"/>
          <w:sz w:val="16"/>
          <w:szCs w:val="16"/>
          <w:shd w:val="clear" w:color="auto" w:fill="FFFFFF"/>
          <w:lang w:val="es-ES"/>
        </w:rPr>
        <w:t xml:space="preserve"> </w:t>
      </w:r>
      <w:r w:rsidR="00E06FC9" w:rsidRPr="00EB3DC6">
        <w:rPr>
          <w:rFonts w:asciiTheme="majorHAnsi" w:hAnsiTheme="majorHAnsi"/>
          <w:sz w:val="16"/>
          <w:szCs w:val="16"/>
          <w:lang w:val="es-ES"/>
        </w:rPr>
        <w:t>CIDH. Informe No. 72/11, Petición 1164-05, Admisibilidad, William Gómez Vargas, Costa Rica, 31 de Marzo de 2011, Párr. 32.</w:t>
      </w:r>
    </w:p>
  </w:footnote>
  <w:footnote w:id="18">
    <w:p w:rsidR="00EA6A3A" w:rsidRPr="00EB3DC6" w:rsidRDefault="00EA6A3A" w:rsidP="000666BF">
      <w:pPr>
        <w:pStyle w:val="FootnoteText"/>
        <w:spacing w:after="120"/>
        <w:ind w:firstLine="720"/>
        <w:jc w:val="both"/>
        <w:rPr>
          <w:rFonts w:asciiTheme="majorHAnsi" w:hAnsiTheme="majorHAnsi"/>
          <w:b/>
          <w:sz w:val="16"/>
          <w:szCs w:val="16"/>
          <w:lang w:val="es-ES"/>
        </w:rPr>
      </w:pPr>
      <w:r w:rsidRPr="00EB3DC6">
        <w:rPr>
          <w:rStyle w:val="FootnoteReference"/>
          <w:rFonts w:asciiTheme="majorHAnsi" w:hAnsiTheme="majorHAnsi"/>
          <w:b/>
          <w:sz w:val="16"/>
          <w:szCs w:val="16"/>
        </w:rPr>
        <w:footnoteRef/>
      </w:r>
      <w:r w:rsidRPr="00EB3DC6">
        <w:rPr>
          <w:rFonts w:asciiTheme="majorHAnsi" w:hAnsiTheme="majorHAnsi"/>
          <w:b/>
          <w:sz w:val="16"/>
          <w:szCs w:val="16"/>
          <w:lang w:val="es-ES"/>
        </w:rPr>
        <w:t xml:space="preserve"> </w:t>
      </w:r>
      <w:r w:rsidR="00F60159" w:rsidRPr="00EB3DC6">
        <w:rPr>
          <w:rStyle w:val="Strong"/>
          <w:rFonts w:asciiTheme="majorHAnsi" w:hAnsiTheme="majorHAnsi"/>
          <w:b w:val="0"/>
          <w:sz w:val="16"/>
          <w:szCs w:val="16"/>
          <w:shd w:val="clear" w:color="auto" w:fill="FFFFFF"/>
          <w:lang w:val="es-ES"/>
        </w:rPr>
        <w:t xml:space="preserve">Corte IDH. Caso </w:t>
      </w:r>
      <w:proofErr w:type="spellStart"/>
      <w:r w:rsidR="00F60159" w:rsidRPr="00EB3DC6">
        <w:rPr>
          <w:rStyle w:val="Strong"/>
          <w:rFonts w:asciiTheme="majorHAnsi" w:hAnsiTheme="majorHAnsi"/>
          <w:b w:val="0"/>
          <w:sz w:val="16"/>
          <w:szCs w:val="16"/>
          <w:shd w:val="clear" w:color="auto" w:fill="FFFFFF"/>
          <w:lang w:val="es-ES"/>
        </w:rPr>
        <w:t>Granier</w:t>
      </w:r>
      <w:proofErr w:type="spellEnd"/>
      <w:r w:rsidR="00F60159" w:rsidRPr="00EB3DC6">
        <w:rPr>
          <w:rStyle w:val="Strong"/>
          <w:rFonts w:asciiTheme="majorHAnsi" w:hAnsiTheme="majorHAnsi"/>
          <w:b w:val="0"/>
          <w:sz w:val="16"/>
          <w:szCs w:val="16"/>
          <w:shd w:val="clear" w:color="auto" w:fill="FFFFFF"/>
          <w:lang w:val="es-ES"/>
        </w:rPr>
        <w:t xml:space="preserve"> y otros (Radio Caracas Televisión) Vs. Venezuela. Excepciones Preliminares, Fondo, Reparaciones y Costas. Sentencia de 22 de junio de 2015. Serie C No. 293.</w:t>
      </w:r>
      <w:r w:rsidR="00E06FC9" w:rsidRPr="00EB3DC6">
        <w:rPr>
          <w:rStyle w:val="Strong"/>
          <w:rFonts w:asciiTheme="majorHAnsi" w:hAnsiTheme="majorHAnsi"/>
          <w:b w:val="0"/>
          <w:sz w:val="16"/>
          <w:szCs w:val="16"/>
          <w:shd w:val="clear" w:color="auto" w:fill="FFFFFF"/>
          <w:lang w:val="es-ES"/>
        </w:rPr>
        <w:t xml:space="preserve"> </w:t>
      </w:r>
      <w:proofErr w:type="spellStart"/>
      <w:r w:rsidR="00E06FC9" w:rsidRPr="00EB3DC6">
        <w:rPr>
          <w:rStyle w:val="Strong"/>
          <w:rFonts w:asciiTheme="majorHAnsi" w:hAnsiTheme="majorHAnsi"/>
          <w:b w:val="0"/>
          <w:sz w:val="16"/>
          <w:szCs w:val="16"/>
          <w:shd w:val="clear" w:color="auto" w:fill="FFFFFF"/>
          <w:lang w:val="es-ES"/>
        </w:rPr>
        <w:t>Parr</w:t>
      </w:r>
      <w:proofErr w:type="spellEnd"/>
      <w:r w:rsidR="00E06FC9" w:rsidRPr="00EB3DC6">
        <w:rPr>
          <w:rStyle w:val="Strong"/>
          <w:rFonts w:asciiTheme="majorHAnsi" w:hAnsiTheme="majorHAnsi"/>
          <w:b w:val="0"/>
          <w:sz w:val="16"/>
          <w:szCs w:val="16"/>
          <w:shd w:val="clear" w:color="auto" w:fill="FFFFFF"/>
          <w:lang w:val="es-ES"/>
        </w:rPr>
        <w:t xml:space="preserve">. 151, y </w:t>
      </w:r>
      <w:r w:rsidR="00E06FC9" w:rsidRPr="00EB3DC6">
        <w:rPr>
          <w:rFonts w:asciiTheme="majorHAnsi" w:hAnsiTheme="majorHAnsi"/>
          <w:sz w:val="16"/>
          <w:szCs w:val="16"/>
          <w:lang w:val="es-ES_tradnl"/>
        </w:rPr>
        <w:t>Corte IDH. Opinión Consultiva 22/16.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8.1.a y b del Protocolo de San Salvador). 22 de febrero de 2016. Párr. 117.</w:t>
      </w:r>
    </w:p>
  </w:footnote>
  <w:footnote w:id="19">
    <w:p w:rsidR="007E568D" w:rsidRPr="00EB3DC6" w:rsidRDefault="007E568D" w:rsidP="000666BF">
      <w:pPr>
        <w:pStyle w:val="FootnoteText"/>
        <w:spacing w:after="120"/>
        <w:ind w:firstLine="720"/>
        <w:jc w:val="both"/>
        <w:rPr>
          <w:rFonts w:asciiTheme="majorHAnsi" w:hAnsiTheme="majorHAnsi"/>
          <w:sz w:val="16"/>
          <w:szCs w:val="16"/>
          <w:lang w:val="es-ES"/>
        </w:rPr>
      </w:pPr>
      <w:r w:rsidRPr="00EB3DC6">
        <w:rPr>
          <w:rStyle w:val="FootnoteReference"/>
          <w:rFonts w:asciiTheme="majorHAnsi" w:hAnsiTheme="majorHAnsi"/>
          <w:sz w:val="16"/>
          <w:szCs w:val="16"/>
        </w:rPr>
        <w:footnoteRef/>
      </w:r>
      <w:r w:rsidRPr="00EB3DC6">
        <w:rPr>
          <w:rFonts w:asciiTheme="majorHAnsi" w:hAnsiTheme="majorHAnsi"/>
          <w:sz w:val="16"/>
          <w:szCs w:val="16"/>
          <w:lang w:val="es-ES"/>
        </w:rPr>
        <w:t xml:space="preserve"> CIDH, Informe No. 112/12, Caso  12.828, Fondo, Marcel </w:t>
      </w:r>
      <w:proofErr w:type="spellStart"/>
      <w:r w:rsidRPr="00EB3DC6">
        <w:rPr>
          <w:rFonts w:asciiTheme="majorHAnsi" w:hAnsiTheme="majorHAnsi"/>
          <w:sz w:val="16"/>
          <w:szCs w:val="16"/>
          <w:lang w:val="es-ES"/>
        </w:rPr>
        <w:t>Granier</w:t>
      </w:r>
      <w:proofErr w:type="spellEnd"/>
      <w:r w:rsidRPr="00EB3DC6">
        <w:rPr>
          <w:rFonts w:asciiTheme="majorHAnsi" w:hAnsiTheme="majorHAnsi"/>
          <w:sz w:val="16"/>
          <w:szCs w:val="16"/>
          <w:lang w:val="es-ES"/>
        </w:rPr>
        <w:t xml:space="preserve"> y otros, Venezuela. Párr. 128.</w:t>
      </w:r>
    </w:p>
  </w:footnote>
  <w:footnote w:id="20">
    <w:p w:rsidR="00766404" w:rsidRPr="00EB3DC6" w:rsidRDefault="00766404" w:rsidP="000666BF">
      <w:pPr>
        <w:pStyle w:val="FootnoteText"/>
        <w:spacing w:after="120"/>
        <w:ind w:firstLine="720"/>
        <w:jc w:val="both"/>
        <w:rPr>
          <w:rFonts w:asciiTheme="majorHAnsi" w:hAnsiTheme="majorHAnsi"/>
          <w:b/>
          <w:sz w:val="16"/>
          <w:szCs w:val="16"/>
          <w:lang w:val="es-ES"/>
        </w:rPr>
      </w:pPr>
      <w:r w:rsidRPr="00EB3DC6">
        <w:rPr>
          <w:rStyle w:val="FootnoteReference"/>
          <w:rFonts w:asciiTheme="majorHAnsi" w:hAnsiTheme="majorHAnsi"/>
          <w:b/>
          <w:sz w:val="16"/>
          <w:szCs w:val="16"/>
        </w:rPr>
        <w:footnoteRef/>
      </w:r>
      <w:r w:rsidRPr="00EB3DC6">
        <w:rPr>
          <w:rFonts w:asciiTheme="majorHAnsi" w:hAnsiTheme="majorHAnsi"/>
          <w:b/>
          <w:sz w:val="16"/>
          <w:szCs w:val="16"/>
          <w:lang w:val="es-ES"/>
        </w:rPr>
        <w:t xml:space="preserve"> </w:t>
      </w:r>
      <w:r w:rsidRPr="00EB3DC6">
        <w:rPr>
          <w:rStyle w:val="Strong"/>
          <w:rFonts w:asciiTheme="majorHAnsi" w:hAnsiTheme="majorHAnsi"/>
          <w:b w:val="0"/>
          <w:sz w:val="16"/>
          <w:szCs w:val="16"/>
          <w:shd w:val="clear" w:color="auto" w:fill="FFFFFF"/>
          <w:lang w:val="es-ES"/>
        </w:rPr>
        <w:t xml:space="preserve">Corte IDH. Caso </w:t>
      </w:r>
      <w:proofErr w:type="spellStart"/>
      <w:r w:rsidRPr="00EB3DC6">
        <w:rPr>
          <w:rStyle w:val="Strong"/>
          <w:rFonts w:asciiTheme="majorHAnsi" w:hAnsiTheme="majorHAnsi"/>
          <w:b w:val="0"/>
          <w:sz w:val="16"/>
          <w:szCs w:val="16"/>
          <w:shd w:val="clear" w:color="auto" w:fill="FFFFFF"/>
          <w:lang w:val="es-ES"/>
        </w:rPr>
        <w:t>Granier</w:t>
      </w:r>
      <w:proofErr w:type="spellEnd"/>
      <w:r w:rsidRPr="00EB3DC6">
        <w:rPr>
          <w:rStyle w:val="Strong"/>
          <w:rFonts w:asciiTheme="majorHAnsi" w:hAnsiTheme="majorHAnsi"/>
          <w:b w:val="0"/>
          <w:sz w:val="16"/>
          <w:szCs w:val="16"/>
          <w:shd w:val="clear" w:color="auto" w:fill="FFFFFF"/>
          <w:lang w:val="es-ES"/>
        </w:rPr>
        <w:t xml:space="preserve"> y otros (Radio Caracas Televisión) Vs. Venezuela. Excepciones Preliminares, Fondo, Reparaciones y Costas. Sentencia de 22 de junio de 2015. Serie C No. 293.</w:t>
      </w:r>
      <w:r w:rsidR="00E06FC9" w:rsidRPr="00EB3DC6">
        <w:rPr>
          <w:rStyle w:val="Strong"/>
          <w:rFonts w:asciiTheme="majorHAnsi" w:hAnsiTheme="majorHAnsi"/>
          <w:b w:val="0"/>
          <w:sz w:val="16"/>
          <w:szCs w:val="16"/>
          <w:shd w:val="clear" w:color="auto" w:fill="FFFFFF"/>
          <w:lang w:val="es-ES"/>
        </w:rPr>
        <w:t xml:space="preserve"> </w:t>
      </w:r>
      <w:proofErr w:type="spellStart"/>
      <w:r w:rsidR="00E06FC9" w:rsidRPr="00EB3DC6">
        <w:rPr>
          <w:rStyle w:val="Strong"/>
          <w:rFonts w:asciiTheme="majorHAnsi" w:hAnsiTheme="majorHAnsi"/>
          <w:b w:val="0"/>
          <w:sz w:val="16"/>
          <w:szCs w:val="16"/>
          <w:shd w:val="clear" w:color="auto" w:fill="FFFFFF"/>
          <w:lang w:val="es-ES"/>
        </w:rPr>
        <w:t>Parr</w:t>
      </w:r>
      <w:proofErr w:type="spellEnd"/>
      <w:r w:rsidR="00E06FC9" w:rsidRPr="00EB3DC6">
        <w:rPr>
          <w:rStyle w:val="Strong"/>
          <w:rFonts w:asciiTheme="majorHAnsi" w:hAnsiTheme="majorHAnsi"/>
          <w:b w:val="0"/>
          <w:sz w:val="16"/>
          <w:szCs w:val="16"/>
          <w:shd w:val="clear" w:color="auto" w:fill="FFFFFF"/>
          <w:lang w:val="es-ES"/>
        </w:rPr>
        <w:t xml:space="preserve">. 151, y </w:t>
      </w:r>
      <w:r w:rsidR="00E06FC9" w:rsidRPr="00EB3DC6">
        <w:rPr>
          <w:rFonts w:asciiTheme="majorHAnsi" w:hAnsiTheme="majorHAnsi"/>
          <w:sz w:val="16"/>
          <w:szCs w:val="16"/>
          <w:lang w:val="es-ES"/>
        </w:rPr>
        <w:t>CIDH. Informe No. 72/11, Petición 1164-05, Admisibilidad, William Gómez Vargas, Costa Rica, 31 de Marzo de 2011, Párr. 32.</w:t>
      </w:r>
    </w:p>
  </w:footnote>
  <w:footnote w:id="21">
    <w:p w:rsidR="00E208A0" w:rsidRPr="00EB3DC6" w:rsidRDefault="00E208A0" w:rsidP="000666BF">
      <w:pPr>
        <w:pStyle w:val="FootnoteText"/>
        <w:spacing w:after="120"/>
        <w:ind w:firstLine="720"/>
        <w:jc w:val="both"/>
        <w:rPr>
          <w:rFonts w:asciiTheme="majorHAnsi" w:hAnsiTheme="majorHAnsi"/>
          <w:b/>
          <w:sz w:val="16"/>
          <w:szCs w:val="16"/>
          <w:lang w:val="es-ES"/>
        </w:rPr>
      </w:pPr>
      <w:r w:rsidRPr="00EB3DC6">
        <w:rPr>
          <w:rStyle w:val="FootnoteReference"/>
          <w:rFonts w:asciiTheme="majorHAnsi" w:hAnsiTheme="majorHAnsi"/>
          <w:b/>
          <w:sz w:val="16"/>
          <w:szCs w:val="16"/>
        </w:rPr>
        <w:footnoteRef/>
      </w:r>
      <w:r w:rsidRPr="00EB3DC6">
        <w:rPr>
          <w:rFonts w:asciiTheme="majorHAnsi" w:hAnsiTheme="majorHAnsi"/>
          <w:b/>
          <w:sz w:val="16"/>
          <w:szCs w:val="16"/>
          <w:lang w:val="es-ES"/>
        </w:rPr>
        <w:t xml:space="preserve"> </w:t>
      </w:r>
      <w:r w:rsidRPr="00EB3DC6">
        <w:rPr>
          <w:rStyle w:val="Strong"/>
          <w:rFonts w:asciiTheme="majorHAnsi" w:hAnsiTheme="majorHAnsi"/>
          <w:b w:val="0"/>
          <w:sz w:val="16"/>
          <w:szCs w:val="16"/>
          <w:shd w:val="clear" w:color="auto" w:fill="FFFFFF"/>
          <w:lang w:val="es-ES"/>
        </w:rPr>
        <w:t xml:space="preserve">Corte IDH. Caso </w:t>
      </w:r>
      <w:proofErr w:type="spellStart"/>
      <w:r w:rsidRPr="00EB3DC6">
        <w:rPr>
          <w:rStyle w:val="Strong"/>
          <w:rFonts w:asciiTheme="majorHAnsi" w:hAnsiTheme="majorHAnsi"/>
          <w:b w:val="0"/>
          <w:sz w:val="16"/>
          <w:szCs w:val="16"/>
          <w:shd w:val="clear" w:color="auto" w:fill="FFFFFF"/>
          <w:lang w:val="es-ES"/>
        </w:rPr>
        <w:t>Granier</w:t>
      </w:r>
      <w:proofErr w:type="spellEnd"/>
      <w:r w:rsidRPr="00EB3DC6">
        <w:rPr>
          <w:rStyle w:val="Strong"/>
          <w:rFonts w:asciiTheme="majorHAnsi" w:hAnsiTheme="majorHAnsi"/>
          <w:b w:val="0"/>
          <w:sz w:val="16"/>
          <w:szCs w:val="16"/>
          <w:shd w:val="clear" w:color="auto" w:fill="FFFFFF"/>
          <w:lang w:val="es-ES"/>
        </w:rPr>
        <w:t xml:space="preserve"> y otros (Radio Caracas Televisión) Vs. Venezuela. Excepciones Preliminares, Fondo, Reparaciones y Costas. Sentencia de 22 de junio de 2015. Serie C No. 293. </w:t>
      </w:r>
      <w:proofErr w:type="spellStart"/>
      <w:r w:rsidRPr="00EB3DC6">
        <w:rPr>
          <w:rFonts w:asciiTheme="majorHAnsi" w:hAnsiTheme="majorHAnsi"/>
          <w:sz w:val="16"/>
          <w:szCs w:val="16"/>
          <w:lang w:val="es-ES"/>
        </w:rPr>
        <w:t>Parr</w:t>
      </w:r>
      <w:proofErr w:type="spellEnd"/>
      <w:r w:rsidRPr="00EB3DC6">
        <w:rPr>
          <w:rFonts w:asciiTheme="majorHAnsi" w:hAnsiTheme="majorHAnsi"/>
          <w:sz w:val="16"/>
          <w:szCs w:val="16"/>
          <w:lang w:val="es-ES"/>
        </w:rPr>
        <w:t>. 22.</w:t>
      </w:r>
      <w:r w:rsidRPr="00EB3DC6">
        <w:rPr>
          <w:rFonts w:asciiTheme="majorHAnsi" w:hAnsiTheme="majorHAnsi"/>
          <w:b/>
          <w:sz w:val="16"/>
          <w:szCs w:val="16"/>
          <w:lang w:val="es-ES"/>
        </w:rPr>
        <w:t xml:space="preserve"> </w:t>
      </w:r>
    </w:p>
  </w:footnote>
  <w:footnote w:id="22">
    <w:p w:rsidR="00A43428" w:rsidRPr="00EB3DC6" w:rsidRDefault="00A43428" w:rsidP="000666BF">
      <w:pPr>
        <w:pStyle w:val="FootnoteText"/>
        <w:spacing w:after="120"/>
        <w:ind w:firstLine="720"/>
        <w:jc w:val="both"/>
        <w:rPr>
          <w:rFonts w:asciiTheme="majorHAnsi" w:hAnsiTheme="majorHAnsi"/>
          <w:sz w:val="16"/>
          <w:szCs w:val="16"/>
          <w:lang w:val="es-ES"/>
        </w:rPr>
      </w:pPr>
      <w:r w:rsidRPr="00EB3DC6">
        <w:rPr>
          <w:rStyle w:val="FootnoteReference"/>
          <w:rFonts w:asciiTheme="majorHAnsi" w:hAnsiTheme="majorHAnsi"/>
          <w:sz w:val="16"/>
          <w:szCs w:val="16"/>
        </w:rPr>
        <w:footnoteRef/>
      </w:r>
      <w:r w:rsidRPr="00EB3DC6">
        <w:rPr>
          <w:rFonts w:asciiTheme="majorHAnsi" w:hAnsiTheme="majorHAnsi"/>
          <w:sz w:val="16"/>
          <w:szCs w:val="16"/>
          <w:lang w:val="es-ES"/>
        </w:rPr>
        <w:t xml:space="preserve"> </w:t>
      </w:r>
      <w:r w:rsidR="001A29E8" w:rsidRPr="00EB3DC6">
        <w:rPr>
          <w:rFonts w:asciiTheme="majorHAnsi" w:hAnsiTheme="majorHAnsi"/>
          <w:sz w:val="16"/>
          <w:szCs w:val="16"/>
          <w:lang w:val="es-ES"/>
        </w:rPr>
        <w:t>En este sentido, ver CIDH. Informe No. 72/11, Petición 1164-05, Admisibilidad, William Gómez Vargas, Costa Rica, 31 de Marzo de 2011.</w:t>
      </w:r>
    </w:p>
  </w:footnote>
  <w:footnote w:id="23">
    <w:p w:rsidR="00013314" w:rsidRPr="00EB3DC6" w:rsidRDefault="00013314" w:rsidP="000666BF">
      <w:pPr>
        <w:pStyle w:val="FootnoteText"/>
        <w:spacing w:after="120"/>
        <w:ind w:firstLine="720"/>
        <w:jc w:val="both"/>
        <w:rPr>
          <w:rFonts w:asciiTheme="majorHAnsi" w:hAnsiTheme="majorHAnsi"/>
          <w:sz w:val="16"/>
          <w:szCs w:val="16"/>
          <w:lang w:val="es-ES"/>
        </w:rPr>
      </w:pPr>
      <w:r w:rsidRPr="00EB3DC6">
        <w:rPr>
          <w:rStyle w:val="FootnoteReference"/>
          <w:rFonts w:asciiTheme="majorHAnsi" w:hAnsiTheme="majorHAnsi"/>
          <w:sz w:val="16"/>
          <w:szCs w:val="16"/>
        </w:rPr>
        <w:footnoteRef/>
      </w:r>
      <w:r w:rsidRPr="00EB3DC6">
        <w:rPr>
          <w:rFonts w:asciiTheme="majorHAnsi" w:hAnsiTheme="majorHAnsi"/>
          <w:sz w:val="16"/>
          <w:szCs w:val="16"/>
          <w:lang w:val="es-ES"/>
        </w:rPr>
        <w:t xml:space="preserve"> </w:t>
      </w:r>
      <w:r w:rsidRPr="00EB3DC6">
        <w:rPr>
          <w:rFonts w:asciiTheme="majorHAnsi" w:hAnsiTheme="majorHAnsi"/>
          <w:sz w:val="16"/>
          <w:szCs w:val="16"/>
          <w:lang w:val="es-ES_tradnl"/>
        </w:rPr>
        <w:t>Corte IDH. Opinión Consultiva 22/16.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8.1.a y b del Protocolo de San Salvador). 22 de febrero de 2016. Párr. 1</w:t>
      </w:r>
      <w:r w:rsidR="00E84D85" w:rsidRPr="00EB3DC6">
        <w:rPr>
          <w:rFonts w:asciiTheme="majorHAnsi" w:hAnsiTheme="majorHAnsi"/>
          <w:sz w:val="16"/>
          <w:szCs w:val="16"/>
          <w:lang w:val="es-ES_tradnl"/>
        </w:rPr>
        <w:t>34</w:t>
      </w:r>
      <w:r w:rsidRPr="00EB3DC6">
        <w:rPr>
          <w:rFonts w:asciiTheme="majorHAnsi" w:hAnsiTheme="majorHAnsi"/>
          <w:sz w:val="16"/>
          <w:szCs w:val="16"/>
          <w:lang w:val="es-ES_tradnl"/>
        </w:rPr>
        <w:t>.</w:t>
      </w:r>
    </w:p>
  </w:footnote>
  <w:footnote w:id="24">
    <w:p w:rsidR="00A64BEB" w:rsidRPr="00EB3DC6" w:rsidRDefault="00A64BEB" w:rsidP="000666BF">
      <w:pPr>
        <w:pStyle w:val="FootnoteText"/>
        <w:spacing w:after="120"/>
        <w:ind w:firstLine="720"/>
        <w:jc w:val="both"/>
        <w:rPr>
          <w:rFonts w:asciiTheme="majorHAnsi" w:hAnsiTheme="majorHAnsi"/>
          <w:sz w:val="16"/>
          <w:szCs w:val="16"/>
          <w:lang w:val="es-ES"/>
        </w:rPr>
      </w:pPr>
      <w:r w:rsidRPr="00EB3DC6">
        <w:rPr>
          <w:rStyle w:val="FootnoteReference"/>
          <w:rFonts w:asciiTheme="majorHAnsi" w:hAnsiTheme="majorHAnsi"/>
          <w:sz w:val="16"/>
          <w:szCs w:val="16"/>
        </w:rPr>
        <w:footnoteRef/>
      </w:r>
      <w:r w:rsidRPr="00EB3DC6">
        <w:rPr>
          <w:rFonts w:asciiTheme="majorHAnsi" w:hAnsiTheme="majorHAnsi"/>
          <w:sz w:val="16"/>
          <w:szCs w:val="16"/>
          <w:lang w:val="es-ES"/>
        </w:rPr>
        <w:t xml:space="preserve"> </w:t>
      </w:r>
      <w:r w:rsidRPr="00EB3DC6">
        <w:rPr>
          <w:rFonts w:asciiTheme="majorHAnsi" w:hAnsiTheme="majorHAnsi"/>
          <w:sz w:val="16"/>
          <w:szCs w:val="16"/>
          <w:lang w:val="es-ES_tradnl"/>
        </w:rPr>
        <w:t>Corte IDH. Opinión Consultiva 22/16.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8.1.a y b del Protocolo de San Salvador). 22 de febrero de 2016. Párr. 1</w:t>
      </w:r>
      <w:r w:rsidR="00B17606" w:rsidRPr="00EB3DC6">
        <w:rPr>
          <w:rFonts w:asciiTheme="majorHAnsi" w:hAnsiTheme="majorHAnsi"/>
          <w:sz w:val="16"/>
          <w:szCs w:val="16"/>
          <w:lang w:val="es-ES_tradnl"/>
        </w:rPr>
        <w:t>36</w:t>
      </w:r>
      <w:r w:rsidRPr="00EB3DC6">
        <w:rPr>
          <w:rFonts w:asciiTheme="majorHAnsi" w:hAnsiTheme="majorHAnsi"/>
          <w:sz w:val="16"/>
          <w:szCs w:val="16"/>
          <w:lang w:val="es-ES_tradnl"/>
        </w:rPr>
        <w:t>.</w:t>
      </w:r>
    </w:p>
  </w:footnote>
  <w:footnote w:id="25">
    <w:p w:rsidR="001A29E8" w:rsidRPr="00EB3DC6" w:rsidRDefault="001A29E8" w:rsidP="000666BF">
      <w:pPr>
        <w:pStyle w:val="FootnoteText"/>
        <w:spacing w:after="120"/>
        <w:ind w:firstLine="720"/>
        <w:jc w:val="both"/>
        <w:rPr>
          <w:rFonts w:asciiTheme="majorHAnsi" w:hAnsiTheme="majorHAnsi"/>
          <w:sz w:val="16"/>
          <w:szCs w:val="16"/>
          <w:lang w:val="es-ES"/>
        </w:rPr>
      </w:pPr>
      <w:r w:rsidRPr="00EB3DC6">
        <w:rPr>
          <w:rStyle w:val="FootnoteReference"/>
          <w:rFonts w:asciiTheme="majorHAnsi" w:hAnsiTheme="majorHAnsi"/>
          <w:sz w:val="16"/>
          <w:szCs w:val="16"/>
        </w:rPr>
        <w:footnoteRef/>
      </w:r>
      <w:r w:rsidRPr="00EB3DC6">
        <w:rPr>
          <w:rFonts w:asciiTheme="majorHAnsi" w:hAnsiTheme="majorHAnsi"/>
          <w:sz w:val="16"/>
          <w:szCs w:val="16"/>
          <w:lang w:val="es-ES"/>
        </w:rPr>
        <w:t xml:space="preserve"> </w:t>
      </w:r>
      <w:r w:rsidRPr="00EB3DC6">
        <w:rPr>
          <w:rFonts w:asciiTheme="majorHAnsi" w:hAnsiTheme="majorHAnsi"/>
          <w:b/>
          <w:sz w:val="16"/>
          <w:szCs w:val="16"/>
          <w:lang w:val="es-AR"/>
        </w:rPr>
        <w:t>Ley General del Sistema de Medios de Impugnación en Materia Electoral (LGSMIME):</w:t>
      </w:r>
      <w:r w:rsidRPr="00EB3DC6">
        <w:rPr>
          <w:rFonts w:asciiTheme="majorHAnsi" w:hAnsiTheme="majorHAnsi"/>
          <w:sz w:val="16"/>
          <w:szCs w:val="16"/>
          <w:lang w:val="es-AR"/>
        </w:rPr>
        <w:t xml:space="preserve"> “</w:t>
      </w:r>
      <w:r w:rsidRPr="00EB3DC6">
        <w:rPr>
          <w:rFonts w:asciiTheme="majorHAnsi" w:hAnsiTheme="majorHAnsi"/>
          <w:b/>
          <w:sz w:val="16"/>
          <w:szCs w:val="16"/>
          <w:lang w:val="es-ES"/>
        </w:rPr>
        <w:t>Artículo 12: 1.</w:t>
      </w:r>
      <w:r w:rsidRPr="00EB3DC6">
        <w:rPr>
          <w:rFonts w:asciiTheme="majorHAnsi" w:hAnsiTheme="majorHAnsi"/>
          <w:sz w:val="16"/>
          <w:szCs w:val="16"/>
          <w:lang w:val="es-ES"/>
        </w:rPr>
        <w:t xml:space="preserve"> Son partes en el procedimiento de los medios de impugnación las siguientes: (…) </w:t>
      </w:r>
      <w:r w:rsidRPr="00EB3DC6">
        <w:rPr>
          <w:rFonts w:asciiTheme="majorHAnsi" w:hAnsiTheme="majorHAnsi"/>
          <w:b/>
          <w:sz w:val="16"/>
          <w:szCs w:val="16"/>
          <w:lang w:val="es-ES"/>
        </w:rPr>
        <w:t>c)</w:t>
      </w:r>
      <w:r w:rsidRPr="00EB3DC6">
        <w:rPr>
          <w:rFonts w:asciiTheme="majorHAnsi" w:hAnsiTheme="majorHAnsi"/>
          <w:sz w:val="16"/>
          <w:szCs w:val="16"/>
          <w:lang w:val="es-ES"/>
        </w:rPr>
        <w:t xml:space="preserve"> El tercero interesado, que es el ciudadano, el partido político, la coalición, el candidato, la organización o la agrupación política o de ciudadanos, según corresponda, con un interés legítimo en la causa derivado de un derecho incompatible con el que pretende el actor”. Disponible para consultan en: </w:t>
      </w:r>
      <w:hyperlink r:id="rId1" w:history="1">
        <w:r w:rsidRPr="00EB3DC6">
          <w:rPr>
            <w:rStyle w:val="Hyperlink"/>
            <w:rFonts w:asciiTheme="majorHAnsi" w:hAnsiTheme="majorHAnsi"/>
            <w:sz w:val="16"/>
            <w:szCs w:val="16"/>
            <w:lang w:val="es-ES"/>
          </w:rPr>
          <w:t>http://www.diputados.gob.mx/LeyesBiblio/pdf/149_190118.pdf</w:t>
        </w:r>
      </w:hyperlink>
    </w:p>
  </w:footnote>
  <w:footnote w:id="26">
    <w:p w:rsidR="001A29E8" w:rsidRPr="00EB3DC6" w:rsidRDefault="001A29E8" w:rsidP="000666BF">
      <w:pPr>
        <w:pStyle w:val="FootnoteText"/>
        <w:spacing w:after="120"/>
        <w:ind w:firstLine="720"/>
        <w:jc w:val="both"/>
        <w:rPr>
          <w:rFonts w:asciiTheme="majorHAnsi" w:hAnsiTheme="majorHAnsi"/>
          <w:sz w:val="16"/>
          <w:szCs w:val="16"/>
          <w:lang w:val="es-ES"/>
        </w:rPr>
      </w:pPr>
      <w:r w:rsidRPr="00EB3DC6">
        <w:rPr>
          <w:rStyle w:val="FootnoteReference"/>
          <w:rFonts w:asciiTheme="majorHAnsi" w:hAnsiTheme="majorHAnsi"/>
          <w:sz w:val="16"/>
          <w:szCs w:val="16"/>
        </w:rPr>
        <w:footnoteRef/>
      </w:r>
      <w:r w:rsidRPr="00EB3DC6">
        <w:rPr>
          <w:rFonts w:asciiTheme="majorHAnsi" w:hAnsiTheme="majorHAnsi"/>
          <w:sz w:val="16"/>
          <w:szCs w:val="16"/>
          <w:lang w:val="es-ES"/>
        </w:rPr>
        <w:t xml:space="preserve"> </w:t>
      </w:r>
      <w:r w:rsidRPr="00EB3DC6">
        <w:rPr>
          <w:rFonts w:asciiTheme="majorHAnsi" w:hAnsiTheme="majorHAnsi"/>
          <w:b/>
          <w:sz w:val="16"/>
          <w:szCs w:val="16"/>
          <w:lang w:val="es-AR"/>
        </w:rPr>
        <w:t>Ley General del Sistema de Medios de Impugnación en Materia Electoral (LGSMIME):</w:t>
      </w:r>
      <w:r w:rsidRPr="00EB3DC6">
        <w:rPr>
          <w:rFonts w:asciiTheme="majorHAnsi" w:hAnsiTheme="majorHAnsi"/>
          <w:sz w:val="16"/>
          <w:szCs w:val="16"/>
          <w:lang w:val="es-AR"/>
        </w:rPr>
        <w:t xml:space="preserve"> “</w:t>
      </w:r>
      <w:r w:rsidRPr="00EB3DC6">
        <w:rPr>
          <w:rFonts w:asciiTheme="majorHAnsi" w:hAnsiTheme="majorHAnsi"/>
          <w:b/>
          <w:sz w:val="16"/>
          <w:szCs w:val="16"/>
          <w:lang w:val="es-ES"/>
        </w:rPr>
        <w:t>Artículo 79: 1.</w:t>
      </w:r>
      <w:r w:rsidRPr="00EB3DC6">
        <w:rPr>
          <w:rFonts w:asciiTheme="majorHAnsi" w:hAnsiTheme="majorHAnsi"/>
          <w:sz w:val="16"/>
          <w:szCs w:val="16"/>
          <w:lang w:val="es-ES"/>
        </w:rPr>
        <w:t xml:space="preserve"> El juicio para la protección de los derechos político-electorales, sólo procederá cuando el ciudadano por sí mismo y en forma individual o a través de sus representantes legales, haga valer presuntas violaciones a sus derechos de votar y ser votado en las elecciones populares, de asociarse individual y libremente para tomar parte en forma pacífica en los asuntos políticos y de afiliarse libre e individualmente a los partidos políticos. En el supuesto previsto en el inciso e) del párrafo 1 del siguiente artículo, la demanda deberá presentarse por conducto de quien ostente la representación legítima de la organización o agrupación política agraviada; </w:t>
      </w:r>
      <w:r w:rsidRPr="00EB3DC6">
        <w:rPr>
          <w:rFonts w:asciiTheme="majorHAnsi" w:hAnsiTheme="majorHAnsi"/>
          <w:b/>
          <w:sz w:val="16"/>
          <w:szCs w:val="16"/>
          <w:lang w:val="es-ES"/>
        </w:rPr>
        <w:t>2.</w:t>
      </w:r>
      <w:r w:rsidRPr="00EB3DC6">
        <w:rPr>
          <w:rFonts w:asciiTheme="majorHAnsi" w:hAnsiTheme="majorHAnsi"/>
          <w:sz w:val="16"/>
          <w:szCs w:val="16"/>
          <w:lang w:val="es-ES"/>
        </w:rPr>
        <w:t xml:space="preserve"> Asimismo, resultará procedente para impugnar los actos y resoluciones por quien teniendo interés jurídico, considere que indebidamente se afecta su derecho para integrar las autoridades electorales de las entidades federativas”. Disponible para consultan en: </w:t>
      </w:r>
      <w:hyperlink r:id="rId2" w:history="1">
        <w:r w:rsidRPr="00EB3DC6">
          <w:rPr>
            <w:rStyle w:val="Hyperlink"/>
            <w:rFonts w:asciiTheme="majorHAnsi" w:hAnsiTheme="majorHAnsi"/>
            <w:sz w:val="16"/>
            <w:szCs w:val="16"/>
            <w:lang w:val="es-ES"/>
          </w:rPr>
          <w:t>http://www.diputados.gob.mx/LeyesBiblio/pdf/149_190118.pdf</w:t>
        </w:r>
      </w:hyperlink>
    </w:p>
  </w:footnote>
  <w:footnote w:id="27">
    <w:p w:rsidR="001A29E8" w:rsidRPr="00EB3DC6" w:rsidRDefault="001A29E8" w:rsidP="000666BF">
      <w:pPr>
        <w:pStyle w:val="FootnoteText"/>
        <w:spacing w:after="120"/>
        <w:ind w:firstLine="720"/>
        <w:jc w:val="both"/>
        <w:rPr>
          <w:rFonts w:asciiTheme="majorHAnsi" w:hAnsiTheme="majorHAnsi"/>
          <w:sz w:val="16"/>
          <w:szCs w:val="16"/>
          <w:lang w:val="es-ES"/>
        </w:rPr>
      </w:pPr>
      <w:r w:rsidRPr="00EB3DC6">
        <w:rPr>
          <w:rStyle w:val="FootnoteReference"/>
          <w:rFonts w:asciiTheme="majorHAnsi" w:hAnsiTheme="majorHAnsi"/>
          <w:sz w:val="16"/>
          <w:szCs w:val="16"/>
        </w:rPr>
        <w:footnoteRef/>
      </w:r>
      <w:r w:rsidRPr="00EB3DC6">
        <w:rPr>
          <w:rFonts w:asciiTheme="majorHAnsi" w:hAnsiTheme="majorHAnsi"/>
          <w:sz w:val="16"/>
          <w:szCs w:val="16"/>
          <w:lang w:val="es-ES"/>
        </w:rPr>
        <w:t xml:space="preserve"> </w:t>
      </w:r>
      <w:r w:rsidRPr="00EB3DC6">
        <w:rPr>
          <w:rFonts w:asciiTheme="majorHAnsi" w:hAnsiTheme="majorHAnsi"/>
          <w:b/>
          <w:sz w:val="16"/>
          <w:szCs w:val="16"/>
          <w:lang w:val="es-AR"/>
        </w:rPr>
        <w:t>Ley General del Sistema de Medios de Impugnación en Materia Electoral (LGSMIME):</w:t>
      </w:r>
      <w:r w:rsidRPr="00EB3DC6">
        <w:rPr>
          <w:rFonts w:asciiTheme="majorHAnsi" w:hAnsiTheme="majorHAnsi"/>
          <w:sz w:val="16"/>
          <w:szCs w:val="16"/>
          <w:lang w:val="es-AR"/>
        </w:rPr>
        <w:t xml:space="preserve"> “</w:t>
      </w:r>
      <w:r w:rsidRPr="00EB3DC6">
        <w:rPr>
          <w:rFonts w:asciiTheme="majorHAnsi" w:hAnsiTheme="majorHAnsi"/>
          <w:b/>
          <w:sz w:val="16"/>
          <w:szCs w:val="16"/>
          <w:lang w:val="es-ES"/>
        </w:rPr>
        <w:t>Artículo 80: 1.</w:t>
      </w:r>
      <w:r w:rsidRPr="00EB3DC6">
        <w:rPr>
          <w:rFonts w:asciiTheme="majorHAnsi" w:hAnsiTheme="majorHAnsi"/>
          <w:sz w:val="16"/>
          <w:szCs w:val="16"/>
          <w:lang w:val="es-ES"/>
        </w:rPr>
        <w:t xml:space="preserve"> El juicio podrá ser promovido por el ciudadano cuando: </w:t>
      </w:r>
      <w:r w:rsidRPr="00EB3DC6">
        <w:rPr>
          <w:rFonts w:asciiTheme="majorHAnsi" w:hAnsiTheme="majorHAnsi"/>
          <w:b/>
          <w:sz w:val="16"/>
          <w:szCs w:val="16"/>
          <w:lang w:val="es-ES"/>
        </w:rPr>
        <w:t xml:space="preserve">a) </w:t>
      </w:r>
      <w:r w:rsidRPr="00EB3DC6">
        <w:rPr>
          <w:rFonts w:asciiTheme="majorHAnsi" w:hAnsiTheme="majorHAnsi"/>
          <w:sz w:val="16"/>
          <w:szCs w:val="16"/>
          <w:lang w:val="es-ES"/>
        </w:rPr>
        <w:t xml:space="preserve">Habiendo cumplido con los requisitos y trámites correspondientes, no hubiere obtenido oportunamente el documento que exija la ley electoral respectiva para ejercer el voto; </w:t>
      </w:r>
      <w:r w:rsidRPr="00EB3DC6">
        <w:rPr>
          <w:rFonts w:asciiTheme="majorHAnsi" w:hAnsiTheme="majorHAnsi"/>
          <w:b/>
          <w:sz w:val="16"/>
          <w:szCs w:val="16"/>
          <w:lang w:val="es-ES"/>
        </w:rPr>
        <w:t>b)</w:t>
      </w:r>
      <w:r w:rsidRPr="00EB3DC6">
        <w:rPr>
          <w:rFonts w:asciiTheme="majorHAnsi" w:hAnsiTheme="majorHAnsi"/>
          <w:sz w:val="16"/>
          <w:szCs w:val="16"/>
          <w:lang w:val="es-ES"/>
        </w:rPr>
        <w:t xml:space="preserve"> Habiendo obtenido oportunamente el documento a que se refiere el inciso anterior, no aparezca incluido en la lista nominal de electores de la sección correspondiente a su domicilio; </w:t>
      </w:r>
      <w:r w:rsidRPr="00EB3DC6">
        <w:rPr>
          <w:rFonts w:asciiTheme="majorHAnsi" w:hAnsiTheme="majorHAnsi"/>
          <w:b/>
          <w:sz w:val="16"/>
          <w:szCs w:val="16"/>
          <w:lang w:val="es-ES"/>
        </w:rPr>
        <w:t>c)</w:t>
      </w:r>
      <w:r w:rsidRPr="00EB3DC6">
        <w:rPr>
          <w:rFonts w:asciiTheme="majorHAnsi" w:hAnsiTheme="majorHAnsi"/>
          <w:sz w:val="16"/>
          <w:szCs w:val="16"/>
          <w:lang w:val="es-ES"/>
        </w:rPr>
        <w:t xml:space="preserve"> Considere haber sido indebidamente excluido de la lista nominal de electores de la sección correspondiente a su domicilio; </w:t>
      </w:r>
      <w:r w:rsidRPr="00EB3DC6">
        <w:rPr>
          <w:rFonts w:asciiTheme="majorHAnsi" w:hAnsiTheme="majorHAnsi"/>
          <w:b/>
          <w:sz w:val="16"/>
          <w:szCs w:val="16"/>
          <w:lang w:val="es-ES"/>
        </w:rPr>
        <w:t>d)</w:t>
      </w:r>
      <w:r w:rsidRPr="00EB3DC6">
        <w:rPr>
          <w:rFonts w:asciiTheme="majorHAnsi" w:hAnsiTheme="majorHAnsi"/>
          <w:sz w:val="16"/>
          <w:szCs w:val="16"/>
          <w:lang w:val="es-ES"/>
        </w:rPr>
        <w:t xml:space="preserve"> Considere que se violó su derecho político-electoral de ser votado cuando, habiendo sido propuesto por un partido político, le sea negado indebidamente su registro como candidato a un cargo de elección popular. En los procesos electorales federales, si también el partido político interpuso recurso de revisión o apelación, según corresponda, por la negativa del mismo registro, el Consejo del Instituto, a solicitud de la Sala que sea competente, remitirá el expediente para que sea resuelto por ésta, junto con el juicio promovido por el ciudadano; </w:t>
      </w:r>
      <w:r w:rsidRPr="00EB3DC6">
        <w:rPr>
          <w:rFonts w:asciiTheme="majorHAnsi" w:hAnsiTheme="majorHAnsi"/>
          <w:b/>
          <w:sz w:val="16"/>
          <w:szCs w:val="16"/>
          <w:lang w:val="es-ES"/>
        </w:rPr>
        <w:t>e)</w:t>
      </w:r>
      <w:r w:rsidRPr="00EB3DC6">
        <w:rPr>
          <w:rFonts w:asciiTheme="majorHAnsi" w:hAnsiTheme="majorHAnsi"/>
          <w:sz w:val="16"/>
          <w:szCs w:val="16"/>
          <w:lang w:val="es-ES"/>
        </w:rPr>
        <w:t xml:space="preserve"> Habiéndose asociado con otros ciudadanos para tomar parte en forma pacífica en asuntos políticos, conforme a las leyes aplicables, consideren que se les negó indebidamente su registro como partido político o agrupación política; </w:t>
      </w:r>
      <w:r w:rsidRPr="00EB3DC6">
        <w:rPr>
          <w:rFonts w:asciiTheme="majorHAnsi" w:hAnsiTheme="majorHAnsi"/>
          <w:b/>
          <w:sz w:val="16"/>
          <w:szCs w:val="16"/>
          <w:lang w:val="es-ES"/>
        </w:rPr>
        <w:t>f)</w:t>
      </w:r>
      <w:r w:rsidRPr="00EB3DC6">
        <w:rPr>
          <w:rFonts w:asciiTheme="majorHAnsi" w:hAnsiTheme="majorHAnsi"/>
          <w:sz w:val="16"/>
          <w:szCs w:val="16"/>
          <w:lang w:val="es-ES"/>
        </w:rPr>
        <w:t xml:space="preserve"> Considere que un acto o resolución de la autoridad es violatorio de cualquier otro de los derechos político-electorales a que se refiere el artículo anterior, y </w:t>
      </w:r>
      <w:r w:rsidRPr="00EB3DC6">
        <w:rPr>
          <w:rFonts w:asciiTheme="majorHAnsi" w:hAnsiTheme="majorHAnsi"/>
          <w:b/>
          <w:sz w:val="16"/>
          <w:szCs w:val="16"/>
          <w:lang w:val="es-ES"/>
        </w:rPr>
        <w:t>g)</w:t>
      </w:r>
      <w:r w:rsidRPr="00EB3DC6">
        <w:rPr>
          <w:rFonts w:asciiTheme="majorHAnsi" w:hAnsiTheme="majorHAnsi"/>
          <w:sz w:val="16"/>
          <w:szCs w:val="16"/>
          <w:lang w:val="es-ES"/>
        </w:rPr>
        <w:t xml:space="preserve"> Considere que los actos o resoluciones del partido político al que está afiliado violan alguno de sus derechos político-electorales. Lo anterior es aplicable a los precandidatos y candidatos a cargos de elección popular </w:t>
      </w:r>
      <w:r w:rsidR="00894A26" w:rsidRPr="00EB3DC6">
        <w:rPr>
          <w:rFonts w:asciiTheme="majorHAnsi" w:hAnsiTheme="majorHAnsi"/>
          <w:sz w:val="16"/>
          <w:szCs w:val="16"/>
          <w:lang w:val="es-ES"/>
        </w:rPr>
        <w:t>aun</w:t>
      </w:r>
      <w:r w:rsidRPr="00EB3DC6">
        <w:rPr>
          <w:rFonts w:asciiTheme="majorHAnsi" w:hAnsiTheme="majorHAnsi"/>
          <w:sz w:val="16"/>
          <w:szCs w:val="16"/>
          <w:lang w:val="es-ES"/>
        </w:rPr>
        <w:t xml:space="preserve"> cuando no estén afiliados al partido señalado como responsable. (…)”.</w:t>
      </w:r>
    </w:p>
  </w:footnote>
  <w:footnote w:id="28">
    <w:p w:rsidR="00B66691" w:rsidRPr="00EB3DC6" w:rsidRDefault="00B66691" w:rsidP="000666BF">
      <w:pPr>
        <w:pStyle w:val="FootnoteText"/>
        <w:spacing w:after="120"/>
        <w:ind w:firstLine="720"/>
        <w:jc w:val="both"/>
        <w:rPr>
          <w:rFonts w:asciiTheme="majorHAnsi" w:hAnsiTheme="majorHAnsi"/>
          <w:sz w:val="16"/>
          <w:szCs w:val="16"/>
          <w:lang w:val="es-ES"/>
        </w:rPr>
      </w:pPr>
      <w:r w:rsidRPr="00EB3DC6">
        <w:rPr>
          <w:rStyle w:val="FootnoteReference"/>
          <w:rFonts w:asciiTheme="majorHAnsi" w:hAnsiTheme="majorHAnsi" w:cs="Times"/>
          <w:sz w:val="16"/>
          <w:szCs w:val="16"/>
          <w:lang w:val="es-ES"/>
        </w:rPr>
        <w:footnoteRef/>
      </w:r>
      <w:r w:rsidRPr="00EB3DC6">
        <w:rPr>
          <w:rFonts w:asciiTheme="majorHAnsi" w:hAnsiTheme="majorHAnsi" w:cs="Times"/>
          <w:sz w:val="16"/>
          <w:szCs w:val="16"/>
          <w:lang w:val="es-ES"/>
        </w:rPr>
        <w:t xml:space="preserve"> </w:t>
      </w:r>
      <w:r w:rsidR="00151509" w:rsidRPr="00EB3DC6">
        <w:rPr>
          <w:rFonts w:asciiTheme="majorHAnsi" w:hAnsiTheme="majorHAnsi"/>
          <w:sz w:val="16"/>
          <w:szCs w:val="16"/>
          <w:lang w:val="es-ES_tradnl"/>
        </w:rPr>
        <w:t>Corte IDH</w:t>
      </w:r>
      <w:r w:rsidRPr="00EB3DC6">
        <w:rPr>
          <w:rFonts w:asciiTheme="majorHAnsi" w:hAnsiTheme="majorHAnsi" w:cs="Times"/>
          <w:sz w:val="16"/>
          <w:szCs w:val="16"/>
          <w:lang w:val="es-ES"/>
        </w:rPr>
        <w:t>, Caso Velásquez Rodríguez, Excepciones Preliminares, Sentencia del 29 de julio de 1988.</w:t>
      </w:r>
    </w:p>
  </w:footnote>
  <w:footnote w:id="29">
    <w:p w:rsidR="00BB02C2" w:rsidRPr="00EB3DC6" w:rsidRDefault="00BB02C2" w:rsidP="000666BF">
      <w:pPr>
        <w:pStyle w:val="FootnoteText"/>
        <w:spacing w:after="120"/>
        <w:ind w:firstLine="720"/>
        <w:jc w:val="both"/>
        <w:rPr>
          <w:rFonts w:asciiTheme="majorHAnsi" w:hAnsiTheme="majorHAnsi"/>
          <w:sz w:val="16"/>
          <w:szCs w:val="16"/>
          <w:lang w:val="es-ES"/>
        </w:rPr>
      </w:pPr>
      <w:r w:rsidRPr="00EB3DC6">
        <w:rPr>
          <w:rStyle w:val="FootnoteReference"/>
          <w:rFonts w:asciiTheme="majorHAnsi" w:hAnsiTheme="majorHAnsi" w:cs="Times"/>
          <w:sz w:val="16"/>
          <w:szCs w:val="16"/>
        </w:rPr>
        <w:footnoteRef/>
      </w:r>
      <w:r w:rsidRPr="00EB3DC6">
        <w:rPr>
          <w:rFonts w:asciiTheme="majorHAnsi" w:hAnsiTheme="majorHAnsi" w:cs="Times"/>
          <w:sz w:val="16"/>
          <w:szCs w:val="16"/>
          <w:lang w:val="es-ES"/>
        </w:rPr>
        <w:t xml:space="preserve"> </w:t>
      </w:r>
      <w:r w:rsidR="005F6122" w:rsidRPr="00EB3DC6">
        <w:rPr>
          <w:rFonts w:asciiTheme="majorHAnsi" w:hAnsiTheme="majorHAnsi" w:cs="Times"/>
          <w:sz w:val="16"/>
          <w:szCs w:val="16"/>
          <w:lang w:val="es-ES"/>
        </w:rPr>
        <w:t>Corte Interamericana de Derechos Humanos, Caso Velásquez Rodríguez, Sentencia del 29 de julio de 1988, párrafo 20</w:t>
      </w:r>
      <w:r w:rsidR="00424532" w:rsidRPr="00EB3DC6">
        <w:rPr>
          <w:rFonts w:asciiTheme="majorHAnsi" w:hAnsiTheme="majorHAnsi" w:cs="Times"/>
          <w:sz w:val="16"/>
          <w:szCs w:val="16"/>
          <w:lang w:val="es-ES"/>
        </w:rPr>
        <w:t xml:space="preserve">. </w:t>
      </w:r>
    </w:p>
  </w:footnote>
  <w:footnote w:id="30">
    <w:p w:rsidR="00BC5BB0" w:rsidRPr="00EB3DC6" w:rsidRDefault="00BC5BB0" w:rsidP="000666BF">
      <w:pPr>
        <w:pStyle w:val="FootnoteText"/>
        <w:spacing w:after="120"/>
        <w:ind w:firstLine="720"/>
        <w:jc w:val="both"/>
        <w:rPr>
          <w:rFonts w:asciiTheme="majorHAnsi" w:hAnsiTheme="majorHAnsi"/>
          <w:sz w:val="16"/>
          <w:szCs w:val="16"/>
          <w:lang w:val="es-ES"/>
        </w:rPr>
      </w:pPr>
      <w:r w:rsidRPr="00EB3DC6">
        <w:rPr>
          <w:rStyle w:val="FootnoteReference"/>
          <w:rFonts w:asciiTheme="majorHAnsi" w:hAnsiTheme="majorHAnsi"/>
          <w:sz w:val="16"/>
          <w:szCs w:val="16"/>
        </w:rPr>
        <w:footnoteRef/>
      </w:r>
      <w:r w:rsidRPr="00EB3DC6">
        <w:rPr>
          <w:rFonts w:asciiTheme="majorHAnsi" w:hAnsiTheme="majorHAnsi"/>
          <w:sz w:val="16"/>
          <w:szCs w:val="16"/>
          <w:lang w:val="es-ES"/>
        </w:rPr>
        <w:t xml:space="preserve"> En este sentido ver, </w:t>
      </w:r>
      <w:r w:rsidR="0027323E" w:rsidRPr="00EB3DC6">
        <w:rPr>
          <w:rFonts w:asciiTheme="majorHAnsi" w:hAnsiTheme="majorHAnsi" w:cs="Times"/>
          <w:sz w:val="16"/>
          <w:szCs w:val="16"/>
          <w:lang w:val="es-ES"/>
        </w:rPr>
        <w:t>Corte Europea de Derechos Humanos</w:t>
      </w:r>
      <w:r w:rsidR="0027323E" w:rsidRPr="00EB3DC6">
        <w:rPr>
          <w:rFonts w:asciiTheme="majorHAnsi" w:hAnsiTheme="majorHAnsi"/>
          <w:sz w:val="16"/>
          <w:szCs w:val="16"/>
          <w:lang w:val="es-ES"/>
        </w:rPr>
        <w:t xml:space="preserve"> Case of </w:t>
      </w:r>
      <w:proofErr w:type="spellStart"/>
      <w:r w:rsidR="0027323E" w:rsidRPr="00EB3DC6">
        <w:rPr>
          <w:rFonts w:asciiTheme="majorHAnsi" w:hAnsiTheme="majorHAnsi"/>
          <w:sz w:val="16"/>
          <w:szCs w:val="16"/>
          <w:lang w:val="es-ES"/>
        </w:rPr>
        <w:t>Vernillo</w:t>
      </w:r>
      <w:proofErr w:type="spellEnd"/>
      <w:r w:rsidR="0027323E" w:rsidRPr="00EB3DC6">
        <w:rPr>
          <w:rFonts w:asciiTheme="majorHAnsi" w:hAnsiTheme="majorHAnsi"/>
          <w:sz w:val="16"/>
          <w:szCs w:val="16"/>
          <w:lang w:val="es-ES"/>
        </w:rPr>
        <w:t xml:space="preserve"> </w:t>
      </w:r>
      <w:proofErr w:type="spellStart"/>
      <w:r w:rsidR="0027323E" w:rsidRPr="00EB3DC6">
        <w:rPr>
          <w:rFonts w:asciiTheme="majorHAnsi" w:hAnsiTheme="majorHAnsi"/>
          <w:sz w:val="16"/>
          <w:szCs w:val="16"/>
          <w:lang w:val="es-ES"/>
        </w:rPr>
        <w:t>v.F</w:t>
      </w:r>
      <w:proofErr w:type="spellEnd"/>
      <w:r w:rsidR="0027323E" w:rsidRPr="00EB3DC6">
        <w:rPr>
          <w:rFonts w:asciiTheme="majorHAnsi" w:hAnsiTheme="majorHAnsi"/>
          <w:sz w:val="16"/>
          <w:szCs w:val="16"/>
          <w:lang w:val="es-ES"/>
        </w:rPr>
        <w:t xml:space="preserve">, </w:t>
      </w:r>
      <w:proofErr w:type="spellStart"/>
      <w:r w:rsidR="0027323E" w:rsidRPr="00EB3DC6">
        <w:rPr>
          <w:rFonts w:asciiTheme="majorHAnsi" w:hAnsiTheme="majorHAnsi"/>
          <w:sz w:val="16"/>
          <w:szCs w:val="16"/>
          <w:lang w:val="es-ES"/>
        </w:rPr>
        <w:t>Application</w:t>
      </w:r>
      <w:proofErr w:type="spellEnd"/>
      <w:r w:rsidR="0027323E" w:rsidRPr="00EB3DC6">
        <w:rPr>
          <w:rFonts w:asciiTheme="majorHAnsi" w:hAnsiTheme="majorHAnsi"/>
          <w:sz w:val="16"/>
          <w:szCs w:val="16"/>
          <w:lang w:val="es-ES"/>
        </w:rPr>
        <w:t xml:space="preserve"> no. 11889/85, </w:t>
      </w:r>
      <w:proofErr w:type="spellStart"/>
      <w:r w:rsidR="0027323E" w:rsidRPr="00EB3DC6">
        <w:rPr>
          <w:rFonts w:asciiTheme="majorHAnsi" w:hAnsiTheme="majorHAnsi"/>
          <w:sz w:val="16"/>
          <w:szCs w:val="16"/>
          <w:lang w:val="es-ES"/>
        </w:rPr>
        <w:t>Judgment</w:t>
      </w:r>
      <w:proofErr w:type="spellEnd"/>
      <w:r w:rsidR="0027323E" w:rsidRPr="00EB3DC6">
        <w:rPr>
          <w:rFonts w:asciiTheme="majorHAnsi" w:hAnsiTheme="majorHAnsi"/>
          <w:sz w:val="16"/>
          <w:szCs w:val="16"/>
          <w:lang w:val="es-ES"/>
        </w:rPr>
        <w:t xml:space="preserve">, 20 </w:t>
      </w:r>
      <w:proofErr w:type="spellStart"/>
      <w:r w:rsidR="0027323E" w:rsidRPr="00EB3DC6">
        <w:rPr>
          <w:rFonts w:asciiTheme="majorHAnsi" w:hAnsiTheme="majorHAnsi"/>
          <w:sz w:val="16"/>
          <w:szCs w:val="16"/>
          <w:lang w:val="es-ES"/>
        </w:rPr>
        <w:t>February</w:t>
      </w:r>
      <w:proofErr w:type="spellEnd"/>
      <w:r w:rsidR="0027323E" w:rsidRPr="00EB3DC6">
        <w:rPr>
          <w:rFonts w:asciiTheme="majorHAnsi" w:hAnsiTheme="majorHAnsi"/>
          <w:sz w:val="16"/>
          <w:szCs w:val="16"/>
          <w:lang w:val="es-ES"/>
        </w:rPr>
        <w:t xml:space="preserve"> 1991, para. 27.</w:t>
      </w:r>
    </w:p>
  </w:footnote>
  <w:footnote w:id="31">
    <w:p w:rsidR="00111E14" w:rsidRPr="0027323E" w:rsidRDefault="00111E14" w:rsidP="000666BF">
      <w:pPr>
        <w:pStyle w:val="FootnoteText"/>
        <w:spacing w:after="120"/>
        <w:ind w:firstLine="720"/>
        <w:jc w:val="both"/>
        <w:rPr>
          <w:rFonts w:ascii="Cambria" w:hAnsi="Cambria"/>
          <w:sz w:val="16"/>
          <w:szCs w:val="16"/>
          <w:lang w:val="es-ES"/>
        </w:rPr>
      </w:pPr>
      <w:r w:rsidRPr="00EB3DC6">
        <w:rPr>
          <w:rStyle w:val="FootnoteReference"/>
          <w:rFonts w:asciiTheme="majorHAnsi" w:hAnsiTheme="majorHAnsi"/>
          <w:sz w:val="16"/>
          <w:szCs w:val="16"/>
        </w:rPr>
        <w:footnoteRef/>
      </w:r>
      <w:r w:rsidRPr="00EB3DC6">
        <w:rPr>
          <w:rFonts w:asciiTheme="majorHAnsi" w:hAnsiTheme="majorHAnsi"/>
          <w:sz w:val="16"/>
          <w:szCs w:val="16"/>
          <w:lang w:val="es-ES"/>
        </w:rPr>
        <w:t xml:space="preserve"> Ver TRIFE. Expediente SUP-RAP-236/2009 y sus acumulados, Recurso de </w:t>
      </w:r>
      <w:proofErr w:type="spellStart"/>
      <w:r w:rsidRPr="00EB3DC6">
        <w:rPr>
          <w:rFonts w:asciiTheme="majorHAnsi" w:hAnsiTheme="majorHAnsi"/>
          <w:sz w:val="16"/>
          <w:szCs w:val="16"/>
          <w:lang w:val="es-ES"/>
        </w:rPr>
        <w:t>Apelacion</w:t>
      </w:r>
      <w:proofErr w:type="spellEnd"/>
      <w:r w:rsidRPr="00EB3DC6">
        <w:rPr>
          <w:rFonts w:asciiTheme="majorHAnsi" w:hAnsiTheme="majorHAnsi"/>
          <w:sz w:val="16"/>
          <w:szCs w:val="16"/>
          <w:lang w:val="es-ES"/>
        </w:rPr>
        <w:t xml:space="preserve">, 26 de agosto de 2009. y Consejo </w:t>
      </w:r>
      <w:proofErr w:type="spellStart"/>
      <w:r w:rsidRPr="00EB3DC6">
        <w:rPr>
          <w:rFonts w:asciiTheme="majorHAnsi" w:hAnsiTheme="majorHAnsi"/>
          <w:sz w:val="16"/>
          <w:szCs w:val="16"/>
          <w:lang w:val="es-ES"/>
        </w:rPr>
        <w:t>Genreal</w:t>
      </w:r>
      <w:proofErr w:type="spellEnd"/>
      <w:r w:rsidRPr="00EB3DC6">
        <w:rPr>
          <w:rFonts w:asciiTheme="majorHAnsi" w:hAnsiTheme="majorHAnsi"/>
          <w:sz w:val="16"/>
          <w:szCs w:val="16"/>
          <w:lang w:val="es-ES"/>
        </w:rPr>
        <w:t xml:space="preserve"> del IFE, </w:t>
      </w:r>
      <w:proofErr w:type="spellStart"/>
      <w:r w:rsidRPr="00EB3DC6">
        <w:rPr>
          <w:rFonts w:asciiTheme="majorHAnsi" w:hAnsiTheme="majorHAnsi"/>
          <w:sz w:val="16"/>
          <w:szCs w:val="16"/>
          <w:lang w:val="es-ES"/>
        </w:rPr>
        <w:t>Exp</w:t>
      </w:r>
      <w:proofErr w:type="spellEnd"/>
      <w:r w:rsidRPr="00EB3DC6">
        <w:rPr>
          <w:rFonts w:asciiTheme="majorHAnsi" w:hAnsiTheme="majorHAnsi"/>
          <w:sz w:val="16"/>
          <w:szCs w:val="16"/>
          <w:lang w:val="es-ES"/>
        </w:rPr>
        <w:t>. SCG/PE/CEENL/CG/247/2009. Resolución de 15 de julio de 2009. Anexos a la petición inicial de los peticionarios recibida el 26 de febrero de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9E0" w:rsidRDefault="008129E0" w:rsidP="00457D0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8129E0" w:rsidRDefault="008129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9E0" w:rsidRDefault="008129E0" w:rsidP="00A50FCF">
    <w:pPr>
      <w:pStyle w:val="Header"/>
      <w:tabs>
        <w:tab w:val="clear" w:pos="4320"/>
        <w:tab w:val="clear" w:pos="8640"/>
      </w:tabs>
      <w:jc w:val="center"/>
      <w:rPr>
        <w:sz w:val="22"/>
        <w:szCs w:val="22"/>
      </w:rPr>
    </w:pPr>
    <w:r>
      <w:rPr>
        <w:noProof/>
        <w:sz w:val="22"/>
        <w:szCs w:val="22"/>
      </w:rPr>
      <w:drawing>
        <wp:inline distT="0" distB="0" distL="0" distR="0" wp14:anchorId="598993FA" wp14:editId="0DFED57C">
          <wp:extent cx="1972237" cy="104775"/>
          <wp:effectExtent l="0" t="0" r="9525" b="0"/>
          <wp:docPr id="18" name="Picture 18"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8129E0" w:rsidRPr="00EC7D62" w:rsidRDefault="00A5581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70" w:rsidRDefault="00F337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FF9815AE"/>
    <w:lvl w:ilvl="0" w:tplc="13C4CB3C">
      <w:start w:val="1"/>
      <w:numFmt w:val="decimal"/>
      <w:lvlText w:val="%1."/>
      <w:lvlJc w:val="left"/>
      <w:pPr>
        <w:tabs>
          <w:tab w:val="num" w:pos="720"/>
        </w:tabs>
        <w:ind w:left="0" w:firstLine="720"/>
      </w:pPr>
      <w:rPr>
        <w:rFonts w:asciiTheme="majorHAnsi" w:eastAsia="Arial Unicode MS" w:hAnsiTheme="majorHAnsi" w:cs="Times New Roman"/>
        <w:color w:val="auto"/>
        <w:sz w:val="20"/>
        <w:szCs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835852"/>
    <w:multiLevelType w:val="hybridMultilevel"/>
    <w:tmpl w:val="2314F7CC"/>
    <w:lvl w:ilvl="0" w:tplc="DFEA8EDC">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ACF3C7B"/>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7250B28"/>
    <w:multiLevelType w:val="hybridMultilevel"/>
    <w:tmpl w:val="08F05E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8435D2C"/>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9753298"/>
    <w:multiLevelType w:val="multilevel"/>
    <w:tmpl w:val="19F639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5ABC18D2"/>
    <w:multiLevelType w:val="hybridMultilevel"/>
    <w:tmpl w:val="4336DD54"/>
    <w:lvl w:ilvl="0" w:tplc="01FC7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5DB24B20"/>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0"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61" w15:restartNumberingAfterBreak="0">
    <w:nsid w:val="6BD802B1"/>
    <w:multiLevelType w:val="hybridMultilevel"/>
    <w:tmpl w:val="AD7AC48C"/>
    <w:lvl w:ilvl="0" w:tplc="DB9EB4EE">
      <w:start w:val="1"/>
      <w:numFmt w:val="decimal"/>
      <w:lvlText w:val="%1."/>
      <w:lvlJc w:val="left"/>
      <w:pPr>
        <w:tabs>
          <w:tab w:val="num" w:pos="720"/>
        </w:tabs>
        <w:ind w:left="0" w:firstLine="720"/>
      </w:pPr>
      <w:rPr>
        <w:rFonts w:hint="default"/>
        <w:b w:val="0"/>
        <w:sz w:val="22"/>
        <w:szCs w:val="22"/>
      </w:rPr>
    </w:lvl>
    <w:lvl w:ilvl="1" w:tplc="863070FC">
      <w:start w:val="3"/>
      <w:numFmt w:val="upperRoman"/>
      <w:lvlText w:val="%2."/>
      <w:lvlJc w:val="left"/>
      <w:pPr>
        <w:tabs>
          <w:tab w:val="num" w:pos="2160"/>
        </w:tabs>
        <w:ind w:left="2160" w:hanging="720"/>
      </w:pPr>
      <w:rPr>
        <w:rFonts w:hint="default"/>
      </w:rPr>
    </w:lvl>
    <w:lvl w:ilvl="2" w:tplc="3B048638">
      <w:start w:val="1"/>
      <w:numFmt w:val="upperLetter"/>
      <w:lvlText w:val="%3."/>
      <w:lvlJc w:val="left"/>
      <w:pPr>
        <w:tabs>
          <w:tab w:val="num" w:pos="3780"/>
        </w:tabs>
        <w:ind w:left="3780" w:hanging="144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63" w15:restartNumberingAfterBreak="0">
    <w:nsid w:val="6E5E6B07"/>
    <w:multiLevelType w:val="hybridMultilevel"/>
    <w:tmpl w:val="9146D076"/>
    <w:lvl w:ilvl="0" w:tplc="87DECC8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7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4"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7"/>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4"/>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9"/>
  </w:num>
  <w:num w:numId="8">
    <w:abstractNumId w:val="25"/>
  </w:num>
  <w:num w:numId="9">
    <w:abstractNumId w:val="58"/>
  </w:num>
  <w:num w:numId="10">
    <w:abstractNumId w:val="18"/>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67"/>
  </w:num>
  <w:num w:numId="13">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1"/>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4"/>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6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10"/>
  </w:num>
  <w:num w:numId="21">
    <w:abstractNumId w:val="4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3"/>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5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7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7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1"/>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7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7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6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4"/>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7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8"/>
  </w:num>
  <w:num w:numId="53">
    <w:abstractNumId w:val="0"/>
  </w:num>
  <w:num w:numId="54">
    <w:abstractNumId w:val="43"/>
  </w:num>
  <w:num w:numId="55">
    <w:abstractNumId w:val="44"/>
  </w:num>
  <w:num w:numId="56">
    <w:abstractNumId w:val="52"/>
  </w:num>
  <w:num w:numId="57">
    <w:abstractNumId w:val="1"/>
  </w:num>
  <w:num w:numId="58">
    <w:abstractNumId w:val="2"/>
  </w:num>
  <w:num w:numId="59">
    <w:abstractNumId w:val="11"/>
  </w:num>
  <w:num w:numId="60">
    <w:abstractNumId w:val="12"/>
  </w:num>
  <w:num w:numId="61">
    <w:abstractNumId w:val="13"/>
  </w:num>
  <w:num w:numId="62">
    <w:abstractNumId w:val="14"/>
  </w:num>
  <w:num w:numId="63">
    <w:abstractNumId w:val="15"/>
  </w:num>
  <w:num w:numId="64">
    <w:abstractNumId w:val="17"/>
  </w:num>
  <w:num w:numId="65">
    <w:abstractNumId w:val="18"/>
  </w:num>
  <w:num w:numId="66">
    <w:abstractNumId w:val="19"/>
  </w:num>
  <w:num w:numId="67">
    <w:abstractNumId w:val="20"/>
  </w:num>
  <w:num w:numId="68">
    <w:abstractNumId w:val="22"/>
  </w:num>
  <w:num w:numId="69">
    <w:abstractNumId w:val="23"/>
  </w:num>
  <w:num w:numId="70">
    <w:abstractNumId w:val="26"/>
  </w:num>
  <w:num w:numId="71">
    <w:abstractNumId w:val="27"/>
  </w:num>
  <w:num w:numId="72">
    <w:abstractNumId w:val="28"/>
  </w:num>
  <w:num w:numId="73">
    <w:abstractNumId w:val="30"/>
  </w:num>
  <w:num w:numId="74">
    <w:abstractNumId w:val="32"/>
  </w:num>
  <w:num w:numId="75">
    <w:abstractNumId w:val="34"/>
  </w:num>
  <w:num w:numId="76">
    <w:abstractNumId w:val="35"/>
  </w:num>
  <w:num w:numId="77">
    <w:abstractNumId w:val="36"/>
  </w:num>
  <w:num w:numId="78">
    <w:abstractNumId w:val="37"/>
  </w:num>
  <w:num w:numId="79">
    <w:abstractNumId w:val="38"/>
  </w:num>
  <w:num w:numId="80">
    <w:abstractNumId w:val="40"/>
  </w:num>
  <w:num w:numId="81">
    <w:abstractNumId w:val="41"/>
  </w:num>
  <w:num w:numId="82">
    <w:abstractNumId w:val="45"/>
  </w:num>
  <w:num w:numId="83">
    <w:abstractNumId w:val="46"/>
  </w:num>
  <w:num w:numId="84">
    <w:abstractNumId w:val="56"/>
  </w:num>
  <w:num w:numId="85">
    <w:abstractNumId w:val="59"/>
  </w:num>
  <w:num w:numId="86">
    <w:abstractNumId w:val="64"/>
  </w:num>
  <w:num w:numId="87">
    <w:abstractNumId w:val="66"/>
  </w:num>
  <w:num w:numId="88">
    <w:abstractNumId w:val="68"/>
  </w:num>
  <w:num w:numId="89">
    <w:abstractNumId w:val="70"/>
  </w:num>
  <w:num w:numId="90">
    <w:abstractNumId w:val="71"/>
  </w:num>
  <w:num w:numId="91">
    <w:abstractNumId w:val="72"/>
  </w:num>
  <w:num w:numId="92">
    <w:abstractNumId w:val="73"/>
  </w:num>
  <w:num w:numId="93">
    <w:abstractNumId w:val="75"/>
  </w:num>
  <w:num w:numId="94">
    <w:abstractNumId w:val="24"/>
  </w:num>
  <w:num w:numId="95">
    <w:abstractNumId w:val="47"/>
  </w:num>
  <w:num w:numId="96">
    <w:abstractNumId w:val="65"/>
  </w:num>
  <w:num w:numId="97">
    <w:abstractNumId w:val="60"/>
  </w:num>
  <w:num w:numId="98">
    <w:abstractNumId w:val="54"/>
  </w:num>
  <w:num w:numId="99">
    <w:abstractNumId w:val="42"/>
  </w:num>
  <w:num w:numId="100">
    <w:abstractNumId w:val="3"/>
  </w:num>
  <w:num w:numId="101">
    <w:abstractNumId w:val="29"/>
  </w:num>
  <w:num w:numId="102">
    <w:abstractNumId w:val="57"/>
  </w:num>
  <w:num w:numId="103">
    <w:abstractNumId w:val="6"/>
  </w:num>
  <w:num w:numId="104">
    <w:abstractNumId w:val="74"/>
  </w:num>
  <w:num w:numId="105">
    <w:abstractNumId w:val="62"/>
  </w:num>
  <w:num w:numId="106">
    <w:abstractNumId w:val="4"/>
  </w:num>
  <w:num w:numId="107">
    <w:abstractNumId w:val="33"/>
  </w:num>
  <w:num w:numId="108">
    <w:abstractNumId w:val="16"/>
  </w:num>
  <w:num w:numId="109">
    <w:abstractNumId w:val="49"/>
  </w:num>
  <w:num w:numId="110">
    <w:abstractNumId w:val="9"/>
  </w:num>
  <w:num w:numId="111">
    <w:abstractNumId w:val="55"/>
  </w:num>
  <w:num w:numId="112">
    <w:abstractNumId w:val="50"/>
  </w:num>
  <w:num w:numId="113">
    <w:abstractNumId w:val="61"/>
  </w:num>
  <w:num w:numId="114">
    <w:abstractNumId w:val="53"/>
  </w:num>
  <w:num w:numId="115">
    <w:abstractNumId w:val="63"/>
  </w:num>
  <w:num w:numId="116">
    <w:abstractNumId w:val="51"/>
  </w:num>
  <w:num w:numId="117">
    <w:abstractNumId w:val="7"/>
  </w:num>
  <w:num w:numId="118">
    <w:abstractNumId w:val="3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3EEFFD1-ACC3-4076-BF08-C2E1E10F223C}"/>
    <w:docVar w:name="dgnword-eventsink" w:val="537377592"/>
  </w:docVars>
  <w:rsids>
    <w:rsidRoot w:val="006B2D5C"/>
    <w:rsid w:val="0000036F"/>
    <w:rsid w:val="00000CDA"/>
    <w:rsid w:val="0000532E"/>
    <w:rsid w:val="00006535"/>
    <w:rsid w:val="00006E1F"/>
    <w:rsid w:val="000070D7"/>
    <w:rsid w:val="00007661"/>
    <w:rsid w:val="00007ED1"/>
    <w:rsid w:val="0001106E"/>
    <w:rsid w:val="00013314"/>
    <w:rsid w:val="0001788C"/>
    <w:rsid w:val="00022EAF"/>
    <w:rsid w:val="0003259F"/>
    <w:rsid w:val="000337EF"/>
    <w:rsid w:val="00040C3A"/>
    <w:rsid w:val="000419AD"/>
    <w:rsid w:val="0004409D"/>
    <w:rsid w:val="000446BF"/>
    <w:rsid w:val="00052A7A"/>
    <w:rsid w:val="000666BF"/>
    <w:rsid w:val="000716C5"/>
    <w:rsid w:val="000750B1"/>
    <w:rsid w:val="00075E23"/>
    <w:rsid w:val="000776AF"/>
    <w:rsid w:val="000776DE"/>
    <w:rsid w:val="000818F4"/>
    <w:rsid w:val="000824C9"/>
    <w:rsid w:val="00084B87"/>
    <w:rsid w:val="000851F4"/>
    <w:rsid w:val="0009344A"/>
    <w:rsid w:val="0009369E"/>
    <w:rsid w:val="000A392E"/>
    <w:rsid w:val="000A575F"/>
    <w:rsid w:val="000B1E15"/>
    <w:rsid w:val="000C505C"/>
    <w:rsid w:val="000C716F"/>
    <w:rsid w:val="000D10DB"/>
    <w:rsid w:val="000E2BB2"/>
    <w:rsid w:val="000E5EB5"/>
    <w:rsid w:val="000E64BB"/>
    <w:rsid w:val="000E6932"/>
    <w:rsid w:val="000F35ED"/>
    <w:rsid w:val="000F5A94"/>
    <w:rsid w:val="00107131"/>
    <w:rsid w:val="0010736F"/>
    <w:rsid w:val="00111E14"/>
    <w:rsid w:val="00113F73"/>
    <w:rsid w:val="00115348"/>
    <w:rsid w:val="00121CC2"/>
    <w:rsid w:val="001229FB"/>
    <w:rsid w:val="00130645"/>
    <w:rsid w:val="00132621"/>
    <w:rsid w:val="00133EE5"/>
    <w:rsid w:val="00134FA6"/>
    <w:rsid w:val="0013516A"/>
    <w:rsid w:val="00136720"/>
    <w:rsid w:val="0014118A"/>
    <w:rsid w:val="00141CDB"/>
    <w:rsid w:val="001421A5"/>
    <w:rsid w:val="00151509"/>
    <w:rsid w:val="001560E9"/>
    <w:rsid w:val="00160F67"/>
    <w:rsid w:val="00167A34"/>
    <w:rsid w:val="001708B4"/>
    <w:rsid w:val="001711AD"/>
    <w:rsid w:val="00176D03"/>
    <w:rsid w:val="001776F8"/>
    <w:rsid w:val="001941D4"/>
    <w:rsid w:val="00196CD0"/>
    <w:rsid w:val="001A29E8"/>
    <w:rsid w:val="001A7870"/>
    <w:rsid w:val="001B3A00"/>
    <w:rsid w:val="001B3EC8"/>
    <w:rsid w:val="001C1B41"/>
    <w:rsid w:val="001C2E5E"/>
    <w:rsid w:val="001C5F99"/>
    <w:rsid w:val="001D65EF"/>
    <w:rsid w:val="001E14D8"/>
    <w:rsid w:val="001E1653"/>
    <w:rsid w:val="001E49E7"/>
    <w:rsid w:val="001E7722"/>
    <w:rsid w:val="001F211A"/>
    <w:rsid w:val="001F7201"/>
    <w:rsid w:val="001F746F"/>
    <w:rsid w:val="00202CED"/>
    <w:rsid w:val="002059D1"/>
    <w:rsid w:val="00220251"/>
    <w:rsid w:val="00223A29"/>
    <w:rsid w:val="002247B5"/>
    <w:rsid w:val="002250A3"/>
    <w:rsid w:val="00235217"/>
    <w:rsid w:val="0023609F"/>
    <w:rsid w:val="00246D1F"/>
    <w:rsid w:val="00247403"/>
    <w:rsid w:val="00247542"/>
    <w:rsid w:val="00252F56"/>
    <w:rsid w:val="0025365C"/>
    <w:rsid w:val="0025751E"/>
    <w:rsid w:val="0026495A"/>
    <w:rsid w:val="00265E1D"/>
    <w:rsid w:val="00266B61"/>
    <w:rsid w:val="0026712A"/>
    <w:rsid w:val="002704DB"/>
    <w:rsid w:val="0027112F"/>
    <w:rsid w:val="0027323E"/>
    <w:rsid w:val="0027776D"/>
    <w:rsid w:val="00282068"/>
    <w:rsid w:val="0028392D"/>
    <w:rsid w:val="00286D31"/>
    <w:rsid w:val="00294AAA"/>
    <w:rsid w:val="002A0AAE"/>
    <w:rsid w:val="002A5820"/>
    <w:rsid w:val="002B1660"/>
    <w:rsid w:val="002C4338"/>
    <w:rsid w:val="002D05BB"/>
    <w:rsid w:val="002D2B26"/>
    <w:rsid w:val="002D4704"/>
    <w:rsid w:val="002D7B02"/>
    <w:rsid w:val="002D7EA2"/>
    <w:rsid w:val="002E187C"/>
    <w:rsid w:val="002E1D3B"/>
    <w:rsid w:val="002E5303"/>
    <w:rsid w:val="002F114C"/>
    <w:rsid w:val="002F4AC0"/>
    <w:rsid w:val="002F7790"/>
    <w:rsid w:val="00302733"/>
    <w:rsid w:val="003067CD"/>
    <w:rsid w:val="00311524"/>
    <w:rsid w:val="00314078"/>
    <w:rsid w:val="00314B4E"/>
    <w:rsid w:val="0031535D"/>
    <w:rsid w:val="0032122E"/>
    <w:rsid w:val="003239B8"/>
    <w:rsid w:val="003255F2"/>
    <w:rsid w:val="003265A4"/>
    <w:rsid w:val="00327261"/>
    <w:rsid w:val="00330030"/>
    <w:rsid w:val="0033169F"/>
    <w:rsid w:val="003358F7"/>
    <w:rsid w:val="00344977"/>
    <w:rsid w:val="00346514"/>
    <w:rsid w:val="00346C95"/>
    <w:rsid w:val="00354016"/>
    <w:rsid w:val="00354CC6"/>
    <w:rsid w:val="00356185"/>
    <w:rsid w:val="003568D7"/>
    <w:rsid w:val="00360380"/>
    <w:rsid w:val="003612D9"/>
    <w:rsid w:val="0036396A"/>
    <w:rsid w:val="0036498B"/>
    <w:rsid w:val="00366745"/>
    <w:rsid w:val="00366C8B"/>
    <w:rsid w:val="00367939"/>
    <w:rsid w:val="00370793"/>
    <w:rsid w:val="0037105B"/>
    <w:rsid w:val="00374440"/>
    <w:rsid w:val="0037519E"/>
    <w:rsid w:val="00375F7C"/>
    <w:rsid w:val="003761B8"/>
    <w:rsid w:val="0038049B"/>
    <w:rsid w:val="0038276C"/>
    <w:rsid w:val="00383A47"/>
    <w:rsid w:val="00384AC4"/>
    <w:rsid w:val="00386CF0"/>
    <w:rsid w:val="0039345D"/>
    <w:rsid w:val="00393BB9"/>
    <w:rsid w:val="00396D70"/>
    <w:rsid w:val="003A2BA7"/>
    <w:rsid w:val="003B2F3B"/>
    <w:rsid w:val="003B70FB"/>
    <w:rsid w:val="003B7B91"/>
    <w:rsid w:val="003B7C54"/>
    <w:rsid w:val="003C05EB"/>
    <w:rsid w:val="003C560B"/>
    <w:rsid w:val="003C676B"/>
    <w:rsid w:val="003D3BC2"/>
    <w:rsid w:val="003E1DEE"/>
    <w:rsid w:val="003E2660"/>
    <w:rsid w:val="003E4785"/>
    <w:rsid w:val="003E6CA1"/>
    <w:rsid w:val="003E6E37"/>
    <w:rsid w:val="003F1A8B"/>
    <w:rsid w:val="003F2AAC"/>
    <w:rsid w:val="003F3474"/>
    <w:rsid w:val="003F4C27"/>
    <w:rsid w:val="00407AC4"/>
    <w:rsid w:val="00407C45"/>
    <w:rsid w:val="00410378"/>
    <w:rsid w:val="00412FD6"/>
    <w:rsid w:val="00415755"/>
    <w:rsid w:val="0041611F"/>
    <w:rsid w:val="004165C2"/>
    <w:rsid w:val="00421329"/>
    <w:rsid w:val="00424532"/>
    <w:rsid w:val="00427DDB"/>
    <w:rsid w:val="004308BC"/>
    <w:rsid w:val="00431148"/>
    <w:rsid w:val="00441ECB"/>
    <w:rsid w:val="0044310F"/>
    <w:rsid w:val="00445193"/>
    <w:rsid w:val="00446473"/>
    <w:rsid w:val="004466D0"/>
    <w:rsid w:val="00446D0C"/>
    <w:rsid w:val="004530D5"/>
    <w:rsid w:val="00453BF1"/>
    <w:rsid w:val="00456483"/>
    <w:rsid w:val="00457D04"/>
    <w:rsid w:val="00462C1B"/>
    <w:rsid w:val="00464CEB"/>
    <w:rsid w:val="0046641E"/>
    <w:rsid w:val="004674B4"/>
    <w:rsid w:val="00467B7E"/>
    <w:rsid w:val="00471A1E"/>
    <w:rsid w:val="00473BB4"/>
    <w:rsid w:val="00477592"/>
    <w:rsid w:val="0048108C"/>
    <w:rsid w:val="00486F1C"/>
    <w:rsid w:val="00490B6E"/>
    <w:rsid w:val="0049245F"/>
    <w:rsid w:val="00492C2B"/>
    <w:rsid w:val="0049419D"/>
    <w:rsid w:val="00496324"/>
    <w:rsid w:val="004A3076"/>
    <w:rsid w:val="004A69C9"/>
    <w:rsid w:val="004C1F74"/>
    <w:rsid w:val="004C20D2"/>
    <w:rsid w:val="004C2312"/>
    <w:rsid w:val="004C4B62"/>
    <w:rsid w:val="004C54C9"/>
    <w:rsid w:val="004D369E"/>
    <w:rsid w:val="004D4ABA"/>
    <w:rsid w:val="004D6025"/>
    <w:rsid w:val="004E2649"/>
    <w:rsid w:val="004E2B36"/>
    <w:rsid w:val="004E36F3"/>
    <w:rsid w:val="004E44F4"/>
    <w:rsid w:val="004E55FC"/>
    <w:rsid w:val="004E5FD4"/>
    <w:rsid w:val="004F647B"/>
    <w:rsid w:val="004F6D08"/>
    <w:rsid w:val="00501399"/>
    <w:rsid w:val="00504870"/>
    <w:rsid w:val="0050633D"/>
    <w:rsid w:val="00507BC4"/>
    <w:rsid w:val="00511ECD"/>
    <w:rsid w:val="005128E4"/>
    <w:rsid w:val="005133AB"/>
    <w:rsid w:val="005133DB"/>
    <w:rsid w:val="00515EA5"/>
    <w:rsid w:val="005245D0"/>
    <w:rsid w:val="00525560"/>
    <w:rsid w:val="00536121"/>
    <w:rsid w:val="00544C49"/>
    <w:rsid w:val="005516A1"/>
    <w:rsid w:val="00552886"/>
    <w:rsid w:val="0055355E"/>
    <w:rsid w:val="00553E44"/>
    <w:rsid w:val="00556550"/>
    <w:rsid w:val="00560412"/>
    <w:rsid w:val="00563557"/>
    <w:rsid w:val="00564738"/>
    <w:rsid w:val="005657D0"/>
    <w:rsid w:val="00571258"/>
    <w:rsid w:val="0057213C"/>
    <w:rsid w:val="005725D2"/>
    <w:rsid w:val="0057402A"/>
    <w:rsid w:val="005771D0"/>
    <w:rsid w:val="005773BD"/>
    <w:rsid w:val="00581329"/>
    <w:rsid w:val="00583D5E"/>
    <w:rsid w:val="00584BE8"/>
    <w:rsid w:val="0059191A"/>
    <w:rsid w:val="005921FF"/>
    <w:rsid w:val="0059456F"/>
    <w:rsid w:val="005A12A4"/>
    <w:rsid w:val="005A24ED"/>
    <w:rsid w:val="005A3886"/>
    <w:rsid w:val="005A6D0E"/>
    <w:rsid w:val="005A70E1"/>
    <w:rsid w:val="005B3193"/>
    <w:rsid w:val="005B3A39"/>
    <w:rsid w:val="005B52B0"/>
    <w:rsid w:val="005B6806"/>
    <w:rsid w:val="005C1789"/>
    <w:rsid w:val="005C19F2"/>
    <w:rsid w:val="005C2CBD"/>
    <w:rsid w:val="005C4225"/>
    <w:rsid w:val="005C5488"/>
    <w:rsid w:val="005C5DDC"/>
    <w:rsid w:val="005D3753"/>
    <w:rsid w:val="005D37A9"/>
    <w:rsid w:val="005D57D5"/>
    <w:rsid w:val="005E1FF3"/>
    <w:rsid w:val="005E3723"/>
    <w:rsid w:val="005E3A10"/>
    <w:rsid w:val="005F0273"/>
    <w:rsid w:val="005F0DAD"/>
    <w:rsid w:val="005F0F33"/>
    <w:rsid w:val="005F162B"/>
    <w:rsid w:val="005F5B6D"/>
    <w:rsid w:val="005F6122"/>
    <w:rsid w:val="00600DEB"/>
    <w:rsid w:val="00602EFC"/>
    <w:rsid w:val="00604D7C"/>
    <w:rsid w:val="006134B8"/>
    <w:rsid w:val="00625DC1"/>
    <w:rsid w:val="00627C9F"/>
    <w:rsid w:val="006311E9"/>
    <w:rsid w:val="00632354"/>
    <w:rsid w:val="00633861"/>
    <w:rsid w:val="00634DC3"/>
    <w:rsid w:val="00640CAF"/>
    <w:rsid w:val="0064135B"/>
    <w:rsid w:val="0064162B"/>
    <w:rsid w:val="00642810"/>
    <w:rsid w:val="00642BEF"/>
    <w:rsid w:val="00651748"/>
    <w:rsid w:val="00651DA2"/>
    <w:rsid w:val="00652333"/>
    <w:rsid w:val="006526B7"/>
    <w:rsid w:val="00653ADC"/>
    <w:rsid w:val="00653BB8"/>
    <w:rsid w:val="00660A8C"/>
    <w:rsid w:val="00664031"/>
    <w:rsid w:val="0068009E"/>
    <w:rsid w:val="006817CC"/>
    <w:rsid w:val="00686FFD"/>
    <w:rsid w:val="00692219"/>
    <w:rsid w:val="006938C2"/>
    <w:rsid w:val="0069763F"/>
    <w:rsid w:val="006A0712"/>
    <w:rsid w:val="006A0F21"/>
    <w:rsid w:val="006A17D2"/>
    <w:rsid w:val="006A73E6"/>
    <w:rsid w:val="006B02EC"/>
    <w:rsid w:val="006B2D5C"/>
    <w:rsid w:val="006B4FC3"/>
    <w:rsid w:val="006C4EB1"/>
    <w:rsid w:val="006C585E"/>
    <w:rsid w:val="006C5FB7"/>
    <w:rsid w:val="006D07DE"/>
    <w:rsid w:val="006D2135"/>
    <w:rsid w:val="006D3C17"/>
    <w:rsid w:val="006D6250"/>
    <w:rsid w:val="006D6B88"/>
    <w:rsid w:val="006E0166"/>
    <w:rsid w:val="006E7B34"/>
    <w:rsid w:val="006F64AC"/>
    <w:rsid w:val="007010A8"/>
    <w:rsid w:val="00703EC1"/>
    <w:rsid w:val="0070697F"/>
    <w:rsid w:val="0071149C"/>
    <w:rsid w:val="00711A28"/>
    <w:rsid w:val="00715592"/>
    <w:rsid w:val="0072199C"/>
    <w:rsid w:val="00722C9F"/>
    <w:rsid w:val="0072448C"/>
    <w:rsid w:val="007253B8"/>
    <w:rsid w:val="00726FE2"/>
    <w:rsid w:val="007315C4"/>
    <w:rsid w:val="007326BD"/>
    <w:rsid w:val="007346A8"/>
    <w:rsid w:val="00735906"/>
    <w:rsid w:val="0073741F"/>
    <w:rsid w:val="00737910"/>
    <w:rsid w:val="00737BCB"/>
    <w:rsid w:val="00737FC0"/>
    <w:rsid w:val="0074397A"/>
    <w:rsid w:val="00743D66"/>
    <w:rsid w:val="00744F0C"/>
    <w:rsid w:val="0074668B"/>
    <w:rsid w:val="007503BC"/>
    <w:rsid w:val="0075087C"/>
    <w:rsid w:val="00760359"/>
    <w:rsid w:val="007646D7"/>
    <w:rsid w:val="00764BF0"/>
    <w:rsid w:val="00766404"/>
    <w:rsid w:val="0076643F"/>
    <w:rsid w:val="00770564"/>
    <w:rsid w:val="00770BBB"/>
    <w:rsid w:val="00771FB8"/>
    <w:rsid w:val="00772531"/>
    <w:rsid w:val="00774435"/>
    <w:rsid w:val="007766BD"/>
    <w:rsid w:val="00777F63"/>
    <w:rsid w:val="00781852"/>
    <w:rsid w:val="00784473"/>
    <w:rsid w:val="00786016"/>
    <w:rsid w:val="0079088A"/>
    <w:rsid w:val="007921FC"/>
    <w:rsid w:val="007A12C2"/>
    <w:rsid w:val="007A1EC1"/>
    <w:rsid w:val="007A43E4"/>
    <w:rsid w:val="007A446E"/>
    <w:rsid w:val="007A5817"/>
    <w:rsid w:val="007A6630"/>
    <w:rsid w:val="007B05C4"/>
    <w:rsid w:val="007B60E9"/>
    <w:rsid w:val="007B6CC3"/>
    <w:rsid w:val="007C3334"/>
    <w:rsid w:val="007C4102"/>
    <w:rsid w:val="007C4876"/>
    <w:rsid w:val="007C5E14"/>
    <w:rsid w:val="007D2B98"/>
    <w:rsid w:val="007D3C89"/>
    <w:rsid w:val="007E21BC"/>
    <w:rsid w:val="007E568D"/>
    <w:rsid w:val="008002C5"/>
    <w:rsid w:val="00803F1C"/>
    <w:rsid w:val="00805909"/>
    <w:rsid w:val="00805E5D"/>
    <w:rsid w:val="0080600E"/>
    <w:rsid w:val="008065FD"/>
    <w:rsid w:val="00811508"/>
    <w:rsid w:val="008129E0"/>
    <w:rsid w:val="008168EF"/>
    <w:rsid w:val="00817612"/>
    <w:rsid w:val="00830D9C"/>
    <w:rsid w:val="008338A4"/>
    <w:rsid w:val="00837A44"/>
    <w:rsid w:val="00837C45"/>
    <w:rsid w:val="00840683"/>
    <w:rsid w:val="00844730"/>
    <w:rsid w:val="008457C2"/>
    <w:rsid w:val="00845A5F"/>
    <w:rsid w:val="00853968"/>
    <w:rsid w:val="00857A82"/>
    <w:rsid w:val="0086098E"/>
    <w:rsid w:val="00873836"/>
    <w:rsid w:val="00880AB8"/>
    <w:rsid w:val="008851F4"/>
    <w:rsid w:val="0088571E"/>
    <w:rsid w:val="00885737"/>
    <w:rsid w:val="00890650"/>
    <w:rsid w:val="00893E27"/>
    <w:rsid w:val="00894A26"/>
    <w:rsid w:val="00897E12"/>
    <w:rsid w:val="008A1761"/>
    <w:rsid w:val="008A486A"/>
    <w:rsid w:val="008A7E0F"/>
    <w:rsid w:val="008B12F5"/>
    <w:rsid w:val="008B6E4B"/>
    <w:rsid w:val="008C630E"/>
    <w:rsid w:val="008D6200"/>
    <w:rsid w:val="008D768D"/>
    <w:rsid w:val="008D7CF0"/>
    <w:rsid w:val="008E3759"/>
    <w:rsid w:val="008E3BFE"/>
    <w:rsid w:val="008E3E6F"/>
    <w:rsid w:val="008F0CB8"/>
    <w:rsid w:val="008F0D12"/>
    <w:rsid w:val="008F1912"/>
    <w:rsid w:val="008F6A1E"/>
    <w:rsid w:val="009021E5"/>
    <w:rsid w:val="0090270B"/>
    <w:rsid w:val="009041DC"/>
    <w:rsid w:val="00904E9D"/>
    <w:rsid w:val="00907687"/>
    <w:rsid w:val="009165A3"/>
    <w:rsid w:val="00917B5A"/>
    <w:rsid w:val="00920A58"/>
    <w:rsid w:val="00920A8C"/>
    <w:rsid w:val="0092757C"/>
    <w:rsid w:val="009327DD"/>
    <w:rsid w:val="0093455D"/>
    <w:rsid w:val="00934A2C"/>
    <w:rsid w:val="009448EE"/>
    <w:rsid w:val="00946816"/>
    <w:rsid w:val="0094763B"/>
    <w:rsid w:val="009520FE"/>
    <w:rsid w:val="00954055"/>
    <w:rsid w:val="00960EE3"/>
    <w:rsid w:val="0096706E"/>
    <w:rsid w:val="00972020"/>
    <w:rsid w:val="00974491"/>
    <w:rsid w:val="00974767"/>
    <w:rsid w:val="00975C4E"/>
    <w:rsid w:val="00976223"/>
    <w:rsid w:val="009764BA"/>
    <w:rsid w:val="00976AA8"/>
    <w:rsid w:val="00980289"/>
    <w:rsid w:val="00981FBA"/>
    <w:rsid w:val="00982916"/>
    <w:rsid w:val="0098411D"/>
    <w:rsid w:val="009864C0"/>
    <w:rsid w:val="00991D49"/>
    <w:rsid w:val="00994481"/>
    <w:rsid w:val="0099550A"/>
    <w:rsid w:val="00997BC5"/>
    <w:rsid w:val="009A4F41"/>
    <w:rsid w:val="009A74ED"/>
    <w:rsid w:val="009B381B"/>
    <w:rsid w:val="009B5B35"/>
    <w:rsid w:val="009C189D"/>
    <w:rsid w:val="009D1078"/>
    <w:rsid w:val="009D1753"/>
    <w:rsid w:val="009D3E4B"/>
    <w:rsid w:val="009D3F35"/>
    <w:rsid w:val="009D7261"/>
    <w:rsid w:val="009D7611"/>
    <w:rsid w:val="009E0B61"/>
    <w:rsid w:val="009E30C3"/>
    <w:rsid w:val="009E53DE"/>
    <w:rsid w:val="009E7095"/>
    <w:rsid w:val="009F3274"/>
    <w:rsid w:val="009F3922"/>
    <w:rsid w:val="00A02109"/>
    <w:rsid w:val="00A02FB0"/>
    <w:rsid w:val="00A07C45"/>
    <w:rsid w:val="00A107EB"/>
    <w:rsid w:val="00A11E44"/>
    <w:rsid w:val="00A227F6"/>
    <w:rsid w:val="00A24A8C"/>
    <w:rsid w:val="00A267AF"/>
    <w:rsid w:val="00A2763C"/>
    <w:rsid w:val="00A328B3"/>
    <w:rsid w:val="00A331CE"/>
    <w:rsid w:val="00A37DB2"/>
    <w:rsid w:val="00A400B4"/>
    <w:rsid w:val="00A43428"/>
    <w:rsid w:val="00A50FCF"/>
    <w:rsid w:val="00A51693"/>
    <w:rsid w:val="00A51CAC"/>
    <w:rsid w:val="00A528D1"/>
    <w:rsid w:val="00A54D24"/>
    <w:rsid w:val="00A55819"/>
    <w:rsid w:val="00A5714F"/>
    <w:rsid w:val="00A57D9C"/>
    <w:rsid w:val="00A6079D"/>
    <w:rsid w:val="00A610CD"/>
    <w:rsid w:val="00A620E1"/>
    <w:rsid w:val="00A62826"/>
    <w:rsid w:val="00A64BEB"/>
    <w:rsid w:val="00A70E8B"/>
    <w:rsid w:val="00A74F5B"/>
    <w:rsid w:val="00A758AA"/>
    <w:rsid w:val="00A76127"/>
    <w:rsid w:val="00A819D6"/>
    <w:rsid w:val="00A836E5"/>
    <w:rsid w:val="00A83EA5"/>
    <w:rsid w:val="00A861F7"/>
    <w:rsid w:val="00AA09A2"/>
    <w:rsid w:val="00AA3787"/>
    <w:rsid w:val="00AA7996"/>
    <w:rsid w:val="00AB1938"/>
    <w:rsid w:val="00AB24CC"/>
    <w:rsid w:val="00AB5401"/>
    <w:rsid w:val="00AC19CB"/>
    <w:rsid w:val="00AC5C32"/>
    <w:rsid w:val="00AC62AC"/>
    <w:rsid w:val="00AD17EE"/>
    <w:rsid w:val="00AD20E1"/>
    <w:rsid w:val="00AD34C9"/>
    <w:rsid w:val="00AD7CA1"/>
    <w:rsid w:val="00AE0888"/>
    <w:rsid w:val="00AE281C"/>
    <w:rsid w:val="00AE2FEE"/>
    <w:rsid w:val="00AE3C3A"/>
    <w:rsid w:val="00AE5488"/>
    <w:rsid w:val="00AE6F91"/>
    <w:rsid w:val="00AF3F7C"/>
    <w:rsid w:val="00AF5571"/>
    <w:rsid w:val="00B03058"/>
    <w:rsid w:val="00B05D47"/>
    <w:rsid w:val="00B07341"/>
    <w:rsid w:val="00B17606"/>
    <w:rsid w:val="00B210A5"/>
    <w:rsid w:val="00B30539"/>
    <w:rsid w:val="00B314DB"/>
    <w:rsid w:val="00B31F19"/>
    <w:rsid w:val="00B34404"/>
    <w:rsid w:val="00B361F2"/>
    <w:rsid w:val="00B36EC4"/>
    <w:rsid w:val="00B3718B"/>
    <w:rsid w:val="00B4100F"/>
    <w:rsid w:val="00B417A0"/>
    <w:rsid w:val="00B42F1A"/>
    <w:rsid w:val="00B4384F"/>
    <w:rsid w:val="00B4632A"/>
    <w:rsid w:val="00B50087"/>
    <w:rsid w:val="00B51FCB"/>
    <w:rsid w:val="00B530F1"/>
    <w:rsid w:val="00B5485A"/>
    <w:rsid w:val="00B56FBE"/>
    <w:rsid w:val="00B6112C"/>
    <w:rsid w:val="00B62AD6"/>
    <w:rsid w:val="00B65D0C"/>
    <w:rsid w:val="00B66691"/>
    <w:rsid w:val="00B73C2F"/>
    <w:rsid w:val="00B77860"/>
    <w:rsid w:val="00B80CB4"/>
    <w:rsid w:val="00B85192"/>
    <w:rsid w:val="00B85ABA"/>
    <w:rsid w:val="00B91DDE"/>
    <w:rsid w:val="00BA276C"/>
    <w:rsid w:val="00BA3946"/>
    <w:rsid w:val="00BA5EAB"/>
    <w:rsid w:val="00BA6016"/>
    <w:rsid w:val="00BA799F"/>
    <w:rsid w:val="00BB02C2"/>
    <w:rsid w:val="00BB306F"/>
    <w:rsid w:val="00BB7065"/>
    <w:rsid w:val="00BC44DC"/>
    <w:rsid w:val="00BC5BB0"/>
    <w:rsid w:val="00BC75EF"/>
    <w:rsid w:val="00BD04EC"/>
    <w:rsid w:val="00BD4051"/>
    <w:rsid w:val="00BD40A8"/>
    <w:rsid w:val="00BD4882"/>
    <w:rsid w:val="00BD4B89"/>
    <w:rsid w:val="00BD5922"/>
    <w:rsid w:val="00BD5DE8"/>
    <w:rsid w:val="00BD7362"/>
    <w:rsid w:val="00BE1EA9"/>
    <w:rsid w:val="00BF02CB"/>
    <w:rsid w:val="00BF2BB3"/>
    <w:rsid w:val="00BF3A8A"/>
    <w:rsid w:val="00BF6FD8"/>
    <w:rsid w:val="00C015CE"/>
    <w:rsid w:val="00C02B97"/>
    <w:rsid w:val="00C03680"/>
    <w:rsid w:val="00C054DF"/>
    <w:rsid w:val="00C12A86"/>
    <w:rsid w:val="00C13F4A"/>
    <w:rsid w:val="00C14749"/>
    <w:rsid w:val="00C156F1"/>
    <w:rsid w:val="00C160C3"/>
    <w:rsid w:val="00C21762"/>
    <w:rsid w:val="00C21FEF"/>
    <w:rsid w:val="00C23F9D"/>
    <w:rsid w:val="00C24543"/>
    <w:rsid w:val="00C24B36"/>
    <w:rsid w:val="00C256A2"/>
    <w:rsid w:val="00C33988"/>
    <w:rsid w:val="00C34DB5"/>
    <w:rsid w:val="00C4331C"/>
    <w:rsid w:val="00C4633B"/>
    <w:rsid w:val="00C4690F"/>
    <w:rsid w:val="00C50324"/>
    <w:rsid w:val="00C51515"/>
    <w:rsid w:val="00C53E9E"/>
    <w:rsid w:val="00C54C42"/>
    <w:rsid w:val="00C5660B"/>
    <w:rsid w:val="00C5716B"/>
    <w:rsid w:val="00C57BF6"/>
    <w:rsid w:val="00C61F1A"/>
    <w:rsid w:val="00C63678"/>
    <w:rsid w:val="00C64FE1"/>
    <w:rsid w:val="00C66B72"/>
    <w:rsid w:val="00C7059A"/>
    <w:rsid w:val="00C71619"/>
    <w:rsid w:val="00C73E6A"/>
    <w:rsid w:val="00C73EB5"/>
    <w:rsid w:val="00C75004"/>
    <w:rsid w:val="00C75BD0"/>
    <w:rsid w:val="00C83BA5"/>
    <w:rsid w:val="00C86211"/>
    <w:rsid w:val="00C87AC4"/>
    <w:rsid w:val="00C9567A"/>
    <w:rsid w:val="00CA399E"/>
    <w:rsid w:val="00CA51A1"/>
    <w:rsid w:val="00CA61DE"/>
    <w:rsid w:val="00CB212D"/>
    <w:rsid w:val="00CB2264"/>
    <w:rsid w:val="00CB2660"/>
    <w:rsid w:val="00CB5597"/>
    <w:rsid w:val="00CC308D"/>
    <w:rsid w:val="00CC3BB3"/>
    <w:rsid w:val="00CC5930"/>
    <w:rsid w:val="00CC5E90"/>
    <w:rsid w:val="00CD046C"/>
    <w:rsid w:val="00CD4A44"/>
    <w:rsid w:val="00CE076C"/>
    <w:rsid w:val="00CE5199"/>
    <w:rsid w:val="00CE66D5"/>
    <w:rsid w:val="00CF1474"/>
    <w:rsid w:val="00CF170C"/>
    <w:rsid w:val="00CF34D1"/>
    <w:rsid w:val="00CF637A"/>
    <w:rsid w:val="00CF66F7"/>
    <w:rsid w:val="00CF679E"/>
    <w:rsid w:val="00D00AAC"/>
    <w:rsid w:val="00D02478"/>
    <w:rsid w:val="00D03547"/>
    <w:rsid w:val="00D059DE"/>
    <w:rsid w:val="00D05ABD"/>
    <w:rsid w:val="00D07395"/>
    <w:rsid w:val="00D113B0"/>
    <w:rsid w:val="00D13FCE"/>
    <w:rsid w:val="00D1645F"/>
    <w:rsid w:val="00D16663"/>
    <w:rsid w:val="00D16692"/>
    <w:rsid w:val="00D17BD3"/>
    <w:rsid w:val="00D20507"/>
    <w:rsid w:val="00D22EBD"/>
    <w:rsid w:val="00D239A3"/>
    <w:rsid w:val="00D243F5"/>
    <w:rsid w:val="00D306D1"/>
    <w:rsid w:val="00D30800"/>
    <w:rsid w:val="00D313EB"/>
    <w:rsid w:val="00D31FF5"/>
    <w:rsid w:val="00D34786"/>
    <w:rsid w:val="00D37BFC"/>
    <w:rsid w:val="00D37CA9"/>
    <w:rsid w:val="00D40165"/>
    <w:rsid w:val="00D4137E"/>
    <w:rsid w:val="00D41794"/>
    <w:rsid w:val="00D47A8E"/>
    <w:rsid w:val="00D5095D"/>
    <w:rsid w:val="00D52168"/>
    <w:rsid w:val="00D52D14"/>
    <w:rsid w:val="00D548E8"/>
    <w:rsid w:val="00D712D3"/>
    <w:rsid w:val="00D71422"/>
    <w:rsid w:val="00D71906"/>
    <w:rsid w:val="00D72DC6"/>
    <w:rsid w:val="00D74B96"/>
    <w:rsid w:val="00D7558D"/>
    <w:rsid w:val="00D81D92"/>
    <w:rsid w:val="00D86E43"/>
    <w:rsid w:val="00D914AD"/>
    <w:rsid w:val="00D96856"/>
    <w:rsid w:val="00DA2C06"/>
    <w:rsid w:val="00DA4E70"/>
    <w:rsid w:val="00DA556B"/>
    <w:rsid w:val="00DA7B5F"/>
    <w:rsid w:val="00DA7E31"/>
    <w:rsid w:val="00DB0E8E"/>
    <w:rsid w:val="00DB4728"/>
    <w:rsid w:val="00DB51DA"/>
    <w:rsid w:val="00DC11E7"/>
    <w:rsid w:val="00DC7023"/>
    <w:rsid w:val="00DC769A"/>
    <w:rsid w:val="00DD3D86"/>
    <w:rsid w:val="00DD5318"/>
    <w:rsid w:val="00DD5A15"/>
    <w:rsid w:val="00DD641F"/>
    <w:rsid w:val="00DE2050"/>
    <w:rsid w:val="00DE2217"/>
    <w:rsid w:val="00DE6CE1"/>
    <w:rsid w:val="00DF1EC4"/>
    <w:rsid w:val="00DF24F9"/>
    <w:rsid w:val="00DF6F48"/>
    <w:rsid w:val="00E00EAB"/>
    <w:rsid w:val="00E0340B"/>
    <w:rsid w:val="00E039ED"/>
    <w:rsid w:val="00E04A90"/>
    <w:rsid w:val="00E0551F"/>
    <w:rsid w:val="00E06F04"/>
    <w:rsid w:val="00E06FC9"/>
    <w:rsid w:val="00E10B0A"/>
    <w:rsid w:val="00E208A0"/>
    <w:rsid w:val="00E219C7"/>
    <w:rsid w:val="00E21EFA"/>
    <w:rsid w:val="00E3040F"/>
    <w:rsid w:val="00E3634B"/>
    <w:rsid w:val="00E36D03"/>
    <w:rsid w:val="00E407AD"/>
    <w:rsid w:val="00E40B98"/>
    <w:rsid w:val="00E4118C"/>
    <w:rsid w:val="00E43157"/>
    <w:rsid w:val="00E461CE"/>
    <w:rsid w:val="00E46A2E"/>
    <w:rsid w:val="00E518EB"/>
    <w:rsid w:val="00E527A0"/>
    <w:rsid w:val="00E547B1"/>
    <w:rsid w:val="00E70679"/>
    <w:rsid w:val="00E71444"/>
    <w:rsid w:val="00E714A0"/>
    <w:rsid w:val="00E720CA"/>
    <w:rsid w:val="00E75AC5"/>
    <w:rsid w:val="00E7622B"/>
    <w:rsid w:val="00E84D85"/>
    <w:rsid w:val="00E84EB5"/>
    <w:rsid w:val="00E85662"/>
    <w:rsid w:val="00E86ABF"/>
    <w:rsid w:val="00E8789F"/>
    <w:rsid w:val="00E87B8E"/>
    <w:rsid w:val="00E950F6"/>
    <w:rsid w:val="00E95E55"/>
    <w:rsid w:val="00E97B71"/>
    <w:rsid w:val="00EA0F8E"/>
    <w:rsid w:val="00EA3D34"/>
    <w:rsid w:val="00EA6A3A"/>
    <w:rsid w:val="00EA700E"/>
    <w:rsid w:val="00EA71E6"/>
    <w:rsid w:val="00EB086D"/>
    <w:rsid w:val="00EB3DC6"/>
    <w:rsid w:val="00EB454D"/>
    <w:rsid w:val="00EB6FA1"/>
    <w:rsid w:val="00EB7B81"/>
    <w:rsid w:val="00EC0CD7"/>
    <w:rsid w:val="00EC311A"/>
    <w:rsid w:val="00EC67F6"/>
    <w:rsid w:val="00ED204E"/>
    <w:rsid w:val="00ED2C2E"/>
    <w:rsid w:val="00ED4B6C"/>
    <w:rsid w:val="00ED53FC"/>
    <w:rsid w:val="00ED549D"/>
    <w:rsid w:val="00ED5F14"/>
    <w:rsid w:val="00ED75A2"/>
    <w:rsid w:val="00ED76BE"/>
    <w:rsid w:val="00EE00E9"/>
    <w:rsid w:val="00EE3E21"/>
    <w:rsid w:val="00EE51FE"/>
    <w:rsid w:val="00EE6C95"/>
    <w:rsid w:val="00EF007D"/>
    <w:rsid w:val="00EF1F20"/>
    <w:rsid w:val="00EF3C28"/>
    <w:rsid w:val="00EF410D"/>
    <w:rsid w:val="00EF619B"/>
    <w:rsid w:val="00EF64A7"/>
    <w:rsid w:val="00EF7BDA"/>
    <w:rsid w:val="00F00B55"/>
    <w:rsid w:val="00F0122E"/>
    <w:rsid w:val="00F02AD1"/>
    <w:rsid w:val="00F04BC4"/>
    <w:rsid w:val="00F21638"/>
    <w:rsid w:val="00F22028"/>
    <w:rsid w:val="00F22C06"/>
    <w:rsid w:val="00F253CC"/>
    <w:rsid w:val="00F301EB"/>
    <w:rsid w:val="00F33770"/>
    <w:rsid w:val="00F35546"/>
    <w:rsid w:val="00F37106"/>
    <w:rsid w:val="00F44896"/>
    <w:rsid w:val="00F519CF"/>
    <w:rsid w:val="00F56BA5"/>
    <w:rsid w:val="00F57F03"/>
    <w:rsid w:val="00F60159"/>
    <w:rsid w:val="00F60E22"/>
    <w:rsid w:val="00F73831"/>
    <w:rsid w:val="00F740EA"/>
    <w:rsid w:val="00F768E3"/>
    <w:rsid w:val="00F775BB"/>
    <w:rsid w:val="00F8019D"/>
    <w:rsid w:val="00F81395"/>
    <w:rsid w:val="00F81BB8"/>
    <w:rsid w:val="00F90B06"/>
    <w:rsid w:val="00F917D1"/>
    <w:rsid w:val="00F92C65"/>
    <w:rsid w:val="00F9653B"/>
    <w:rsid w:val="00F97A83"/>
    <w:rsid w:val="00FA0C48"/>
    <w:rsid w:val="00FA17B9"/>
    <w:rsid w:val="00FB62CF"/>
    <w:rsid w:val="00FC1D01"/>
    <w:rsid w:val="00FC6D74"/>
    <w:rsid w:val="00FD0EA4"/>
    <w:rsid w:val="00FD3C3B"/>
    <w:rsid w:val="00FD71A9"/>
    <w:rsid w:val="00FE07DD"/>
    <w:rsid w:val="00FE3CD2"/>
    <w:rsid w:val="00FE5121"/>
    <w:rsid w:val="00FE6B45"/>
    <w:rsid w:val="00FF0FC1"/>
    <w:rsid w:val="00FF23D9"/>
    <w:rsid w:val="00FF3891"/>
    <w:rsid w:val="00FF4EEF"/>
    <w:rsid w:val="00FF55F3"/>
    <w:rsid w:val="00FF5851"/>
    <w:rsid w:val="00FF64C0"/>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375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customStyle="1" w:styleId="Firstparagraph">
    <w:name w:val="First paragraph"/>
    <w:basedOn w:val="Normal"/>
    <w:next w:val="Normal"/>
    <w:qFormat/>
    <w:rsid w:val="005B3A3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character" w:styleId="Strong">
    <w:name w:val="Strong"/>
    <w:basedOn w:val="DefaultParagraphFont"/>
    <w:uiPriority w:val="22"/>
    <w:qFormat/>
    <w:rsid w:val="00F60159"/>
    <w:rPr>
      <w:b/>
      <w:bCs/>
    </w:rPr>
  </w:style>
  <w:style w:type="paragraph" w:styleId="CommentText">
    <w:name w:val="annotation text"/>
    <w:basedOn w:val="Normal"/>
    <w:link w:val="CommentTextChar"/>
    <w:semiHidden/>
    <w:rsid w:val="00A51CA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A51CAC"/>
    <w:rPr>
      <w:rFonts w:eastAsia="Times New Roman"/>
      <w:bdr w:val="none" w:sz="0" w:space="0" w:color="auto"/>
      <w:lang w:val="en-US" w:eastAsia="en-US"/>
    </w:rPr>
  </w:style>
  <w:style w:type="paragraph" w:styleId="HTMLPreformatted">
    <w:name w:val="HTML Preformatted"/>
    <w:basedOn w:val="Normal"/>
    <w:link w:val="HTMLPreformattedChar"/>
    <w:uiPriority w:val="99"/>
    <w:semiHidden/>
    <w:unhideWhenUsed/>
    <w:rsid w:val="005A12A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5A12A4"/>
    <w:rPr>
      <w:rFonts w:ascii="Courier New" w:eastAsia="Times New Roman" w:hAnsi="Courier New" w:cs="Courier New"/>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908533">
      <w:bodyDiv w:val="1"/>
      <w:marLeft w:val="0"/>
      <w:marRight w:val="0"/>
      <w:marTop w:val="0"/>
      <w:marBottom w:val="0"/>
      <w:divBdr>
        <w:top w:val="none" w:sz="0" w:space="0" w:color="auto"/>
        <w:left w:val="none" w:sz="0" w:space="0" w:color="auto"/>
        <w:bottom w:val="none" w:sz="0" w:space="0" w:color="auto"/>
        <w:right w:val="none" w:sz="0" w:space="0" w:color="auto"/>
      </w:divBdr>
    </w:div>
    <w:div w:id="1051072968">
      <w:bodyDiv w:val="1"/>
      <w:marLeft w:val="0"/>
      <w:marRight w:val="0"/>
      <w:marTop w:val="0"/>
      <w:marBottom w:val="0"/>
      <w:divBdr>
        <w:top w:val="none" w:sz="0" w:space="0" w:color="auto"/>
        <w:left w:val="none" w:sz="0" w:space="0" w:color="auto"/>
        <w:bottom w:val="none" w:sz="0" w:space="0" w:color="auto"/>
        <w:right w:val="none" w:sz="0" w:space="0" w:color="auto"/>
      </w:divBdr>
    </w:div>
    <w:div w:id="128176479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diputados.gob.mx/LeyesBiblio/pdf/149_190118.pdf" TargetMode="External"/><Relationship Id="rId1" Type="http://schemas.openxmlformats.org/officeDocument/2006/relationships/hyperlink" Target="http://www.diputados.gob.mx/LeyesBiblio/pdf/149_19011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Univers LT Std">
    <w:altName w:val="Times New Roman"/>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91BBE"/>
    <w:rsid w:val="00093EAC"/>
    <w:rsid w:val="000A709A"/>
    <w:rsid w:val="00182D59"/>
    <w:rsid w:val="002E0D30"/>
    <w:rsid w:val="00365A7F"/>
    <w:rsid w:val="00380E11"/>
    <w:rsid w:val="00394049"/>
    <w:rsid w:val="003F46DF"/>
    <w:rsid w:val="003F634C"/>
    <w:rsid w:val="004F2DF8"/>
    <w:rsid w:val="005357A1"/>
    <w:rsid w:val="0055028C"/>
    <w:rsid w:val="006641A7"/>
    <w:rsid w:val="007813A8"/>
    <w:rsid w:val="007A73CB"/>
    <w:rsid w:val="008F518B"/>
    <w:rsid w:val="00953191"/>
    <w:rsid w:val="009A261B"/>
    <w:rsid w:val="00A83BA4"/>
    <w:rsid w:val="00AC15A4"/>
    <w:rsid w:val="00B0336C"/>
    <w:rsid w:val="00B51D96"/>
    <w:rsid w:val="00B87E82"/>
    <w:rsid w:val="00BD5741"/>
    <w:rsid w:val="00C23B16"/>
    <w:rsid w:val="00C870B2"/>
    <w:rsid w:val="00CA602B"/>
    <w:rsid w:val="00D10A0A"/>
    <w:rsid w:val="00D13AE7"/>
    <w:rsid w:val="00D2412D"/>
    <w:rsid w:val="00D61688"/>
    <w:rsid w:val="00D71616"/>
    <w:rsid w:val="00E756EC"/>
    <w:rsid w:val="00F00D2F"/>
    <w:rsid w:val="00F5060C"/>
    <w:rsid w:val="00F60D9C"/>
    <w:rsid w:val="00F70DDA"/>
    <w:rsid w:val="00F91B24"/>
    <w:rsid w:val="00FC78E6"/>
    <w:rsid w:val="00FD4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72960-0F6E-412B-ACA8-8D9735CE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5479</Words>
  <Characters>31231</Characters>
  <Application>Microsoft Office Word</Application>
  <DocSecurity>0</DocSecurity>
  <Lines>260</Lines>
  <Paragraphs>73</Paragraphs>
  <ScaleCrop>false</ScaleCrop>
  <Company/>
  <LinksUpToDate>false</LinksUpToDate>
  <CharactersWithSpaces>36637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52/18</dc:title>
  <dc:creator/>
  <cp:lastModifiedBy/>
  <cp:revision>1</cp:revision>
  <dcterms:created xsi:type="dcterms:W3CDTF">2019-06-06T15:11:00Z</dcterms:created>
  <dcterms:modified xsi:type="dcterms:W3CDTF">2019-06-06T15:12:00Z</dcterms:modified>
</cp:coreProperties>
</file>