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rPr>
      </w:pPr>
      <w:bookmarkStart w:id="0" w:name="_GoBack"/>
      <w:bookmarkEnd w:id="0"/>
      <w:r w:rsidRPr="003C32BC">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00C3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" fillcolor="#4a7194" stroked="f" strokeweight="2pt"/>
            </w:pict>
          </mc:Fallback>
        </mc:AlternateContent>
      </w:r>
      <w:r w:rsidR="00B31EBE" w:rsidRPr="003C32BC">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195CA7">
                            <w:r>
                              <w:rPr>
                                <w:noProof/>
                                <w:lang w:val="en-US"/>
                              </w:rPr>
                              <w:drawing>
                                <wp:inline distT="0" distB="0" distL="0" distR="0" wp14:anchorId="14FEED86" wp14:editId="12EAE3D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195CA7">
                      <w:r>
                        <w:rPr>
                          <w:noProof/>
                          <w:lang w:val="en-US"/>
                        </w:rPr>
                        <w:drawing>
                          <wp:inline distT="0" distB="0" distL="0" distR="0" wp14:anchorId="14FEED86" wp14:editId="12EAE3D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 xml:space="preserve">INFORME No. </w:t>
                            </w:r>
                            <w:r w:rsidR="00973F92">
                              <w:rPr>
                                <w:rFonts w:asciiTheme="majorHAnsi" w:hAnsiTheme="majorHAnsi"/>
                                <w:b/>
                                <w:bCs/>
                                <w:color w:val="0D0D0D" w:themeColor="text1" w:themeTint="F2"/>
                                <w:sz w:val="36"/>
                                <w:szCs w:val="40"/>
                              </w:rPr>
                              <w:t>181</w:t>
                            </w:r>
                            <w:r>
                              <w:rPr>
                                <w:rFonts w:asciiTheme="majorHAnsi" w:hAnsiTheme="majorHAnsi"/>
                                <w:b/>
                                <w:bCs/>
                                <w:color w:val="0D0D0D" w:themeColor="text1" w:themeTint="F2"/>
                                <w:sz w:val="36"/>
                                <w:szCs w:val="40"/>
                              </w:rPr>
                              <w:t>/1</w:t>
                            </w:r>
                            <w:r w:rsidR="00973F92">
                              <w:rPr>
                                <w:rFonts w:asciiTheme="majorHAnsi" w:hAnsiTheme="majorHAnsi"/>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PETICIÓN 300-09</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INFORME DE ADMISIBILIDAD </w:t>
                            </w:r>
                          </w:p>
                          <w:p w:rsidR="00450A4A" w:rsidRPr="004B7EB6" w:rsidRDefault="00450A4A" w:rsidP="004B7EB6">
                            <w:pPr>
                              <w:rPr>
                                <w:rFonts w:asciiTheme="majorHAnsi" w:hAnsiTheme="majorHAnsi" w:cs="Arial"/>
                                <w:color w:val="0D0D0D" w:themeColor="text1" w:themeTint="F2"/>
                                <w:szCs w:val="22"/>
                              </w:rPr>
                            </w:pPr>
                          </w:p>
                          <w:p w:rsidR="00F42B71" w:rsidRPr="004B625D" w:rsidRDefault="00E87C6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 xml:space="preserve">RONALD BULLOCK </w:t>
                            </w:r>
                          </w:p>
                          <w:p w:rsidR="005B52B0" w:rsidRPr="000C4365" w:rsidRDefault="00237807" w:rsidP="00237807">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olor w:val="0D0D0D" w:themeColor="text1" w:themeTint="F2"/>
                              </w:rPr>
                            </w:pPr>
                            <w:r>
                              <w:rPr>
                                <w:rFonts w:ascii="Cambria" w:hAnsi="Cambria"/>
                                <w:color w:val="0D0D0D"/>
                                <w:szCs w:val="22"/>
                              </w:rPr>
                              <w:t>ESTADOS UNIDOS DE AMÉRICA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 xml:space="preserve">INFORME No. </w:t>
                      </w:r>
                      <w:r w:rsidR="00973F92">
                        <w:rPr>
                          <w:rFonts w:asciiTheme="majorHAnsi" w:hAnsiTheme="majorHAnsi"/>
                          <w:b/>
                          <w:bCs/>
                          <w:color w:val="0D0D0D" w:themeColor="text1" w:themeTint="F2"/>
                          <w:sz w:val="36"/>
                          <w:szCs w:val="40"/>
                        </w:rPr>
                        <w:t>181</w:t>
                      </w:r>
                      <w:r>
                        <w:rPr>
                          <w:rFonts w:asciiTheme="majorHAnsi" w:hAnsiTheme="majorHAnsi"/>
                          <w:b/>
                          <w:bCs/>
                          <w:color w:val="0D0D0D" w:themeColor="text1" w:themeTint="F2"/>
                          <w:sz w:val="36"/>
                          <w:szCs w:val="40"/>
                        </w:rPr>
                        <w:t>/1</w:t>
                      </w:r>
                      <w:r w:rsidR="00973F92">
                        <w:rPr>
                          <w:rFonts w:asciiTheme="majorHAnsi" w:hAnsiTheme="majorHAnsi"/>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PETICIÓN 300-09</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INFORME DE ADMISIBILIDAD </w:t>
                      </w:r>
                    </w:p>
                    <w:p w:rsidR="00450A4A" w:rsidRPr="004B7EB6" w:rsidRDefault="00450A4A" w:rsidP="004B7EB6">
                      <w:pPr>
                        <w:rPr>
                          <w:rFonts w:asciiTheme="majorHAnsi" w:hAnsiTheme="majorHAnsi" w:cs="Arial"/>
                          <w:color w:val="0D0D0D" w:themeColor="text1" w:themeTint="F2"/>
                          <w:szCs w:val="22"/>
                        </w:rPr>
                      </w:pPr>
                    </w:p>
                    <w:p w:rsidR="00F42B71" w:rsidRPr="004B625D" w:rsidRDefault="00E87C6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 xml:space="preserve">RONALD BULLOCK </w:t>
                      </w:r>
                    </w:p>
                    <w:p w:rsidR="005B52B0" w:rsidRPr="000C4365" w:rsidRDefault="00237807" w:rsidP="00237807">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olor w:val="0D0D0D" w:themeColor="text1" w:themeTint="F2"/>
                        </w:rPr>
                      </w:pPr>
                      <w:r>
                        <w:rPr>
                          <w:rFonts w:ascii="Cambria" w:hAnsi="Cambria"/>
                          <w:color w:val="0D0D0D"/>
                          <w:szCs w:val="22"/>
                        </w:rPr>
                        <w:t>ESTADOS UNIDOS DE AMÉRICA</w:t>
                      </w:r>
                    </w:p>
                  </w:txbxContent>
                </v:textbox>
              </v:shape>
            </w:pict>
          </mc:Fallback>
        </mc:AlternateContent>
      </w:r>
      <w:r w:rsidR="004B7EB6" w:rsidRPr="003C32BC">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B6CE4" w:rsidRDefault="009E566A" w:rsidP="009E566A">
                            <w:pPr>
                              <w:jc w:val="right"/>
                              <w:rPr>
                                <w:rFonts w:asciiTheme="minorHAnsi" w:hAnsiTheme="minorHAnsi"/>
                                <w:color w:val="FFFFFF" w:themeColor="background1"/>
                                <w:sz w:val="22"/>
                                <w:lang w:val="pt-BR"/>
                              </w:rPr>
                            </w:pPr>
                            <w:r w:rsidRPr="00CB6CE4">
                              <w:rPr>
                                <w:rFonts w:asciiTheme="minorHAnsi" w:hAnsiTheme="minorHAnsi"/>
                                <w:color w:val="FFFFFF" w:themeColor="background1"/>
                                <w:sz w:val="22"/>
                                <w:lang w:val="pt-BR"/>
                              </w:rPr>
                              <w:t>OEA/Ser.L/V/II.</w:t>
                            </w:r>
                          </w:p>
                          <w:p w:rsidR="00627C9F" w:rsidRPr="00CB6CE4" w:rsidRDefault="00CA6577" w:rsidP="009E566A">
                            <w:pPr>
                              <w:jc w:val="right"/>
                              <w:rPr>
                                <w:rFonts w:asciiTheme="minorHAnsi" w:hAnsiTheme="minorHAnsi"/>
                                <w:color w:val="FFFFFF" w:themeColor="background1"/>
                                <w:sz w:val="22"/>
                                <w:lang w:val="pt-BR"/>
                              </w:rPr>
                            </w:pPr>
                            <w:r w:rsidRPr="00CB6CE4">
                              <w:rPr>
                                <w:rFonts w:asciiTheme="minorHAnsi" w:hAnsiTheme="minorHAnsi"/>
                                <w:color w:val="FFFFFF" w:themeColor="background1"/>
                                <w:sz w:val="22"/>
                                <w:lang w:val="pt-BR"/>
                              </w:rPr>
                              <w:t>Doc</w:t>
                            </w:r>
                            <w:r w:rsidR="00973F92">
                              <w:rPr>
                                <w:rFonts w:asciiTheme="minorHAnsi" w:hAnsiTheme="minorHAnsi"/>
                                <w:color w:val="FFFFFF" w:themeColor="background1"/>
                                <w:sz w:val="22"/>
                                <w:lang w:val="pt-BR"/>
                              </w:rPr>
                              <w:t>. 206</w:t>
                            </w:r>
                          </w:p>
                          <w:p w:rsidR="00627C9F" w:rsidRPr="004B7EB6" w:rsidRDefault="00022CF5" w:rsidP="009E566A">
                            <w:pPr>
                              <w:jc w:val="right"/>
                              <w:rPr>
                                <w:rFonts w:asciiTheme="minorHAnsi" w:hAnsiTheme="minorHAnsi"/>
                                <w:color w:val="FFFFFF" w:themeColor="background1"/>
                                <w:sz w:val="22"/>
                              </w:rPr>
                            </w:pPr>
                            <w:r w:rsidRPr="00CB6CE4">
                              <w:rPr>
                                <w:rFonts w:asciiTheme="minorHAnsi" w:hAnsiTheme="minorHAnsi"/>
                                <w:color w:val="FFFFFF" w:themeColor="background1"/>
                                <w:sz w:val="22"/>
                                <w:lang w:val="pt-BR"/>
                              </w:rPr>
                              <w:t xml:space="preserve"> </w:t>
                            </w:r>
                            <w:r w:rsidR="00973F92">
                              <w:rPr>
                                <w:rFonts w:asciiTheme="minorHAnsi" w:hAnsiTheme="minorHAnsi"/>
                                <w:color w:val="FFFFFF" w:themeColor="background1"/>
                                <w:sz w:val="22"/>
                              </w:rPr>
                              <w:t>26 diciembre 2018</w:t>
                            </w:r>
                          </w:p>
                          <w:p w:rsidR="00627C9F" w:rsidRPr="004B7EB6" w:rsidRDefault="00627C9F" w:rsidP="009E566A">
                            <w:pPr>
                              <w:jc w:val="right"/>
                              <w:rPr>
                                <w:rFonts w:asciiTheme="minorHAnsi" w:hAnsiTheme="minorHAnsi"/>
                                <w:color w:val="FFFFFF" w:themeColor="background1"/>
                                <w:sz w:val="22"/>
                              </w:rPr>
                            </w:pPr>
                            <w:r>
                              <w:rPr>
                                <w:rFonts w:asciiTheme="minorHAnsi" w:hAnsiTheme="minorHAnsi"/>
                                <w:color w:val="FFFFFF" w:themeColor="background1"/>
                                <w:sz w:val="22"/>
                              </w:rPr>
                              <w:t>Original:</w:t>
                            </w:r>
                            <w:r w:rsidR="00973F92">
                              <w:rPr>
                                <w:rFonts w:asciiTheme="minorHAnsi" w:hAnsiTheme="minorHAnsi"/>
                                <w:color w:val="FFFFFF" w:themeColor="background1"/>
                                <w:sz w:val="22"/>
                              </w:rPr>
                              <w:t xml:space="preserve"> </w:t>
                            </w:r>
                            <w:proofErr w:type="spellStart"/>
                            <w:r w:rsidR="00973F92">
                              <w:rPr>
                                <w:rFonts w:asciiTheme="minorHAnsi" w:hAnsiTheme="minorHAnsi"/>
                                <w:color w:val="FFFFFF" w:themeColor="background1"/>
                                <w:sz w:val="22"/>
                              </w:rPr>
                              <w:t>ing</w:t>
                            </w:r>
                            <w:r w:rsidR="00973F92">
                              <w:rPr>
                                <w:rFonts w:asciiTheme="minorHAnsi" w:hAnsiTheme="minorHAnsi"/>
                                <w:color w:val="FFFFFF" w:themeColor="background1"/>
                                <w:sz w:val="22"/>
                                <w:lang w:val="en-US"/>
                              </w:rPr>
                              <w:t>lés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CB6CE4" w:rsidRDefault="009E566A" w:rsidP="009E566A">
                      <w:pPr>
                        <w:jc w:val="right"/>
                        <w:rPr>
                          <w:rFonts w:asciiTheme="minorHAnsi" w:hAnsiTheme="minorHAnsi"/>
                          <w:color w:val="FFFFFF" w:themeColor="background1"/>
                          <w:sz w:val="22"/>
                          <w:lang w:val="pt-BR"/>
                        </w:rPr>
                      </w:pPr>
                      <w:r w:rsidRPr="00CB6CE4">
                        <w:rPr>
                          <w:rFonts w:asciiTheme="minorHAnsi" w:hAnsiTheme="minorHAnsi"/>
                          <w:color w:val="FFFFFF" w:themeColor="background1"/>
                          <w:sz w:val="22"/>
                          <w:lang w:val="pt-BR"/>
                        </w:rPr>
                        <w:t>OEA/Ser.L/V/II.</w:t>
                      </w:r>
                    </w:p>
                    <w:p w:rsidR="00627C9F" w:rsidRPr="00CB6CE4" w:rsidRDefault="00CA6577" w:rsidP="009E566A">
                      <w:pPr>
                        <w:jc w:val="right"/>
                        <w:rPr>
                          <w:rFonts w:asciiTheme="minorHAnsi" w:hAnsiTheme="minorHAnsi"/>
                          <w:color w:val="FFFFFF" w:themeColor="background1"/>
                          <w:sz w:val="22"/>
                          <w:lang w:val="pt-BR"/>
                        </w:rPr>
                      </w:pPr>
                      <w:r w:rsidRPr="00CB6CE4">
                        <w:rPr>
                          <w:rFonts w:asciiTheme="minorHAnsi" w:hAnsiTheme="minorHAnsi"/>
                          <w:color w:val="FFFFFF" w:themeColor="background1"/>
                          <w:sz w:val="22"/>
                          <w:lang w:val="pt-BR"/>
                        </w:rPr>
                        <w:t>Doc</w:t>
                      </w:r>
                      <w:r w:rsidR="00973F92">
                        <w:rPr>
                          <w:rFonts w:asciiTheme="minorHAnsi" w:hAnsiTheme="minorHAnsi"/>
                          <w:color w:val="FFFFFF" w:themeColor="background1"/>
                          <w:sz w:val="22"/>
                          <w:lang w:val="pt-BR"/>
                        </w:rPr>
                        <w:t>. 206</w:t>
                      </w:r>
                    </w:p>
                    <w:p w:rsidR="00627C9F" w:rsidRPr="004B7EB6" w:rsidRDefault="00022CF5" w:rsidP="009E566A">
                      <w:pPr>
                        <w:jc w:val="right"/>
                        <w:rPr>
                          <w:rFonts w:asciiTheme="minorHAnsi" w:hAnsiTheme="minorHAnsi"/>
                          <w:color w:val="FFFFFF" w:themeColor="background1"/>
                          <w:sz w:val="22"/>
                        </w:rPr>
                      </w:pPr>
                      <w:r w:rsidRPr="00CB6CE4">
                        <w:rPr>
                          <w:rFonts w:asciiTheme="minorHAnsi" w:hAnsiTheme="minorHAnsi"/>
                          <w:color w:val="FFFFFF" w:themeColor="background1"/>
                          <w:sz w:val="22"/>
                          <w:lang w:val="pt-BR"/>
                        </w:rPr>
                        <w:t xml:space="preserve"> </w:t>
                      </w:r>
                      <w:r w:rsidR="00973F92">
                        <w:rPr>
                          <w:rFonts w:asciiTheme="minorHAnsi" w:hAnsiTheme="minorHAnsi"/>
                          <w:color w:val="FFFFFF" w:themeColor="background1"/>
                          <w:sz w:val="22"/>
                        </w:rPr>
                        <w:t>26 diciembre 2018</w:t>
                      </w:r>
                    </w:p>
                    <w:p w:rsidR="00627C9F" w:rsidRPr="004B7EB6" w:rsidRDefault="00627C9F" w:rsidP="009E566A">
                      <w:pPr>
                        <w:jc w:val="right"/>
                        <w:rPr>
                          <w:rFonts w:asciiTheme="minorHAnsi" w:hAnsiTheme="minorHAnsi"/>
                          <w:color w:val="FFFFFF" w:themeColor="background1"/>
                          <w:sz w:val="22"/>
                        </w:rPr>
                      </w:pPr>
                      <w:r>
                        <w:rPr>
                          <w:rFonts w:asciiTheme="minorHAnsi" w:hAnsiTheme="minorHAnsi"/>
                          <w:color w:val="FFFFFF" w:themeColor="background1"/>
                          <w:sz w:val="22"/>
                        </w:rPr>
                        <w:t>Original:</w:t>
                      </w:r>
                      <w:r w:rsidR="00973F92">
                        <w:rPr>
                          <w:rFonts w:asciiTheme="minorHAnsi" w:hAnsiTheme="minorHAnsi"/>
                          <w:color w:val="FFFFFF" w:themeColor="background1"/>
                          <w:sz w:val="22"/>
                        </w:rPr>
                        <w:t xml:space="preserve"> </w:t>
                      </w:r>
                      <w:proofErr w:type="spellStart"/>
                      <w:r w:rsidR="00973F92">
                        <w:rPr>
                          <w:rFonts w:asciiTheme="minorHAnsi" w:hAnsiTheme="minorHAnsi"/>
                          <w:color w:val="FFFFFF" w:themeColor="background1"/>
                          <w:sz w:val="22"/>
                        </w:rPr>
                        <w:t>ing</w:t>
                      </w:r>
                      <w:r w:rsidR="00973F92">
                        <w:rPr>
                          <w:rFonts w:asciiTheme="minorHAnsi" w:hAnsiTheme="minorHAnsi"/>
                          <w:color w:val="FFFFFF" w:themeColor="background1"/>
                          <w:sz w:val="22"/>
                          <w:lang w:val="en-US"/>
                        </w:rPr>
                        <w:t>lés</w:t>
                      </w:r>
                      <w:proofErr w:type="spellEnd"/>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CA7" w:rsidRDefault="00B167E9" w:rsidP="004165C2">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 xml:space="preserve">Aprobado </w:t>
                            </w:r>
                            <w:r w:rsidR="00973F92">
                              <w:rPr>
                                <w:rFonts w:asciiTheme="majorHAnsi" w:hAnsiTheme="majorHAnsi"/>
                                <w:color w:val="0D0D0D" w:themeColor="text1" w:themeTint="F2"/>
                                <w:sz w:val="18"/>
                                <w:szCs w:val="20"/>
                              </w:rPr>
                              <w:t xml:space="preserve">electrónicamente </w:t>
                            </w:r>
                            <w:r>
                              <w:rPr>
                                <w:rFonts w:asciiTheme="majorHAnsi" w:hAnsiTheme="majorHAnsi"/>
                                <w:color w:val="0D0D0D" w:themeColor="text1" w:themeTint="F2"/>
                                <w:sz w:val="18"/>
                                <w:szCs w:val="20"/>
                              </w:rPr>
                              <w:t xml:space="preserve">por la Comisión </w:t>
                            </w:r>
                            <w:r w:rsidR="00350DDF">
                              <w:rPr>
                                <w:rFonts w:asciiTheme="majorHAnsi" w:hAnsiTheme="majorHAnsi"/>
                                <w:color w:val="0D0D0D" w:themeColor="text1" w:themeTint="F2"/>
                                <w:sz w:val="18"/>
                                <w:szCs w:val="20"/>
                              </w:rPr>
                              <w:t xml:space="preserve">el </w:t>
                            </w:r>
                            <w:r w:rsidR="00973F92">
                              <w:rPr>
                                <w:rFonts w:asciiTheme="majorHAnsi" w:hAnsiTheme="majorHAnsi"/>
                                <w:color w:val="0D0D0D" w:themeColor="text1" w:themeTint="F2"/>
                                <w:sz w:val="18"/>
                                <w:szCs w:val="20"/>
                              </w:rPr>
                              <w:t>26 de diciembre de 2018</w:t>
                            </w:r>
                            <w:r w:rsidR="008B5F3A">
                              <w:rPr>
                                <w:rFonts w:asciiTheme="majorHAnsi" w:hAnsiTheme="majorHAnsi"/>
                                <w:color w:val="0D0D0D" w:themeColor="text1" w:themeTint="F2"/>
                                <w:sz w:val="18"/>
                                <w:szCs w:val="20"/>
                              </w:rPr>
                              <w:t>.</w:t>
                            </w:r>
                            <w:r>
                              <w:rPr>
                                <w:rFonts w:asciiTheme="majorHAnsi" w:hAnsiTheme="majorHAnsi"/>
                                <w:color w:val="0D0D0D" w:themeColor="text1" w:themeTint="F2"/>
                                <w:sz w:val="1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195CA7" w:rsidRDefault="00B167E9" w:rsidP="004165C2">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 xml:space="preserve">Aprobado </w:t>
                      </w:r>
                      <w:r w:rsidR="00973F92">
                        <w:rPr>
                          <w:rFonts w:asciiTheme="majorHAnsi" w:hAnsiTheme="majorHAnsi"/>
                          <w:color w:val="0D0D0D" w:themeColor="text1" w:themeTint="F2"/>
                          <w:sz w:val="18"/>
                          <w:szCs w:val="20"/>
                        </w:rPr>
                        <w:t xml:space="preserve">electrónicamente </w:t>
                      </w:r>
                      <w:r>
                        <w:rPr>
                          <w:rFonts w:asciiTheme="majorHAnsi" w:hAnsiTheme="majorHAnsi"/>
                          <w:color w:val="0D0D0D" w:themeColor="text1" w:themeTint="F2"/>
                          <w:sz w:val="18"/>
                          <w:szCs w:val="20"/>
                        </w:rPr>
                        <w:t xml:space="preserve">por la Comisión </w:t>
                      </w:r>
                      <w:r w:rsidR="00350DDF">
                        <w:rPr>
                          <w:rFonts w:asciiTheme="majorHAnsi" w:hAnsiTheme="majorHAnsi"/>
                          <w:color w:val="0D0D0D" w:themeColor="text1" w:themeTint="F2"/>
                          <w:sz w:val="18"/>
                          <w:szCs w:val="20"/>
                        </w:rPr>
                        <w:t xml:space="preserve">el </w:t>
                      </w:r>
                      <w:r w:rsidR="00973F92">
                        <w:rPr>
                          <w:rFonts w:asciiTheme="majorHAnsi" w:hAnsiTheme="majorHAnsi"/>
                          <w:color w:val="0D0D0D" w:themeColor="text1" w:themeTint="F2"/>
                          <w:sz w:val="18"/>
                          <w:szCs w:val="20"/>
                        </w:rPr>
                        <w:t>26 de diciembre de 2018</w:t>
                      </w:r>
                      <w:r w:rsidR="008B5F3A">
                        <w:rPr>
                          <w:rFonts w:asciiTheme="majorHAnsi" w:hAnsiTheme="majorHAnsi"/>
                          <w:color w:val="0D0D0D" w:themeColor="text1" w:themeTint="F2"/>
                          <w:sz w:val="18"/>
                          <w:szCs w:val="20"/>
                        </w:rPr>
                        <w:t>.</w:t>
                      </w:r>
                      <w:r>
                        <w:rPr>
                          <w:rFonts w:asciiTheme="majorHAnsi" w:hAnsiTheme="majorHAnsi"/>
                          <w:color w:val="0D0D0D" w:themeColor="text1" w:themeTint="F2"/>
                          <w:sz w:val="18"/>
                          <w:szCs w:val="20"/>
                        </w:rPr>
                        <w:t xml:space="preserve"> </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lang w:val="en-US"/>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CB6CE4">
                              <w:rPr>
                                <w:rFonts w:asciiTheme="majorHAnsi" w:hAnsiTheme="majorHAnsi"/>
                                <w:b/>
                                <w:color w:val="595959" w:themeColor="text1" w:themeTint="A6"/>
                                <w:sz w:val="18"/>
                                <w:lang w:val="pt-BR"/>
                              </w:rPr>
                              <w:t xml:space="preserve">Citar como: </w:t>
                            </w:r>
                            <w:r w:rsidRPr="00CB6CE4">
                              <w:rPr>
                                <w:rFonts w:asciiTheme="majorHAnsi" w:hAnsiTheme="majorHAnsi"/>
                                <w:color w:val="595959" w:themeColor="text1" w:themeTint="A6"/>
                                <w:sz w:val="18"/>
                                <w:lang w:val="pt-BR"/>
                              </w:rPr>
                              <w:t xml:space="preserve">CIDH, Informe No. </w:t>
                            </w:r>
                            <w:r w:rsidR="00973F92">
                              <w:rPr>
                                <w:rFonts w:asciiTheme="majorHAnsi" w:hAnsiTheme="majorHAnsi"/>
                                <w:color w:val="595959" w:themeColor="text1" w:themeTint="A6"/>
                                <w:sz w:val="18"/>
                              </w:rPr>
                              <w:t>181</w:t>
                            </w:r>
                            <w:r>
                              <w:rPr>
                                <w:rFonts w:asciiTheme="majorHAnsi" w:hAnsiTheme="majorHAnsi"/>
                                <w:color w:val="595959" w:themeColor="text1" w:themeTint="A6"/>
                                <w:sz w:val="18"/>
                              </w:rPr>
                              <w:t>/</w:t>
                            </w:r>
                            <w:r w:rsidR="00973F92">
                              <w:rPr>
                                <w:rFonts w:asciiTheme="majorHAnsi" w:hAnsiTheme="majorHAnsi"/>
                                <w:color w:val="595959" w:themeColor="text1" w:themeTint="A6"/>
                                <w:sz w:val="18"/>
                              </w:rPr>
                              <w:t>18</w:t>
                            </w:r>
                            <w:r>
                              <w:rPr>
                                <w:rFonts w:asciiTheme="majorHAnsi" w:hAnsiTheme="majorHAnsi"/>
                                <w:color w:val="595959" w:themeColor="text1" w:themeTint="A6"/>
                                <w:sz w:val="18"/>
                              </w:rPr>
                              <w:t xml:space="preserve">, Petición </w:t>
                            </w:r>
                            <w:r w:rsidR="00973F92">
                              <w:rPr>
                                <w:rFonts w:asciiTheme="majorHAnsi" w:hAnsiTheme="majorHAnsi"/>
                                <w:color w:val="595959" w:themeColor="text1" w:themeTint="A6"/>
                                <w:sz w:val="18"/>
                              </w:rPr>
                              <w:t>300</w:t>
                            </w:r>
                            <w:r>
                              <w:rPr>
                                <w:rFonts w:asciiTheme="majorHAnsi" w:hAnsiTheme="majorHAnsi"/>
                                <w:color w:val="595959" w:themeColor="text1" w:themeTint="A6"/>
                                <w:sz w:val="18"/>
                              </w:rPr>
                              <w:t>-</w:t>
                            </w:r>
                            <w:r w:rsidR="00973F92">
                              <w:rPr>
                                <w:rFonts w:asciiTheme="majorHAnsi" w:hAnsiTheme="majorHAnsi"/>
                                <w:color w:val="595959" w:themeColor="text1" w:themeTint="A6"/>
                                <w:sz w:val="18"/>
                              </w:rPr>
                              <w:t>09</w:t>
                            </w:r>
                            <w:r>
                              <w:rPr>
                                <w:rFonts w:asciiTheme="majorHAnsi" w:hAnsiTheme="majorHAnsi"/>
                                <w:color w:val="595959" w:themeColor="text1" w:themeTint="A6"/>
                                <w:sz w:val="18"/>
                              </w:rPr>
                              <w:t xml:space="preserve">. Admisibilidad. </w:t>
                            </w:r>
                            <w:r w:rsidR="00973F92">
                              <w:rPr>
                                <w:rFonts w:asciiTheme="majorHAnsi" w:hAnsiTheme="majorHAnsi"/>
                                <w:color w:val="595959" w:themeColor="text1" w:themeTint="A6"/>
                                <w:sz w:val="18"/>
                              </w:rPr>
                              <w:t>Ronald Bullock</w:t>
                            </w:r>
                            <w:r>
                              <w:rPr>
                                <w:rFonts w:asciiTheme="majorHAnsi" w:hAnsiTheme="majorHAnsi"/>
                                <w:color w:val="595959" w:themeColor="text1" w:themeTint="A6"/>
                                <w:sz w:val="18"/>
                              </w:rPr>
                              <w:t xml:space="preserve">. </w:t>
                            </w:r>
                            <w:r w:rsidR="00973F92">
                              <w:rPr>
                                <w:rFonts w:asciiTheme="majorHAnsi" w:hAnsiTheme="majorHAnsi"/>
                                <w:color w:val="595959" w:themeColor="text1" w:themeTint="A6"/>
                                <w:sz w:val="18"/>
                              </w:rPr>
                              <w:t>Estados Unidos de América</w:t>
                            </w:r>
                            <w:r>
                              <w:rPr>
                                <w:rFonts w:asciiTheme="majorHAnsi" w:hAnsiTheme="majorHAnsi"/>
                                <w:color w:val="595959" w:themeColor="text1" w:themeTint="A6"/>
                                <w:sz w:val="18"/>
                              </w:rPr>
                              <w:t xml:space="preserve">. </w:t>
                            </w:r>
                            <w:r w:rsidR="00973F92">
                              <w:rPr>
                                <w:rFonts w:asciiTheme="majorHAnsi" w:hAnsiTheme="majorHAnsi"/>
                                <w:color w:val="595959" w:themeColor="text1" w:themeTint="A6"/>
                                <w:sz w:val="18"/>
                              </w:rPr>
                              <w:t>26 de diciembre de 2018</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CB6CE4">
                        <w:rPr>
                          <w:rFonts w:asciiTheme="majorHAnsi" w:hAnsiTheme="majorHAnsi"/>
                          <w:b/>
                          <w:color w:val="595959" w:themeColor="text1" w:themeTint="A6"/>
                          <w:sz w:val="18"/>
                          <w:lang w:val="pt-BR"/>
                        </w:rPr>
                        <w:t xml:space="preserve">Citar como: </w:t>
                      </w:r>
                      <w:r w:rsidRPr="00CB6CE4">
                        <w:rPr>
                          <w:rFonts w:asciiTheme="majorHAnsi" w:hAnsiTheme="majorHAnsi"/>
                          <w:color w:val="595959" w:themeColor="text1" w:themeTint="A6"/>
                          <w:sz w:val="18"/>
                          <w:lang w:val="pt-BR"/>
                        </w:rPr>
                        <w:t xml:space="preserve">CIDH, Informe No. </w:t>
                      </w:r>
                      <w:r w:rsidR="00973F92">
                        <w:rPr>
                          <w:rFonts w:asciiTheme="majorHAnsi" w:hAnsiTheme="majorHAnsi"/>
                          <w:color w:val="595959" w:themeColor="text1" w:themeTint="A6"/>
                          <w:sz w:val="18"/>
                        </w:rPr>
                        <w:t>181</w:t>
                      </w:r>
                      <w:r>
                        <w:rPr>
                          <w:rFonts w:asciiTheme="majorHAnsi" w:hAnsiTheme="majorHAnsi"/>
                          <w:color w:val="595959" w:themeColor="text1" w:themeTint="A6"/>
                          <w:sz w:val="18"/>
                        </w:rPr>
                        <w:t>/</w:t>
                      </w:r>
                      <w:r w:rsidR="00973F92">
                        <w:rPr>
                          <w:rFonts w:asciiTheme="majorHAnsi" w:hAnsiTheme="majorHAnsi"/>
                          <w:color w:val="595959" w:themeColor="text1" w:themeTint="A6"/>
                          <w:sz w:val="18"/>
                        </w:rPr>
                        <w:t>18</w:t>
                      </w:r>
                      <w:r>
                        <w:rPr>
                          <w:rFonts w:asciiTheme="majorHAnsi" w:hAnsiTheme="majorHAnsi"/>
                          <w:color w:val="595959" w:themeColor="text1" w:themeTint="A6"/>
                          <w:sz w:val="18"/>
                        </w:rPr>
                        <w:t xml:space="preserve">, Petición </w:t>
                      </w:r>
                      <w:r w:rsidR="00973F92">
                        <w:rPr>
                          <w:rFonts w:asciiTheme="majorHAnsi" w:hAnsiTheme="majorHAnsi"/>
                          <w:color w:val="595959" w:themeColor="text1" w:themeTint="A6"/>
                          <w:sz w:val="18"/>
                        </w:rPr>
                        <w:t>300</w:t>
                      </w:r>
                      <w:r>
                        <w:rPr>
                          <w:rFonts w:asciiTheme="majorHAnsi" w:hAnsiTheme="majorHAnsi"/>
                          <w:color w:val="595959" w:themeColor="text1" w:themeTint="A6"/>
                          <w:sz w:val="18"/>
                        </w:rPr>
                        <w:t>-</w:t>
                      </w:r>
                      <w:r w:rsidR="00973F92">
                        <w:rPr>
                          <w:rFonts w:asciiTheme="majorHAnsi" w:hAnsiTheme="majorHAnsi"/>
                          <w:color w:val="595959" w:themeColor="text1" w:themeTint="A6"/>
                          <w:sz w:val="18"/>
                        </w:rPr>
                        <w:t>09</w:t>
                      </w:r>
                      <w:r>
                        <w:rPr>
                          <w:rFonts w:asciiTheme="majorHAnsi" w:hAnsiTheme="majorHAnsi"/>
                          <w:color w:val="595959" w:themeColor="text1" w:themeTint="A6"/>
                          <w:sz w:val="18"/>
                        </w:rPr>
                        <w:t xml:space="preserve">. Admisibilidad. </w:t>
                      </w:r>
                      <w:r w:rsidR="00973F92">
                        <w:rPr>
                          <w:rFonts w:asciiTheme="majorHAnsi" w:hAnsiTheme="majorHAnsi"/>
                          <w:color w:val="595959" w:themeColor="text1" w:themeTint="A6"/>
                          <w:sz w:val="18"/>
                        </w:rPr>
                        <w:t>Ronald Bullock</w:t>
                      </w:r>
                      <w:r>
                        <w:rPr>
                          <w:rFonts w:asciiTheme="majorHAnsi" w:hAnsiTheme="majorHAnsi"/>
                          <w:color w:val="595959" w:themeColor="text1" w:themeTint="A6"/>
                          <w:sz w:val="18"/>
                        </w:rPr>
                        <w:t xml:space="preserve">. </w:t>
                      </w:r>
                      <w:r w:rsidR="00973F92">
                        <w:rPr>
                          <w:rFonts w:asciiTheme="majorHAnsi" w:hAnsiTheme="majorHAnsi"/>
                          <w:color w:val="595959" w:themeColor="text1" w:themeTint="A6"/>
                          <w:sz w:val="18"/>
                        </w:rPr>
                        <w:t>Estados Unidos de América</w:t>
                      </w:r>
                      <w:r>
                        <w:rPr>
                          <w:rFonts w:asciiTheme="majorHAnsi" w:hAnsiTheme="majorHAnsi"/>
                          <w:color w:val="595959" w:themeColor="text1" w:themeTint="A6"/>
                          <w:sz w:val="18"/>
                        </w:rPr>
                        <w:t xml:space="preserve">. </w:t>
                      </w:r>
                      <w:r w:rsidR="00973F92">
                        <w:rPr>
                          <w:rFonts w:asciiTheme="majorHAnsi" w:hAnsiTheme="majorHAnsi"/>
                          <w:color w:val="595959" w:themeColor="text1" w:themeTint="A6"/>
                          <w:sz w:val="18"/>
                        </w:rPr>
                        <w:t>26 de diciembre de 2018</w:t>
                      </w:r>
                      <w:r>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lang w:val="en-US"/>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sidRPr="003C32BC">
        <w:rPr>
          <w:rFonts w:asciiTheme="majorHAnsi" w:hAnsiTheme="majorHAnsi"/>
          <w:noProof/>
          <w:sz w:val="22"/>
          <w:szCs w:val="22"/>
          <w:lang w:val="en-US"/>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195CA7">
                            <w:r w:rsidRPr="00D72DC6">
                              <w:rPr>
                                <w:noProof/>
                                <w:color w:val="FFFFFF" w:themeColor="background1"/>
                                <w:lang w:val="en-US"/>
                                <w14:textFill>
                                  <w14:noFill/>
                                </w14:textFill>
                              </w:rPr>
                              <w:drawing>
                                <wp:inline distT="0" distB="0" distL="0" distR="0" wp14:anchorId="6CE44EEB" wp14:editId="0DB46F4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195CA7">
                      <w:r w:rsidRPr="00D72DC6">
                        <w:rPr>
                          <w:noProof/>
                          <w:color w:val="FFFFFF" w:themeColor="background1"/>
                          <w:lang w:val="en-US"/>
                          <w14:textFill>
                            <w14:noFill/>
                          </w14:textFill>
                        </w:rPr>
                        <w:drawing>
                          <wp:inline distT="0" distB="0" distL="0" distR="0" wp14:anchorId="6CE44EEB" wp14:editId="0DB46F4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873568" w:rsidRDefault="00F621C3" w:rsidP="00F621C3">
      <w:pPr>
        <w:spacing w:after="240"/>
        <w:ind w:firstLine="720"/>
        <w:jc w:val="both"/>
        <w:rPr>
          <w:rFonts w:ascii="Cambria" w:hAnsi="Cambria"/>
          <w:b/>
          <w:bCs/>
          <w:sz w:val="20"/>
          <w:szCs w:val="20"/>
        </w:rPr>
      </w:pPr>
      <w:r>
        <w:rPr>
          <w:rFonts w:asciiTheme="majorHAnsi" w:hAnsiTheme="majorHAnsi"/>
          <w:b/>
          <w:bCs/>
          <w:sz w:val="20"/>
          <w:szCs w:val="20"/>
        </w:rPr>
        <w:lastRenderedPageBreak/>
        <w:t>I.</w:t>
      </w:r>
      <w:r w:rsidRPr="00873568">
        <w:rPr>
          <w:rFonts w:ascii="Cambria" w:hAnsi="Cambria"/>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73568" w:rsidTr="00195CA7">
        <w:tc>
          <w:tcPr>
            <w:tcW w:w="3690" w:type="dxa"/>
            <w:tcBorders>
              <w:top w:val="single" w:sz="4" w:space="0" w:color="auto"/>
              <w:bottom w:val="single" w:sz="6" w:space="0" w:color="auto"/>
            </w:tcBorders>
            <w:shd w:val="clear" w:color="auto" w:fill="4A7194"/>
            <w:vAlign w:val="center"/>
          </w:tcPr>
          <w:p w:rsidR="00F621C3" w:rsidRPr="00873568" w:rsidRDefault="003771A3" w:rsidP="009163FC">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Parte peticionaria:</w:t>
            </w:r>
          </w:p>
        </w:tc>
        <w:tc>
          <w:tcPr>
            <w:tcW w:w="5670" w:type="dxa"/>
            <w:vAlign w:val="center"/>
          </w:tcPr>
          <w:p w:rsidR="00F621C3" w:rsidRPr="00873568" w:rsidRDefault="00237807" w:rsidP="009163FC">
            <w:pPr>
              <w:jc w:val="both"/>
              <w:rPr>
                <w:rFonts w:ascii="Cambria" w:hAnsi="Cambria"/>
                <w:bCs/>
                <w:sz w:val="20"/>
                <w:szCs w:val="20"/>
              </w:rPr>
            </w:pPr>
            <w:r w:rsidRPr="00873568">
              <w:rPr>
                <w:rFonts w:ascii="Cambria" w:hAnsi="Cambria"/>
                <w:bCs/>
                <w:sz w:val="20"/>
                <w:szCs w:val="20"/>
              </w:rPr>
              <w:t xml:space="preserve">Asociación Internacional de Derechos Humanos de las Minorías Americanas/Diana </w:t>
            </w:r>
            <w:proofErr w:type="spellStart"/>
            <w:r w:rsidRPr="00873568">
              <w:rPr>
                <w:rFonts w:ascii="Cambria" w:hAnsi="Cambria"/>
                <w:bCs/>
                <w:sz w:val="20"/>
                <w:szCs w:val="20"/>
              </w:rPr>
              <w:t>Collier</w:t>
            </w:r>
            <w:proofErr w:type="spellEnd"/>
            <w:r w:rsidRPr="00873568">
              <w:rPr>
                <w:rFonts w:ascii="Cambria" w:hAnsi="Cambria"/>
                <w:bCs/>
                <w:sz w:val="20"/>
                <w:szCs w:val="20"/>
              </w:rPr>
              <w:t xml:space="preserve"> </w:t>
            </w:r>
            <w:proofErr w:type="spellStart"/>
            <w:r w:rsidRPr="00873568">
              <w:rPr>
                <w:rFonts w:ascii="Cambria" w:hAnsi="Cambria"/>
                <w:bCs/>
                <w:sz w:val="20"/>
                <w:szCs w:val="20"/>
              </w:rPr>
              <w:t>Kly</w:t>
            </w:r>
            <w:proofErr w:type="spellEnd"/>
          </w:p>
        </w:tc>
      </w:tr>
      <w:tr w:rsidR="00F621C3" w:rsidRPr="00873568" w:rsidTr="00195CA7">
        <w:tc>
          <w:tcPr>
            <w:tcW w:w="3690" w:type="dxa"/>
            <w:tcBorders>
              <w:top w:val="single" w:sz="6" w:space="0" w:color="auto"/>
              <w:bottom w:val="single" w:sz="6" w:space="0" w:color="auto"/>
            </w:tcBorders>
            <w:shd w:val="clear" w:color="auto" w:fill="4A7194"/>
            <w:vAlign w:val="center"/>
          </w:tcPr>
          <w:p w:rsidR="00F621C3" w:rsidRPr="00873568" w:rsidRDefault="00685E44"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4DBB5F3FC358F64B9E5EFB773263C7D2"/>
                </w:placeholder>
                <w:dropDownList>
                  <w:listItem w:value="Choose an item."/>
                  <w:listItem w:displayText="Presunta víctima:" w:value="Alleged victim"/>
                  <w:listItem w:displayText="Presuntas víctimas" w:value="Alleged victims"/>
                </w:dropDownList>
              </w:sdtPr>
              <w:sdtEndPr/>
              <w:sdtContent>
                <w:r w:rsidR="00790F47" w:rsidRPr="00873568">
                  <w:rPr>
                    <w:rFonts w:ascii="Cambria" w:hAnsi="Cambria"/>
                    <w:b/>
                    <w:bCs/>
                    <w:color w:val="FFFFFF" w:themeColor="background1"/>
                    <w:sz w:val="20"/>
                    <w:szCs w:val="20"/>
                  </w:rPr>
                  <w:t>Presunta víctima:</w:t>
                </w:r>
              </w:sdtContent>
            </w:sdt>
            <w:r w:rsidR="00790F47" w:rsidRPr="00873568">
              <w:rPr>
                <w:rFonts w:ascii="Cambria" w:hAnsi="Cambria"/>
                <w:b/>
                <w:bCs/>
                <w:color w:val="FFFFFF" w:themeColor="background1"/>
                <w:sz w:val="20"/>
                <w:szCs w:val="20"/>
              </w:rPr>
              <w:t>:</w:t>
            </w:r>
          </w:p>
        </w:tc>
        <w:tc>
          <w:tcPr>
            <w:tcW w:w="5670" w:type="dxa"/>
            <w:vAlign w:val="center"/>
          </w:tcPr>
          <w:p w:rsidR="00F621C3" w:rsidRPr="00873568" w:rsidRDefault="004042CA" w:rsidP="009163FC">
            <w:pPr>
              <w:jc w:val="both"/>
              <w:rPr>
                <w:rFonts w:ascii="Cambria" w:hAnsi="Cambria"/>
                <w:bCs/>
                <w:sz w:val="20"/>
                <w:szCs w:val="20"/>
              </w:rPr>
            </w:pPr>
            <w:r w:rsidRPr="00873568">
              <w:rPr>
                <w:rFonts w:ascii="Cambria" w:hAnsi="Cambria"/>
                <w:bCs/>
                <w:sz w:val="20"/>
                <w:szCs w:val="20"/>
              </w:rPr>
              <w:t>Ronald Bullock</w:t>
            </w:r>
          </w:p>
        </w:tc>
      </w:tr>
      <w:tr w:rsidR="00F621C3" w:rsidRPr="00873568" w:rsidTr="00195CA7">
        <w:tc>
          <w:tcPr>
            <w:tcW w:w="3690" w:type="dxa"/>
            <w:tcBorders>
              <w:top w:val="single" w:sz="6" w:space="0" w:color="auto"/>
              <w:bottom w:val="single" w:sz="6" w:space="0" w:color="auto"/>
            </w:tcBorders>
            <w:shd w:val="clear" w:color="auto" w:fill="4A7194"/>
            <w:vAlign w:val="center"/>
          </w:tcPr>
          <w:p w:rsidR="00F621C3" w:rsidRPr="00873568" w:rsidRDefault="005816E5" w:rsidP="005816E5">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Estado denunciado:</w:t>
            </w:r>
          </w:p>
        </w:tc>
        <w:tc>
          <w:tcPr>
            <w:tcW w:w="5670" w:type="dxa"/>
            <w:vAlign w:val="center"/>
          </w:tcPr>
          <w:p w:rsidR="00F621C3" w:rsidRPr="00873568" w:rsidRDefault="00237807" w:rsidP="009163FC">
            <w:pPr>
              <w:jc w:val="both"/>
              <w:rPr>
                <w:rFonts w:ascii="Cambria" w:hAnsi="Cambria"/>
                <w:bCs/>
                <w:sz w:val="20"/>
                <w:szCs w:val="20"/>
              </w:rPr>
            </w:pPr>
            <w:r w:rsidRPr="00873568">
              <w:rPr>
                <w:rFonts w:ascii="Cambria" w:hAnsi="Cambria"/>
                <w:bCs/>
                <w:sz w:val="20"/>
                <w:szCs w:val="20"/>
              </w:rPr>
              <w:t>Estados Unidos de América</w:t>
            </w:r>
            <w:r w:rsidR="001B0EB1" w:rsidRPr="00873568">
              <w:rPr>
                <w:rStyle w:val="FootnoteReference"/>
                <w:rFonts w:ascii="Cambria" w:hAnsi="Cambria"/>
                <w:bCs/>
                <w:sz w:val="20"/>
                <w:szCs w:val="20"/>
              </w:rPr>
              <w:footnoteReference w:id="2"/>
            </w:r>
          </w:p>
        </w:tc>
      </w:tr>
      <w:tr w:rsidR="00E47F3D" w:rsidRPr="00873568" w:rsidTr="00195CA7">
        <w:tc>
          <w:tcPr>
            <w:tcW w:w="3690" w:type="dxa"/>
            <w:tcBorders>
              <w:top w:val="single" w:sz="6" w:space="0" w:color="auto"/>
              <w:bottom w:val="single" w:sz="6" w:space="0" w:color="auto"/>
            </w:tcBorders>
            <w:shd w:val="clear" w:color="auto" w:fill="4A7194"/>
            <w:vAlign w:val="center"/>
          </w:tcPr>
          <w:p w:rsidR="00E47F3D" w:rsidRPr="00873568" w:rsidRDefault="00E47F3D" w:rsidP="00E7588C">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Derechos invocados:</w:t>
            </w:r>
          </w:p>
        </w:tc>
        <w:tc>
          <w:tcPr>
            <w:tcW w:w="5670" w:type="dxa"/>
            <w:vAlign w:val="center"/>
          </w:tcPr>
          <w:p w:rsidR="00E47F3D" w:rsidRPr="00873568" w:rsidRDefault="00237807" w:rsidP="00C70846">
            <w:pPr>
              <w:jc w:val="both"/>
              <w:rPr>
                <w:rFonts w:ascii="Cambria" w:hAnsi="Cambria"/>
                <w:bCs/>
                <w:sz w:val="20"/>
                <w:szCs w:val="20"/>
              </w:rPr>
            </w:pPr>
            <w:r w:rsidRPr="00873568">
              <w:rPr>
                <w:rFonts w:ascii="Cambria" w:hAnsi="Cambria"/>
                <w:bCs/>
                <w:sz w:val="20"/>
                <w:szCs w:val="20"/>
              </w:rPr>
              <w:t>Artículos II, XVIII, XXV de la Declaración Americana de los Derechos y Deberes del Hombre</w:t>
            </w:r>
            <w:r w:rsidR="00C70846" w:rsidRPr="00873568">
              <w:rPr>
                <w:rStyle w:val="FootnoteReference"/>
                <w:rFonts w:ascii="Cambria" w:hAnsi="Cambria"/>
                <w:bCs/>
                <w:sz w:val="20"/>
                <w:szCs w:val="20"/>
              </w:rPr>
              <w:footnoteReference w:id="3"/>
            </w:r>
            <w:r w:rsidRPr="00873568">
              <w:rPr>
                <w:rFonts w:ascii="Cambria" w:hAnsi="Cambria"/>
                <w:bCs/>
                <w:sz w:val="20"/>
                <w:szCs w:val="20"/>
              </w:rPr>
              <w:t xml:space="preserve"> </w:t>
            </w:r>
          </w:p>
        </w:tc>
      </w:tr>
    </w:tbl>
    <w:p w:rsidR="00F621C3" w:rsidRPr="00873568" w:rsidRDefault="00F621C3" w:rsidP="00F621C3">
      <w:pPr>
        <w:spacing w:before="240" w:after="240"/>
        <w:ind w:firstLine="720"/>
        <w:jc w:val="both"/>
        <w:rPr>
          <w:rFonts w:ascii="Cambria" w:hAnsi="Cambria"/>
          <w:b/>
          <w:bCs/>
          <w:sz w:val="20"/>
          <w:szCs w:val="20"/>
        </w:rPr>
      </w:pPr>
      <w:r w:rsidRPr="00873568">
        <w:rPr>
          <w:rFonts w:ascii="Cambria" w:hAnsi="Cambria"/>
          <w:b/>
          <w:bCs/>
          <w:sz w:val="20"/>
          <w:szCs w:val="20"/>
        </w:rPr>
        <w:t>II.</w:t>
      </w:r>
      <w:r w:rsidRPr="00873568">
        <w:rPr>
          <w:rFonts w:ascii="Cambria" w:hAnsi="Cambria"/>
          <w:b/>
          <w:bCs/>
          <w:sz w:val="20"/>
          <w:szCs w:val="20"/>
        </w:rPr>
        <w:tab/>
      </w:r>
      <w:r w:rsidRPr="00873568">
        <w:rPr>
          <w:rFonts w:ascii="Cambria" w:hAnsi="Cambria"/>
          <w:b/>
          <w:sz w:val="20"/>
          <w:szCs w:val="20"/>
        </w:rPr>
        <w:t>TRÁMITES ANTE LA CIDH</w:t>
      </w:r>
      <w:r w:rsidR="00653EA6" w:rsidRPr="00873568">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73568" w:rsidTr="00195CA7">
        <w:tc>
          <w:tcPr>
            <w:tcW w:w="3690" w:type="dxa"/>
            <w:tcBorders>
              <w:top w:val="single" w:sz="6" w:space="0" w:color="auto"/>
              <w:bottom w:val="single" w:sz="6" w:space="0" w:color="auto"/>
            </w:tcBorders>
            <w:shd w:val="clear" w:color="auto" w:fill="4A7194"/>
            <w:vAlign w:val="center"/>
          </w:tcPr>
          <w:p w:rsidR="00F621C3" w:rsidRPr="00873568" w:rsidRDefault="00B06BB7" w:rsidP="00B06BB7">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Presentación de la petición:</w:t>
            </w:r>
          </w:p>
        </w:tc>
        <w:tc>
          <w:tcPr>
            <w:tcW w:w="5670" w:type="dxa"/>
            <w:vAlign w:val="center"/>
          </w:tcPr>
          <w:p w:rsidR="00F621C3" w:rsidRPr="00873568" w:rsidRDefault="002812E5" w:rsidP="009163FC">
            <w:pPr>
              <w:jc w:val="both"/>
              <w:rPr>
                <w:rFonts w:ascii="Cambria" w:hAnsi="Cambria"/>
                <w:bCs/>
                <w:sz w:val="20"/>
                <w:szCs w:val="20"/>
              </w:rPr>
            </w:pPr>
            <w:r w:rsidRPr="00873568">
              <w:rPr>
                <w:rFonts w:ascii="Cambria" w:hAnsi="Cambria"/>
                <w:bCs/>
                <w:sz w:val="20"/>
                <w:szCs w:val="20"/>
              </w:rPr>
              <w:t>18 de marzo de 2009</w:t>
            </w:r>
          </w:p>
        </w:tc>
      </w:tr>
      <w:tr w:rsidR="00F621C3" w:rsidRPr="00873568" w:rsidTr="00195CA7">
        <w:tc>
          <w:tcPr>
            <w:tcW w:w="3690" w:type="dxa"/>
            <w:tcBorders>
              <w:top w:val="single" w:sz="6" w:space="0" w:color="auto"/>
              <w:bottom w:val="single" w:sz="6" w:space="0" w:color="auto"/>
            </w:tcBorders>
            <w:shd w:val="clear" w:color="auto" w:fill="4A7194"/>
            <w:vAlign w:val="center"/>
          </w:tcPr>
          <w:p w:rsidR="00F621C3" w:rsidRPr="00873568" w:rsidRDefault="00F621C3" w:rsidP="003771A3">
            <w:pPr>
              <w:jc w:val="center"/>
              <w:rPr>
                <w:rFonts w:ascii="Cambria" w:hAnsi="Cambria"/>
                <w:b/>
                <w:color w:val="FFFFFF" w:themeColor="background1"/>
                <w:sz w:val="20"/>
                <w:szCs w:val="20"/>
              </w:rPr>
            </w:pPr>
            <w:r w:rsidRPr="00873568">
              <w:rPr>
                <w:rFonts w:ascii="Cambria" w:hAnsi="Cambria"/>
                <w:b/>
                <w:color w:val="FFFFFF" w:themeColor="background1"/>
                <w:sz w:val="20"/>
                <w:szCs w:val="20"/>
              </w:rPr>
              <w:t>Información adicional recibida durante la etapa de estudio:</w:t>
            </w:r>
          </w:p>
        </w:tc>
        <w:tc>
          <w:tcPr>
            <w:tcW w:w="5670" w:type="dxa"/>
            <w:vAlign w:val="center"/>
          </w:tcPr>
          <w:p w:rsidR="00F621C3" w:rsidRPr="00873568" w:rsidRDefault="002812E5" w:rsidP="00E30148">
            <w:pPr>
              <w:jc w:val="both"/>
              <w:rPr>
                <w:rFonts w:ascii="Cambria" w:hAnsi="Cambria"/>
                <w:bCs/>
                <w:sz w:val="20"/>
                <w:szCs w:val="20"/>
              </w:rPr>
            </w:pPr>
            <w:r w:rsidRPr="00873568">
              <w:rPr>
                <w:rFonts w:ascii="Cambria" w:hAnsi="Cambria"/>
                <w:bCs/>
                <w:sz w:val="20"/>
                <w:szCs w:val="20"/>
              </w:rPr>
              <w:t>16 de octubre del 2009; 17 de febrero del 2010; 2 de febrero del 2012; 12 de febrero, 26 de septiembre del 2013; 17 de enero del 2014</w:t>
            </w:r>
          </w:p>
        </w:tc>
      </w:tr>
      <w:tr w:rsidR="00F621C3" w:rsidRPr="00873568" w:rsidTr="00195CA7">
        <w:tc>
          <w:tcPr>
            <w:tcW w:w="3690" w:type="dxa"/>
            <w:tcBorders>
              <w:top w:val="single" w:sz="6" w:space="0" w:color="auto"/>
              <w:bottom w:val="single" w:sz="6" w:space="0" w:color="auto"/>
            </w:tcBorders>
            <w:shd w:val="clear" w:color="auto" w:fill="4A7194"/>
            <w:vAlign w:val="center"/>
          </w:tcPr>
          <w:p w:rsidR="00F621C3" w:rsidRPr="00873568" w:rsidRDefault="00B06BB7" w:rsidP="00B06BB7">
            <w:pPr>
              <w:jc w:val="center"/>
              <w:rPr>
                <w:rFonts w:ascii="Cambria" w:hAnsi="Cambria"/>
                <w:b/>
                <w:bCs/>
                <w:color w:val="FFFFFF" w:themeColor="background1"/>
                <w:sz w:val="20"/>
                <w:szCs w:val="20"/>
              </w:rPr>
            </w:pPr>
            <w:r w:rsidRPr="00873568">
              <w:rPr>
                <w:rFonts w:ascii="Cambria" w:hAnsi="Cambria"/>
                <w:b/>
                <w:color w:val="FFFFFF" w:themeColor="background1"/>
                <w:sz w:val="20"/>
                <w:szCs w:val="20"/>
              </w:rPr>
              <w:t>Notificación de la petición al Estado:</w:t>
            </w:r>
          </w:p>
        </w:tc>
        <w:tc>
          <w:tcPr>
            <w:tcW w:w="5670" w:type="dxa"/>
            <w:vAlign w:val="center"/>
          </w:tcPr>
          <w:p w:rsidR="00F621C3" w:rsidRPr="00873568" w:rsidRDefault="003E2CA8" w:rsidP="009163FC">
            <w:pPr>
              <w:jc w:val="both"/>
              <w:rPr>
                <w:rFonts w:ascii="Cambria" w:hAnsi="Cambria"/>
                <w:bCs/>
                <w:sz w:val="20"/>
                <w:szCs w:val="20"/>
              </w:rPr>
            </w:pPr>
            <w:r w:rsidRPr="00873568">
              <w:rPr>
                <w:rFonts w:ascii="Cambria" w:hAnsi="Cambria"/>
                <w:bCs/>
                <w:sz w:val="20"/>
                <w:szCs w:val="20"/>
              </w:rPr>
              <w:t>23 de junio del 2014</w:t>
            </w:r>
          </w:p>
        </w:tc>
      </w:tr>
      <w:tr w:rsidR="00F621C3" w:rsidRPr="00873568" w:rsidTr="00195CA7">
        <w:trPr>
          <w:trHeight w:val="264"/>
        </w:trPr>
        <w:tc>
          <w:tcPr>
            <w:tcW w:w="3690" w:type="dxa"/>
            <w:tcBorders>
              <w:top w:val="single" w:sz="6" w:space="0" w:color="auto"/>
              <w:bottom w:val="single" w:sz="6" w:space="0" w:color="auto"/>
            </w:tcBorders>
            <w:shd w:val="clear" w:color="auto" w:fill="4A7194"/>
            <w:vAlign w:val="center"/>
          </w:tcPr>
          <w:p w:rsidR="00F621C3" w:rsidRPr="00873568" w:rsidRDefault="00F621C3" w:rsidP="009163FC">
            <w:pPr>
              <w:jc w:val="center"/>
              <w:rPr>
                <w:rFonts w:ascii="Cambria" w:hAnsi="Cambria"/>
                <w:b/>
                <w:bCs/>
                <w:color w:val="FFFFFF" w:themeColor="background1"/>
                <w:sz w:val="20"/>
                <w:szCs w:val="20"/>
              </w:rPr>
            </w:pPr>
            <w:r w:rsidRPr="00873568">
              <w:rPr>
                <w:rFonts w:ascii="Cambria" w:hAnsi="Cambria"/>
                <w:b/>
                <w:color w:val="FFFFFF" w:themeColor="background1"/>
                <w:sz w:val="20"/>
                <w:szCs w:val="20"/>
              </w:rPr>
              <w:t>Primera respuesta del Estado:</w:t>
            </w:r>
          </w:p>
        </w:tc>
        <w:tc>
          <w:tcPr>
            <w:tcW w:w="5670" w:type="dxa"/>
            <w:vAlign w:val="center"/>
          </w:tcPr>
          <w:p w:rsidR="00F621C3" w:rsidRPr="00873568" w:rsidRDefault="00523546" w:rsidP="006F31C6">
            <w:pPr>
              <w:jc w:val="both"/>
              <w:rPr>
                <w:rFonts w:ascii="Cambria" w:hAnsi="Cambria"/>
                <w:bCs/>
                <w:sz w:val="20"/>
                <w:szCs w:val="20"/>
              </w:rPr>
            </w:pPr>
            <w:r w:rsidRPr="00873568">
              <w:rPr>
                <w:rFonts w:ascii="Cambria" w:hAnsi="Cambria"/>
                <w:bCs/>
                <w:sz w:val="20"/>
                <w:szCs w:val="20"/>
              </w:rPr>
              <w:t>1 de diciembre de 2014</w:t>
            </w:r>
          </w:p>
        </w:tc>
      </w:tr>
      <w:tr w:rsidR="003771A3" w:rsidRPr="00873568" w:rsidTr="00195CA7">
        <w:tc>
          <w:tcPr>
            <w:tcW w:w="3690" w:type="dxa"/>
            <w:tcBorders>
              <w:top w:val="single" w:sz="6" w:space="0" w:color="auto"/>
              <w:bottom w:val="single" w:sz="6" w:space="0" w:color="auto"/>
            </w:tcBorders>
            <w:shd w:val="clear" w:color="auto" w:fill="4A7194"/>
            <w:vAlign w:val="center"/>
          </w:tcPr>
          <w:p w:rsidR="003771A3" w:rsidRPr="00873568" w:rsidRDefault="003771A3" w:rsidP="0023351C">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Observaciones adicionales de la parte peticionaria:</w:t>
            </w:r>
          </w:p>
        </w:tc>
        <w:tc>
          <w:tcPr>
            <w:tcW w:w="5670" w:type="dxa"/>
            <w:vAlign w:val="center"/>
          </w:tcPr>
          <w:p w:rsidR="003771A3" w:rsidRPr="00873568" w:rsidRDefault="006F31C6" w:rsidP="00701CAE">
            <w:pPr>
              <w:jc w:val="both"/>
              <w:rPr>
                <w:rFonts w:ascii="Cambria" w:hAnsi="Cambria"/>
                <w:bCs/>
                <w:sz w:val="20"/>
                <w:szCs w:val="20"/>
              </w:rPr>
            </w:pPr>
            <w:r w:rsidRPr="00873568">
              <w:rPr>
                <w:rFonts w:ascii="Cambria" w:hAnsi="Cambria"/>
                <w:bCs/>
                <w:sz w:val="20"/>
                <w:szCs w:val="20"/>
              </w:rPr>
              <w:t>26 de abril y 1.º de junio del 2015</w:t>
            </w:r>
          </w:p>
        </w:tc>
      </w:tr>
      <w:tr w:rsidR="003771A3" w:rsidRPr="00873568" w:rsidTr="00195CA7">
        <w:tc>
          <w:tcPr>
            <w:tcW w:w="3690" w:type="dxa"/>
            <w:tcBorders>
              <w:top w:val="single" w:sz="6" w:space="0" w:color="auto"/>
              <w:bottom w:val="single" w:sz="6" w:space="0" w:color="auto"/>
            </w:tcBorders>
            <w:shd w:val="clear" w:color="auto" w:fill="4A7194"/>
            <w:vAlign w:val="center"/>
          </w:tcPr>
          <w:p w:rsidR="003771A3" w:rsidRPr="007A7CF1" w:rsidRDefault="003771A3" w:rsidP="00653EA6">
            <w:pPr>
              <w:jc w:val="center"/>
              <w:rPr>
                <w:rFonts w:ascii="Cambria" w:hAnsi="Cambria"/>
                <w:b/>
                <w:bCs/>
                <w:color w:val="FFFFFF" w:themeColor="background1"/>
                <w:sz w:val="19"/>
                <w:szCs w:val="19"/>
              </w:rPr>
            </w:pPr>
            <w:r w:rsidRPr="007A7CF1">
              <w:rPr>
                <w:rFonts w:ascii="Cambria" w:hAnsi="Cambria"/>
                <w:b/>
                <w:bCs/>
                <w:color w:val="FFFFFF" w:themeColor="background1"/>
                <w:sz w:val="19"/>
                <w:szCs w:val="19"/>
              </w:rPr>
              <w:t>Observaciones adicionales del Estado:</w:t>
            </w:r>
          </w:p>
        </w:tc>
        <w:tc>
          <w:tcPr>
            <w:tcW w:w="5670" w:type="dxa"/>
            <w:vAlign w:val="center"/>
          </w:tcPr>
          <w:p w:rsidR="003771A3" w:rsidRPr="00873568" w:rsidRDefault="00DB7AC1" w:rsidP="009163FC">
            <w:pPr>
              <w:jc w:val="both"/>
              <w:rPr>
                <w:rFonts w:ascii="Cambria" w:hAnsi="Cambria"/>
                <w:bCs/>
                <w:sz w:val="20"/>
                <w:szCs w:val="20"/>
              </w:rPr>
            </w:pPr>
            <w:r w:rsidRPr="00873568">
              <w:rPr>
                <w:rFonts w:ascii="Cambria" w:hAnsi="Cambria"/>
                <w:bCs/>
                <w:sz w:val="20"/>
                <w:szCs w:val="20"/>
              </w:rPr>
              <w:t>24 de enero del 2017</w:t>
            </w:r>
          </w:p>
        </w:tc>
      </w:tr>
    </w:tbl>
    <w:p w:rsidR="00F621C3" w:rsidRPr="00873568" w:rsidRDefault="00F621C3" w:rsidP="00F621C3">
      <w:pPr>
        <w:spacing w:before="240" w:after="240"/>
        <w:ind w:firstLine="720"/>
        <w:jc w:val="both"/>
        <w:rPr>
          <w:rFonts w:ascii="Cambria" w:hAnsi="Cambria"/>
          <w:b/>
          <w:bCs/>
          <w:sz w:val="20"/>
          <w:szCs w:val="20"/>
        </w:rPr>
      </w:pPr>
      <w:r w:rsidRPr="00873568">
        <w:rPr>
          <w:rFonts w:ascii="Cambria" w:hAnsi="Cambria"/>
          <w:b/>
          <w:bCs/>
          <w:sz w:val="20"/>
          <w:szCs w:val="20"/>
        </w:rPr>
        <w:t xml:space="preserve">III. </w:t>
      </w:r>
      <w:r w:rsidRPr="00873568">
        <w:rPr>
          <w:rFonts w:ascii="Cambria" w:hAnsi="Cambria"/>
          <w:b/>
          <w:bCs/>
          <w:sz w:val="20"/>
          <w:szCs w:val="20"/>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73568" w:rsidTr="00195CA7">
        <w:trPr>
          <w:cantSplit/>
        </w:trPr>
        <w:tc>
          <w:tcPr>
            <w:tcW w:w="3690" w:type="dxa"/>
            <w:tcBorders>
              <w:top w:val="single" w:sz="4" w:space="0" w:color="auto"/>
              <w:bottom w:val="single" w:sz="6" w:space="0" w:color="auto"/>
            </w:tcBorders>
            <w:shd w:val="clear" w:color="auto" w:fill="4A7194"/>
            <w:vAlign w:val="center"/>
          </w:tcPr>
          <w:p w:rsidR="00F621C3" w:rsidRPr="00873568" w:rsidRDefault="00F621C3" w:rsidP="009163FC">
            <w:pPr>
              <w:jc w:val="center"/>
              <w:rPr>
                <w:rFonts w:ascii="Cambria" w:hAnsi="Cambria"/>
                <w:b/>
                <w:bCs/>
                <w:i/>
                <w:color w:val="FFFFFF" w:themeColor="background1"/>
                <w:sz w:val="20"/>
                <w:szCs w:val="20"/>
              </w:rPr>
            </w:pPr>
            <w:r w:rsidRPr="00873568">
              <w:rPr>
                <w:rFonts w:ascii="Cambria" w:hAnsi="Cambria"/>
                <w:b/>
                <w:bCs/>
                <w:color w:val="FFFFFF" w:themeColor="background1"/>
                <w:sz w:val="20"/>
                <w:szCs w:val="20"/>
              </w:rPr>
              <w:t xml:space="preserve">Competencia </w:t>
            </w:r>
            <w:proofErr w:type="spellStart"/>
            <w:r w:rsidRPr="00873568">
              <w:rPr>
                <w:rFonts w:ascii="Cambria" w:hAnsi="Cambria"/>
                <w:b/>
                <w:bCs/>
                <w:i/>
                <w:color w:val="FFFFFF" w:themeColor="background1"/>
                <w:sz w:val="20"/>
                <w:szCs w:val="20"/>
              </w:rPr>
              <w:t>Ratione</w:t>
            </w:r>
            <w:proofErr w:type="spellEnd"/>
            <w:r w:rsidRPr="00873568">
              <w:rPr>
                <w:rFonts w:ascii="Cambria" w:hAnsi="Cambria"/>
                <w:b/>
                <w:bCs/>
                <w:i/>
                <w:color w:val="FFFFFF" w:themeColor="background1"/>
                <w:sz w:val="20"/>
                <w:szCs w:val="20"/>
              </w:rPr>
              <w:t xml:space="preserve"> </w:t>
            </w:r>
            <w:proofErr w:type="spellStart"/>
            <w:r w:rsidRPr="00873568">
              <w:rPr>
                <w:rFonts w:ascii="Cambria" w:hAnsi="Cambria"/>
                <w:b/>
                <w:bCs/>
                <w:i/>
                <w:color w:val="FFFFFF" w:themeColor="background1"/>
                <w:sz w:val="20"/>
                <w:szCs w:val="20"/>
              </w:rPr>
              <w:t>personae</w:t>
            </w:r>
            <w:proofErr w:type="spellEnd"/>
            <w:r w:rsidRPr="00873568">
              <w:rPr>
                <w:rFonts w:ascii="Cambria" w:hAnsi="Cambria"/>
                <w:b/>
                <w:bCs/>
                <w:color w:val="FFFFFF" w:themeColor="background1"/>
                <w:sz w:val="20"/>
                <w:szCs w:val="20"/>
              </w:rPr>
              <w:t>:</w:t>
            </w:r>
          </w:p>
        </w:tc>
        <w:tc>
          <w:tcPr>
            <w:tcW w:w="5670" w:type="dxa"/>
            <w:vAlign w:val="center"/>
          </w:tcPr>
          <w:p w:rsidR="00F621C3" w:rsidRPr="00873568" w:rsidRDefault="00DB7AC1" w:rsidP="009163FC">
            <w:pPr>
              <w:rPr>
                <w:rFonts w:ascii="Cambria" w:hAnsi="Cambria"/>
                <w:bCs/>
                <w:sz w:val="20"/>
                <w:szCs w:val="20"/>
              </w:rPr>
            </w:pPr>
            <w:r w:rsidRPr="00873568">
              <w:rPr>
                <w:rFonts w:ascii="Cambria" w:hAnsi="Cambria"/>
                <w:bCs/>
                <w:sz w:val="20"/>
                <w:szCs w:val="20"/>
              </w:rPr>
              <w:t>Sí</w:t>
            </w:r>
          </w:p>
        </w:tc>
      </w:tr>
      <w:tr w:rsidR="00F621C3" w:rsidRPr="00873568" w:rsidTr="00195CA7">
        <w:trPr>
          <w:cantSplit/>
        </w:trPr>
        <w:tc>
          <w:tcPr>
            <w:tcW w:w="3690" w:type="dxa"/>
            <w:tcBorders>
              <w:top w:val="single" w:sz="6" w:space="0" w:color="auto"/>
              <w:bottom w:val="single" w:sz="6" w:space="0" w:color="auto"/>
            </w:tcBorders>
            <w:shd w:val="clear" w:color="auto" w:fill="4A7194"/>
            <w:vAlign w:val="center"/>
          </w:tcPr>
          <w:p w:rsidR="00F621C3" w:rsidRPr="00873568" w:rsidRDefault="00F621C3" w:rsidP="009163FC">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Competencia</w:t>
            </w:r>
            <w:r w:rsidRPr="00873568">
              <w:rPr>
                <w:rFonts w:ascii="Cambria" w:hAnsi="Cambria"/>
                <w:b/>
                <w:bCs/>
                <w:i/>
                <w:color w:val="FFFFFF" w:themeColor="background1"/>
                <w:sz w:val="20"/>
                <w:szCs w:val="20"/>
              </w:rPr>
              <w:t xml:space="preserve"> </w:t>
            </w:r>
            <w:proofErr w:type="spellStart"/>
            <w:r w:rsidRPr="00873568">
              <w:rPr>
                <w:rFonts w:ascii="Cambria" w:hAnsi="Cambria"/>
                <w:b/>
                <w:bCs/>
                <w:i/>
                <w:color w:val="FFFFFF" w:themeColor="background1"/>
                <w:sz w:val="20"/>
                <w:szCs w:val="20"/>
              </w:rPr>
              <w:t>Ratione</w:t>
            </w:r>
            <w:proofErr w:type="spellEnd"/>
            <w:r w:rsidRPr="00873568">
              <w:rPr>
                <w:rFonts w:ascii="Cambria" w:hAnsi="Cambria"/>
                <w:b/>
                <w:bCs/>
                <w:i/>
                <w:color w:val="FFFFFF" w:themeColor="background1"/>
                <w:sz w:val="20"/>
                <w:szCs w:val="20"/>
              </w:rPr>
              <w:t xml:space="preserve"> </w:t>
            </w:r>
            <w:proofErr w:type="spellStart"/>
            <w:r w:rsidRPr="00873568">
              <w:rPr>
                <w:rFonts w:ascii="Cambria" w:hAnsi="Cambria"/>
                <w:b/>
                <w:bCs/>
                <w:i/>
                <w:color w:val="FFFFFF" w:themeColor="background1"/>
                <w:sz w:val="20"/>
                <w:szCs w:val="20"/>
              </w:rPr>
              <w:t>loci</w:t>
            </w:r>
            <w:proofErr w:type="spellEnd"/>
            <w:r w:rsidRPr="00873568">
              <w:rPr>
                <w:rFonts w:ascii="Cambria" w:hAnsi="Cambria"/>
                <w:b/>
                <w:bCs/>
                <w:color w:val="FFFFFF" w:themeColor="background1"/>
                <w:sz w:val="20"/>
                <w:szCs w:val="20"/>
              </w:rPr>
              <w:t>:</w:t>
            </w:r>
          </w:p>
        </w:tc>
        <w:tc>
          <w:tcPr>
            <w:tcW w:w="5670" w:type="dxa"/>
            <w:vAlign w:val="center"/>
          </w:tcPr>
          <w:p w:rsidR="00F621C3" w:rsidRPr="00873568" w:rsidRDefault="00DB7AC1" w:rsidP="009163FC">
            <w:pPr>
              <w:rPr>
                <w:rFonts w:ascii="Cambria" w:hAnsi="Cambria"/>
                <w:bCs/>
                <w:sz w:val="20"/>
                <w:szCs w:val="20"/>
              </w:rPr>
            </w:pPr>
            <w:r w:rsidRPr="00873568">
              <w:rPr>
                <w:rFonts w:ascii="Cambria" w:hAnsi="Cambria"/>
                <w:bCs/>
                <w:sz w:val="20"/>
                <w:szCs w:val="20"/>
              </w:rPr>
              <w:t>Sí</w:t>
            </w:r>
          </w:p>
        </w:tc>
      </w:tr>
      <w:tr w:rsidR="00F621C3" w:rsidRPr="00873568" w:rsidTr="00195CA7">
        <w:trPr>
          <w:cantSplit/>
        </w:trPr>
        <w:tc>
          <w:tcPr>
            <w:tcW w:w="3690" w:type="dxa"/>
            <w:tcBorders>
              <w:top w:val="single" w:sz="6" w:space="0" w:color="auto"/>
              <w:bottom w:val="single" w:sz="6" w:space="0" w:color="auto"/>
            </w:tcBorders>
            <w:shd w:val="clear" w:color="auto" w:fill="4A7194"/>
            <w:vAlign w:val="center"/>
          </w:tcPr>
          <w:p w:rsidR="00F621C3" w:rsidRPr="00873568" w:rsidRDefault="00F621C3" w:rsidP="009163FC">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Competencia</w:t>
            </w:r>
            <w:r w:rsidRPr="00873568">
              <w:rPr>
                <w:rFonts w:ascii="Cambria" w:hAnsi="Cambria"/>
                <w:b/>
                <w:bCs/>
                <w:i/>
                <w:color w:val="FFFFFF" w:themeColor="background1"/>
                <w:sz w:val="20"/>
                <w:szCs w:val="20"/>
              </w:rPr>
              <w:t xml:space="preserve"> </w:t>
            </w:r>
            <w:proofErr w:type="spellStart"/>
            <w:r w:rsidRPr="00873568">
              <w:rPr>
                <w:rFonts w:ascii="Cambria" w:hAnsi="Cambria"/>
                <w:b/>
                <w:bCs/>
                <w:i/>
                <w:color w:val="FFFFFF" w:themeColor="background1"/>
                <w:sz w:val="20"/>
                <w:szCs w:val="20"/>
              </w:rPr>
              <w:t>Ratione</w:t>
            </w:r>
            <w:proofErr w:type="spellEnd"/>
            <w:r w:rsidRPr="00873568">
              <w:rPr>
                <w:rFonts w:ascii="Cambria" w:hAnsi="Cambria"/>
                <w:b/>
                <w:bCs/>
                <w:i/>
                <w:color w:val="FFFFFF" w:themeColor="background1"/>
                <w:sz w:val="20"/>
                <w:szCs w:val="20"/>
              </w:rPr>
              <w:t xml:space="preserve"> </w:t>
            </w:r>
            <w:proofErr w:type="spellStart"/>
            <w:r w:rsidRPr="00873568">
              <w:rPr>
                <w:rFonts w:ascii="Cambria" w:hAnsi="Cambria"/>
                <w:b/>
                <w:bCs/>
                <w:i/>
                <w:color w:val="FFFFFF" w:themeColor="background1"/>
                <w:sz w:val="20"/>
                <w:szCs w:val="20"/>
              </w:rPr>
              <w:t>temporis</w:t>
            </w:r>
            <w:proofErr w:type="spellEnd"/>
            <w:r w:rsidRPr="00873568">
              <w:rPr>
                <w:rFonts w:ascii="Cambria" w:hAnsi="Cambria"/>
                <w:b/>
                <w:bCs/>
                <w:color w:val="FFFFFF" w:themeColor="background1"/>
                <w:sz w:val="20"/>
                <w:szCs w:val="20"/>
              </w:rPr>
              <w:t>:</w:t>
            </w:r>
          </w:p>
        </w:tc>
        <w:tc>
          <w:tcPr>
            <w:tcW w:w="5670" w:type="dxa"/>
            <w:vAlign w:val="center"/>
          </w:tcPr>
          <w:p w:rsidR="00F621C3" w:rsidRPr="00873568" w:rsidRDefault="00DB7AC1" w:rsidP="009163FC">
            <w:pPr>
              <w:rPr>
                <w:rFonts w:ascii="Cambria" w:hAnsi="Cambria"/>
                <w:bCs/>
                <w:sz w:val="20"/>
                <w:szCs w:val="20"/>
              </w:rPr>
            </w:pPr>
            <w:r w:rsidRPr="00873568">
              <w:rPr>
                <w:rFonts w:ascii="Cambria" w:hAnsi="Cambria"/>
                <w:bCs/>
                <w:sz w:val="20"/>
                <w:szCs w:val="20"/>
              </w:rPr>
              <w:t>Sí</w:t>
            </w:r>
          </w:p>
        </w:tc>
      </w:tr>
      <w:tr w:rsidR="00F621C3" w:rsidRPr="00873568" w:rsidTr="00195CA7">
        <w:trPr>
          <w:cantSplit/>
        </w:trPr>
        <w:tc>
          <w:tcPr>
            <w:tcW w:w="3690" w:type="dxa"/>
            <w:tcBorders>
              <w:top w:val="single" w:sz="6" w:space="0" w:color="auto"/>
              <w:bottom w:val="single" w:sz="6" w:space="0" w:color="auto"/>
            </w:tcBorders>
            <w:shd w:val="clear" w:color="auto" w:fill="4A7194"/>
            <w:vAlign w:val="center"/>
          </w:tcPr>
          <w:p w:rsidR="00F621C3" w:rsidRPr="00873568" w:rsidRDefault="00F621C3" w:rsidP="009163FC">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Competencia</w:t>
            </w:r>
            <w:r w:rsidRPr="00873568">
              <w:rPr>
                <w:rFonts w:ascii="Cambria" w:hAnsi="Cambria"/>
                <w:b/>
                <w:bCs/>
                <w:i/>
                <w:color w:val="FFFFFF" w:themeColor="background1"/>
                <w:sz w:val="20"/>
                <w:szCs w:val="20"/>
              </w:rPr>
              <w:t xml:space="preserve"> </w:t>
            </w:r>
            <w:proofErr w:type="spellStart"/>
            <w:r w:rsidRPr="00873568">
              <w:rPr>
                <w:rFonts w:ascii="Cambria" w:hAnsi="Cambria"/>
                <w:b/>
                <w:bCs/>
                <w:i/>
                <w:color w:val="FFFFFF" w:themeColor="background1"/>
                <w:sz w:val="20"/>
                <w:szCs w:val="20"/>
              </w:rPr>
              <w:t>Ratione</w:t>
            </w:r>
            <w:proofErr w:type="spellEnd"/>
            <w:r w:rsidRPr="00873568">
              <w:rPr>
                <w:rFonts w:ascii="Cambria" w:hAnsi="Cambria"/>
                <w:b/>
                <w:bCs/>
                <w:i/>
                <w:color w:val="FFFFFF" w:themeColor="background1"/>
                <w:sz w:val="20"/>
                <w:szCs w:val="20"/>
              </w:rPr>
              <w:t xml:space="preserve"> </w:t>
            </w:r>
            <w:proofErr w:type="spellStart"/>
            <w:r w:rsidRPr="00873568">
              <w:rPr>
                <w:rFonts w:ascii="Cambria" w:hAnsi="Cambria"/>
                <w:b/>
                <w:bCs/>
                <w:i/>
                <w:color w:val="FFFFFF" w:themeColor="background1"/>
                <w:sz w:val="20"/>
                <w:szCs w:val="20"/>
              </w:rPr>
              <w:t>materiae</w:t>
            </w:r>
            <w:proofErr w:type="spellEnd"/>
            <w:r w:rsidRPr="00873568">
              <w:rPr>
                <w:rFonts w:ascii="Cambria" w:hAnsi="Cambria"/>
                <w:b/>
                <w:bCs/>
                <w:color w:val="FFFFFF" w:themeColor="background1"/>
                <w:sz w:val="20"/>
                <w:szCs w:val="20"/>
              </w:rPr>
              <w:t>:</w:t>
            </w:r>
          </w:p>
        </w:tc>
        <w:tc>
          <w:tcPr>
            <w:tcW w:w="5670" w:type="dxa"/>
            <w:vAlign w:val="center"/>
          </w:tcPr>
          <w:p w:rsidR="00F621C3" w:rsidRPr="00873568" w:rsidRDefault="0059183C" w:rsidP="009163FC">
            <w:pPr>
              <w:jc w:val="both"/>
              <w:rPr>
                <w:rFonts w:ascii="Cambria" w:hAnsi="Cambria"/>
                <w:bCs/>
                <w:sz w:val="20"/>
                <w:szCs w:val="20"/>
              </w:rPr>
            </w:pPr>
            <w:r w:rsidRPr="00873568">
              <w:rPr>
                <w:rFonts w:ascii="Cambria" w:hAnsi="Cambria"/>
                <w:bCs/>
                <w:sz w:val="20"/>
                <w:szCs w:val="20"/>
              </w:rPr>
              <w:t>Sí, la Declaración Americana (ratificación de la Carta de la OEA el 19 de junio de 1951)</w:t>
            </w:r>
          </w:p>
        </w:tc>
      </w:tr>
    </w:tbl>
    <w:p w:rsidR="00F621C3" w:rsidRPr="00873568" w:rsidRDefault="00F621C3" w:rsidP="00F621C3">
      <w:pPr>
        <w:spacing w:before="240" w:after="240"/>
        <w:ind w:firstLine="720"/>
        <w:jc w:val="both"/>
        <w:rPr>
          <w:rFonts w:ascii="Cambria" w:hAnsi="Cambria"/>
          <w:b/>
          <w:bCs/>
          <w:sz w:val="20"/>
          <w:szCs w:val="20"/>
        </w:rPr>
      </w:pPr>
      <w:r w:rsidRPr="00873568">
        <w:rPr>
          <w:rFonts w:ascii="Cambria" w:hAnsi="Cambria"/>
          <w:b/>
          <w:bCs/>
          <w:sz w:val="20"/>
          <w:szCs w:val="20"/>
        </w:rPr>
        <w:t xml:space="preserve">IV. </w:t>
      </w:r>
      <w:r w:rsidRPr="00873568">
        <w:rPr>
          <w:rFonts w:ascii="Cambria" w:hAnsi="Cambria"/>
          <w:b/>
          <w:bCs/>
          <w:sz w:val="20"/>
          <w:szCs w:val="20"/>
        </w:rPr>
        <w:tab/>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73568" w:rsidTr="00195CA7">
        <w:trPr>
          <w:cantSplit/>
        </w:trPr>
        <w:tc>
          <w:tcPr>
            <w:tcW w:w="3690" w:type="dxa"/>
            <w:tcBorders>
              <w:top w:val="single" w:sz="4" w:space="0" w:color="auto"/>
              <w:bottom w:val="single" w:sz="6" w:space="0" w:color="auto"/>
            </w:tcBorders>
            <w:shd w:val="clear" w:color="auto" w:fill="4A7194"/>
            <w:vAlign w:val="center"/>
          </w:tcPr>
          <w:p w:rsidR="00F621C3" w:rsidRPr="00873568" w:rsidRDefault="00F621C3" w:rsidP="009163FC">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Duplicación de procedimientos y cosa juzgada internacional:</w:t>
            </w:r>
          </w:p>
        </w:tc>
        <w:tc>
          <w:tcPr>
            <w:tcW w:w="5670" w:type="dxa"/>
            <w:vAlign w:val="center"/>
          </w:tcPr>
          <w:p w:rsidR="00F621C3" w:rsidRPr="00873568" w:rsidRDefault="00C06F77" w:rsidP="009163FC">
            <w:pPr>
              <w:jc w:val="both"/>
              <w:rPr>
                <w:rFonts w:ascii="Cambria" w:hAnsi="Cambria"/>
                <w:bCs/>
                <w:sz w:val="20"/>
                <w:szCs w:val="20"/>
              </w:rPr>
            </w:pPr>
            <w:r w:rsidRPr="00873568">
              <w:rPr>
                <w:rFonts w:ascii="Cambria" w:hAnsi="Cambria"/>
                <w:bCs/>
                <w:sz w:val="20"/>
                <w:szCs w:val="20"/>
              </w:rPr>
              <w:t>No</w:t>
            </w:r>
          </w:p>
        </w:tc>
      </w:tr>
      <w:tr w:rsidR="00F621C3" w:rsidRPr="00873568" w:rsidTr="00195CA7">
        <w:trPr>
          <w:cantSplit/>
        </w:trPr>
        <w:tc>
          <w:tcPr>
            <w:tcW w:w="3690" w:type="dxa"/>
            <w:tcBorders>
              <w:top w:val="single" w:sz="6" w:space="0" w:color="auto"/>
              <w:bottom w:val="single" w:sz="6" w:space="0" w:color="auto"/>
            </w:tcBorders>
            <w:shd w:val="clear" w:color="auto" w:fill="4A7194"/>
            <w:vAlign w:val="center"/>
          </w:tcPr>
          <w:p w:rsidR="00F621C3" w:rsidRPr="00873568" w:rsidRDefault="00F621C3" w:rsidP="009163FC">
            <w:pPr>
              <w:jc w:val="center"/>
              <w:rPr>
                <w:rFonts w:ascii="Cambria" w:hAnsi="Cambria"/>
                <w:b/>
                <w:bCs/>
                <w:i/>
                <w:color w:val="FFFFFF" w:themeColor="background1"/>
                <w:sz w:val="20"/>
                <w:szCs w:val="20"/>
              </w:rPr>
            </w:pPr>
            <w:r w:rsidRPr="00873568">
              <w:rPr>
                <w:rFonts w:ascii="Cambria" w:hAnsi="Cambria"/>
                <w:b/>
                <w:bCs/>
                <w:color w:val="FFFFFF" w:themeColor="background1"/>
                <w:sz w:val="20"/>
                <w:szCs w:val="20"/>
              </w:rPr>
              <w:t>Derechos declarados admisibles:</w:t>
            </w:r>
          </w:p>
        </w:tc>
        <w:tc>
          <w:tcPr>
            <w:tcW w:w="5670" w:type="dxa"/>
            <w:vAlign w:val="center"/>
          </w:tcPr>
          <w:p w:rsidR="00F621C3" w:rsidRPr="00873568" w:rsidRDefault="007A7CF1" w:rsidP="00DD410A">
            <w:pPr>
              <w:jc w:val="both"/>
              <w:rPr>
                <w:rFonts w:ascii="Cambria" w:hAnsi="Cambria"/>
                <w:bCs/>
                <w:sz w:val="20"/>
                <w:szCs w:val="20"/>
              </w:rPr>
            </w:pPr>
            <w:r w:rsidRPr="00873568">
              <w:rPr>
                <w:rFonts w:ascii="Cambria" w:hAnsi="Cambria"/>
                <w:sz w:val="20"/>
                <w:szCs w:val="20"/>
              </w:rPr>
              <w:t>II (derecho a la igualdad ante la ley), XVIII (garantías judiciales) XXV (trato humano durante la detención) y XXVI (debido proceso legal)</w:t>
            </w:r>
          </w:p>
        </w:tc>
      </w:tr>
      <w:tr w:rsidR="00F621C3" w:rsidRPr="00873568" w:rsidTr="00195CA7">
        <w:trPr>
          <w:cantSplit/>
        </w:trPr>
        <w:tc>
          <w:tcPr>
            <w:tcW w:w="3690" w:type="dxa"/>
            <w:tcBorders>
              <w:top w:val="single" w:sz="6" w:space="0" w:color="auto"/>
              <w:bottom w:val="single" w:sz="6" w:space="0" w:color="auto"/>
            </w:tcBorders>
            <w:shd w:val="clear" w:color="auto" w:fill="4A7194"/>
            <w:vAlign w:val="center"/>
          </w:tcPr>
          <w:p w:rsidR="00F621C3" w:rsidRPr="00873568" w:rsidRDefault="00F621C3" w:rsidP="009163FC">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Agotamiento de recursos internos o procedencia de una excepción:</w:t>
            </w:r>
          </w:p>
        </w:tc>
        <w:tc>
          <w:tcPr>
            <w:tcW w:w="5670" w:type="dxa"/>
            <w:vAlign w:val="center"/>
          </w:tcPr>
          <w:p w:rsidR="00F621C3" w:rsidRPr="00873568" w:rsidRDefault="007B1509" w:rsidP="009163FC">
            <w:pPr>
              <w:rPr>
                <w:rFonts w:ascii="Cambria" w:hAnsi="Cambria"/>
                <w:bCs/>
                <w:sz w:val="20"/>
                <w:szCs w:val="20"/>
              </w:rPr>
            </w:pPr>
            <w:r w:rsidRPr="00873568">
              <w:rPr>
                <w:rFonts w:ascii="Cambria" w:hAnsi="Cambria"/>
                <w:bCs/>
                <w:sz w:val="20"/>
                <w:szCs w:val="20"/>
              </w:rPr>
              <w:t>Sí, en los términos de la Sección VI de este informe</w:t>
            </w:r>
          </w:p>
        </w:tc>
      </w:tr>
      <w:tr w:rsidR="00F621C3" w:rsidRPr="00873568" w:rsidTr="00195CA7">
        <w:trPr>
          <w:cantSplit/>
        </w:trPr>
        <w:tc>
          <w:tcPr>
            <w:tcW w:w="3690" w:type="dxa"/>
            <w:tcBorders>
              <w:top w:val="single" w:sz="6" w:space="0" w:color="auto"/>
              <w:bottom w:val="single" w:sz="6" w:space="0" w:color="auto"/>
            </w:tcBorders>
            <w:shd w:val="clear" w:color="auto" w:fill="4A7194"/>
            <w:vAlign w:val="center"/>
          </w:tcPr>
          <w:p w:rsidR="00F621C3" w:rsidRPr="00873568" w:rsidRDefault="00F621C3" w:rsidP="009163FC">
            <w:pPr>
              <w:jc w:val="center"/>
              <w:rPr>
                <w:rFonts w:ascii="Cambria" w:hAnsi="Cambria"/>
                <w:b/>
                <w:bCs/>
                <w:color w:val="FFFFFF" w:themeColor="background1"/>
                <w:sz w:val="20"/>
                <w:szCs w:val="20"/>
              </w:rPr>
            </w:pPr>
            <w:r w:rsidRPr="00873568">
              <w:rPr>
                <w:rFonts w:ascii="Cambria" w:hAnsi="Cambria"/>
                <w:b/>
                <w:bCs/>
                <w:color w:val="FFFFFF" w:themeColor="background1"/>
                <w:sz w:val="20"/>
                <w:szCs w:val="20"/>
              </w:rPr>
              <w:t>Presentación dentro del plazo:</w:t>
            </w:r>
          </w:p>
        </w:tc>
        <w:tc>
          <w:tcPr>
            <w:tcW w:w="5670" w:type="dxa"/>
            <w:vAlign w:val="center"/>
          </w:tcPr>
          <w:p w:rsidR="00F621C3" w:rsidRPr="00873568" w:rsidRDefault="007B1509" w:rsidP="007B1509">
            <w:pPr>
              <w:rPr>
                <w:rFonts w:ascii="Cambria" w:hAnsi="Cambria"/>
                <w:bCs/>
                <w:sz w:val="20"/>
                <w:szCs w:val="20"/>
              </w:rPr>
            </w:pPr>
            <w:r w:rsidRPr="00873568">
              <w:rPr>
                <w:rFonts w:ascii="Cambria" w:hAnsi="Cambria"/>
                <w:bCs/>
                <w:sz w:val="20"/>
                <w:szCs w:val="20"/>
              </w:rPr>
              <w:t>Sí, en los términos de la Sección VI</w:t>
            </w:r>
          </w:p>
        </w:tc>
      </w:tr>
    </w:tbl>
    <w:p w:rsidR="007A7CF1" w:rsidRDefault="007A7CF1" w:rsidP="006A6F95">
      <w:pPr>
        <w:ind w:firstLine="720"/>
        <w:rPr>
          <w:rFonts w:ascii="Cambria" w:hAnsi="Cambria"/>
          <w:b/>
          <w:sz w:val="20"/>
          <w:szCs w:val="20"/>
        </w:rPr>
      </w:pPr>
    </w:p>
    <w:p w:rsidR="00F621C3" w:rsidRPr="00873568" w:rsidRDefault="00B06BB7" w:rsidP="006A6F95">
      <w:pPr>
        <w:ind w:firstLine="720"/>
        <w:rPr>
          <w:rFonts w:ascii="Cambria" w:hAnsi="Cambria"/>
          <w:b/>
          <w:sz w:val="20"/>
          <w:szCs w:val="20"/>
        </w:rPr>
      </w:pPr>
      <w:r w:rsidRPr="00873568">
        <w:rPr>
          <w:rFonts w:ascii="Cambria" w:hAnsi="Cambria"/>
          <w:b/>
          <w:sz w:val="20"/>
          <w:szCs w:val="20"/>
        </w:rPr>
        <w:t xml:space="preserve">V. </w:t>
      </w:r>
      <w:r w:rsidRPr="00873568">
        <w:rPr>
          <w:rFonts w:ascii="Cambria" w:hAnsi="Cambria"/>
          <w:b/>
          <w:sz w:val="20"/>
          <w:szCs w:val="20"/>
        </w:rPr>
        <w:tab/>
        <w:t xml:space="preserve">HECHOS ALEGADOS </w:t>
      </w:r>
    </w:p>
    <w:p w:rsidR="00701CAE" w:rsidRPr="00873568" w:rsidRDefault="00701CAE" w:rsidP="00701CAE">
      <w:pPr>
        <w:rPr>
          <w:rFonts w:ascii="Cambria" w:hAnsi="Cambria"/>
          <w:b/>
          <w:sz w:val="20"/>
          <w:szCs w:val="20"/>
        </w:rPr>
      </w:pPr>
    </w:p>
    <w:p w:rsidR="00C06F77" w:rsidRPr="00873568" w:rsidRDefault="006318B2" w:rsidP="00C06F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 xml:space="preserve"> La presunta víctima, Ronald Bullock (“Sr. Bullock”), fue condenada en 1986 y sentenciada a 60 años de prisión por violación y agresión sexual. Luego de cumplir 12 años en prisión, recibió indulto del gobernador de Illinois y aceptó una compensación de $20 000. En el 2001, la parte peticionaria presentó una demanda de derechos civiles contra la ciudad de Chicago por daños y perjuicios, la cual fue rechazada.  </w:t>
      </w:r>
    </w:p>
    <w:p w:rsidR="00C06F77" w:rsidRPr="00873568" w:rsidRDefault="00C06F77" w:rsidP="00C06F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lastRenderedPageBreak/>
        <w:t xml:space="preserve">Entre otros múltiples alegatos, el Sr. Bullock alega que ha sido sometido a malos tratos y tortura durante su detención en el contexto de abusos diseminados hacia afroamericanos atacados debido a sus actividades políticas por parte de las autoridades judiciales de Chicago, que los responsables nunca fueron culpabilizados y que no recibió una compensación adecuada.    </w:t>
      </w:r>
    </w:p>
    <w:p w:rsidR="00C06F77" w:rsidRPr="00873568" w:rsidRDefault="006F7CC6" w:rsidP="006F7C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 xml:space="preserve">La parte peticionaria indica que, mientras la presunta víctima (afroamericano) caminaba hasta su hogar el 5 de mayo de 1983, él y su hijo pequeño fueron llevados hasta una estación de policía por parte de los oficiales David </w:t>
      </w:r>
      <w:proofErr w:type="spellStart"/>
      <w:r w:rsidRPr="00873568">
        <w:rPr>
          <w:rFonts w:ascii="Cambria" w:hAnsi="Cambria"/>
          <w:sz w:val="20"/>
          <w:szCs w:val="20"/>
        </w:rPr>
        <w:t>Dioguardi</w:t>
      </w:r>
      <w:proofErr w:type="spellEnd"/>
      <w:r w:rsidRPr="00873568">
        <w:rPr>
          <w:rFonts w:ascii="Cambria" w:hAnsi="Cambria"/>
          <w:sz w:val="20"/>
          <w:szCs w:val="20"/>
        </w:rPr>
        <w:t xml:space="preserve"> y Patrick </w:t>
      </w:r>
      <w:proofErr w:type="spellStart"/>
      <w:r w:rsidRPr="00873568">
        <w:rPr>
          <w:rFonts w:ascii="Cambria" w:hAnsi="Cambria"/>
          <w:sz w:val="20"/>
          <w:szCs w:val="20"/>
        </w:rPr>
        <w:t>O’Hara</w:t>
      </w:r>
      <w:proofErr w:type="spellEnd"/>
      <w:r w:rsidRPr="00873568">
        <w:rPr>
          <w:rFonts w:ascii="Cambria" w:hAnsi="Cambria"/>
          <w:sz w:val="20"/>
          <w:szCs w:val="20"/>
        </w:rPr>
        <w:t xml:space="preserve"> para cuestionarlos sobre el tiroteo. Se alega que la presunta víctima sufrió violaciones de sus derechos fundamentales de debido proceso, fue arrestada sin orden judicial bajo la sospecha de violación, quedó recluida en régimen de incomunicación, se le denegó el derecho a ser llevado inmediatamente ante un juez para la determinación de una causa probable, no se le permitió llamar a su abogado ni a nadie durante la detención, se le prohibió hablar con familiares que estuvieran en la estación de policía y no se le brindó un recibo por la inca</w:t>
      </w:r>
      <w:r w:rsidR="00E87C65" w:rsidRPr="00873568">
        <w:rPr>
          <w:rFonts w:ascii="Cambria" w:hAnsi="Cambria"/>
          <w:sz w:val="20"/>
          <w:szCs w:val="20"/>
        </w:rPr>
        <w:t xml:space="preserve">utación de sus pertenencias. </w:t>
      </w:r>
      <w:r w:rsidRPr="00873568">
        <w:rPr>
          <w:rFonts w:ascii="Cambria" w:hAnsi="Cambria"/>
          <w:sz w:val="20"/>
          <w:szCs w:val="20"/>
        </w:rPr>
        <w:t>La parte peticionaria también afirma que la víctima fue sometida a tortura y maltrato: se lo desnudó y dejó aislado en el frío, se lo golpeó con guías telefónicas y no se le permitió dormir, se lo amenazó apuntándolo con armas, no se le permitió comer ni beber por más de 36 horas (lo cual incluyó una extensiva interrogación de hasta nueve horas), no se le permitió utilizar servicios sanitarios por más de ocho horas y no se le permitió alimentar ni cambiar a su hijo pequeño, quien había estado detenido con él.</w:t>
      </w:r>
    </w:p>
    <w:p w:rsidR="00F621C3" w:rsidRPr="00873568" w:rsidRDefault="006F7CC6" w:rsidP="006F7C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 xml:space="preserve">La presunta víctima presentó múltiples amparos durante estos 12 años de reclusión. Uno de dichos amparos comenzó en 1986 y fue resuelta mediante una orden de cláusula y sentencia el 10 de enero de 1994, en la cual el Sr. Bullock presuntamente, según fue asesorado por su abogada </w:t>
      </w:r>
      <w:proofErr w:type="spellStart"/>
      <w:r w:rsidRPr="00873568">
        <w:rPr>
          <w:rFonts w:ascii="Cambria" w:hAnsi="Cambria"/>
          <w:sz w:val="20"/>
          <w:szCs w:val="20"/>
        </w:rPr>
        <w:t>Kathleen</w:t>
      </w:r>
      <w:proofErr w:type="spellEnd"/>
      <w:r w:rsidRPr="00873568">
        <w:rPr>
          <w:rFonts w:ascii="Cambria" w:hAnsi="Cambria"/>
          <w:sz w:val="20"/>
          <w:szCs w:val="20"/>
        </w:rPr>
        <w:t xml:space="preserve"> </w:t>
      </w:r>
      <w:proofErr w:type="spellStart"/>
      <w:r w:rsidRPr="00873568">
        <w:rPr>
          <w:rFonts w:ascii="Cambria" w:hAnsi="Cambria"/>
          <w:sz w:val="20"/>
          <w:szCs w:val="20"/>
        </w:rPr>
        <w:t>Zellner</w:t>
      </w:r>
      <w:proofErr w:type="spellEnd"/>
      <w:r w:rsidRPr="00873568">
        <w:rPr>
          <w:rFonts w:ascii="Cambria" w:hAnsi="Cambria"/>
          <w:sz w:val="20"/>
          <w:szCs w:val="20"/>
        </w:rPr>
        <w:t>, aceptó recibir $3000 en efectivo para prescindir de su derecho a demandar a la ciudad de Chicago o a cualquiera de sus agentes.</w:t>
      </w:r>
    </w:p>
    <w:p w:rsidR="006F7CC6" w:rsidRPr="00873568" w:rsidRDefault="0002473B" w:rsidP="006F7C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 xml:space="preserve">El Sr. Bullock afirma que interpuso denuncias en el Tribunal de Distrito de los Estados Unidos, Distrito Norte de Illinois, el Tribunal de Circuito del Condado de Cook, Illinois, y la Suprema Corte de Illinois en relación con su arresto y reclusión presuntamente ilegales.   </w:t>
      </w:r>
    </w:p>
    <w:p w:rsidR="006F7CC6" w:rsidRPr="00873568" w:rsidRDefault="006F7CC6" w:rsidP="006F7C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 xml:space="preserve">La presunta víctima interpuso una demanda multimillonaria por daños y perjuicios en el Tribunal de Circuito del Condado de Cook el 14 de julio de 1995, en contra de los dos oficiales de policía involucrados en dicha demanda, la ciudad de Chicago y las dos víctimas de agresión sexual. Acusó a "dos policías de Chicago de arrestarlo sin razón, abusar físicamente de su hijo y de su persona, y de presionar a la víctima de violación, quien nunca lo había visto, para que lo seleccionara en la rueda de identificación de la policía". La ciudad transfirió el caso al Tribunal del Distrito de los Estados Unidos, N.D. Illinois, División Oriental el 11 de agosto de 1995. El 4 de octubre de 1995, la ciudad optó por un proceso sumario, alegando que la cláusula de enero de 1994 excluyó la acción. El Tribunal de Distrito proporcionó un proceso sumario a favor de la ciudad de Chicago, basado en la cláusula.    </w:t>
      </w:r>
    </w:p>
    <w:p w:rsidR="006F7CC6" w:rsidRPr="00873568" w:rsidRDefault="00844804" w:rsidP="00844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 xml:space="preserve">El 27 de marzo de 1998, la presunta víctima recibió indulto por parte del gobernador de Illinois. El Sr. Bullock fue liberado y recibió $20 000 de compensación </w:t>
      </w:r>
      <w:r w:rsidR="00E87C65" w:rsidRPr="00873568">
        <w:rPr>
          <w:rFonts w:ascii="Cambria" w:hAnsi="Cambria"/>
          <w:sz w:val="20"/>
          <w:szCs w:val="20"/>
        </w:rPr>
        <w:t xml:space="preserve">del Condado de Cook, Illinois. </w:t>
      </w:r>
      <w:r w:rsidRPr="00873568">
        <w:rPr>
          <w:rFonts w:ascii="Cambria" w:hAnsi="Cambria"/>
          <w:sz w:val="20"/>
          <w:szCs w:val="20"/>
        </w:rPr>
        <w:t>Además, afirma que en 1998 el Estado de Illinois le otorgó una suma de $120 000 por haber sido llevado a prisión injustamente.</w:t>
      </w:r>
    </w:p>
    <w:p w:rsidR="00844804" w:rsidRPr="00873568" w:rsidRDefault="00844804" w:rsidP="008448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En marzo del 2001, la presunta víctima presentó una demanda en el Tribunal de Distrito de los Estados Unidos, Distrito Norte de Illinois en contra de la ciudad de Chicago, debido a daños y perjuicios como consecuencia de varias violaciones constitucionales, bajo 42 U.S.C. § 1</w:t>
      </w:r>
      <w:r w:rsidR="00E87C65" w:rsidRPr="00873568">
        <w:rPr>
          <w:rFonts w:ascii="Cambria" w:hAnsi="Cambria"/>
          <w:sz w:val="20"/>
          <w:szCs w:val="20"/>
        </w:rPr>
        <w:t xml:space="preserve">983 (“sección acción 1983”). </w:t>
      </w:r>
      <w:r w:rsidRPr="00873568">
        <w:rPr>
          <w:rFonts w:ascii="Cambria" w:hAnsi="Cambria"/>
          <w:sz w:val="20"/>
          <w:szCs w:val="20"/>
        </w:rPr>
        <w:t>Algunos de estos reclamos alegan que los técnicos del Laboratorio de Criminalística de Chicago se involucraron en un patrón y práctica de distorsión de testimonios y de ocultamiento de pruebas exculpat</w:t>
      </w:r>
      <w:r w:rsidR="00E87C65" w:rsidRPr="00873568">
        <w:rPr>
          <w:rFonts w:ascii="Cambria" w:hAnsi="Cambria"/>
          <w:sz w:val="20"/>
          <w:szCs w:val="20"/>
        </w:rPr>
        <w:t xml:space="preserve">orias para asistir la condena. </w:t>
      </w:r>
      <w:r w:rsidRPr="00873568">
        <w:rPr>
          <w:rFonts w:ascii="Cambria" w:hAnsi="Cambria"/>
          <w:sz w:val="20"/>
          <w:szCs w:val="20"/>
        </w:rPr>
        <w:t>La presunta víctima también alegó que los resultados de un análisis de sangre que lo habrían exonerado fueron deliberad</w:t>
      </w:r>
      <w:r w:rsidR="00E87C65" w:rsidRPr="00873568">
        <w:rPr>
          <w:rFonts w:ascii="Cambria" w:hAnsi="Cambria"/>
          <w:sz w:val="20"/>
          <w:szCs w:val="20"/>
        </w:rPr>
        <w:t xml:space="preserve">amente destruidos u ocultados. </w:t>
      </w:r>
      <w:r w:rsidRPr="00873568">
        <w:rPr>
          <w:rFonts w:ascii="Cambria" w:hAnsi="Cambria"/>
          <w:sz w:val="20"/>
          <w:szCs w:val="20"/>
        </w:rPr>
        <w:t>También, alegó que fue sometido a varias formas de tortura durante su detención.</w:t>
      </w:r>
    </w:p>
    <w:p w:rsidR="00844804" w:rsidRPr="00873568" w:rsidRDefault="00CD038B" w:rsidP="00CD03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 xml:space="preserve">El 10 de enero del 2003, la ciudad de Chicago interpuso una moción para proceso sumario y el 21 de abril del 2003 el Tribunal del Distrito aprobó la moción del acusado. El 22 de agosto del 2003, la </w:t>
      </w:r>
      <w:r w:rsidRPr="00873568">
        <w:rPr>
          <w:rFonts w:ascii="Cambria" w:hAnsi="Cambria"/>
          <w:sz w:val="20"/>
          <w:szCs w:val="20"/>
        </w:rPr>
        <w:lastRenderedPageBreak/>
        <w:t>moción de reconsideración de la moción de proceso sumario presentada por la presunta víctima fue rechaza y el Tribunal del Distrito denegó los alegatos de la parte peticionaria sobre</w:t>
      </w:r>
      <w:r w:rsidR="00E87C65" w:rsidRPr="00873568">
        <w:rPr>
          <w:rFonts w:ascii="Cambria" w:hAnsi="Cambria"/>
          <w:sz w:val="20"/>
          <w:szCs w:val="20"/>
        </w:rPr>
        <w:t xml:space="preserve"> fondo. </w:t>
      </w:r>
      <w:r w:rsidRPr="00873568">
        <w:rPr>
          <w:rFonts w:ascii="Cambria" w:hAnsi="Cambria"/>
          <w:sz w:val="20"/>
          <w:szCs w:val="20"/>
        </w:rPr>
        <w:t>La presunta víctima interpuso un recurso de apelación el 19 de septiembre del 2003. Mediante una orden de fecha 16 de noviembre del 2004, el Tribunal de Apelación de los Estados Unidos, Séptimo Circuito rechazó la apelación de la parte peticionaria. La supuesta víctima solicitó reemprender el caso, pero fue denegado por el Séptimo Circuito el 11 de febrero del 2005.</w:t>
      </w:r>
    </w:p>
    <w:p w:rsidR="00CD038B" w:rsidRPr="00873568" w:rsidRDefault="00EB1B74" w:rsidP="00EB1B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El Estado alega que la petición es inadmisible, ya que (a) las denuncias son inoportunas; (b) la presunta víctima ya ha recibido una compensación del Estado sobre las denuncias que interpone ante la Comisión, y (c) la fórmula de cuarta instancia de la Comisión descartó los alegatos presentados en la petición, debido a que ascienden a un mero desacuerdo con las determinaciones de los tribunales domésticos.</w:t>
      </w:r>
    </w:p>
    <w:p w:rsidR="00EB1B74" w:rsidRPr="00873568" w:rsidRDefault="00EB1B74" w:rsidP="00EB1B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El Estado sostiene que desde 1984, la presunta víctima recibió tres pagos: el primero en 1986, cuando el Sr. Bullock interpuso una denuncia en contra de la ciudad de Chicago por detención ilegal, relacionada con su arresto en 1983 por violación y secuestro que implicó esta</w:t>
      </w:r>
      <w:r w:rsidR="00E87C65" w:rsidRPr="00873568">
        <w:rPr>
          <w:rFonts w:ascii="Cambria" w:hAnsi="Cambria"/>
          <w:sz w:val="20"/>
          <w:szCs w:val="20"/>
        </w:rPr>
        <w:t xml:space="preserve"> condena y reclusión en 1984. </w:t>
      </w:r>
      <w:r w:rsidRPr="00873568">
        <w:rPr>
          <w:rFonts w:ascii="Cambria" w:hAnsi="Cambria"/>
          <w:sz w:val="20"/>
          <w:szCs w:val="20"/>
        </w:rPr>
        <w:t>La ciudad r</w:t>
      </w:r>
      <w:r w:rsidR="00E87C65" w:rsidRPr="00873568">
        <w:rPr>
          <w:rFonts w:ascii="Cambria" w:hAnsi="Cambria"/>
          <w:sz w:val="20"/>
          <w:szCs w:val="20"/>
        </w:rPr>
        <w:t xml:space="preserve">esolvió la denuncia con $3000. </w:t>
      </w:r>
      <w:r w:rsidRPr="00873568">
        <w:rPr>
          <w:rFonts w:ascii="Cambria" w:hAnsi="Cambria"/>
          <w:sz w:val="20"/>
          <w:szCs w:val="20"/>
        </w:rPr>
        <w:t>En segundo lugar, también en 1986, el Sr. Bullock interpuso una denuncia en contra del Estado de Cook, Illinois por la supuesta falta de protección de su persona con respecto a violencia pandillera durante su reclusión en la cárcel del condado, donde aguardaba el juicio por violación.  El Estado afirma que el Condado resolvió aquella denuncia co</w:t>
      </w:r>
      <w:r w:rsidR="00E87C65" w:rsidRPr="00873568">
        <w:rPr>
          <w:rFonts w:ascii="Cambria" w:hAnsi="Cambria"/>
          <w:sz w:val="20"/>
          <w:szCs w:val="20"/>
        </w:rPr>
        <w:t xml:space="preserve">n el Sr. Bullock por $20 000. </w:t>
      </w:r>
      <w:r w:rsidRPr="00873568">
        <w:rPr>
          <w:rFonts w:ascii="Cambria" w:hAnsi="Cambria"/>
          <w:sz w:val="20"/>
          <w:szCs w:val="20"/>
        </w:rPr>
        <w:t xml:space="preserve">Aparte de estos dos pagos, el Estado indica que el Sr. Bullock recibió un tercer pago de $120 300 por parte del Estado de Illinois el 5 de agosto de 1998, específicamente a modo de compensación por su injusto arresto de 12 años de duración.   </w:t>
      </w:r>
    </w:p>
    <w:p w:rsidR="00EB1B74" w:rsidRPr="00873568" w:rsidRDefault="00563234" w:rsidP="005632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Según el Estado, este último pago estaba de acuerdo con la ley del Estado de Illinois que garantiza jurisdicción exclusiva al Tribunal de Denuncias de Illinois sobre todas las denuncias en contra del Estado debido a condenas injustas cumplidas en prisión cuando la persona recluida recibió indulto del gobernador basa</w:t>
      </w:r>
      <w:r w:rsidR="00E87C65" w:rsidRPr="00873568">
        <w:rPr>
          <w:rFonts w:ascii="Cambria" w:hAnsi="Cambria"/>
          <w:sz w:val="20"/>
          <w:szCs w:val="20"/>
        </w:rPr>
        <w:t xml:space="preserve">do en argumentos de inocencia. </w:t>
      </w:r>
      <w:r w:rsidRPr="00873568">
        <w:rPr>
          <w:rFonts w:ascii="Cambria" w:hAnsi="Cambria"/>
          <w:sz w:val="20"/>
          <w:szCs w:val="20"/>
        </w:rPr>
        <w:t>El Estado alega que el Sr. Bullock recibió este pago luego de haber interpuesto una denuncia de acuerdo con est</w:t>
      </w:r>
      <w:r w:rsidR="00E87C65" w:rsidRPr="00873568">
        <w:rPr>
          <w:rFonts w:ascii="Cambria" w:hAnsi="Cambria"/>
          <w:sz w:val="20"/>
          <w:szCs w:val="20"/>
        </w:rPr>
        <w:t xml:space="preserve">a ley del Estado de Illinois. </w:t>
      </w:r>
      <w:r w:rsidRPr="00873568">
        <w:rPr>
          <w:rFonts w:ascii="Cambria" w:hAnsi="Cambria"/>
          <w:sz w:val="20"/>
          <w:szCs w:val="20"/>
        </w:rPr>
        <w:t>Además, indica que el Sr. Bullock disputó el laudo, pero no se presentó en tres audiencias consecu</w:t>
      </w:r>
      <w:r w:rsidR="00E87C65" w:rsidRPr="00873568">
        <w:rPr>
          <w:rFonts w:ascii="Cambria" w:hAnsi="Cambria"/>
          <w:sz w:val="20"/>
          <w:szCs w:val="20"/>
        </w:rPr>
        <w:t xml:space="preserve">tivas de evaluación del caso. </w:t>
      </w:r>
      <w:r w:rsidRPr="00873568">
        <w:rPr>
          <w:rFonts w:ascii="Cambria" w:hAnsi="Cambria"/>
          <w:sz w:val="20"/>
          <w:szCs w:val="20"/>
        </w:rPr>
        <w:t xml:space="preserve">En vista de la ausencia del Sr. Bullock para generar los alegatos y presentar la evidencia relevante a su denuncia, el Tribunal de Illinois finalizó el laudo el 15 de marzo del 2001.    </w:t>
      </w:r>
    </w:p>
    <w:p w:rsidR="00563234" w:rsidRPr="00873568" w:rsidRDefault="00CB6CE4" w:rsidP="00CB6C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6CE4">
        <w:rPr>
          <w:rFonts w:ascii="Cambria" w:hAnsi="Cambria"/>
          <w:sz w:val="20"/>
          <w:szCs w:val="20"/>
        </w:rPr>
        <w:t>Con respecto al plazo de la presentación</w:t>
      </w:r>
      <w:r w:rsidR="00563234" w:rsidRPr="00873568">
        <w:rPr>
          <w:rFonts w:ascii="Cambria" w:hAnsi="Cambria"/>
          <w:sz w:val="20"/>
          <w:szCs w:val="20"/>
        </w:rPr>
        <w:t>, el Estado alega que desconoce actividades en el proceso doméstico del Sr. Bullock desde febrero del 2005 y que este último no interpuso su petición ante la Comisión hasta el 18 de mar</w:t>
      </w:r>
      <w:r w:rsidR="00E87C65" w:rsidRPr="00873568">
        <w:rPr>
          <w:rFonts w:ascii="Cambria" w:hAnsi="Cambria"/>
          <w:sz w:val="20"/>
          <w:szCs w:val="20"/>
        </w:rPr>
        <w:t xml:space="preserve">zo del 2009. </w:t>
      </w:r>
      <w:r w:rsidR="00563234" w:rsidRPr="00873568">
        <w:rPr>
          <w:rFonts w:ascii="Cambria" w:hAnsi="Cambria"/>
          <w:sz w:val="20"/>
          <w:szCs w:val="20"/>
        </w:rPr>
        <w:t>El Estado afirma que el artículo 32 (1) del Reglamento de la Comisión requiere que las peticiones se "interpongan dentro de un período de seis meses después de la fecha de notificación a la supuesta víctima con respecto a la decisión que agot</w:t>
      </w:r>
      <w:r w:rsidR="00E87C65" w:rsidRPr="00873568">
        <w:rPr>
          <w:rFonts w:ascii="Cambria" w:hAnsi="Cambria"/>
          <w:sz w:val="20"/>
          <w:szCs w:val="20"/>
        </w:rPr>
        <w:t xml:space="preserve">ó los recursos domésticos". </w:t>
      </w:r>
      <w:r w:rsidR="00563234" w:rsidRPr="00873568">
        <w:rPr>
          <w:rFonts w:ascii="Cambria" w:hAnsi="Cambria"/>
          <w:sz w:val="20"/>
          <w:szCs w:val="20"/>
        </w:rPr>
        <w:t>El Estado nota que la compensación pagada por el Estado de Illinois debido a su condena indebida finalizó en marzo del 2001 y que el proceso consecuente, proveniente de los mismos hechos, con respecto a la condena y la reclusión del Sr. Bullock, fue concluido en febrero del 2005. El Estado indica que ante la falta de explicación sobre la demora por parte de la presunta víctima, esta petición debería desestimarse al ser inoportuna.</w:t>
      </w:r>
    </w:p>
    <w:p w:rsidR="00F621C3" w:rsidRPr="00873568" w:rsidRDefault="00F621C3" w:rsidP="00F621C3">
      <w:pPr>
        <w:spacing w:before="240" w:after="240"/>
        <w:ind w:firstLine="720"/>
        <w:jc w:val="both"/>
        <w:rPr>
          <w:rFonts w:ascii="Cambria" w:hAnsi="Cambria"/>
          <w:sz w:val="20"/>
          <w:szCs w:val="20"/>
        </w:rPr>
      </w:pPr>
      <w:r w:rsidRPr="00873568">
        <w:rPr>
          <w:rFonts w:ascii="Cambria" w:hAnsi="Cambria"/>
          <w:b/>
          <w:bCs/>
          <w:color w:val="000000"/>
          <w:sz w:val="20"/>
          <w:szCs w:val="20"/>
          <w:u w:color="000000"/>
        </w:rPr>
        <w:t>VI.</w:t>
      </w:r>
      <w:r w:rsidRPr="00873568">
        <w:rPr>
          <w:rFonts w:ascii="Cambria" w:hAnsi="Cambria"/>
          <w:b/>
          <w:bCs/>
          <w:color w:val="000000"/>
          <w:sz w:val="20"/>
          <w:szCs w:val="20"/>
          <w:u w:color="000000"/>
        </w:rPr>
        <w:tab/>
      </w:r>
      <w:r w:rsidRPr="00873568">
        <w:rPr>
          <w:rFonts w:ascii="Cambria" w:hAnsi="Cambria"/>
          <w:b/>
          <w:sz w:val="20"/>
          <w:szCs w:val="20"/>
        </w:rPr>
        <w:t>ANÁLISIS DE AGOTAMIENTO DE LOS RECURSOS INTERNOS Y PLAZO DE PRESENTACIÓN</w:t>
      </w:r>
      <w:r w:rsidRPr="00873568">
        <w:rPr>
          <w:rFonts w:ascii="Cambria" w:hAnsi="Cambria"/>
          <w:b/>
          <w:bCs/>
          <w:color w:val="000000"/>
          <w:sz w:val="20"/>
          <w:szCs w:val="20"/>
          <w:u w:color="000000"/>
        </w:rPr>
        <w:t xml:space="preserve"> </w:t>
      </w:r>
    </w:p>
    <w:p w:rsidR="00F621C3" w:rsidRPr="00873568" w:rsidRDefault="00451C9C" w:rsidP="00451C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 xml:space="preserve">La supuesta víctima indica que fue injustamente condenada y sentenciada por un crimen que no cometió y que los responsables nunca fueron culpabilizados, aunque recibió indulto por parte del gobernador de Illinois, basado en argumentos de inocencia (de acuerdo con los resultados de un examen de ADN que negaron que el Sr. Bullock </w:t>
      </w:r>
      <w:r w:rsidR="00E87C65" w:rsidRPr="00873568">
        <w:rPr>
          <w:rFonts w:ascii="Cambria" w:hAnsi="Cambria"/>
          <w:sz w:val="20"/>
          <w:szCs w:val="20"/>
        </w:rPr>
        <w:t xml:space="preserve">haya sido el autor material). </w:t>
      </w:r>
      <w:r w:rsidRPr="00873568">
        <w:rPr>
          <w:rFonts w:ascii="Cambria" w:hAnsi="Cambria"/>
          <w:sz w:val="20"/>
          <w:szCs w:val="20"/>
        </w:rPr>
        <w:t>La presunta víctima presentó múltiples demandas en contra del Estado de Illinois (y el Condado de Cook, Illinois), con respecto al arresto, la condena, el maltrato durante la detención y el ocultamiento/destrucción de un análisis de san</w:t>
      </w:r>
      <w:r w:rsidR="00E87C65" w:rsidRPr="00873568">
        <w:rPr>
          <w:rFonts w:ascii="Cambria" w:hAnsi="Cambria"/>
          <w:sz w:val="20"/>
          <w:szCs w:val="20"/>
        </w:rPr>
        <w:t xml:space="preserve">gre que lo hubiese exonerado. </w:t>
      </w:r>
      <w:r w:rsidRPr="00873568">
        <w:rPr>
          <w:rFonts w:ascii="Cambria" w:hAnsi="Cambria"/>
          <w:sz w:val="20"/>
          <w:szCs w:val="20"/>
        </w:rPr>
        <w:t xml:space="preserve">Estas denuncias fueron resueltas o desestimadas.      </w:t>
      </w:r>
    </w:p>
    <w:p w:rsidR="00451C9C" w:rsidRPr="00873568" w:rsidRDefault="00C93824" w:rsidP="00801E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El proceso final fue concluido ante el Tribunal de Apelación de los Estados Unidos, Séptimo Circuito, el cual rechazó la apelación de la parte peticionaria. La supuesta víctima solicitó reemprender el caso, pero fue denegado por el Séptimo Circuito el 11 d</w:t>
      </w:r>
      <w:r w:rsidR="00E87C65" w:rsidRPr="00873568">
        <w:rPr>
          <w:rFonts w:ascii="Cambria" w:hAnsi="Cambria"/>
          <w:sz w:val="20"/>
          <w:szCs w:val="20"/>
        </w:rPr>
        <w:t xml:space="preserve">e febrero del 2005. </w:t>
      </w:r>
      <w:r w:rsidRPr="00873568">
        <w:rPr>
          <w:rFonts w:ascii="Cambria" w:hAnsi="Cambria"/>
          <w:sz w:val="20"/>
          <w:szCs w:val="20"/>
        </w:rPr>
        <w:t xml:space="preserve">El Estado no ha cuestionado la </w:t>
      </w:r>
      <w:r w:rsidRPr="00873568">
        <w:rPr>
          <w:rFonts w:ascii="Cambria" w:hAnsi="Cambria"/>
          <w:sz w:val="20"/>
          <w:szCs w:val="20"/>
        </w:rPr>
        <w:lastRenderedPageBreak/>
        <w:t>secuencia de recursos interpuestos y ha notado que la supuesta víctima tuvo acceso a la justicia y sus apelaciones fueron debidamente consideradas, aunque los resultados</w:t>
      </w:r>
      <w:r w:rsidR="00E87C65" w:rsidRPr="00873568">
        <w:rPr>
          <w:rFonts w:ascii="Cambria" w:hAnsi="Cambria"/>
          <w:sz w:val="20"/>
          <w:szCs w:val="20"/>
        </w:rPr>
        <w:t xml:space="preserve"> fueron desfavorables para él. </w:t>
      </w:r>
      <w:r w:rsidRPr="00873568">
        <w:rPr>
          <w:rFonts w:ascii="Cambria" w:hAnsi="Cambria"/>
          <w:sz w:val="20"/>
          <w:szCs w:val="20"/>
        </w:rPr>
        <w:t xml:space="preserve">Por lo tanto, según la información disponible, la Comisión ha determinado que se ha cumplido el requisito de agotamiento de todos los recursos domésticos proporcionados en el artículo 31 (1) del Reglamento de la Comisión.    </w:t>
      </w:r>
    </w:p>
    <w:p w:rsidR="005A05D6" w:rsidRPr="00873568" w:rsidRDefault="00801E9A" w:rsidP="009F77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Además, la Comisión nota que las acusaciones de tortura y maltrato de la presunta víctima se efectuaron durante todo el proceso y la parte peticionaria alega que los responsable</w:t>
      </w:r>
      <w:r w:rsidR="00E87C65" w:rsidRPr="00873568">
        <w:rPr>
          <w:rFonts w:ascii="Cambria" w:hAnsi="Cambria"/>
          <w:sz w:val="20"/>
          <w:szCs w:val="20"/>
        </w:rPr>
        <w:t xml:space="preserve">s nunca fueron culpabilizados. </w:t>
      </w:r>
      <w:r w:rsidRPr="00873568">
        <w:rPr>
          <w:rFonts w:ascii="Cambria" w:hAnsi="Cambria"/>
          <w:sz w:val="20"/>
          <w:szCs w:val="20"/>
        </w:rPr>
        <w:t>La Comisión reitera que, según los estándares internacionales correspondientes a casos como este, en los que se alegan graves violaciones de derechos humanos (como la tortura), el recurso adecuado y efectivo es precisamente iniciar y realizar una investigación destinada a clarificar los hechos y, si es necesario, individualizar las personas responsables y atribuir las responsabilidades correspondientes</w:t>
      </w:r>
      <w:r w:rsidR="00B45E5B" w:rsidRPr="00873568">
        <w:rPr>
          <w:rStyle w:val="FootnoteReference"/>
          <w:rFonts w:ascii="Cambria" w:hAnsi="Cambria"/>
          <w:sz w:val="20"/>
          <w:szCs w:val="20"/>
        </w:rPr>
        <w:footnoteReference w:id="5"/>
      </w:r>
      <w:r w:rsidRPr="00873568">
        <w:rPr>
          <w:rFonts w:ascii="Cambria" w:hAnsi="Cambria"/>
          <w:sz w:val="20"/>
          <w:szCs w:val="20"/>
        </w:rPr>
        <w:t>.</w:t>
      </w:r>
    </w:p>
    <w:p w:rsidR="00496C2F" w:rsidRPr="00873568" w:rsidRDefault="00496C2F" w:rsidP="00801E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En cuanto al requerimiento de presentación de la petición, el Estado explícitamente niega que se haya cumplido, ya que la última decisión judicial en el marco de estos procesos se efectuó en febrero del 2005, mientras que la petición no se presentó a la CIDH hasta marzo del 2009. Respecto a esto, la Comisión nota que ambas partes están de acuerdo con afirmar que el fallo anteriormente mencionado se</w:t>
      </w:r>
      <w:r w:rsidR="00E87C65" w:rsidRPr="00873568">
        <w:rPr>
          <w:rFonts w:ascii="Cambria" w:hAnsi="Cambria"/>
          <w:sz w:val="20"/>
          <w:szCs w:val="20"/>
        </w:rPr>
        <w:t xml:space="preserve"> realizó en febrero del 2005. </w:t>
      </w:r>
      <w:r w:rsidRPr="00873568">
        <w:rPr>
          <w:rFonts w:ascii="Cambria" w:hAnsi="Cambria"/>
          <w:sz w:val="20"/>
          <w:szCs w:val="20"/>
        </w:rPr>
        <w:t>La Comisión observa que los actos alegados en cuestión comenzaron en 1983 y que sus efectos con respecto a la presunta falta de investigación y castigo de aquellos actos para la supuesta víctima continúan hasta la fecha. En consecuencia, en el marco del contexto y las características del presente caso, la Comisión considera que la petición se interpuso dentro de un periodo razonable, según los términos del artículo 32.2 del Reglamento de la CIDH.</w:t>
      </w:r>
    </w:p>
    <w:p w:rsidR="00F621C3" w:rsidRPr="00873568" w:rsidRDefault="00F621C3" w:rsidP="00F621C3">
      <w:pPr>
        <w:pStyle w:val="ListParagraph"/>
        <w:spacing w:before="240" w:after="240"/>
        <w:jc w:val="both"/>
        <w:rPr>
          <w:b/>
          <w:sz w:val="20"/>
          <w:szCs w:val="20"/>
        </w:rPr>
      </w:pPr>
      <w:r w:rsidRPr="00873568">
        <w:rPr>
          <w:b/>
          <w:bCs/>
          <w:sz w:val="20"/>
          <w:szCs w:val="20"/>
        </w:rPr>
        <w:t>VII.</w:t>
      </w:r>
      <w:r w:rsidRPr="00873568">
        <w:rPr>
          <w:b/>
          <w:bCs/>
          <w:sz w:val="20"/>
          <w:szCs w:val="20"/>
        </w:rPr>
        <w:tab/>
        <w:t>ANÁLISIS DE CARACTERIZACIÓN DE LOS HECHOS ALEGADOS</w:t>
      </w:r>
    </w:p>
    <w:p w:rsidR="000A39CE" w:rsidRPr="00873568" w:rsidRDefault="0045310D" w:rsidP="000A39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 xml:space="preserve">En vista de los elementos de hecho y de derecho presentados por las partes y la naturaleza del asunto puestos bajo su conocimiento, la Comisión cree que, de ser probados, es posible que los presuntos actos de tortura y maltrato con respecto a la supuesta víctima, así como la falta de investigación de dichas denuncias, representen violaciones de los derechos consagrados en los artículos II (derecho a la igualdad ante la ley), XVIII (garantías judiciales) XXV (trato humano durante la detención) y XXVI (debido proceso legal) de la Declaración Americana. </w:t>
      </w:r>
    </w:p>
    <w:p w:rsidR="00F621C3" w:rsidRPr="00873568" w:rsidRDefault="00F621C3" w:rsidP="00F621C3">
      <w:pPr>
        <w:pStyle w:val="ListParagraph"/>
        <w:spacing w:before="240" w:after="240"/>
        <w:jc w:val="both"/>
        <w:rPr>
          <w:b/>
          <w:bCs/>
          <w:sz w:val="20"/>
          <w:szCs w:val="20"/>
        </w:rPr>
      </w:pPr>
      <w:r w:rsidRPr="00873568">
        <w:rPr>
          <w:b/>
          <w:bCs/>
          <w:sz w:val="20"/>
          <w:szCs w:val="20"/>
        </w:rPr>
        <w:t xml:space="preserve">VIII. </w:t>
      </w:r>
      <w:r w:rsidRPr="00873568">
        <w:rPr>
          <w:b/>
          <w:bCs/>
          <w:sz w:val="20"/>
          <w:szCs w:val="20"/>
        </w:rPr>
        <w:tab/>
        <w:t>DECISIÓN</w:t>
      </w:r>
    </w:p>
    <w:p w:rsidR="0045310D" w:rsidRPr="00873568" w:rsidRDefault="00F621C3" w:rsidP="00FE5DC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Declarar la presente petición admisible con respecto a los artículos II (igualdad ante la ley), XVIII (garantías judiciales) XXV (trato humano durante la detención) y XXVI (debido proceso legal) de la Declaración Americana;</w:t>
      </w:r>
    </w:p>
    <w:p w:rsidR="00F621C3" w:rsidRPr="00873568" w:rsidRDefault="0045310D" w:rsidP="0045310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rPr>
        <w:t xml:space="preserve"> </w:t>
      </w:r>
      <w:r w:rsidRPr="00873568">
        <w:rPr>
          <w:rFonts w:ascii="Cambria" w:hAnsi="Cambria"/>
          <w:sz w:val="20"/>
          <w:szCs w:val="20"/>
        </w:rPr>
        <w:t xml:space="preserve">Continuar con el análisis de fondo, y </w:t>
      </w:r>
    </w:p>
    <w:p w:rsidR="00F621C3" w:rsidRPr="0087356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73568">
        <w:rPr>
          <w:rFonts w:ascii="Cambria" w:hAnsi="Cambria"/>
          <w:sz w:val="20"/>
          <w:szCs w:val="20"/>
        </w:rPr>
        <w:t>Publicar esta decisión e incluirla en su Informe Anual a la Asamblea General de la Organización de los Estados Americanos.</w:t>
      </w:r>
    </w:p>
    <w:p w:rsidR="00973F92" w:rsidRPr="000B6B7A" w:rsidRDefault="00973F92" w:rsidP="00973F92">
      <w:pPr>
        <w:pStyle w:val="ListParagraph"/>
        <w:suppressAutoHyphens/>
        <w:spacing w:before="240" w:after="240"/>
        <w:ind w:left="0" w:firstLine="720"/>
        <w:jc w:val="both"/>
        <w:rPr>
          <w:rFonts w:asciiTheme="majorHAnsi" w:hAnsiTheme="majorHAnsi"/>
          <w:sz w:val="20"/>
          <w:szCs w:val="20"/>
        </w:rPr>
      </w:pPr>
      <w:r w:rsidRPr="00D14692">
        <w:rPr>
          <w:rFonts w:asciiTheme="majorHAnsi" w:hAnsiTheme="majorHAnsi"/>
          <w:sz w:val="20"/>
          <w:szCs w:val="20"/>
        </w:rPr>
        <w:t>Aprobado por la Comisión Interamericana de Derechos Humanos a los 2</w:t>
      </w:r>
      <w:r>
        <w:rPr>
          <w:rFonts w:asciiTheme="majorHAnsi" w:hAnsiTheme="majorHAnsi"/>
          <w:sz w:val="20"/>
          <w:szCs w:val="20"/>
        </w:rPr>
        <w:t>6</w:t>
      </w:r>
      <w:r w:rsidRPr="00D14692">
        <w:rPr>
          <w:rFonts w:asciiTheme="majorHAnsi" w:hAnsiTheme="majorHAnsi"/>
          <w:sz w:val="20"/>
          <w:szCs w:val="20"/>
        </w:rPr>
        <w:t xml:space="preserve"> días del mes de diciembre de 2018.  (Firmado): Margarette </w:t>
      </w:r>
      <w:proofErr w:type="spellStart"/>
      <w:r w:rsidRPr="00D14692">
        <w:rPr>
          <w:rFonts w:asciiTheme="majorHAnsi" w:hAnsiTheme="majorHAnsi"/>
          <w:sz w:val="20"/>
          <w:szCs w:val="20"/>
        </w:rPr>
        <w:t>May</w:t>
      </w:r>
      <w:proofErr w:type="spellEnd"/>
      <w:r w:rsidRPr="00D14692">
        <w:rPr>
          <w:rFonts w:asciiTheme="majorHAnsi" w:hAnsiTheme="majorHAnsi"/>
          <w:sz w:val="20"/>
          <w:szCs w:val="20"/>
        </w:rPr>
        <w:t xml:space="preserve"> Macaulay, Presidenta; Esmeralda E. Arosemena Bernal de </w:t>
      </w:r>
      <w:proofErr w:type="spellStart"/>
      <w:r w:rsidRPr="00D14692">
        <w:rPr>
          <w:rFonts w:asciiTheme="majorHAnsi" w:hAnsiTheme="majorHAnsi"/>
          <w:sz w:val="20"/>
          <w:szCs w:val="20"/>
        </w:rPr>
        <w:t>Troitiño</w:t>
      </w:r>
      <w:proofErr w:type="spellEnd"/>
      <w:r w:rsidRPr="00D14692">
        <w:rPr>
          <w:rFonts w:asciiTheme="majorHAnsi" w:hAnsiTheme="majorHAnsi"/>
          <w:sz w:val="20"/>
          <w:szCs w:val="20"/>
        </w:rPr>
        <w:t>, Primera Vicepresidenta; Luis Ernesto Vargas Silva, Segundo Vicepresidente; Francisco José Eguiguren Praeli, Joel Hernández García, Antonia Urrejola</w:t>
      </w:r>
      <w:r>
        <w:rPr>
          <w:rFonts w:asciiTheme="majorHAnsi" w:hAnsiTheme="majorHAnsi"/>
          <w:sz w:val="20"/>
          <w:szCs w:val="20"/>
        </w:rPr>
        <w:t xml:space="preserve"> y </w:t>
      </w:r>
      <w:proofErr w:type="spellStart"/>
      <w:r>
        <w:rPr>
          <w:rFonts w:asciiTheme="majorHAnsi" w:hAnsiTheme="majorHAnsi"/>
          <w:sz w:val="20"/>
          <w:szCs w:val="20"/>
        </w:rPr>
        <w:t>Flávia</w:t>
      </w:r>
      <w:proofErr w:type="spellEnd"/>
      <w:r>
        <w:rPr>
          <w:rFonts w:asciiTheme="majorHAnsi" w:hAnsiTheme="majorHAnsi"/>
          <w:sz w:val="20"/>
          <w:szCs w:val="20"/>
        </w:rPr>
        <w:t xml:space="preserve"> </w:t>
      </w:r>
      <w:proofErr w:type="spellStart"/>
      <w:r>
        <w:rPr>
          <w:rFonts w:asciiTheme="majorHAnsi" w:hAnsiTheme="majorHAnsi"/>
          <w:sz w:val="20"/>
          <w:szCs w:val="20"/>
        </w:rPr>
        <w:t>Piovesan</w:t>
      </w:r>
      <w:proofErr w:type="spellEnd"/>
      <w:r>
        <w:rPr>
          <w:rFonts w:asciiTheme="majorHAnsi" w:hAnsiTheme="majorHAnsi"/>
          <w:sz w:val="20"/>
          <w:szCs w:val="20"/>
        </w:rPr>
        <w:t>,</w:t>
      </w:r>
      <w:r w:rsidRPr="00D14692">
        <w:rPr>
          <w:rFonts w:asciiTheme="majorHAnsi" w:hAnsiTheme="majorHAnsi"/>
          <w:sz w:val="20"/>
          <w:szCs w:val="20"/>
        </w:rPr>
        <w:t xml:space="preserve"> Miembros de la Comisión.</w:t>
      </w: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44" w:rsidRDefault="00685E44" w:rsidP="00036A8A">
      <w:r>
        <w:separator/>
      </w:r>
    </w:p>
  </w:endnote>
  <w:endnote w:type="continuationSeparator" w:id="0">
    <w:p w:rsidR="00685E44" w:rsidRDefault="00685E4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C" w:rsidRDefault="007E0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E0D1C">
          <w:rPr>
            <w:noProof/>
            <w:sz w:val="16"/>
          </w:rPr>
          <w:t>3</w:t>
        </w:r>
        <w:r w:rsidRPr="006311DA">
          <w:rPr>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44" w:rsidRPr="00036A8A" w:rsidRDefault="00685E4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85E44" w:rsidRPr="00036A8A" w:rsidRDefault="00685E44" w:rsidP="00036A8A">
      <w:pPr>
        <w:rPr>
          <w:rFonts w:asciiTheme="majorHAnsi" w:hAnsiTheme="majorHAnsi"/>
          <w:sz w:val="16"/>
          <w:szCs w:val="16"/>
        </w:rPr>
      </w:pPr>
      <w:r w:rsidRPr="00036A8A">
        <w:rPr>
          <w:rFonts w:asciiTheme="majorHAnsi" w:hAnsiTheme="majorHAnsi"/>
          <w:sz w:val="16"/>
          <w:szCs w:val="16"/>
        </w:rPr>
        <w:separator/>
      </w:r>
    </w:p>
    <w:p w:rsidR="00685E44" w:rsidRPr="00036A8A" w:rsidRDefault="00685E4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ontinuación</w:t>
      </w:r>
      <w:r>
        <w:rPr>
          <w:rFonts w:asciiTheme="majorHAnsi" w:hAnsiTheme="majorHAnsi"/>
          <w:sz w:val="16"/>
          <w:szCs w:val="16"/>
        </w:rPr>
        <w:t>]</w:t>
      </w:r>
    </w:p>
  </w:footnote>
  <w:footnote w:type="continuationNotice" w:id="1">
    <w:p w:rsidR="00685E44" w:rsidRPr="0093441A" w:rsidRDefault="00685E4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úa </w:t>
      </w:r>
      <w:r w:rsidRPr="0093441A">
        <w:rPr>
          <w:rFonts w:asciiTheme="majorHAnsi" w:hAnsiTheme="majorHAnsi"/>
          <w:sz w:val="16"/>
          <w:szCs w:val="16"/>
        </w:rPr>
        <w:t>…</w:t>
      </w:r>
      <w:r>
        <w:rPr>
          <w:rFonts w:asciiTheme="majorHAnsi" w:hAnsiTheme="majorHAnsi"/>
          <w:sz w:val="16"/>
          <w:szCs w:val="16"/>
        </w:rPr>
        <w:t>]</w:t>
      </w:r>
    </w:p>
  </w:footnote>
  <w:footnote w:id="2">
    <w:p w:rsidR="001B0EB1" w:rsidRPr="00E30148" w:rsidRDefault="001B0EB1" w:rsidP="00E30148">
      <w:pPr>
        <w:pStyle w:val="FootnoteText"/>
        <w:ind w:firstLine="720"/>
        <w:rPr>
          <w:rFonts w:asciiTheme="majorHAnsi" w:hAnsiTheme="majorHAnsi"/>
          <w:sz w:val="16"/>
          <w:szCs w:val="16"/>
        </w:rPr>
      </w:pPr>
      <w:r w:rsidRPr="00E30148">
        <w:rPr>
          <w:rStyle w:val="FootnoteReference"/>
          <w:rFonts w:asciiTheme="majorHAnsi" w:hAnsiTheme="majorHAnsi"/>
          <w:sz w:val="16"/>
          <w:szCs w:val="16"/>
        </w:rPr>
        <w:footnoteRef/>
      </w:r>
      <w:r>
        <w:rPr>
          <w:rFonts w:asciiTheme="majorHAnsi" w:hAnsiTheme="majorHAnsi"/>
          <w:sz w:val="16"/>
          <w:szCs w:val="16"/>
        </w:rPr>
        <w:t xml:space="preserve"> En adelante, “Estados Unidos”.</w:t>
      </w:r>
    </w:p>
  </w:footnote>
  <w:footnote w:id="3">
    <w:p w:rsidR="00C70846" w:rsidRDefault="00C70846" w:rsidP="006A6F95">
      <w:pPr>
        <w:pStyle w:val="FootnoteText"/>
        <w:ind w:firstLine="720"/>
      </w:pPr>
      <w:r>
        <w:rPr>
          <w:rStyle w:val="FootnoteReference"/>
        </w:rPr>
        <w:footnoteRef/>
      </w:r>
      <w:r>
        <w:t xml:space="preserve"> </w:t>
      </w:r>
      <w:r>
        <w:rPr>
          <w:rFonts w:ascii="Cambria" w:hAnsi="Cambria"/>
          <w:sz w:val="16"/>
          <w:szCs w:val="16"/>
        </w:rPr>
        <w:t>En adelante, "la Declaración" o "la Declaración Americana".</w:t>
      </w:r>
    </w:p>
  </w:footnote>
  <w:footnote w:id="4">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Pr>
          <w:rFonts w:ascii="Cambria" w:hAnsi="Cambria"/>
          <w:sz w:val="16"/>
          <w:szCs w:val="16"/>
        </w:rPr>
        <w:t xml:space="preserve"> Las observaciones de cada parte fueron debidamente trasladadas a la parte contraria.</w:t>
      </w:r>
    </w:p>
  </w:footnote>
  <w:footnote w:id="5">
    <w:p w:rsidR="00B45E5B" w:rsidRPr="00E30148" w:rsidRDefault="00B45E5B" w:rsidP="00E30148">
      <w:pPr>
        <w:pStyle w:val="FootnoteText"/>
        <w:ind w:firstLine="720"/>
        <w:rPr>
          <w:rFonts w:asciiTheme="majorHAnsi" w:hAnsiTheme="majorHAnsi"/>
          <w:sz w:val="16"/>
          <w:szCs w:val="16"/>
        </w:rPr>
      </w:pPr>
      <w:r w:rsidRPr="00E30148">
        <w:rPr>
          <w:rStyle w:val="FootnoteReference"/>
          <w:rFonts w:asciiTheme="majorHAnsi" w:hAnsiTheme="majorHAnsi"/>
          <w:sz w:val="16"/>
          <w:szCs w:val="16"/>
        </w:rPr>
        <w:footnoteRef/>
      </w:r>
      <w:r>
        <w:rPr>
          <w:rFonts w:asciiTheme="majorHAnsi" w:hAnsiTheme="majorHAnsi"/>
          <w:sz w:val="16"/>
          <w:szCs w:val="16"/>
        </w:rPr>
        <w:t xml:space="preserve"> CIDH, Informe No. 156/17. Admisibilidad. Carlos Alfonso Fonseca Murillo. Ecuador. 30 de noviembre de 2017, párr.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195CA7" w:rsidP="002C1641">
    <w:pPr>
      <w:pStyle w:val="Header"/>
      <w:tabs>
        <w:tab w:val="clear" w:pos="4320"/>
        <w:tab w:val="clear" w:pos="8640"/>
      </w:tabs>
      <w:jc w:val="center"/>
      <w:rPr>
        <w:sz w:val="22"/>
        <w:szCs w:val="22"/>
      </w:rPr>
    </w:pPr>
    <w:r>
      <w:rPr>
        <w:noProof/>
        <w:sz w:val="22"/>
        <w:szCs w:val="22"/>
        <w:lang w:val="en-US"/>
      </w:rPr>
      <w:drawing>
        <wp:inline distT="0" distB="0" distL="0" distR="0" wp14:anchorId="0C4802B0" wp14:editId="419BDC8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685E4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C" w:rsidRDefault="007E0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2473B"/>
    <w:rsid w:val="00036A8A"/>
    <w:rsid w:val="00040C3A"/>
    <w:rsid w:val="000639C0"/>
    <w:rsid w:val="00070F3A"/>
    <w:rsid w:val="000716C5"/>
    <w:rsid w:val="00075E23"/>
    <w:rsid w:val="00092F32"/>
    <w:rsid w:val="0009344A"/>
    <w:rsid w:val="000A39CE"/>
    <w:rsid w:val="000A575F"/>
    <w:rsid w:val="000C4365"/>
    <w:rsid w:val="000D10DB"/>
    <w:rsid w:val="000D54EF"/>
    <w:rsid w:val="00124116"/>
    <w:rsid w:val="0013104F"/>
    <w:rsid w:val="00137EBA"/>
    <w:rsid w:val="00145EDC"/>
    <w:rsid w:val="00153084"/>
    <w:rsid w:val="00167A34"/>
    <w:rsid w:val="001714B4"/>
    <w:rsid w:val="0018037F"/>
    <w:rsid w:val="00191D65"/>
    <w:rsid w:val="00195CA7"/>
    <w:rsid w:val="001A5F27"/>
    <w:rsid w:val="001A65E4"/>
    <w:rsid w:val="001A7870"/>
    <w:rsid w:val="001B0EB1"/>
    <w:rsid w:val="001C1B41"/>
    <w:rsid w:val="001C4DE7"/>
    <w:rsid w:val="001E366B"/>
    <w:rsid w:val="001F1902"/>
    <w:rsid w:val="00210E0E"/>
    <w:rsid w:val="00210F4B"/>
    <w:rsid w:val="00223C07"/>
    <w:rsid w:val="00230163"/>
    <w:rsid w:val="0023351C"/>
    <w:rsid w:val="00237807"/>
    <w:rsid w:val="00247403"/>
    <w:rsid w:val="00247542"/>
    <w:rsid w:val="00257893"/>
    <w:rsid w:val="00266092"/>
    <w:rsid w:val="00266B61"/>
    <w:rsid w:val="0026712A"/>
    <w:rsid w:val="002704DB"/>
    <w:rsid w:val="002760CE"/>
    <w:rsid w:val="002812E5"/>
    <w:rsid w:val="002B7A85"/>
    <w:rsid w:val="002C1641"/>
    <w:rsid w:val="002D600B"/>
    <w:rsid w:val="002D7EA2"/>
    <w:rsid w:val="002E15DF"/>
    <w:rsid w:val="002E187C"/>
    <w:rsid w:val="002E6E57"/>
    <w:rsid w:val="00301075"/>
    <w:rsid w:val="00302733"/>
    <w:rsid w:val="00311A4F"/>
    <w:rsid w:val="00314078"/>
    <w:rsid w:val="00316471"/>
    <w:rsid w:val="00321AFD"/>
    <w:rsid w:val="00322450"/>
    <w:rsid w:val="003246B5"/>
    <w:rsid w:val="0033169F"/>
    <w:rsid w:val="003414AC"/>
    <w:rsid w:val="0034328A"/>
    <w:rsid w:val="00350DDF"/>
    <w:rsid w:val="00356185"/>
    <w:rsid w:val="00360380"/>
    <w:rsid w:val="003771A3"/>
    <w:rsid w:val="00386CF0"/>
    <w:rsid w:val="003A4348"/>
    <w:rsid w:val="003A5390"/>
    <w:rsid w:val="003C32BC"/>
    <w:rsid w:val="003E2CA8"/>
    <w:rsid w:val="003E3E03"/>
    <w:rsid w:val="003F1BBF"/>
    <w:rsid w:val="004042CA"/>
    <w:rsid w:val="004162B1"/>
    <w:rsid w:val="004165C2"/>
    <w:rsid w:val="004323D4"/>
    <w:rsid w:val="00450A4A"/>
    <w:rsid w:val="00451C9C"/>
    <w:rsid w:val="0045310D"/>
    <w:rsid w:val="00463035"/>
    <w:rsid w:val="004666FB"/>
    <w:rsid w:val="00466D0B"/>
    <w:rsid w:val="00467B7E"/>
    <w:rsid w:val="00484C76"/>
    <w:rsid w:val="0048798B"/>
    <w:rsid w:val="0049419D"/>
    <w:rsid w:val="00496C2F"/>
    <w:rsid w:val="004B2762"/>
    <w:rsid w:val="004B7EB6"/>
    <w:rsid w:val="004C41DE"/>
    <w:rsid w:val="004C4B62"/>
    <w:rsid w:val="004C7152"/>
    <w:rsid w:val="004D6025"/>
    <w:rsid w:val="004D72BC"/>
    <w:rsid w:val="004F6B67"/>
    <w:rsid w:val="00501399"/>
    <w:rsid w:val="00505CCB"/>
    <w:rsid w:val="00507BC4"/>
    <w:rsid w:val="005128E4"/>
    <w:rsid w:val="00516C72"/>
    <w:rsid w:val="00523546"/>
    <w:rsid w:val="00525560"/>
    <w:rsid w:val="005357A6"/>
    <w:rsid w:val="00544C49"/>
    <w:rsid w:val="00563234"/>
    <w:rsid w:val="0057402A"/>
    <w:rsid w:val="005771D0"/>
    <w:rsid w:val="005816E5"/>
    <w:rsid w:val="0059183C"/>
    <w:rsid w:val="0059191A"/>
    <w:rsid w:val="005921FF"/>
    <w:rsid w:val="00592718"/>
    <w:rsid w:val="005A05D6"/>
    <w:rsid w:val="005A6D0E"/>
    <w:rsid w:val="005B222D"/>
    <w:rsid w:val="005B52B0"/>
    <w:rsid w:val="005B6806"/>
    <w:rsid w:val="005C00F9"/>
    <w:rsid w:val="005C4225"/>
    <w:rsid w:val="005D6EBB"/>
    <w:rsid w:val="005F0F33"/>
    <w:rsid w:val="00600DEB"/>
    <w:rsid w:val="00613027"/>
    <w:rsid w:val="00627C9F"/>
    <w:rsid w:val="006311DA"/>
    <w:rsid w:val="006311E9"/>
    <w:rsid w:val="006318B2"/>
    <w:rsid w:val="00632354"/>
    <w:rsid w:val="00642810"/>
    <w:rsid w:val="00652333"/>
    <w:rsid w:val="00653EA6"/>
    <w:rsid w:val="0068009E"/>
    <w:rsid w:val="00685E44"/>
    <w:rsid w:val="006A17D2"/>
    <w:rsid w:val="006A6F95"/>
    <w:rsid w:val="006A73E6"/>
    <w:rsid w:val="006B2D5C"/>
    <w:rsid w:val="006C4EB1"/>
    <w:rsid w:val="006D4707"/>
    <w:rsid w:val="006E0166"/>
    <w:rsid w:val="006E7B34"/>
    <w:rsid w:val="006F31C6"/>
    <w:rsid w:val="006F7CC6"/>
    <w:rsid w:val="00701B24"/>
    <w:rsid w:val="00701CAE"/>
    <w:rsid w:val="00704E8B"/>
    <w:rsid w:val="00706384"/>
    <w:rsid w:val="00706858"/>
    <w:rsid w:val="007110AB"/>
    <w:rsid w:val="0071495F"/>
    <w:rsid w:val="0072718A"/>
    <w:rsid w:val="0073798E"/>
    <w:rsid w:val="00745899"/>
    <w:rsid w:val="007607C4"/>
    <w:rsid w:val="0076643F"/>
    <w:rsid w:val="00781653"/>
    <w:rsid w:val="007907B6"/>
    <w:rsid w:val="00790F47"/>
    <w:rsid w:val="007A166B"/>
    <w:rsid w:val="007A2F70"/>
    <w:rsid w:val="007A7CF1"/>
    <w:rsid w:val="007B1509"/>
    <w:rsid w:val="007C3334"/>
    <w:rsid w:val="007C52BB"/>
    <w:rsid w:val="007D01C6"/>
    <w:rsid w:val="007D2B98"/>
    <w:rsid w:val="007E0D1C"/>
    <w:rsid w:val="00801E9A"/>
    <w:rsid w:val="00803F1C"/>
    <w:rsid w:val="0080600E"/>
    <w:rsid w:val="00817612"/>
    <w:rsid w:val="00837C45"/>
    <w:rsid w:val="00844804"/>
    <w:rsid w:val="00853419"/>
    <w:rsid w:val="00855355"/>
    <w:rsid w:val="00862B63"/>
    <w:rsid w:val="00873568"/>
    <w:rsid w:val="00897E12"/>
    <w:rsid w:val="008B5F3A"/>
    <w:rsid w:val="008D43BA"/>
    <w:rsid w:val="008D44CE"/>
    <w:rsid w:val="008E3759"/>
    <w:rsid w:val="008E3F60"/>
    <w:rsid w:val="009041DC"/>
    <w:rsid w:val="009104B4"/>
    <w:rsid w:val="009228DA"/>
    <w:rsid w:val="00925FCD"/>
    <w:rsid w:val="00931935"/>
    <w:rsid w:val="0093441A"/>
    <w:rsid w:val="00941CA1"/>
    <w:rsid w:val="00944B19"/>
    <w:rsid w:val="00954BF7"/>
    <w:rsid w:val="0096706E"/>
    <w:rsid w:val="00973F92"/>
    <w:rsid w:val="009771B6"/>
    <w:rsid w:val="00981FBA"/>
    <w:rsid w:val="0098783D"/>
    <w:rsid w:val="00994F2F"/>
    <w:rsid w:val="009A6059"/>
    <w:rsid w:val="009B381B"/>
    <w:rsid w:val="009C2877"/>
    <w:rsid w:val="009D7611"/>
    <w:rsid w:val="009E53DE"/>
    <w:rsid w:val="009E566A"/>
    <w:rsid w:val="009E6327"/>
    <w:rsid w:val="009E6C75"/>
    <w:rsid w:val="009F77D8"/>
    <w:rsid w:val="00A1019B"/>
    <w:rsid w:val="00A12DBC"/>
    <w:rsid w:val="00A43458"/>
    <w:rsid w:val="00A528D1"/>
    <w:rsid w:val="00A651E0"/>
    <w:rsid w:val="00A66BE5"/>
    <w:rsid w:val="00A70209"/>
    <w:rsid w:val="00AD37C1"/>
    <w:rsid w:val="00AE66EC"/>
    <w:rsid w:val="00AE6F91"/>
    <w:rsid w:val="00AF5571"/>
    <w:rsid w:val="00B06BB7"/>
    <w:rsid w:val="00B167E9"/>
    <w:rsid w:val="00B179ED"/>
    <w:rsid w:val="00B314DB"/>
    <w:rsid w:val="00B31E1D"/>
    <w:rsid w:val="00B31EBE"/>
    <w:rsid w:val="00B3718B"/>
    <w:rsid w:val="00B44B23"/>
    <w:rsid w:val="00B45E5B"/>
    <w:rsid w:val="00B4632A"/>
    <w:rsid w:val="00B7299E"/>
    <w:rsid w:val="00B92E49"/>
    <w:rsid w:val="00BA276C"/>
    <w:rsid w:val="00BB306F"/>
    <w:rsid w:val="00BC681C"/>
    <w:rsid w:val="00BD232B"/>
    <w:rsid w:val="00BD2E42"/>
    <w:rsid w:val="00BD4B89"/>
    <w:rsid w:val="00BF43FF"/>
    <w:rsid w:val="00C01CF5"/>
    <w:rsid w:val="00C06F77"/>
    <w:rsid w:val="00C21762"/>
    <w:rsid w:val="00C24543"/>
    <w:rsid w:val="00C256A2"/>
    <w:rsid w:val="00C258F5"/>
    <w:rsid w:val="00C2755D"/>
    <w:rsid w:val="00C3492D"/>
    <w:rsid w:val="00C55560"/>
    <w:rsid w:val="00C66B72"/>
    <w:rsid w:val="00C70846"/>
    <w:rsid w:val="00C93824"/>
    <w:rsid w:val="00C9567A"/>
    <w:rsid w:val="00CA6577"/>
    <w:rsid w:val="00CB2660"/>
    <w:rsid w:val="00CB6CE4"/>
    <w:rsid w:val="00CC5E90"/>
    <w:rsid w:val="00CD038B"/>
    <w:rsid w:val="00CD046C"/>
    <w:rsid w:val="00CD202C"/>
    <w:rsid w:val="00CD4A61"/>
    <w:rsid w:val="00CE5199"/>
    <w:rsid w:val="00CE66D5"/>
    <w:rsid w:val="00D070E8"/>
    <w:rsid w:val="00D34786"/>
    <w:rsid w:val="00D40A1E"/>
    <w:rsid w:val="00D533C0"/>
    <w:rsid w:val="00D53751"/>
    <w:rsid w:val="00D712D3"/>
    <w:rsid w:val="00D71422"/>
    <w:rsid w:val="00D7145E"/>
    <w:rsid w:val="00D72EA8"/>
    <w:rsid w:val="00D75084"/>
    <w:rsid w:val="00D7558D"/>
    <w:rsid w:val="00D81D92"/>
    <w:rsid w:val="00D93446"/>
    <w:rsid w:val="00DA661A"/>
    <w:rsid w:val="00DA7B5F"/>
    <w:rsid w:val="00DB7AC1"/>
    <w:rsid w:val="00DD410A"/>
    <w:rsid w:val="00DF078B"/>
    <w:rsid w:val="00DF350D"/>
    <w:rsid w:val="00E04A82"/>
    <w:rsid w:val="00E14A04"/>
    <w:rsid w:val="00E227C1"/>
    <w:rsid w:val="00E30148"/>
    <w:rsid w:val="00E43157"/>
    <w:rsid w:val="00E47F3D"/>
    <w:rsid w:val="00E533FF"/>
    <w:rsid w:val="00E62154"/>
    <w:rsid w:val="00E709B3"/>
    <w:rsid w:val="00E7588C"/>
    <w:rsid w:val="00E7797F"/>
    <w:rsid w:val="00E850B6"/>
    <w:rsid w:val="00E8789F"/>
    <w:rsid w:val="00E87C65"/>
    <w:rsid w:val="00E97B71"/>
    <w:rsid w:val="00EB1B74"/>
    <w:rsid w:val="00EB454D"/>
    <w:rsid w:val="00EB668C"/>
    <w:rsid w:val="00ED0D1B"/>
    <w:rsid w:val="00EE3522"/>
    <w:rsid w:val="00EF619B"/>
    <w:rsid w:val="00F00B55"/>
    <w:rsid w:val="00F1380F"/>
    <w:rsid w:val="00F14F0E"/>
    <w:rsid w:val="00F15A3B"/>
    <w:rsid w:val="00F24C29"/>
    <w:rsid w:val="00F253CC"/>
    <w:rsid w:val="00F261FB"/>
    <w:rsid w:val="00F34D01"/>
    <w:rsid w:val="00F40FD7"/>
    <w:rsid w:val="00F42B71"/>
    <w:rsid w:val="00F56BA5"/>
    <w:rsid w:val="00F621C3"/>
    <w:rsid w:val="00F644E6"/>
    <w:rsid w:val="00F90C89"/>
    <w:rsid w:val="00F9653B"/>
    <w:rsid w:val="00FB62CF"/>
    <w:rsid w:val="00FC3EB4"/>
    <w:rsid w:val="00FC6C58"/>
    <w:rsid w:val="00FE5DC9"/>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s-E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s-E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s-E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s-E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s-E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s-E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701CAE"/>
    <w:rPr>
      <w:sz w:val="16"/>
      <w:szCs w:val="16"/>
    </w:rPr>
  </w:style>
  <w:style w:type="paragraph" w:styleId="CommentText">
    <w:name w:val="annotation text"/>
    <w:basedOn w:val="Normal"/>
    <w:link w:val="CommentTextChar"/>
    <w:uiPriority w:val="99"/>
    <w:semiHidden/>
    <w:unhideWhenUsed/>
    <w:rsid w:val="00701CAE"/>
    <w:rPr>
      <w:sz w:val="20"/>
      <w:szCs w:val="20"/>
    </w:rPr>
  </w:style>
  <w:style w:type="character" w:customStyle="1" w:styleId="CommentTextChar">
    <w:name w:val="Comment Text Char"/>
    <w:basedOn w:val="DefaultParagraphFont"/>
    <w:link w:val="CommentText"/>
    <w:uiPriority w:val="99"/>
    <w:semiHidden/>
    <w:rsid w:val="00701CAE"/>
    <w:rPr>
      <w:lang w:val="es-ES" w:eastAsia="en-US"/>
    </w:rPr>
  </w:style>
  <w:style w:type="paragraph" w:styleId="CommentSubject">
    <w:name w:val="annotation subject"/>
    <w:basedOn w:val="CommentText"/>
    <w:next w:val="CommentText"/>
    <w:link w:val="CommentSubjectChar"/>
    <w:uiPriority w:val="99"/>
    <w:semiHidden/>
    <w:unhideWhenUsed/>
    <w:rsid w:val="00701CAE"/>
    <w:rPr>
      <w:b/>
      <w:bCs/>
    </w:rPr>
  </w:style>
  <w:style w:type="character" w:customStyle="1" w:styleId="CommentSubjectChar">
    <w:name w:val="Comment Subject Char"/>
    <w:basedOn w:val="CommentTextChar"/>
    <w:link w:val="CommentSubject"/>
    <w:uiPriority w:val="99"/>
    <w:semiHidden/>
    <w:rsid w:val="00701CAE"/>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4256D"/>
    <w:rsid w:val="0015520C"/>
    <w:rsid w:val="00156B5A"/>
    <w:rsid w:val="001C1D08"/>
    <w:rsid w:val="00385942"/>
    <w:rsid w:val="003E735F"/>
    <w:rsid w:val="004108B1"/>
    <w:rsid w:val="00436E3D"/>
    <w:rsid w:val="005A1648"/>
    <w:rsid w:val="005D1F9A"/>
    <w:rsid w:val="00602BE8"/>
    <w:rsid w:val="006245CF"/>
    <w:rsid w:val="00861CE2"/>
    <w:rsid w:val="00960C7D"/>
    <w:rsid w:val="00AB44F1"/>
    <w:rsid w:val="00B348F4"/>
    <w:rsid w:val="00BF43CC"/>
    <w:rsid w:val="00CF15C1"/>
    <w:rsid w:val="00E715BD"/>
    <w:rsid w:val="00EA0868"/>
    <w:rsid w:val="00EE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95C9-EB8D-49D5-B671-8C9DC7E1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2216</Words>
  <Characters>12634</Characters>
  <Application>Microsoft Office Word</Application>
  <DocSecurity>0</DocSecurity>
  <Lines>105</Lines>
  <Paragraphs>29</Paragraphs>
  <ScaleCrop>false</ScaleCrop>
  <Company/>
  <LinksUpToDate>false</LinksUpToDate>
  <CharactersWithSpaces>14821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181/18</dc:title>
  <dc:creator/>
  <cp:lastModifiedBy/>
  <cp:revision>1</cp:revision>
  <dcterms:created xsi:type="dcterms:W3CDTF">2019-03-07T20:55:00Z</dcterms:created>
  <dcterms:modified xsi:type="dcterms:W3CDTF">2019-03-07T20:55:00Z</dcterms:modified>
</cp:coreProperties>
</file>