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712EB" w:rsidRDefault="00D306D1" w:rsidP="009712EB">
      <w:pPr>
        <w:jc w:val="both"/>
        <w:rPr>
          <w:rFonts w:ascii="Cambria" w:hAnsi="Cambria" w:cs="Univers"/>
          <w:b/>
          <w:bCs/>
          <w:sz w:val="20"/>
          <w:szCs w:val="20"/>
          <w:lang w:val="es-ES_tradnl"/>
        </w:rPr>
      </w:pPr>
      <w:r w:rsidRPr="009712EB">
        <w:rPr>
          <w:rFonts w:ascii="Cambria" w:hAnsi="Cambria"/>
          <w:noProof/>
          <w:sz w:val="20"/>
          <w:szCs w:val="20"/>
        </w:rPr>
        <mc:AlternateContent>
          <mc:Choice Requires="wps">
            <w:drawing>
              <wp:anchor distT="0" distB="0" distL="114300" distR="114300" simplePos="0" relativeHeight="251648000" behindDoc="0" locked="0" layoutInCell="1" allowOverlap="1" wp14:anchorId="723E6864" wp14:editId="5F37C0E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BAFE3" id="Rectangle 1" o:spid="_x0000_s1026" style="position:absolute;margin-left:-32.75pt;margin-top:-34.6pt;width:121.5pt;height:71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712EB">
        <w:rPr>
          <w:rFonts w:ascii="Cambria" w:hAnsi="Cambria"/>
          <w:noProof/>
          <w:sz w:val="20"/>
          <w:szCs w:val="20"/>
        </w:rPr>
        <mc:AlternateContent>
          <mc:Choice Requires="wps">
            <w:drawing>
              <wp:anchor distT="0" distB="0" distL="114300" distR="114300" simplePos="0" relativeHeight="251659264" behindDoc="0" locked="0" layoutInCell="1" allowOverlap="1" wp14:anchorId="78F16D5C" wp14:editId="60FD48C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0F28" w:rsidRDefault="00C00F28" w:rsidP="00AE5488">
                            <w:r>
                              <w:rPr>
                                <w:noProof/>
                              </w:rPr>
                              <w:drawing>
                                <wp:inline distT="0" distB="0" distL="0" distR="0" wp14:anchorId="4990552D" wp14:editId="4120809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16D5C"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00F28" w:rsidRDefault="00C00F28" w:rsidP="00AE5488">
                      <w:r>
                        <w:rPr>
                          <w:noProof/>
                        </w:rPr>
                        <w:drawing>
                          <wp:inline distT="0" distB="0" distL="0" distR="0" wp14:anchorId="4990552D" wp14:editId="4120809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712EB" w:rsidRDefault="00040C3A" w:rsidP="009712EB">
      <w:pPr>
        <w:tabs>
          <w:tab w:val="center" w:pos="5400"/>
        </w:tabs>
        <w:suppressAutoHyphens/>
        <w:jc w:val="both"/>
        <w:rPr>
          <w:rFonts w:ascii="Cambria" w:hAnsi="Cambria"/>
          <w:sz w:val="20"/>
          <w:szCs w:val="20"/>
          <w:lang w:val="es-ES"/>
        </w:rPr>
      </w:pPr>
    </w:p>
    <w:p w:rsidR="00040C3A" w:rsidRPr="009712EB" w:rsidRDefault="00040C3A" w:rsidP="009712EB">
      <w:pPr>
        <w:tabs>
          <w:tab w:val="center" w:pos="5400"/>
        </w:tabs>
        <w:suppressAutoHyphens/>
        <w:jc w:val="both"/>
        <w:rPr>
          <w:rFonts w:ascii="Cambria" w:hAnsi="Cambria"/>
          <w:sz w:val="20"/>
          <w:szCs w:val="20"/>
          <w:lang w:val="es-ES"/>
        </w:rPr>
      </w:pPr>
    </w:p>
    <w:p w:rsidR="005128E4" w:rsidRPr="009712EB" w:rsidRDefault="005128E4" w:rsidP="009712EB">
      <w:pPr>
        <w:tabs>
          <w:tab w:val="center" w:pos="5400"/>
        </w:tabs>
        <w:suppressAutoHyphens/>
        <w:rPr>
          <w:rFonts w:ascii="Cambria" w:hAnsi="Cambria"/>
          <w:sz w:val="20"/>
          <w:szCs w:val="20"/>
          <w:lang w:val="es-ES_tradnl"/>
        </w:rPr>
      </w:pPr>
    </w:p>
    <w:p w:rsidR="005128E4" w:rsidRPr="009712EB" w:rsidRDefault="005128E4" w:rsidP="009712EB">
      <w:pPr>
        <w:tabs>
          <w:tab w:val="center" w:pos="5400"/>
        </w:tabs>
        <w:suppressAutoHyphens/>
        <w:rPr>
          <w:rFonts w:ascii="Cambria" w:hAnsi="Cambria"/>
          <w:sz w:val="20"/>
          <w:szCs w:val="20"/>
          <w:lang w:val="es-ES_tradnl"/>
        </w:rPr>
      </w:pPr>
    </w:p>
    <w:p w:rsidR="005128E4" w:rsidRPr="009712EB" w:rsidRDefault="005128E4" w:rsidP="009712EB">
      <w:pPr>
        <w:tabs>
          <w:tab w:val="center" w:pos="5400"/>
        </w:tabs>
        <w:suppressAutoHyphens/>
        <w:rPr>
          <w:rFonts w:ascii="Cambria" w:hAnsi="Cambria"/>
          <w:sz w:val="20"/>
          <w:szCs w:val="20"/>
          <w:lang w:val="es-ES_tradnl"/>
        </w:rPr>
      </w:pPr>
    </w:p>
    <w:p w:rsidR="00040C3A" w:rsidRPr="009712EB" w:rsidRDefault="00040C3A" w:rsidP="009712EB">
      <w:pPr>
        <w:tabs>
          <w:tab w:val="center" w:pos="5400"/>
        </w:tabs>
        <w:suppressAutoHyphens/>
        <w:jc w:val="center"/>
        <w:rPr>
          <w:rFonts w:ascii="Cambria" w:hAnsi="Cambria"/>
          <w:sz w:val="20"/>
          <w:szCs w:val="20"/>
          <w:lang w:val="es-ES_tradnl"/>
        </w:rPr>
      </w:pPr>
    </w:p>
    <w:p w:rsidR="00040C3A" w:rsidRPr="009712EB" w:rsidRDefault="00040C3A" w:rsidP="009712EB">
      <w:pPr>
        <w:tabs>
          <w:tab w:val="center" w:pos="5400"/>
        </w:tabs>
        <w:suppressAutoHyphens/>
        <w:jc w:val="center"/>
        <w:rPr>
          <w:rFonts w:ascii="Cambria" w:hAnsi="Cambria"/>
          <w:sz w:val="20"/>
          <w:szCs w:val="20"/>
          <w:lang w:val="es-ES_tradnl"/>
        </w:rPr>
      </w:pPr>
    </w:p>
    <w:p w:rsidR="005B52B0" w:rsidRPr="009712EB" w:rsidRDefault="005B52B0" w:rsidP="009712EB">
      <w:pPr>
        <w:tabs>
          <w:tab w:val="center" w:pos="5400"/>
        </w:tabs>
        <w:suppressAutoHyphens/>
        <w:jc w:val="center"/>
        <w:rPr>
          <w:rFonts w:ascii="Cambria" w:hAnsi="Cambria"/>
          <w:sz w:val="20"/>
          <w:szCs w:val="20"/>
          <w:lang w:val="es-ES_tradnl"/>
        </w:rPr>
      </w:pPr>
    </w:p>
    <w:p w:rsidR="005B52B0" w:rsidRPr="009712EB" w:rsidRDefault="005B52B0" w:rsidP="009712EB">
      <w:pPr>
        <w:tabs>
          <w:tab w:val="center" w:pos="5400"/>
        </w:tabs>
        <w:suppressAutoHyphens/>
        <w:jc w:val="center"/>
        <w:rPr>
          <w:rFonts w:ascii="Cambria" w:hAnsi="Cambria"/>
          <w:sz w:val="20"/>
          <w:szCs w:val="20"/>
          <w:lang w:val="es-ES_tradnl"/>
        </w:rPr>
      </w:pPr>
    </w:p>
    <w:p w:rsidR="005B52B0" w:rsidRPr="009712EB" w:rsidRDefault="005B52B0" w:rsidP="009712EB">
      <w:pPr>
        <w:tabs>
          <w:tab w:val="center" w:pos="5400"/>
        </w:tabs>
        <w:suppressAutoHyphens/>
        <w:jc w:val="center"/>
        <w:rPr>
          <w:rFonts w:ascii="Cambria" w:hAnsi="Cambria"/>
          <w:sz w:val="20"/>
          <w:szCs w:val="20"/>
          <w:lang w:val="es-ES_tradnl"/>
        </w:rPr>
      </w:pPr>
    </w:p>
    <w:p w:rsidR="00040C3A" w:rsidRPr="009712EB" w:rsidRDefault="00040C3A" w:rsidP="009712EB">
      <w:pPr>
        <w:tabs>
          <w:tab w:val="center" w:pos="5400"/>
        </w:tabs>
        <w:suppressAutoHyphens/>
        <w:jc w:val="center"/>
        <w:rPr>
          <w:rFonts w:ascii="Cambria" w:hAnsi="Cambria"/>
          <w:sz w:val="20"/>
          <w:szCs w:val="20"/>
          <w:lang w:val="es-ES_tradnl"/>
        </w:rPr>
      </w:pPr>
    </w:p>
    <w:p w:rsidR="00040C3A" w:rsidRPr="009712EB" w:rsidRDefault="00040C3A" w:rsidP="009712EB">
      <w:pPr>
        <w:tabs>
          <w:tab w:val="center" w:pos="5400"/>
        </w:tabs>
        <w:suppressAutoHyphens/>
        <w:jc w:val="center"/>
        <w:rPr>
          <w:rFonts w:ascii="Cambria" w:hAnsi="Cambria"/>
          <w:sz w:val="20"/>
          <w:szCs w:val="20"/>
          <w:lang w:val="es-ES_tradnl"/>
        </w:rPr>
      </w:pPr>
    </w:p>
    <w:p w:rsidR="00040C3A" w:rsidRPr="009712EB" w:rsidRDefault="003D3BC2" w:rsidP="009712EB">
      <w:pPr>
        <w:tabs>
          <w:tab w:val="center" w:pos="5400"/>
        </w:tabs>
        <w:suppressAutoHyphens/>
        <w:jc w:val="center"/>
        <w:rPr>
          <w:rFonts w:ascii="Cambria" w:hAnsi="Cambria"/>
          <w:sz w:val="20"/>
          <w:szCs w:val="20"/>
          <w:lang w:val="es-ES_tradnl"/>
        </w:rPr>
      </w:pPr>
      <w:r w:rsidRPr="009712EB">
        <w:rPr>
          <w:rFonts w:ascii="Cambria" w:hAnsi="Cambria"/>
          <w:noProof/>
          <w:sz w:val="20"/>
          <w:szCs w:val="20"/>
        </w:rPr>
        <mc:AlternateContent>
          <mc:Choice Requires="wps">
            <w:drawing>
              <wp:anchor distT="0" distB="0" distL="114300" distR="114300" simplePos="0" relativeHeight="251651072" behindDoc="0" locked="0" layoutInCell="1" allowOverlap="1" wp14:anchorId="6FDDB290" wp14:editId="271827F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0F28" w:rsidRPr="00F024DC" w:rsidRDefault="00C00F28" w:rsidP="00997BC5">
                            <w:pPr>
                              <w:spacing w:line="276" w:lineRule="auto"/>
                              <w:rPr>
                                <w:rFonts w:asciiTheme="majorHAnsi" w:hAnsiTheme="majorHAnsi" w:cs="Arial"/>
                                <w:b/>
                                <w:bCs/>
                                <w:color w:val="0D0D0D" w:themeColor="text1" w:themeTint="F2"/>
                                <w:sz w:val="36"/>
                                <w:szCs w:val="22"/>
                                <w:lang w:val="es-CO"/>
                              </w:rPr>
                            </w:pPr>
                            <w:r w:rsidRPr="00F024DC">
                              <w:rPr>
                                <w:rFonts w:asciiTheme="majorHAnsi" w:hAnsiTheme="majorHAnsi" w:cs="Arial"/>
                                <w:b/>
                                <w:bCs/>
                                <w:color w:val="0D0D0D" w:themeColor="text1" w:themeTint="F2"/>
                                <w:sz w:val="36"/>
                                <w:szCs w:val="22"/>
                                <w:lang w:val="es-CO"/>
                              </w:rPr>
                              <w:t xml:space="preserve">INFORME </w:t>
                            </w:r>
                            <w:r w:rsidRPr="00F024DC">
                              <w:rPr>
                                <w:rFonts w:asciiTheme="majorHAnsi" w:hAnsiTheme="majorHAnsi" w:cs="Arial"/>
                                <w:b/>
                                <w:bCs/>
                                <w:color w:val="0D0D0D" w:themeColor="text1" w:themeTint="F2"/>
                                <w:sz w:val="36"/>
                                <w:szCs w:val="40"/>
                                <w:lang w:val="es-CO"/>
                              </w:rPr>
                              <w:t>No.</w:t>
                            </w:r>
                            <w:r w:rsidRPr="00F024DC">
                              <w:rPr>
                                <w:rFonts w:asciiTheme="majorHAnsi" w:hAnsiTheme="majorHAnsi" w:cs="Arial"/>
                                <w:b/>
                                <w:bCs/>
                                <w:color w:val="0D0D0D" w:themeColor="text1" w:themeTint="F2"/>
                                <w:sz w:val="36"/>
                                <w:szCs w:val="22"/>
                                <w:lang w:val="es-CO"/>
                              </w:rPr>
                              <w:t xml:space="preserve"> </w:t>
                            </w:r>
                            <w:r>
                              <w:rPr>
                                <w:rFonts w:asciiTheme="majorHAnsi" w:hAnsiTheme="majorHAnsi" w:cs="Arial"/>
                                <w:b/>
                                <w:bCs/>
                                <w:color w:val="0D0D0D" w:themeColor="text1" w:themeTint="F2"/>
                                <w:sz w:val="36"/>
                                <w:szCs w:val="22"/>
                                <w:lang w:val="es-CO"/>
                              </w:rPr>
                              <w:t>121</w:t>
                            </w:r>
                            <w:r w:rsidRPr="00713E68">
                              <w:rPr>
                                <w:rFonts w:asciiTheme="majorHAnsi" w:hAnsiTheme="majorHAnsi" w:cs="Arial"/>
                                <w:b/>
                                <w:bCs/>
                                <w:color w:val="0D0D0D" w:themeColor="text1" w:themeTint="F2"/>
                                <w:sz w:val="36"/>
                                <w:szCs w:val="22"/>
                                <w:lang w:val="es-CO"/>
                              </w:rPr>
                              <w:t>/1</w:t>
                            </w:r>
                            <w:r>
                              <w:rPr>
                                <w:rFonts w:asciiTheme="majorHAnsi" w:hAnsiTheme="majorHAnsi" w:cs="Arial"/>
                                <w:b/>
                                <w:bCs/>
                                <w:color w:val="0D0D0D" w:themeColor="text1" w:themeTint="F2"/>
                                <w:sz w:val="36"/>
                                <w:szCs w:val="22"/>
                                <w:lang w:val="es-CO"/>
                              </w:rPr>
                              <w:t>8</w:t>
                            </w:r>
                          </w:p>
                          <w:p w:rsidR="00C00F28" w:rsidRPr="00F024DC" w:rsidRDefault="00C00F28" w:rsidP="00997BC5">
                            <w:pPr>
                              <w:spacing w:line="276" w:lineRule="auto"/>
                              <w:rPr>
                                <w:rFonts w:asciiTheme="majorHAnsi" w:hAnsiTheme="majorHAnsi" w:cs="Arial"/>
                                <w:b/>
                                <w:color w:val="0D0D0D" w:themeColor="text1" w:themeTint="F2"/>
                                <w:sz w:val="36"/>
                                <w:szCs w:val="22"/>
                                <w:lang w:val="es-CO"/>
                              </w:rPr>
                            </w:pPr>
                            <w:r w:rsidRPr="00F024DC">
                              <w:rPr>
                                <w:rFonts w:asciiTheme="majorHAnsi" w:hAnsiTheme="majorHAnsi" w:cs="Arial"/>
                                <w:b/>
                                <w:color w:val="0D0D0D" w:themeColor="text1" w:themeTint="F2"/>
                                <w:sz w:val="36"/>
                                <w:szCs w:val="22"/>
                                <w:lang w:val="es-CO"/>
                              </w:rPr>
                              <w:t>CASO 10.573</w:t>
                            </w:r>
                          </w:p>
                          <w:p w:rsidR="00C00F28" w:rsidRPr="0010736F" w:rsidRDefault="00C00F28"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C00F28">
                              <w:rPr>
                                <w:rFonts w:asciiTheme="majorHAnsi" w:hAnsiTheme="majorHAnsi" w:cs="Arial"/>
                                <w:color w:val="0D0D0D" w:themeColor="text1" w:themeTint="F2"/>
                                <w:szCs w:val="22"/>
                                <w:lang w:val="es-ES_tradnl"/>
                              </w:rPr>
                              <w:t>FONDO (PUBLICACIÓN)</w:t>
                            </w:r>
                          </w:p>
                          <w:p w:rsidR="00C00F28" w:rsidRPr="0010736F" w:rsidRDefault="00C00F28" w:rsidP="00997BC5">
                            <w:pPr>
                              <w:spacing w:line="276" w:lineRule="auto"/>
                              <w:rPr>
                                <w:rFonts w:asciiTheme="majorHAnsi" w:hAnsiTheme="majorHAnsi" w:cs="Arial"/>
                                <w:color w:val="0D0D0D" w:themeColor="text1" w:themeTint="F2"/>
                                <w:szCs w:val="22"/>
                                <w:lang w:val="es-ES_tradnl"/>
                              </w:rPr>
                            </w:pPr>
                            <w:bookmarkStart w:id="0" w:name="_ftnref1"/>
                          </w:p>
                          <w:p w:rsidR="00C00F28" w:rsidRPr="0010736F" w:rsidRDefault="00C00F2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ISABEL SALAS GALINDO Y OTROS</w:t>
                            </w:r>
                          </w:p>
                          <w:bookmarkEnd w:id="0"/>
                          <w:p w:rsidR="00C00F28" w:rsidRPr="0010736F" w:rsidRDefault="00C00F2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w:t>
                            </w:r>
                          </w:p>
                          <w:p w:rsidR="00C00F28" w:rsidRPr="00AE5488" w:rsidRDefault="00C00F2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DB290" id="Text Box 5" o:spid="_x0000_s1027" type="#_x0000_t202" style="position:absolute;left:0;text-align:left;margin-left:106.5pt;margin-top:8.45pt;width:349.7pt;height:17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C00F28" w:rsidRPr="00F024DC" w:rsidRDefault="00C00F28" w:rsidP="00997BC5">
                      <w:pPr>
                        <w:spacing w:line="276" w:lineRule="auto"/>
                        <w:rPr>
                          <w:rFonts w:asciiTheme="majorHAnsi" w:hAnsiTheme="majorHAnsi" w:cs="Arial"/>
                          <w:b/>
                          <w:bCs/>
                          <w:color w:val="0D0D0D" w:themeColor="text1" w:themeTint="F2"/>
                          <w:sz w:val="36"/>
                          <w:szCs w:val="22"/>
                          <w:lang w:val="es-CO"/>
                        </w:rPr>
                      </w:pPr>
                      <w:r w:rsidRPr="00F024DC">
                        <w:rPr>
                          <w:rFonts w:asciiTheme="majorHAnsi" w:hAnsiTheme="majorHAnsi" w:cs="Arial"/>
                          <w:b/>
                          <w:bCs/>
                          <w:color w:val="0D0D0D" w:themeColor="text1" w:themeTint="F2"/>
                          <w:sz w:val="36"/>
                          <w:szCs w:val="22"/>
                          <w:lang w:val="es-CO"/>
                        </w:rPr>
                        <w:t xml:space="preserve">INFORME </w:t>
                      </w:r>
                      <w:r w:rsidRPr="00F024DC">
                        <w:rPr>
                          <w:rFonts w:asciiTheme="majorHAnsi" w:hAnsiTheme="majorHAnsi" w:cs="Arial"/>
                          <w:b/>
                          <w:bCs/>
                          <w:color w:val="0D0D0D" w:themeColor="text1" w:themeTint="F2"/>
                          <w:sz w:val="36"/>
                          <w:szCs w:val="40"/>
                          <w:lang w:val="es-CO"/>
                        </w:rPr>
                        <w:t>No.</w:t>
                      </w:r>
                      <w:r w:rsidRPr="00F024DC">
                        <w:rPr>
                          <w:rFonts w:asciiTheme="majorHAnsi" w:hAnsiTheme="majorHAnsi" w:cs="Arial"/>
                          <w:b/>
                          <w:bCs/>
                          <w:color w:val="0D0D0D" w:themeColor="text1" w:themeTint="F2"/>
                          <w:sz w:val="36"/>
                          <w:szCs w:val="22"/>
                          <w:lang w:val="es-CO"/>
                        </w:rPr>
                        <w:t xml:space="preserve"> </w:t>
                      </w:r>
                      <w:r>
                        <w:rPr>
                          <w:rFonts w:asciiTheme="majorHAnsi" w:hAnsiTheme="majorHAnsi" w:cs="Arial"/>
                          <w:b/>
                          <w:bCs/>
                          <w:color w:val="0D0D0D" w:themeColor="text1" w:themeTint="F2"/>
                          <w:sz w:val="36"/>
                          <w:szCs w:val="22"/>
                          <w:lang w:val="es-CO"/>
                        </w:rPr>
                        <w:t>121</w:t>
                      </w:r>
                      <w:r w:rsidRPr="00713E68">
                        <w:rPr>
                          <w:rFonts w:asciiTheme="majorHAnsi" w:hAnsiTheme="majorHAnsi" w:cs="Arial"/>
                          <w:b/>
                          <w:bCs/>
                          <w:color w:val="0D0D0D" w:themeColor="text1" w:themeTint="F2"/>
                          <w:sz w:val="36"/>
                          <w:szCs w:val="22"/>
                          <w:lang w:val="es-CO"/>
                        </w:rPr>
                        <w:t>/1</w:t>
                      </w:r>
                      <w:r>
                        <w:rPr>
                          <w:rFonts w:asciiTheme="majorHAnsi" w:hAnsiTheme="majorHAnsi" w:cs="Arial"/>
                          <w:b/>
                          <w:bCs/>
                          <w:color w:val="0D0D0D" w:themeColor="text1" w:themeTint="F2"/>
                          <w:sz w:val="36"/>
                          <w:szCs w:val="22"/>
                          <w:lang w:val="es-CO"/>
                        </w:rPr>
                        <w:t>8</w:t>
                      </w:r>
                    </w:p>
                    <w:p w:rsidR="00C00F28" w:rsidRPr="00F024DC" w:rsidRDefault="00C00F28" w:rsidP="00997BC5">
                      <w:pPr>
                        <w:spacing w:line="276" w:lineRule="auto"/>
                        <w:rPr>
                          <w:rFonts w:asciiTheme="majorHAnsi" w:hAnsiTheme="majorHAnsi" w:cs="Arial"/>
                          <w:b/>
                          <w:color w:val="0D0D0D" w:themeColor="text1" w:themeTint="F2"/>
                          <w:sz w:val="36"/>
                          <w:szCs w:val="22"/>
                          <w:lang w:val="es-CO"/>
                        </w:rPr>
                      </w:pPr>
                      <w:r w:rsidRPr="00F024DC">
                        <w:rPr>
                          <w:rFonts w:asciiTheme="majorHAnsi" w:hAnsiTheme="majorHAnsi" w:cs="Arial"/>
                          <w:b/>
                          <w:color w:val="0D0D0D" w:themeColor="text1" w:themeTint="F2"/>
                          <w:sz w:val="36"/>
                          <w:szCs w:val="22"/>
                          <w:lang w:val="es-CO"/>
                        </w:rPr>
                        <w:t>CASO 10.573</w:t>
                      </w:r>
                    </w:p>
                    <w:p w:rsidR="00C00F28" w:rsidRPr="0010736F" w:rsidRDefault="00C00F28"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C00F28">
                        <w:rPr>
                          <w:rFonts w:asciiTheme="majorHAnsi" w:hAnsiTheme="majorHAnsi" w:cs="Arial"/>
                          <w:color w:val="0D0D0D" w:themeColor="text1" w:themeTint="F2"/>
                          <w:szCs w:val="22"/>
                          <w:lang w:val="es-ES_tradnl"/>
                        </w:rPr>
                        <w:t>FONDO (PUBLICACIÓN)</w:t>
                      </w:r>
                    </w:p>
                    <w:p w:rsidR="00C00F28" w:rsidRPr="0010736F" w:rsidRDefault="00C00F28" w:rsidP="00997BC5">
                      <w:pPr>
                        <w:spacing w:line="276" w:lineRule="auto"/>
                        <w:rPr>
                          <w:rFonts w:asciiTheme="majorHAnsi" w:hAnsiTheme="majorHAnsi" w:cs="Arial"/>
                          <w:color w:val="0D0D0D" w:themeColor="text1" w:themeTint="F2"/>
                          <w:szCs w:val="22"/>
                          <w:lang w:val="es-ES_tradnl"/>
                        </w:rPr>
                      </w:pPr>
                      <w:bookmarkStart w:id="1" w:name="_ftnref1"/>
                    </w:p>
                    <w:p w:rsidR="00C00F28" w:rsidRPr="0010736F" w:rsidRDefault="00C00F2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ISABEL SALAS GALINDO Y OTROS</w:t>
                      </w:r>
                    </w:p>
                    <w:bookmarkEnd w:id="1"/>
                    <w:p w:rsidR="00C00F28" w:rsidRPr="0010736F" w:rsidRDefault="00C00F2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w:t>
                      </w:r>
                    </w:p>
                    <w:p w:rsidR="00C00F28" w:rsidRPr="00AE5488" w:rsidRDefault="00C00F28" w:rsidP="007A5817">
                      <w:pPr>
                        <w:rPr>
                          <w:color w:val="0D0D0D" w:themeColor="text1" w:themeTint="F2"/>
                          <w:lang w:val="es-ES_tradnl"/>
                        </w:rPr>
                      </w:pPr>
                    </w:p>
                  </w:txbxContent>
                </v:textbox>
              </v:shape>
            </w:pict>
          </mc:Fallback>
        </mc:AlternateContent>
      </w:r>
      <w:r w:rsidR="004E2649" w:rsidRPr="009712EB">
        <w:rPr>
          <w:rFonts w:ascii="Cambria" w:hAnsi="Cambria"/>
          <w:noProof/>
          <w:sz w:val="20"/>
          <w:szCs w:val="20"/>
        </w:rPr>
        <mc:AlternateContent>
          <mc:Choice Requires="wps">
            <w:drawing>
              <wp:anchor distT="0" distB="0" distL="114300" distR="114300" simplePos="0" relativeHeight="251657216" behindDoc="0" locked="0" layoutInCell="1" allowOverlap="1" wp14:anchorId="64C1E6B3" wp14:editId="7DBC552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0F28" w:rsidRPr="00D529F8" w:rsidRDefault="00C00F28" w:rsidP="007A5817">
                            <w:pPr>
                              <w:spacing w:line="276" w:lineRule="auto"/>
                              <w:jc w:val="right"/>
                              <w:rPr>
                                <w:rFonts w:asciiTheme="minorHAnsi" w:hAnsiTheme="minorHAnsi"/>
                                <w:color w:val="FFFFFF" w:themeColor="background1"/>
                                <w:sz w:val="22"/>
                                <w:lang w:val="pt-BR"/>
                              </w:rPr>
                            </w:pPr>
                            <w:r w:rsidRPr="00D529F8">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169</w:t>
                            </w:r>
                          </w:p>
                          <w:p w:rsidR="00C00F28" w:rsidRPr="00D529F8" w:rsidRDefault="00C00F2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138</w:t>
                            </w:r>
                          </w:p>
                          <w:p w:rsidR="00C00F28" w:rsidRPr="00713E68" w:rsidRDefault="00C00F2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5 octubre </w:t>
                            </w:r>
                            <w:r w:rsidRPr="00713E68">
                              <w:rPr>
                                <w:rFonts w:asciiTheme="minorHAnsi" w:hAnsiTheme="minorHAnsi"/>
                                <w:color w:val="FFFFFF" w:themeColor="background1"/>
                                <w:sz w:val="22"/>
                                <w:lang w:val="es-ES"/>
                              </w:rPr>
                              <w:t>201</w:t>
                            </w:r>
                            <w:r>
                              <w:rPr>
                                <w:rFonts w:asciiTheme="minorHAnsi" w:hAnsiTheme="minorHAnsi"/>
                                <w:color w:val="FFFFFF" w:themeColor="background1"/>
                                <w:sz w:val="22"/>
                                <w:lang w:val="es-ES"/>
                              </w:rPr>
                              <w:t>8</w:t>
                            </w:r>
                          </w:p>
                          <w:p w:rsidR="00C00F28" w:rsidRPr="00713E68" w:rsidRDefault="00C00F28" w:rsidP="007A5817">
                            <w:pPr>
                              <w:spacing w:line="276" w:lineRule="auto"/>
                              <w:jc w:val="right"/>
                              <w:rPr>
                                <w:rFonts w:asciiTheme="minorHAnsi" w:hAnsiTheme="minorHAnsi"/>
                                <w:color w:val="FFFFFF" w:themeColor="background1"/>
                                <w:sz w:val="22"/>
                                <w:lang w:val="es-ES"/>
                              </w:rPr>
                            </w:pPr>
                            <w:r w:rsidRPr="00713E68">
                              <w:rPr>
                                <w:rFonts w:asciiTheme="minorHAnsi" w:hAnsiTheme="minorHAnsi"/>
                                <w:color w:val="FFFFFF" w:themeColor="background1"/>
                                <w:sz w:val="22"/>
                                <w:lang w:val="es-ES"/>
                              </w:rPr>
                              <w:t xml:space="preserve">Original: </w:t>
                            </w:r>
                            <w:r>
                              <w:rPr>
                                <w:rFonts w:asciiTheme="minorHAnsi" w:hAnsiTheme="minorHAnsi"/>
                                <w:color w:val="FFFFFF" w:themeColor="background1"/>
                                <w:sz w:val="22"/>
                                <w:lang w:val="es-E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1E6B3"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C00F28" w:rsidRPr="00D529F8" w:rsidRDefault="00C00F28" w:rsidP="007A5817">
                      <w:pPr>
                        <w:spacing w:line="276" w:lineRule="auto"/>
                        <w:jc w:val="right"/>
                        <w:rPr>
                          <w:rFonts w:asciiTheme="minorHAnsi" w:hAnsiTheme="minorHAnsi"/>
                          <w:color w:val="FFFFFF" w:themeColor="background1"/>
                          <w:sz w:val="22"/>
                          <w:lang w:val="pt-BR"/>
                        </w:rPr>
                      </w:pPr>
                      <w:r w:rsidRPr="00D529F8">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169</w:t>
                      </w:r>
                    </w:p>
                    <w:p w:rsidR="00C00F28" w:rsidRPr="00D529F8" w:rsidRDefault="00C00F2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138</w:t>
                      </w:r>
                    </w:p>
                    <w:p w:rsidR="00C00F28" w:rsidRPr="00713E68" w:rsidRDefault="00C00F2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5 octubre </w:t>
                      </w:r>
                      <w:r w:rsidRPr="00713E68">
                        <w:rPr>
                          <w:rFonts w:asciiTheme="minorHAnsi" w:hAnsiTheme="minorHAnsi"/>
                          <w:color w:val="FFFFFF" w:themeColor="background1"/>
                          <w:sz w:val="22"/>
                          <w:lang w:val="es-ES"/>
                        </w:rPr>
                        <w:t>201</w:t>
                      </w:r>
                      <w:r>
                        <w:rPr>
                          <w:rFonts w:asciiTheme="minorHAnsi" w:hAnsiTheme="minorHAnsi"/>
                          <w:color w:val="FFFFFF" w:themeColor="background1"/>
                          <w:sz w:val="22"/>
                          <w:lang w:val="es-ES"/>
                        </w:rPr>
                        <w:t>8</w:t>
                      </w:r>
                    </w:p>
                    <w:p w:rsidR="00C00F28" w:rsidRPr="00713E68" w:rsidRDefault="00C00F28" w:rsidP="007A5817">
                      <w:pPr>
                        <w:spacing w:line="276" w:lineRule="auto"/>
                        <w:jc w:val="right"/>
                        <w:rPr>
                          <w:rFonts w:asciiTheme="minorHAnsi" w:hAnsiTheme="minorHAnsi"/>
                          <w:color w:val="FFFFFF" w:themeColor="background1"/>
                          <w:sz w:val="22"/>
                          <w:lang w:val="es-ES"/>
                        </w:rPr>
                      </w:pPr>
                      <w:r w:rsidRPr="00713E68">
                        <w:rPr>
                          <w:rFonts w:asciiTheme="minorHAnsi" w:hAnsiTheme="minorHAnsi"/>
                          <w:color w:val="FFFFFF" w:themeColor="background1"/>
                          <w:sz w:val="22"/>
                          <w:lang w:val="es-ES"/>
                        </w:rPr>
                        <w:t xml:space="preserve">Original: </w:t>
                      </w:r>
                      <w:r>
                        <w:rPr>
                          <w:rFonts w:asciiTheme="minorHAnsi" w:hAnsiTheme="minorHAnsi"/>
                          <w:color w:val="FFFFFF" w:themeColor="background1"/>
                          <w:sz w:val="22"/>
                          <w:lang w:val="es-ES"/>
                        </w:rPr>
                        <w:t>inglés</w:t>
                      </w:r>
                    </w:p>
                  </w:txbxContent>
                </v:textbox>
              </v:shape>
            </w:pict>
          </mc:Fallback>
        </mc:AlternateContent>
      </w:r>
    </w:p>
    <w:p w:rsidR="00040C3A" w:rsidRPr="009712EB" w:rsidRDefault="00040C3A" w:rsidP="009712EB">
      <w:pPr>
        <w:tabs>
          <w:tab w:val="center" w:pos="5400"/>
        </w:tabs>
        <w:suppressAutoHyphens/>
        <w:jc w:val="center"/>
        <w:rPr>
          <w:rFonts w:ascii="Cambria" w:hAnsi="Cambria"/>
          <w:sz w:val="20"/>
          <w:szCs w:val="20"/>
          <w:lang w:val="es-ES_tradnl"/>
        </w:rPr>
      </w:pPr>
    </w:p>
    <w:p w:rsidR="00040C3A" w:rsidRPr="009712EB" w:rsidRDefault="00040C3A" w:rsidP="009712EB">
      <w:pPr>
        <w:tabs>
          <w:tab w:val="center" w:pos="5400"/>
        </w:tabs>
        <w:suppressAutoHyphens/>
        <w:jc w:val="center"/>
        <w:rPr>
          <w:rFonts w:ascii="Cambria" w:hAnsi="Cambria"/>
          <w:sz w:val="20"/>
          <w:szCs w:val="20"/>
          <w:lang w:val="es-ES_tradnl"/>
        </w:rPr>
      </w:pPr>
    </w:p>
    <w:p w:rsidR="00040C3A" w:rsidRPr="009712EB" w:rsidRDefault="00040C3A" w:rsidP="009712EB">
      <w:pPr>
        <w:tabs>
          <w:tab w:val="center" w:pos="5400"/>
        </w:tabs>
        <w:suppressAutoHyphens/>
        <w:jc w:val="center"/>
        <w:rPr>
          <w:rFonts w:ascii="Cambria" w:hAnsi="Cambria" w:cs="Arial"/>
          <w:sz w:val="20"/>
          <w:szCs w:val="20"/>
          <w:lang w:val="es-ES_tradnl"/>
        </w:rPr>
      </w:pPr>
    </w:p>
    <w:p w:rsidR="00040C3A" w:rsidRPr="009712EB" w:rsidRDefault="00040C3A" w:rsidP="009712EB">
      <w:pPr>
        <w:tabs>
          <w:tab w:val="center" w:pos="5400"/>
        </w:tabs>
        <w:suppressAutoHyphens/>
        <w:jc w:val="center"/>
        <w:rPr>
          <w:rFonts w:ascii="Cambria" w:hAnsi="Cambria"/>
          <w:sz w:val="20"/>
          <w:szCs w:val="20"/>
          <w:lang w:val="es-ES_tradnl"/>
        </w:rPr>
      </w:pPr>
    </w:p>
    <w:p w:rsidR="00040C3A" w:rsidRPr="009712EB" w:rsidRDefault="00040C3A" w:rsidP="009712EB">
      <w:pPr>
        <w:tabs>
          <w:tab w:val="center" w:pos="5400"/>
        </w:tabs>
        <w:suppressAutoHyphens/>
        <w:jc w:val="center"/>
        <w:rPr>
          <w:rFonts w:ascii="Cambria" w:hAnsi="Cambria"/>
          <w:sz w:val="20"/>
          <w:szCs w:val="20"/>
          <w:lang w:val="es-ES_tradnl"/>
        </w:rPr>
      </w:pPr>
    </w:p>
    <w:p w:rsidR="00040C3A" w:rsidRPr="009712EB" w:rsidRDefault="00040C3A" w:rsidP="009712EB">
      <w:pPr>
        <w:tabs>
          <w:tab w:val="center" w:pos="5400"/>
        </w:tabs>
        <w:suppressAutoHyphens/>
        <w:jc w:val="center"/>
        <w:rPr>
          <w:rFonts w:ascii="Cambria" w:hAnsi="Cambria"/>
          <w:sz w:val="20"/>
          <w:szCs w:val="20"/>
          <w:lang w:val="es-ES_tradnl"/>
        </w:rPr>
      </w:pPr>
    </w:p>
    <w:p w:rsidR="00040C3A" w:rsidRPr="009712EB" w:rsidRDefault="00040C3A" w:rsidP="009712EB">
      <w:pPr>
        <w:tabs>
          <w:tab w:val="center" w:pos="5400"/>
        </w:tabs>
        <w:suppressAutoHyphens/>
        <w:jc w:val="center"/>
        <w:rPr>
          <w:rFonts w:ascii="Cambria" w:hAnsi="Cambria"/>
          <w:sz w:val="20"/>
          <w:szCs w:val="20"/>
          <w:lang w:val="es-ES_tradnl"/>
        </w:rPr>
      </w:pPr>
    </w:p>
    <w:p w:rsidR="005128E4" w:rsidRPr="009712EB" w:rsidRDefault="005128E4" w:rsidP="009712EB">
      <w:pPr>
        <w:tabs>
          <w:tab w:val="center" w:pos="5400"/>
        </w:tabs>
        <w:suppressAutoHyphens/>
        <w:jc w:val="center"/>
        <w:rPr>
          <w:rFonts w:ascii="Cambria" w:hAnsi="Cambria"/>
          <w:sz w:val="20"/>
          <w:szCs w:val="20"/>
          <w:lang w:val="es-ES_tradnl"/>
        </w:rPr>
      </w:pPr>
    </w:p>
    <w:p w:rsidR="00040C3A" w:rsidRPr="009712EB" w:rsidRDefault="00040C3A" w:rsidP="009712EB">
      <w:pPr>
        <w:tabs>
          <w:tab w:val="center" w:pos="5400"/>
        </w:tabs>
        <w:suppressAutoHyphens/>
        <w:jc w:val="center"/>
        <w:rPr>
          <w:rFonts w:ascii="Cambria" w:hAnsi="Cambria"/>
          <w:sz w:val="20"/>
          <w:szCs w:val="20"/>
          <w:lang w:val="es-ES_tradnl"/>
        </w:rPr>
      </w:pPr>
    </w:p>
    <w:p w:rsidR="005128E4" w:rsidRPr="009712EB" w:rsidRDefault="005128E4" w:rsidP="009712EB">
      <w:pPr>
        <w:tabs>
          <w:tab w:val="center" w:pos="5400"/>
        </w:tabs>
        <w:suppressAutoHyphens/>
        <w:jc w:val="center"/>
        <w:rPr>
          <w:rFonts w:ascii="Cambria" w:hAnsi="Cambria"/>
          <w:sz w:val="20"/>
          <w:szCs w:val="20"/>
          <w:lang w:val="es-ES_tradnl"/>
        </w:rPr>
      </w:pPr>
    </w:p>
    <w:p w:rsidR="005128E4" w:rsidRPr="009712EB" w:rsidRDefault="005128E4" w:rsidP="009712EB">
      <w:pPr>
        <w:tabs>
          <w:tab w:val="center" w:pos="5400"/>
        </w:tabs>
        <w:suppressAutoHyphens/>
        <w:jc w:val="center"/>
        <w:rPr>
          <w:rFonts w:ascii="Cambria" w:hAnsi="Cambria"/>
          <w:sz w:val="20"/>
          <w:szCs w:val="20"/>
          <w:lang w:val="es-ES_tradnl"/>
        </w:rPr>
      </w:pPr>
    </w:p>
    <w:p w:rsidR="005128E4" w:rsidRPr="009712EB" w:rsidRDefault="005128E4" w:rsidP="009712EB">
      <w:pPr>
        <w:tabs>
          <w:tab w:val="center" w:pos="5400"/>
        </w:tabs>
        <w:suppressAutoHyphens/>
        <w:jc w:val="center"/>
        <w:rPr>
          <w:rFonts w:ascii="Cambria" w:hAnsi="Cambria"/>
          <w:sz w:val="20"/>
          <w:szCs w:val="20"/>
          <w:lang w:val="es-ES_tradnl"/>
        </w:rPr>
      </w:pPr>
    </w:p>
    <w:p w:rsidR="00040C3A" w:rsidRPr="009712EB" w:rsidRDefault="00040C3A" w:rsidP="009712EB">
      <w:pPr>
        <w:tabs>
          <w:tab w:val="center" w:pos="5400"/>
        </w:tabs>
        <w:suppressAutoHyphens/>
        <w:jc w:val="center"/>
        <w:rPr>
          <w:rFonts w:ascii="Cambria" w:hAnsi="Cambria"/>
          <w:sz w:val="20"/>
          <w:szCs w:val="20"/>
          <w:lang w:val="es-ES_tradnl"/>
        </w:rPr>
      </w:pPr>
    </w:p>
    <w:p w:rsidR="00040C3A" w:rsidRPr="009712EB" w:rsidRDefault="00040C3A" w:rsidP="009712EB">
      <w:pPr>
        <w:tabs>
          <w:tab w:val="center" w:pos="5400"/>
        </w:tabs>
        <w:suppressAutoHyphens/>
        <w:jc w:val="center"/>
        <w:rPr>
          <w:rFonts w:ascii="Cambria" w:hAnsi="Cambria"/>
          <w:sz w:val="20"/>
          <w:szCs w:val="20"/>
          <w:lang w:val="es-ES_tradnl"/>
        </w:rPr>
      </w:pPr>
    </w:p>
    <w:p w:rsidR="00A50FCF" w:rsidRPr="009712EB" w:rsidRDefault="00A50FCF" w:rsidP="009712EB">
      <w:pPr>
        <w:tabs>
          <w:tab w:val="center" w:pos="5400"/>
        </w:tabs>
        <w:suppressAutoHyphens/>
        <w:jc w:val="center"/>
        <w:rPr>
          <w:rFonts w:ascii="Cambria" w:hAnsi="Cambria"/>
          <w:sz w:val="20"/>
          <w:szCs w:val="20"/>
          <w:lang w:val="es-ES_tradnl"/>
        </w:rPr>
      </w:pPr>
    </w:p>
    <w:p w:rsidR="00A50FCF" w:rsidRPr="009712EB" w:rsidRDefault="00A50FCF" w:rsidP="009712EB">
      <w:pPr>
        <w:tabs>
          <w:tab w:val="center" w:pos="5400"/>
        </w:tabs>
        <w:suppressAutoHyphens/>
        <w:jc w:val="center"/>
        <w:rPr>
          <w:rFonts w:ascii="Cambria" w:hAnsi="Cambria"/>
          <w:sz w:val="20"/>
          <w:szCs w:val="20"/>
          <w:lang w:val="es-ES_tradnl"/>
        </w:rPr>
      </w:pPr>
    </w:p>
    <w:p w:rsidR="00A50FCF" w:rsidRPr="009712EB" w:rsidRDefault="00A50FCF" w:rsidP="009712EB">
      <w:pPr>
        <w:tabs>
          <w:tab w:val="center" w:pos="5400"/>
        </w:tabs>
        <w:suppressAutoHyphens/>
        <w:jc w:val="center"/>
        <w:rPr>
          <w:rFonts w:ascii="Cambria" w:hAnsi="Cambria"/>
          <w:sz w:val="20"/>
          <w:szCs w:val="20"/>
          <w:lang w:val="es-ES_tradnl"/>
        </w:rPr>
      </w:pPr>
    </w:p>
    <w:p w:rsidR="00A50FCF" w:rsidRPr="009712EB" w:rsidRDefault="00A50FCF" w:rsidP="009712EB">
      <w:pPr>
        <w:tabs>
          <w:tab w:val="center" w:pos="5400"/>
        </w:tabs>
        <w:suppressAutoHyphens/>
        <w:jc w:val="center"/>
        <w:rPr>
          <w:rFonts w:ascii="Cambria" w:hAnsi="Cambria"/>
          <w:sz w:val="20"/>
          <w:szCs w:val="20"/>
          <w:lang w:val="es-ES_tradnl"/>
        </w:rPr>
      </w:pPr>
    </w:p>
    <w:p w:rsidR="00A50FCF" w:rsidRPr="009712EB" w:rsidRDefault="00A50FCF" w:rsidP="009712EB">
      <w:pPr>
        <w:tabs>
          <w:tab w:val="center" w:pos="5400"/>
        </w:tabs>
        <w:suppressAutoHyphens/>
        <w:jc w:val="center"/>
        <w:rPr>
          <w:rFonts w:ascii="Cambria" w:hAnsi="Cambria"/>
          <w:sz w:val="20"/>
          <w:szCs w:val="20"/>
          <w:lang w:val="es-ES_tradnl"/>
        </w:rPr>
      </w:pPr>
    </w:p>
    <w:p w:rsidR="00A50FCF" w:rsidRPr="009712EB" w:rsidRDefault="00A50FCF" w:rsidP="009712EB">
      <w:pPr>
        <w:tabs>
          <w:tab w:val="center" w:pos="5400"/>
        </w:tabs>
        <w:suppressAutoHyphens/>
        <w:jc w:val="center"/>
        <w:rPr>
          <w:rFonts w:ascii="Cambria" w:hAnsi="Cambria"/>
          <w:sz w:val="20"/>
          <w:szCs w:val="20"/>
          <w:lang w:val="es-ES_tradnl"/>
        </w:rPr>
      </w:pPr>
    </w:p>
    <w:p w:rsidR="00A50FCF" w:rsidRPr="009712EB" w:rsidRDefault="00A50FCF" w:rsidP="009712EB">
      <w:pPr>
        <w:tabs>
          <w:tab w:val="center" w:pos="5400"/>
        </w:tabs>
        <w:suppressAutoHyphens/>
        <w:jc w:val="center"/>
        <w:rPr>
          <w:rFonts w:ascii="Cambria" w:hAnsi="Cambria"/>
          <w:sz w:val="20"/>
          <w:szCs w:val="20"/>
          <w:lang w:val="es-ES_tradnl"/>
        </w:rPr>
      </w:pPr>
    </w:p>
    <w:p w:rsidR="00A50FCF" w:rsidRPr="009712EB" w:rsidRDefault="00A50FCF" w:rsidP="009712EB">
      <w:pPr>
        <w:tabs>
          <w:tab w:val="center" w:pos="5400"/>
        </w:tabs>
        <w:suppressAutoHyphens/>
        <w:jc w:val="center"/>
        <w:rPr>
          <w:rFonts w:ascii="Cambria" w:hAnsi="Cambria"/>
          <w:sz w:val="20"/>
          <w:szCs w:val="20"/>
          <w:lang w:val="es-ES_tradnl"/>
        </w:rPr>
      </w:pPr>
    </w:p>
    <w:p w:rsidR="00A50FCF" w:rsidRPr="009712EB" w:rsidRDefault="00A50FCF" w:rsidP="009712EB">
      <w:pPr>
        <w:tabs>
          <w:tab w:val="center" w:pos="5400"/>
        </w:tabs>
        <w:suppressAutoHyphens/>
        <w:jc w:val="center"/>
        <w:rPr>
          <w:rFonts w:ascii="Cambria" w:hAnsi="Cambria"/>
          <w:sz w:val="20"/>
          <w:szCs w:val="20"/>
          <w:lang w:val="es-ES_tradnl"/>
        </w:rPr>
      </w:pPr>
    </w:p>
    <w:p w:rsidR="00A50FCF" w:rsidRPr="009712EB" w:rsidRDefault="00A50FCF" w:rsidP="009712EB">
      <w:pPr>
        <w:tabs>
          <w:tab w:val="center" w:pos="5400"/>
        </w:tabs>
        <w:suppressAutoHyphens/>
        <w:jc w:val="center"/>
        <w:rPr>
          <w:rFonts w:ascii="Cambria" w:hAnsi="Cambria"/>
          <w:sz w:val="20"/>
          <w:szCs w:val="20"/>
          <w:lang w:val="es-ES_tradnl"/>
        </w:rPr>
      </w:pPr>
    </w:p>
    <w:p w:rsidR="00A50FCF" w:rsidRPr="009712EB" w:rsidRDefault="00A50FCF" w:rsidP="009712EB">
      <w:pPr>
        <w:tabs>
          <w:tab w:val="center" w:pos="5400"/>
        </w:tabs>
        <w:suppressAutoHyphens/>
        <w:jc w:val="center"/>
        <w:rPr>
          <w:rFonts w:ascii="Cambria" w:hAnsi="Cambria"/>
          <w:sz w:val="20"/>
          <w:szCs w:val="20"/>
          <w:lang w:val="es-ES_tradnl"/>
        </w:rPr>
      </w:pPr>
    </w:p>
    <w:p w:rsidR="00A50FCF" w:rsidRPr="009712EB" w:rsidRDefault="00A50FCF" w:rsidP="009712EB">
      <w:pPr>
        <w:tabs>
          <w:tab w:val="center" w:pos="5400"/>
        </w:tabs>
        <w:suppressAutoHyphens/>
        <w:jc w:val="center"/>
        <w:rPr>
          <w:rFonts w:ascii="Cambria" w:hAnsi="Cambria"/>
          <w:sz w:val="20"/>
          <w:szCs w:val="20"/>
          <w:lang w:val="es-ES_tradnl"/>
        </w:rPr>
      </w:pPr>
    </w:p>
    <w:p w:rsidR="00A50FCF" w:rsidRPr="009712EB" w:rsidRDefault="00A50FCF" w:rsidP="009712EB">
      <w:pPr>
        <w:tabs>
          <w:tab w:val="center" w:pos="5400"/>
        </w:tabs>
        <w:suppressAutoHyphens/>
        <w:jc w:val="center"/>
        <w:rPr>
          <w:rFonts w:ascii="Cambria" w:hAnsi="Cambria"/>
          <w:sz w:val="20"/>
          <w:szCs w:val="20"/>
          <w:lang w:val="es-ES_tradnl"/>
        </w:rPr>
      </w:pPr>
    </w:p>
    <w:p w:rsidR="00A50FCF" w:rsidRPr="009712EB" w:rsidRDefault="00A50FCF" w:rsidP="009712EB">
      <w:pPr>
        <w:tabs>
          <w:tab w:val="center" w:pos="5400"/>
        </w:tabs>
        <w:suppressAutoHyphens/>
        <w:jc w:val="center"/>
        <w:rPr>
          <w:rFonts w:ascii="Cambria" w:hAnsi="Cambria"/>
          <w:sz w:val="20"/>
          <w:szCs w:val="20"/>
          <w:lang w:val="es-ES_tradnl"/>
        </w:rPr>
      </w:pPr>
    </w:p>
    <w:p w:rsidR="00A50FCF" w:rsidRPr="009712EB" w:rsidRDefault="0090270B" w:rsidP="009712EB">
      <w:pPr>
        <w:tabs>
          <w:tab w:val="center" w:pos="5400"/>
        </w:tabs>
        <w:suppressAutoHyphens/>
        <w:jc w:val="center"/>
        <w:rPr>
          <w:rFonts w:ascii="Cambria" w:hAnsi="Cambria"/>
          <w:sz w:val="20"/>
          <w:szCs w:val="20"/>
          <w:lang w:val="es-ES_tradnl"/>
        </w:rPr>
      </w:pPr>
      <w:r w:rsidRPr="009712EB">
        <w:rPr>
          <w:rFonts w:ascii="Cambria" w:hAnsi="Cambria"/>
          <w:noProof/>
          <w:sz w:val="20"/>
          <w:szCs w:val="20"/>
        </w:rPr>
        <mc:AlternateContent>
          <mc:Choice Requires="wps">
            <w:drawing>
              <wp:anchor distT="0" distB="0" distL="114300" distR="114300" simplePos="0" relativeHeight="251654144" behindDoc="0" locked="0" layoutInCell="1" allowOverlap="1" wp14:anchorId="3D1C1AED" wp14:editId="7A41DA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0F28" w:rsidRPr="003C5F84" w:rsidRDefault="00C00F28"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713E68">
                              <w:rPr>
                                <w:rFonts w:asciiTheme="majorHAnsi" w:hAnsiTheme="majorHAnsi"/>
                                <w:color w:val="0D0D0D" w:themeColor="text1" w:themeTint="F2"/>
                                <w:sz w:val="18"/>
                                <w:szCs w:val="20"/>
                                <w:lang w:val="es-ES"/>
                              </w:rPr>
                              <w:t>Aprobado por l</w:t>
                            </w:r>
                            <w:r>
                              <w:rPr>
                                <w:rFonts w:asciiTheme="majorHAnsi" w:hAnsiTheme="majorHAnsi"/>
                                <w:color w:val="0D0D0D" w:themeColor="text1" w:themeTint="F2"/>
                                <w:sz w:val="18"/>
                                <w:szCs w:val="20"/>
                                <w:lang w:val="es-ES"/>
                              </w:rPr>
                              <w:t>a Comisión en su sesión No. 2137</w:t>
                            </w:r>
                            <w:r w:rsidRPr="00713E68">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5</w:t>
                            </w:r>
                            <w:r w:rsidRPr="00713E68">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octubre</w:t>
                            </w:r>
                            <w:r w:rsidRPr="00713E68">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713E68">
                              <w:rPr>
                                <w:rFonts w:asciiTheme="majorHAnsi" w:hAnsiTheme="majorHAnsi"/>
                                <w:color w:val="0D0D0D" w:themeColor="text1" w:themeTint="F2"/>
                                <w:sz w:val="18"/>
                                <w:szCs w:val="20"/>
                                <w:lang w:val="es-ES"/>
                              </w:rPr>
                              <w:br/>
                            </w:r>
                            <w:r w:rsidRPr="00713E68">
                              <w:rPr>
                                <w:rFonts w:asciiTheme="majorHAnsi" w:hAnsiTheme="majorHAnsi" w:cs="Univers"/>
                                <w:color w:val="0D0D0D" w:themeColor="text1" w:themeTint="F2"/>
                                <w:sz w:val="18"/>
                                <w:szCs w:val="20"/>
                                <w:lang w:val="es-ES"/>
                              </w:rPr>
                              <w:t>16</w:t>
                            </w:r>
                            <w:r>
                              <w:rPr>
                                <w:rFonts w:asciiTheme="majorHAnsi" w:hAnsiTheme="majorHAnsi" w:cs="Univers"/>
                                <w:color w:val="0D0D0D" w:themeColor="text1" w:themeTint="F2"/>
                                <w:sz w:val="18"/>
                                <w:szCs w:val="20"/>
                                <w:lang w:val="es-ES"/>
                              </w:rPr>
                              <w:t>9</w:t>
                            </w:r>
                            <w:r w:rsidRPr="00713E68">
                              <w:rPr>
                                <w:rFonts w:asciiTheme="majorHAnsi" w:hAnsiTheme="majorHAnsi" w:cs="Univers"/>
                                <w:color w:val="0D0D0D" w:themeColor="text1" w:themeTint="F2"/>
                                <w:sz w:val="18"/>
                                <w:szCs w:val="20"/>
                                <w:lang w:val="es-ES_tradnl"/>
                              </w:rPr>
                              <w:t xml:space="preserve"> período ordinario de sesiones</w:t>
                            </w:r>
                            <w:r w:rsidR="005177AF">
                              <w:rPr>
                                <w:rFonts w:asciiTheme="majorHAnsi" w:hAnsiTheme="majorHAnsi" w:cs="Univers"/>
                                <w:color w:val="0D0D0D" w:themeColor="text1" w:themeTint="F2"/>
                                <w:sz w:val="18"/>
                                <w:szCs w:val="20"/>
                                <w:lang w:val="es-ES_tradnl"/>
                              </w:rPr>
                              <w:t>.</w:t>
                            </w:r>
                          </w:p>
                          <w:p w:rsidR="00C00F28" w:rsidRPr="00713E68" w:rsidRDefault="00C00F28" w:rsidP="0059191A">
                            <w:pPr>
                              <w:tabs>
                                <w:tab w:val="center" w:pos="5400"/>
                              </w:tabs>
                              <w:suppressAutoHyphens/>
                              <w:spacing w:before="60"/>
                              <w:rPr>
                                <w:rFonts w:ascii="Calibri" w:hAnsi="Calibri"/>
                                <w:color w:val="FFFFFF" w:themeColor="background1"/>
                                <w:spacing w:val="-2"/>
                                <w:sz w:val="16"/>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C1AED" id="Text Box 7" o:spid="_x0000_s1029" type="#_x0000_t202" style="position:absolute;left:0;text-align:left;margin-left:105.65pt;margin-top:1.8pt;width:388.5pt;height:5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C00F28" w:rsidRPr="003C5F84" w:rsidRDefault="00C00F28"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713E68">
                        <w:rPr>
                          <w:rFonts w:asciiTheme="majorHAnsi" w:hAnsiTheme="majorHAnsi"/>
                          <w:color w:val="0D0D0D" w:themeColor="text1" w:themeTint="F2"/>
                          <w:sz w:val="18"/>
                          <w:szCs w:val="20"/>
                          <w:lang w:val="es-ES"/>
                        </w:rPr>
                        <w:t>Aprobado por l</w:t>
                      </w:r>
                      <w:r>
                        <w:rPr>
                          <w:rFonts w:asciiTheme="majorHAnsi" w:hAnsiTheme="majorHAnsi"/>
                          <w:color w:val="0D0D0D" w:themeColor="text1" w:themeTint="F2"/>
                          <w:sz w:val="18"/>
                          <w:szCs w:val="20"/>
                          <w:lang w:val="es-ES"/>
                        </w:rPr>
                        <w:t>a Comisión en su sesión No. 2137</w:t>
                      </w:r>
                      <w:r w:rsidRPr="00713E68">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5</w:t>
                      </w:r>
                      <w:r w:rsidRPr="00713E68">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octubre</w:t>
                      </w:r>
                      <w:r w:rsidRPr="00713E68">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713E68">
                        <w:rPr>
                          <w:rFonts w:asciiTheme="majorHAnsi" w:hAnsiTheme="majorHAnsi"/>
                          <w:color w:val="0D0D0D" w:themeColor="text1" w:themeTint="F2"/>
                          <w:sz w:val="18"/>
                          <w:szCs w:val="20"/>
                          <w:lang w:val="es-ES"/>
                        </w:rPr>
                        <w:br/>
                      </w:r>
                      <w:r w:rsidRPr="00713E68">
                        <w:rPr>
                          <w:rFonts w:asciiTheme="majorHAnsi" w:hAnsiTheme="majorHAnsi" w:cs="Univers"/>
                          <w:color w:val="0D0D0D" w:themeColor="text1" w:themeTint="F2"/>
                          <w:sz w:val="18"/>
                          <w:szCs w:val="20"/>
                          <w:lang w:val="es-ES"/>
                        </w:rPr>
                        <w:t>16</w:t>
                      </w:r>
                      <w:r>
                        <w:rPr>
                          <w:rFonts w:asciiTheme="majorHAnsi" w:hAnsiTheme="majorHAnsi" w:cs="Univers"/>
                          <w:color w:val="0D0D0D" w:themeColor="text1" w:themeTint="F2"/>
                          <w:sz w:val="18"/>
                          <w:szCs w:val="20"/>
                          <w:lang w:val="es-ES"/>
                        </w:rPr>
                        <w:t>9</w:t>
                      </w:r>
                      <w:r w:rsidRPr="00713E68">
                        <w:rPr>
                          <w:rFonts w:asciiTheme="majorHAnsi" w:hAnsiTheme="majorHAnsi" w:cs="Univers"/>
                          <w:color w:val="0D0D0D" w:themeColor="text1" w:themeTint="F2"/>
                          <w:sz w:val="18"/>
                          <w:szCs w:val="20"/>
                          <w:lang w:val="es-ES_tradnl"/>
                        </w:rPr>
                        <w:t xml:space="preserve"> período ordinario de sesiones</w:t>
                      </w:r>
                      <w:r w:rsidR="005177AF">
                        <w:rPr>
                          <w:rFonts w:asciiTheme="majorHAnsi" w:hAnsiTheme="majorHAnsi" w:cs="Univers"/>
                          <w:color w:val="0D0D0D" w:themeColor="text1" w:themeTint="F2"/>
                          <w:sz w:val="18"/>
                          <w:szCs w:val="20"/>
                          <w:lang w:val="es-ES_tradnl"/>
                        </w:rPr>
                        <w:t>.</w:t>
                      </w:r>
                    </w:p>
                    <w:p w:rsidR="00C00F28" w:rsidRPr="00713E68" w:rsidRDefault="00C00F28" w:rsidP="0059191A">
                      <w:pPr>
                        <w:tabs>
                          <w:tab w:val="center" w:pos="5400"/>
                        </w:tabs>
                        <w:suppressAutoHyphens/>
                        <w:spacing w:before="60"/>
                        <w:rPr>
                          <w:rFonts w:ascii="Calibri" w:hAnsi="Calibri"/>
                          <w:color w:val="FFFFFF" w:themeColor="background1"/>
                          <w:spacing w:val="-2"/>
                          <w:sz w:val="16"/>
                          <w:lang w:val="es-ES_tradnl"/>
                        </w:rPr>
                      </w:pPr>
                    </w:p>
                  </w:txbxContent>
                </v:textbox>
              </v:shape>
            </w:pict>
          </mc:Fallback>
        </mc:AlternateContent>
      </w:r>
    </w:p>
    <w:p w:rsidR="00A50FCF" w:rsidRPr="009712EB" w:rsidRDefault="00A50FCF" w:rsidP="009712EB">
      <w:pPr>
        <w:tabs>
          <w:tab w:val="center" w:pos="5400"/>
        </w:tabs>
        <w:suppressAutoHyphens/>
        <w:jc w:val="center"/>
        <w:rPr>
          <w:rFonts w:ascii="Cambria" w:hAnsi="Cambria"/>
          <w:sz w:val="20"/>
          <w:szCs w:val="20"/>
          <w:lang w:val="es-ES_tradnl"/>
        </w:rPr>
      </w:pPr>
    </w:p>
    <w:p w:rsidR="00A50FCF" w:rsidRPr="009712EB" w:rsidRDefault="00A50FCF" w:rsidP="009712EB">
      <w:pPr>
        <w:tabs>
          <w:tab w:val="center" w:pos="5400"/>
        </w:tabs>
        <w:suppressAutoHyphens/>
        <w:jc w:val="center"/>
        <w:rPr>
          <w:rFonts w:ascii="Cambria" w:hAnsi="Cambria"/>
          <w:sz w:val="20"/>
          <w:szCs w:val="20"/>
          <w:lang w:val="es-ES_tradnl"/>
        </w:rPr>
      </w:pPr>
    </w:p>
    <w:p w:rsidR="00A50FCF" w:rsidRPr="009712EB" w:rsidRDefault="00A50FCF" w:rsidP="009712EB">
      <w:pPr>
        <w:tabs>
          <w:tab w:val="center" w:pos="5400"/>
        </w:tabs>
        <w:suppressAutoHyphens/>
        <w:jc w:val="center"/>
        <w:rPr>
          <w:rFonts w:ascii="Cambria" w:hAnsi="Cambria"/>
          <w:sz w:val="20"/>
          <w:szCs w:val="20"/>
          <w:lang w:val="es-ES_tradnl"/>
        </w:rPr>
      </w:pPr>
    </w:p>
    <w:p w:rsidR="00A50FCF" w:rsidRPr="009712EB" w:rsidRDefault="00A50FCF" w:rsidP="009712EB">
      <w:pPr>
        <w:tabs>
          <w:tab w:val="center" w:pos="5400"/>
        </w:tabs>
        <w:suppressAutoHyphens/>
        <w:jc w:val="center"/>
        <w:rPr>
          <w:rFonts w:ascii="Cambria" w:hAnsi="Cambria"/>
          <w:sz w:val="20"/>
          <w:szCs w:val="20"/>
          <w:lang w:val="es-ES_tradnl"/>
        </w:rPr>
      </w:pPr>
    </w:p>
    <w:p w:rsidR="00A50FCF" w:rsidRPr="009712EB" w:rsidRDefault="0090270B" w:rsidP="009712EB">
      <w:pPr>
        <w:tabs>
          <w:tab w:val="center" w:pos="5400"/>
        </w:tabs>
        <w:suppressAutoHyphens/>
        <w:jc w:val="center"/>
        <w:rPr>
          <w:rFonts w:ascii="Cambria" w:hAnsi="Cambria"/>
          <w:sz w:val="20"/>
          <w:szCs w:val="20"/>
          <w:lang w:val="es-ES_tradnl"/>
        </w:rPr>
      </w:pPr>
      <w:r w:rsidRPr="009712EB">
        <w:rPr>
          <w:rFonts w:ascii="Cambria" w:hAnsi="Cambria"/>
          <w:noProof/>
          <w:sz w:val="20"/>
          <w:szCs w:val="20"/>
        </w:rPr>
        <mc:AlternateContent>
          <mc:Choice Requires="wps">
            <w:drawing>
              <wp:anchor distT="0" distB="0" distL="114300" distR="114300" simplePos="0" relativeHeight="251662336" behindDoc="0" locked="0" layoutInCell="1" allowOverlap="1" wp14:anchorId="4B76A8FA" wp14:editId="223D645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0F28" w:rsidRPr="007C756A" w:rsidRDefault="00C00F28" w:rsidP="00113F73">
                            <w:pPr>
                              <w:spacing w:line="276" w:lineRule="auto"/>
                              <w:rPr>
                                <w:rFonts w:asciiTheme="majorHAnsi" w:hAnsiTheme="majorHAnsi"/>
                                <w:color w:val="595959" w:themeColor="text1" w:themeTint="A6"/>
                                <w:sz w:val="18"/>
                                <w:szCs w:val="18"/>
                                <w:lang w:val="es-US"/>
                              </w:rPr>
                            </w:pPr>
                            <w:r w:rsidRPr="00F024DC">
                              <w:rPr>
                                <w:rFonts w:asciiTheme="majorHAnsi" w:hAnsiTheme="majorHAnsi"/>
                                <w:b/>
                                <w:color w:val="595959" w:themeColor="text1" w:themeTint="A6"/>
                                <w:sz w:val="18"/>
                                <w:szCs w:val="18"/>
                                <w:lang w:val="pt-BR"/>
                              </w:rPr>
                              <w:t>Citar como:</w:t>
                            </w:r>
                            <w:r w:rsidRPr="00F024DC">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121</w:t>
                            </w:r>
                            <w:r w:rsidRPr="00F024DC">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18</w:t>
                            </w:r>
                            <w:r w:rsidRPr="00F024DC">
                              <w:rPr>
                                <w:rFonts w:asciiTheme="majorHAnsi" w:hAnsiTheme="majorHAnsi"/>
                                <w:color w:val="595959" w:themeColor="text1" w:themeTint="A6"/>
                                <w:sz w:val="18"/>
                                <w:szCs w:val="18"/>
                                <w:lang w:val="pt-BR"/>
                              </w:rPr>
                              <w:t xml:space="preserve">, Caso 10.573. </w:t>
                            </w:r>
                            <w:r>
                              <w:rPr>
                                <w:rFonts w:asciiTheme="majorHAnsi" w:hAnsiTheme="majorHAnsi"/>
                                <w:color w:val="595959" w:themeColor="text1" w:themeTint="A6"/>
                                <w:sz w:val="18"/>
                                <w:szCs w:val="18"/>
                                <w:lang w:val="es-ES_tradnl"/>
                              </w:rPr>
                              <w:t xml:space="preserve">Fondo (Publicación). José Isabel Salas Galindo y otros. </w:t>
                            </w:r>
                            <w:r w:rsidRPr="00890650">
                              <w:rPr>
                                <w:rFonts w:asciiTheme="majorHAnsi" w:hAnsiTheme="majorHAnsi"/>
                                <w:color w:val="595959" w:themeColor="text1" w:themeTint="A6"/>
                                <w:sz w:val="18"/>
                                <w:szCs w:val="18"/>
                                <w:lang w:val="es-ES_tradnl"/>
                              </w:rPr>
                              <w:t>E</w:t>
                            </w:r>
                            <w:r>
                              <w:rPr>
                                <w:rFonts w:asciiTheme="majorHAnsi" w:hAnsiTheme="majorHAnsi"/>
                                <w:color w:val="595959" w:themeColor="text1" w:themeTint="A6"/>
                                <w:sz w:val="18"/>
                                <w:szCs w:val="18"/>
                                <w:lang w:val="es-ES_tradnl"/>
                              </w:rPr>
                              <w:t>stados Unidos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5 de octubre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6A8FA" id="Text Box 10" o:spid="_x0000_s1030" type="#_x0000_t202" style="position:absolute;left:0;text-align:left;margin-left:105pt;margin-top:.45pt;width:389.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C00F28" w:rsidRPr="007C756A" w:rsidRDefault="00C00F28" w:rsidP="00113F73">
                      <w:pPr>
                        <w:spacing w:line="276" w:lineRule="auto"/>
                        <w:rPr>
                          <w:rFonts w:asciiTheme="majorHAnsi" w:hAnsiTheme="majorHAnsi"/>
                          <w:color w:val="595959" w:themeColor="text1" w:themeTint="A6"/>
                          <w:sz w:val="18"/>
                          <w:szCs w:val="18"/>
                          <w:lang w:val="es-US"/>
                        </w:rPr>
                      </w:pPr>
                      <w:r w:rsidRPr="00F024DC">
                        <w:rPr>
                          <w:rFonts w:asciiTheme="majorHAnsi" w:hAnsiTheme="majorHAnsi"/>
                          <w:b/>
                          <w:color w:val="595959" w:themeColor="text1" w:themeTint="A6"/>
                          <w:sz w:val="18"/>
                          <w:szCs w:val="18"/>
                          <w:lang w:val="pt-BR"/>
                        </w:rPr>
                        <w:t>Citar como:</w:t>
                      </w:r>
                      <w:r w:rsidRPr="00F024DC">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121</w:t>
                      </w:r>
                      <w:r w:rsidRPr="00F024DC">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18</w:t>
                      </w:r>
                      <w:r w:rsidRPr="00F024DC">
                        <w:rPr>
                          <w:rFonts w:asciiTheme="majorHAnsi" w:hAnsiTheme="majorHAnsi"/>
                          <w:color w:val="595959" w:themeColor="text1" w:themeTint="A6"/>
                          <w:sz w:val="18"/>
                          <w:szCs w:val="18"/>
                          <w:lang w:val="pt-BR"/>
                        </w:rPr>
                        <w:t xml:space="preserve">, Caso 10.573. </w:t>
                      </w:r>
                      <w:r>
                        <w:rPr>
                          <w:rFonts w:asciiTheme="majorHAnsi" w:hAnsiTheme="majorHAnsi"/>
                          <w:color w:val="595959" w:themeColor="text1" w:themeTint="A6"/>
                          <w:sz w:val="18"/>
                          <w:szCs w:val="18"/>
                          <w:lang w:val="es-ES_tradnl"/>
                        </w:rPr>
                        <w:t xml:space="preserve">Fondo (Publicación). José Isabel Salas Galindo y otros. </w:t>
                      </w:r>
                      <w:r w:rsidRPr="00890650">
                        <w:rPr>
                          <w:rFonts w:asciiTheme="majorHAnsi" w:hAnsiTheme="majorHAnsi"/>
                          <w:color w:val="595959" w:themeColor="text1" w:themeTint="A6"/>
                          <w:sz w:val="18"/>
                          <w:szCs w:val="18"/>
                          <w:lang w:val="es-ES_tradnl"/>
                        </w:rPr>
                        <w:t>E</w:t>
                      </w:r>
                      <w:r>
                        <w:rPr>
                          <w:rFonts w:asciiTheme="majorHAnsi" w:hAnsiTheme="majorHAnsi"/>
                          <w:color w:val="595959" w:themeColor="text1" w:themeTint="A6"/>
                          <w:sz w:val="18"/>
                          <w:szCs w:val="18"/>
                          <w:lang w:val="es-ES_tradnl"/>
                        </w:rPr>
                        <w:t>stados Unidos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5 de octubre de 2018.</w:t>
                      </w:r>
                    </w:p>
                  </w:txbxContent>
                </v:textbox>
              </v:shape>
            </w:pict>
          </mc:Fallback>
        </mc:AlternateContent>
      </w:r>
    </w:p>
    <w:p w:rsidR="00A50FCF" w:rsidRPr="009712EB" w:rsidRDefault="00A50FCF" w:rsidP="009712EB">
      <w:pPr>
        <w:tabs>
          <w:tab w:val="center" w:pos="5400"/>
        </w:tabs>
        <w:suppressAutoHyphens/>
        <w:jc w:val="center"/>
        <w:rPr>
          <w:rFonts w:ascii="Cambria" w:hAnsi="Cambria"/>
          <w:sz w:val="20"/>
          <w:szCs w:val="20"/>
          <w:lang w:val="es-ES_tradnl"/>
        </w:rPr>
      </w:pPr>
    </w:p>
    <w:p w:rsidR="0090270B" w:rsidRPr="009712EB" w:rsidRDefault="00D306D1" w:rsidP="009712EB">
      <w:pPr>
        <w:tabs>
          <w:tab w:val="center" w:pos="5400"/>
        </w:tabs>
        <w:suppressAutoHyphens/>
        <w:jc w:val="center"/>
        <w:rPr>
          <w:rFonts w:ascii="Cambria" w:hAnsi="Cambria"/>
          <w:b/>
          <w:sz w:val="20"/>
          <w:szCs w:val="20"/>
          <w:lang w:val="es-ES_tradnl"/>
        </w:rPr>
      </w:pPr>
      <w:r w:rsidRPr="009712EB">
        <w:rPr>
          <w:rFonts w:ascii="Cambria" w:hAnsi="Cambria"/>
          <w:noProof/>
          <w:sz w:val="20"/>
          <w:szCs w:val="20"/>
        </w:rPr>
        <mc:AlternateContent>
          <mc:Choice Requires="wps">
            <w:drawing>
              <wp:anchor distT="0" distB="0" distL="114300" distR="114300" simplePos="0" relativeHeight="251665408" behindDoc="0" locked="0" layoutInCell="1" allowOverlap="1" wp14:anchorId="283F88E5" wp14:editId="2873758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0F28" w:rsidRPr="00D72DC6" w:rsidRDefault="00C00F2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6F28B4F" wp14:editId="71D716BC">
                                  <wp:extent cx="1338942" cy="390525"/>
                                  <wp:effectExtent l="0" t="0" r="0" b="0"/>
                                  <wp:docPr id="18" name="Picture 18"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F88E5"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C00F28" w:rsidRPr="00D72DC6" w:rsidRDefault="00C00F2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6F28B4F" wp14:editId="71D716BC">
                            <wp:extent cx="1338942" cy="390525"/>
                            <wp:effectExtent l="0" t="0" r="0" b="0"/>
                            <wp:docPr id="18" name="Picture 18"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712EB">
        <w:rPr>
          <w:rFonts w:ascii="Cambria" w:hAnsi="Cambria"/>
          <w:noProof/>
          <w:sz w:val="20"/>
          <w:szCs w:val="20"/>
        </w:rPr>
        <mc:AlternateContent>
          <mc:Choice Requires="wps">
            <w:drawing>
              <wp:anchor distT="0" distB="0" distL="114300" distR="114300" simplePos="0" relativeHeight="251668480" behindDoc="0" locked="0" layoutInCell="1" allowOverlap="1" wp14:anchorId="706FDE88" wp14:editId="0EB8ED3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0F28" w:rsidRPr="004B7EB6" w:rsidRDefault="00C00F2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FDE88" id="Text Box 4" o:spid="_x0000_s1032" type="#_x0000_t202" style="position:absolute;left:0;text-align:left;margin-left:-21.45pt;margin-top:72.05pt;width:93pt;height: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C00F28" w:rsidRPr="004B7EB6" w:rsidRDefault="00C00F2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9712EB" w:rsidRDefault="0070697F" w:rsidP="001A6CA9">
      <w:pPr>
        <w:tabs>
          <w:tab w:val="center" w:pos="5400"/>
        </w:tabs>
        <w:suppressAutoHyphens/>
        <w:rPr>
          <w:rFonts w:ascii="Cambria" w:hAnsi="Cambria"/>
          <w:b/>
          <w:sz w:val="20"/>
          <w:szCs w:val="20"/>
          <w:lang w:val="es-ES_tradnl"/>
        </w:rPr>
        <w:sectPr w:rsidR="0070697F" w:rsidRPr="009712EB"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722C9F" w:rsidRPr="005177AF" w:rsidRDefault="007C756A" w:rsidP="009712EB">
      <w:pPr>
        <w:tabs>
          <w:tab w:val="center" w:pos="5400"/>
        </w:tabs>
        <w:suppressAutoHyphens/>
        <w:jc w:val="center"/>
        <w:rPr>
          <w:rFonts w:ascii="Cambria" w:hAnsi="Cambria"/>
          <w:b/>
          <w:sz w:val="18"/>
          <w:szCs w:val="20"/>
          <w:lang w:val="es-ES"/>
        </w:rPr>
      </w:pPr>
      <w:r w:rsidRPr="005177AF">
        <w:rPr>
          <w:rFonts w:ascii="Cambria" w:hAnsi="Cambria"/>
          <w:b/>
          <w:sz w:val="18"/>
          <w:szCs w:val="20"/>
          <w:lang w:val="es-CO"/>
        </w:rPr>
        <w:lastRenderedPageBreak/>
        <w:t>INFORME No</w:t>
      </w:r>
      <w:r w:rsidR="00713E68" w:rsidRPr="005177AF">
        <w:rPr>
          <w:rFonts w:ascii="Cambria" w:hAnsi="Cambria"/>
          <w:b/>
          <w:sz w:val="18"/>
          <w:szCs w:val="20"/>
          <w:lang w:val="es-CO"/>
        </w:rPr>
        <w:t xml:space="preserve">. </w:t>
      </w:r>
      <w:r w:rsidR="00C00F28" w:rsidRPr="005177AF">
        <w:rPr>
          <w:rFonts w:ascii="Cambria" w:hAnsi="Cambria"/>
          <w:b/>
          <w:sz w:val="18"/>
          <w:szCs w:val="20"/>
          <w:lang w:val="es-CO"/>
        </w:rPr>
        <w:t>121</w:t>
      </w:r>
      <w:r w:rsidR="00713E68" w:rsidRPr="005177AF">
        <w:rPr>
          <w:rFonts w:ascii="Cambria" w:hAnsi="Cambria"/>
          <w:b/>
          <w:sz w:val="18"/>
          <w:szCs w:val="20"/>
          <w:lang w:val="es-CO"/>
        </w:rPr>
        <w:t>/1</w:t>
      </w:r>
      <w:r w:rsidR="0075298F" w:rsidRPr="005177AF">
        <w:rPr>
          <w:rFonts w:ascii="Cambria" w:hAnsi="Cambria"/>
          <w:b/>
          <w:sz w:val="18"/>
          <w:szCs w:val="20"/>
          <w:lang w:val="es-CO"/>
        </w:rPr>
        <w:t>8</w:t>
      </w:r>
    </w:p>
    <w:p w:rsidR="00722C9F" w:rsidRPr="005177AF" w:rsidRDefault="00D90527" w:rsidP="009712EB">
      <w:pPr>
        <w:tabs>
          <w:tab w:val="center" w:pos="5400"/>
        </w:tabs>
        <w:suppressAutoHyphens/>
        <w:jc w:val="center"/>
        <w:rPr>
          <w:rFonts w:ascii="Cambria" w:hAnsi="Cambria"/>
          <w:b/>
          <w:sz w:val="18"/>
          <w:szCs w:val="20"/>
          <w:lang w:val="es-CO"/>
        </w:rPr>
      </w:pPr>
      <w:r w:rsidRPr="005177AF">
        <w:rPr>
          <w:rFonts w:ascii="Cambria" w:hAnsi="Cambria"/>
          <w:b/>
          <w:sz w:val="18"/>
          <w:szCs w:val="20"/>
          <w:lang w:val="es-CO"/>
        </w:rPr>
        <w:t>CASO 10</w:t>
      </w:r>
      <w:r w:rsidR="00722C9F" w:rsidRPr="005177AF">
        <w:rPr>
          <w:rFonts w:ascii="Cambria" w:hAnsi="Cambria"/>
          <w:b/>
          <w:sz w:val="18"/>
          <w:szCs w:val="20"/>
          <w:lang w:val="es-CO"/>
        </w:rPr>
        <w:t>.</w:t>
      </w:r>
      <w:r w:rsidRPr="005177AF">
        <w:rPr>
          <w:rFonts w:ascii="Cambria" w:hAnsi="Cambria"/>
          <w:b/>
          <w:sz w:val="18"/>
          <w:szCs w:val="20"/>
          <w:lang w:val="es-CO"/>
        </w:rPr>
        <w:t>573</w:t>
      </w:r>
    </w:p>
    <w:p w:rsidR="00722C9F" w:rsidRPr="005177AF" w:rsidRDefault="00F805FB" w:rsidP="009712EB">
      <w:pPr>
        <w:tabs>
          <w:tab w:val="center" w:pos="5400"/>
        </w:tabs>
        <w:suppressAutoHyphens/>
        <w:jc w:val="center"/>
        <w:rPr>
          <w:rFonts w:ascii="Cambria" w:hAnsi="Cambria"/>
          <w:sz w:val="18"/>
          <w:szCs w:val="20"/>
          <w:lang w:val="es-ES_tradnl"/>
        </w:rPr>
      </w:pPr>
      <w:r w:rsidRPr="005177AF">
        <w:rPr>
          <w:rFonts w:ascii="Cambria" w:hAnsi="Cambria"/>
          <w:sz w:val="18"/>
          <w:szCs w:val="20"/>
          <w:lang w:val="es-ES_tradnl"/>
        </w:rPr>
        <w:t>FONDO</w:t>
      </w:r>
      <w:r w:rsidR="0075298F" w:rsidRPr="005177AF">
        <w:rPr>
          <w:rFonts w:ascii="Cambria" w:hAnsi="Cambria"/>
          <w:sz w:val="18"/>
          <w:szCs w:val="20"/>
          <w:lang w:val="es-ES_tradnl"/>
        </w:rPr>
        <w:t xml:space="preserve"> (</w:t>
      </w:r>
      <w:r w:rsidR="007652AC" w:rsidRPr="005177AF">
        <w:rPr>
          <w:rFonts w:ascii="Cambria" w:hAnsi="Cambria"/>
          <w:sz w:val="18"/>
          <w:szCs w:val="20"/>
          <w:lang w:val="es-ES_tradnl"/>
        </w:rPr>
        <w:t>PUBLICACIÓN</w:t>
      </w:r>
      <w:r w:rsidR="0075298F" w:rsidRPr="005177AF">
        <w:rPr>
          <w:rFonts w:ascii="Cambria" w:hAnsi="Cambria"/>
          <w:sz w:val="18"/>
          <w:szCs w:val="20"/>
          <w:lang w:val="es-ES_tradnl"/>
        </w:rPr>
        <w:t>)</w:t>
      </w:r>
    </w:p>
    <w:p w:rsidR="00722C9F" w:rsidRPr="005177AF" w:rsidRDefault="00D90527" w:rsidP="009712EB">
      <w:pPr>
        <w:tabs>
          <w:tab w:val="center" w:pos="5400"/>
        </w:tabs>
        <w:suppressAutoHyphens/>
        <w:jc w:val="center"/>
        <w:rPr>
          <w:rFonts w:ascii="Cambria" w:hAnsi="Cambria"/>
          <w:sz w:val="18"/>
          <w:szCs w:val="20"/>
          <w:lang w:val="es-ES_tradnl"/>
        </w:rPr>
      </w:pPr>
      <w:r w:rsidRPr="005177AF">
        <w:rPr>
          <w:rFonts w:ascii="Cambria" w:hAnsi="Cambria"/>
          <w:sz w:val="18"/>
          <w:szCs w:val="20"/>
          <w:lang w:val="es-ES_tradnl"/>
        </w:rPr>
        <w:t>JOSÉ ISABEL SALAS Y OTROS</w:t>
      </w:r>
    </w:p>
    <w:p w:rsidR="0070697F" w:rsidRPr="005177AF" w:rsidRDefault="00D90527" w:rsidP="009712EB">
      <w:pPr>
        <w:tabs>
          <w:tab w:val="center" w:pos="5400"/>
        </w:tabs>
        <w:suppressAutoHyphens/>
        <w:jc w:val="center"/>
        <w:rPr>
          <w:rFonts w:ascii="Cambria" w:hAnsi="Cambria"/>
          <w:sz w:val="18"/>
          <w:szCs w:val="20"/>
          <w:lang w:val="es-ES_tradnl"/>
        </w:rPr>
      </w:pPr>
      <w:r w:rsidRPr="005177AF">
        <w:rPr>
          <w:rFonts w:ascii="Cambria" w:hAnsi="Cambria"/>
          <w:sz w:val="18"/>
          <w:szCs w:val="20"/>
          <w:lang w:val="es-ES_tradnl"/>
        </w:rPr>
        <w:t>ESTADOS UNIDOS</w:t>
      </w:r>
    </w:p>
    <w:p w:rsidR="0075298F" w:rsidRPr="005177AF" w:rsidRDefault="00C00F28" w:rsidP="009712EB">
      <w:pPr>
        <w:tabs>
          <w:tab w:val="center" w:pos="5400"/>
        </w:tabs>
        <w:suppressAutoHyphens/>
        <w:jc w:val="center"/>
        <w:rPr>
          <w:rFonts w:ascii="Cambria" w:hAnsi="Cambria"/>
          <w:sz w:val="18"/>
          <w:szCs w:val="20"/>
          <w:lang w:val="es-ES_tradnl"/>
        </w:rPr>
      </w:pPr>
      <w:r w:rsidRPr="005177AF">
        <w:rPr>
          <w:rFonts w:ascii="Cambria" w:hAnsi="Cambria"/>
          <w:sz w:val="18"/>
          <w:szCs w:val="20"/>
          <w:lang w:val="es-ES_tradnl"/>
        </w:rPr>
        <w:t xml:space="preserve">5 </w:t>
      </w:r>
      <w:r w:rsidR="001A6CA9" w:rsidRPr="005177AF">
        <w:rPr>
          <w:rFonts w:ascii="Cambria" w:hAnsi="Cambria"/>
          <w:sz w:val="18"/>
          <w:szCs w:val="20"/>
          <w:lang w:val="es-ES_tradnl"/>
        </w:rPr>
        <w:t xml:space="preserve">DE OCTUBRE DE </w:t>
      </w:r>
      <w:r w:rsidR="0075298F" w:rsidRPr="005177AF">
        <w:rPr>
          <w:rFonts w:ascii="Cambria" w:hAnsi="Cambria"/>
          <w:sz w:val="18"/>
          <w:szCs w:val="20"/>
          <w:lang w:val="es-ES_tradnl"/>
        </w:rPr>
        <w:t>2018</w:t>
      </w:r>
    </w:p>
    <w:p w:rsidR="001A6CA9" w:rsidRPr="00713E68" w:rsidRDefault="001A6CA9" w:rsidP="009712EB">
      <w:pPr>
        <w:tabs>
          <w:tab w:val="center" w:pos="5400"/>
        </w:tabs>
        <w:suppressAutoHyphens/>
        <w:jc w:val="center"/>
        <w:rPr>
          <w:rFonts w:ascii="Cambria" w:hAnsi="Cambria"/>
          <w:sz w:val="20"/>
          <w:szCs w:val="20"/>
          <w:lang w:val="es-ES_tradnl"/>
        </w:rPr>
      </w:pPr>
    </w:p>
    <w:sdt>
      <w:sdtPr>
        <w:rPr>
          <w:rFonts w:ascii="Times New Roman" w:eastAsia="Arial Unicode MS" w:hAnsi="Times New Roman" w:cs="Times New Roman"/>
          <w:color w:val="auto"/>
          <w:sz w:val="24"/>
          <w:szCs w:val="24"/>
          <w:bdr w:val="nil"/>
        </w:rPr>
        <w:id w:val="-125010288"/>
        <w:docPartObj>
          <w:docPartGallery w:val="Table of Contents"/>
          <w:docPartUnique/>
        </w:docPartObj>
      </w:sdtPr>
      <w:sdtEndPr>
        <w:rPr>
          <w:rFonts w:asciiTheme="minorHAnsi" w:hAnsiTheme="minorHAnsi"/>
          <w:b/>
          <w:bCs/>
          <w:noProof/>
          <w:sz w:val="22"/>
        </w:rPr>
      </w:sdtEndPr>
      <w:sdtContent>
        <w:p w:rsidR="007C39F0" w:rsidRPr="005177AF" w:rsidRDefault="00360602" w:rsidP="00360602">
          <w:pPr>
            <w:pStyle w:val="TOCHeading"/>
            <w:spacing w:before="0" w:after="120" w:line="240" w:lineRule="auto"/>
            <w:jc w:val="center"/>
            <w:rPr>
              <w:rFonts w:ascii="Cambria" w:hAnsi="Cambria"/>
              <w:b/>
              <w:color w:val="auto"/>
              <w:sz w:val="24"/>
              <w:szCs w:val="20"/>
              <w:lang w:val="es-MX"/>
            </w:rPr>
          </w:pPr>
          <w:r w:rsidRPr="005177AF">
            <w:rPr>
              <w:rFonts w:ascii="Cambria" w:hAnsi="Cambria"/>
              <w:b/>
              <w:color w:val="auto"/>
              <w:sz w:val="24"/>
              <w:szCs w:val="20"/>
              <w:lang w:val="es-MX"/>
            </w:rPr>
            <w:t>ÍNDICE</w:t>
          </w:r>
        </w:p>
        <w:p w:rsidR="00E45169" w:rsidRPr="001A6CA9" w:rsidRDefault="007C39F0" w:rsidP="005177AF">
          <w:pPr>
            <w:pStyle w:val="TOC1"/>
            <w:tabs>
              <w:tab w:val="left" w:pos="720"/>
            </w:tabs>
            <w:rPr>
              <w:rFonts w:asciiTheme="majorHAnsi" w:eastAsiaTheme="minorEastAsia" w:hAnsiTheme="majorHAnsi" w:cstheme="minorBidi"/>
              <w:noProof/>
              <w:sz w:val="20"/>
              <w:szCs w:val="20"/>
              <w:bdr w:val="none" w:sz="0" w:space="0" w:color="auto"/>
            </w:rPr>
          </w:pPr>
          <w:r w:rsidRPr="00D529F8">
            <w:rPr>
              <w:rFonts w:asciiTheme="majorHAnsi" w:hAnsiTheme="majorHAnsi"/>
              <w:sz w:val="20"/>
              <w:szCs w:val="20"/>
            </w:rPr>
            <w:fldChar w:fldCharType="begin"/>
          </w:r>
          <w:r w:rsidRPr="00C00F28">
            <w:rPr>
              <w:rFonts w:asciiTheme="majorHAnsi" w:hAnsiTheme="majorHAnsi"/>
              <w:sz w:val="20"/>
              <w:szCs w:val="20"/>
              <w:lang w:val="es-MX"/>
            </w:rPr>
            <w:instrText xml:space="preserve"> TOC \o "1-3" \h \z \u </w:instrText>
          </w:r>
          <w:r w:rsidRPr="00D529F8">
            <w:rPr>
              <w:rFonts w:asciiTheme="majorHAnsi" w:hAnsiTheme="majorHAnsi"/>
              <w:sz w:val="20"/>
              <w:szCs w:val="20"/>
            </w:rPr>
            <w:fldChar w:fldCharType="separate"/>
          </w:r>
          <w:hyperlink w:anchor="_Toc525294026" w:history="1">
            <w:r w:rsidR="00E45169" w:rsidRPr="001A6CA9">
              <w:rPr>
                <w:rStyle w:val="Hyperlink"/>
                <w:rFonts w:asciiTheme="majorHAnsi" w:hAnsiTheme="majorHAnsi"/>
                <w:noProof/>
                <w:sz w:val="20"/>
                <w:szCs w:val="20"/>
                <w:lang w:val="es-ES_tradnl"/>
              </w:rPr>
              <w:t>I.</w:t>
            </w:r>
            <w:r w:rsidR="00E45169" w:rsidRPr="001A6CA9">
              <w:rPr>
                <w:rFonts w:asciiTheme="majorHAnsi" w:eastAsiaTheme="minorEastAsia" w:hAnsiTheme="majorHAnsi" w:cstheme="minorBidi"/>
                <w:noProof/>
                <w:sz w:val="20"/>
                <w:szCs w:val="20"/>
                <w:bdr w:val="none" w:sz="0" w:space="0" w:color="auto"/>
              </w:rPr>
              <w:tab/>
            </w:r>
            <w:r w:rsidR="00E45169" w:rsidRPr="001A6CA9">
              <w:rPr>
                <w:rStyle w:val="Hyperlink"/>
                <w:rFonts w:asciiTheme="majorHAnsi" w:hAnsiTheme="majorHAnsi"/>
                <w:noProof/>
                <w:sz w:val="20"/>
                <w:szCs w:val="20"/>
                <w:lang w:val="es-ES_tradnl"/>
              </w:rPr>
              <w:t>RESUMEN</w:t>
            </w:r>
            <w:r w:rsidR="00E45169" w:rsidRPr="001A6CA9">
              <w:rPr>
                <w:rFonts w:asciiTheme="majorHAnsi" w:hAnsiTheme="majorHAnsi"/>
                <w:noProof/>
                <w:webHidden/>
                <w:sz w:val="20"/>
                <w:szCs w:val="20"/>
              </w:rPr>
              <w:tab/>
            </w:r>
            <w:r w:rsidR="00E45169" w:rsidRPr="001A6CA9">
              <w:rPr>
                <w:rFonts w:asciiTheme="majorHAnsi" w:hAnsiTheme="majorHAnsi"/>
                <w:noProof/>
                <w:webHidden/>
                <w:sz w:val="20"/>
                <w:szCs w:val="20"/>
              </w:rPr>
              <w:fldChar w:fldCharType="begin"/>
            </w:r>
            <w:r w:rsidR="00E45169" w:rsidRPr="001A6CA9">
              <w:rPr>
                <w:rFonts w:asciiTheme="majorHAnsi" w:hAnsiTheme="majorHAnsi"/>
                <w:noProof/>
                <w:webHidden/>
                <w:sz w:val="20"/>
                <w:szCs w:val="20"/>
              </w:rPr>
              <w:instrText xml:space="preserve"> PAGEREF _Toc525294026 \h </w:instrText>
            </w:r>
            <w:r w:rsidR="00E45169" w:rsidRPr="001A6CA9">
              <w:rPr>
                <w:rFonts w:asciiTheme="majorHAnsi" w:hAnsiTheme="majorHAnsi"/>
                <w:noProof/>
                <w:webHidden/>
                <w:sz w:val="20"/>
                <w:szCs w:val="20"/>
              </w:rPr>
            </w:r>
            <w:r w:rsidR="00E45169" w:rsidRPr="001A6CA9">
              <w:rPr>
                <w:rFonts w:asciiTheme="majorHAnsi" w:hAnsiTheme="majorHAnsi"/>
                <w:noProof/>
                <w:webHidden/>
                <w:sz w:val="20"/>
                <w:szCs w:val="20"/>
              </w:rPr>
              <w:fldChar w:fldCharType="separate"/>
            </w:r>
            <w:r w:rsidR="009C2754">
              <w:rPr>
                <w:rFonts w:asciiTheme="majorHAnsi" w:hAnsiTheme="majorHAnsi"/>
                <w:noProof/>
                <w:webHidden/>
                <w:sz w:val="20"/>
                <w:szCs w:val="20"/>
              </w:rPr>
              <w:t>2</w:t>
            </w:r>
            <w:r w:rsidR="00E45169" w:rsidRPr="001A6CA9">
              <w:rPr>
                <w:rFonts w:asciiTheme="majorHAnsi" w:hAnsiTheme="majorHAnsi"/>
                <w:noProof/>
                <w:webHidden/>
                <w:sz w:val="20"/>
                <w:szCs w:val="20"/>
              </w:rPr>
              <w:fldChar w:fldCharType="end"/>
            </w:r>
          </w:hyperlink>
        </w:p>
        <w:p w:rsidR="00E45169" w:rsidRPr="001A6CA9" w:rsidRDefault="00285BC9" w:rsidP="005177AF">
          <w:pPr>
            <w:pStyle w:val="TOC1"/>
            <w:tabs>
              <w:tab w:val="left" w:pos="720"/>
            </w:tabs>
            <w:rPr>
              <w:rFonts w:asciiTheme="majorHAnsi" w:eastAsiaTheme="minorEastAsia" w:hAnsiTheme="majorHAnsi" w:cstheme="minorBidi"/>
              <w:noProof/>
              <w:sz w:val="20"/>
              <w:szCs w:val="20"/>
              <w:bdr w:val="none" w:sz="0" w:space="0" w:color="auto"/>
            </w:rPr>
          </w:pPr>
          <w:hyperlink w:anchor="_Toc525294027" w:history="1">
            <w:r w:rsidR="00E45169" w:rsidRPr="001A6CA9">
              <w:rPr>
                <w:rStyle w:val="Hyperlink"/>
                <w:rFonts w:asciiTheme="majorHAnsi" w:hAnsiTheme="majorHAnsi"/>
                <w:noProof/>
                <w:sz w:val="20"/>
                <w:szCs w:val="20"/>
                <w:lang w:val="es-ES_tradnl"/>
              </w:rPr>
              <w:t>II.</w:t>
            </w:r>
            <w:r w:rsidR="00E45169" w:rsidRPr="001A6CA9">
              <w:rPr>
                <w:rFonts w:asciiTheme="majorHAnsi" w:eastAsiaTheme="minorEastAsia" w:hAnsiTheme="majorHAnsi" w:cstheme="minorBidi"/>
                <w:noProof/>
                <w:sz w:val="20"/>
                <w:szCs w:val="20"/>
                <w:bdr w:val="none" w:sz="0" w:space="0" w:color="auto"/>
              </w:rPr>
              <w:tab/>
            </w:r>
            <w:r w:rsidR="00E45169" w:rsidRPr="001A6CA9">
              <w:rPr>
                <w:rStyle w:val="Hyperlink"/>
                <w:rFonts w:asciiTheme="majorHAnsi" w:hAnsiTheme="majorHAnsi"/>
                <w:noProof/>
                <w:sz w:val="20"/>
                <w:szCs w:val="20"/>
                <w:lang w:val="es-ES_tradnl"/>
              </w:rPr>
              <w:t>POSICION DE LAS PARTES</w:t>
            </w:r>
            <w:r w:rsidR="00E45169" w:rsidRPr="001A6CA9">
              <w:rPr>
                <w:rFonts w:asciiTheme="majorHAnsi" w:hAnsiTheme="majorHAnsi"/>
                <w:noProof/>
                <w:webHidden/>
                <w:sz w:val="20"/>
                <w:szCs w:val="20"/>
              </w:rPr>
              <w:tab/>
            </w:r>
            <w:r w:rsidR="00E45169" w:rsidRPr="001A6CA9">
              <w:rPr>
                <w:rFonts w:asciiTheme="majorHAnsi" w:hAnsiTheme="majorHAnsi"/>
                <w:noProof/>
                <w:webHidden/>
                <w:sz w:val="20"/>
                <w:szCs w:val="20"/>
              </w:rPr>
              <w:fldChar w:fldCharType="begin"/>
            </w:r>
            <w:r w:rsidR="00E45169" w:rsidRPr="001A6CA9">
              <w:rPr>
                <w:rFonts w:asciiTheme="majorHAnsi" w:hAnsiTheme="majorHAnsi"/>
                <w:noProof/>
                <w:webHidden/>
                <w:sz w:val="20"/>
                <w:szCs w:val="20"/>
              </w:rPr>
              <w:instrText xml:space="preserve"> PAGEREF _Toc525294027 \h </w:instrText>
            </w:r>
            <w:r w:rsidR="00E45169" w:rsidRPr="001A6CA9">
              <w:rPr>
                <w:rFonts w:asciiTheme="majorHAnsi" w:hAnsiTheme="majorHAnsi"/>
                <w:noProof/>
                <w:webHidden/>
                <w:sz w:val="20"/>
                <w:szCs w:val="20"/>
              </w:rPr>
            </w:r>
            <w:r w:rsidR="00E45169" w:rsidRPr="001A6CA9">
              <w:rPr>
                <w:rFonts w:asciiTheme="majorHAnsi" w:hAnsiTheme="majorHAnsi"/>
                <w:noProof/>
                <w:webHidden/>
                <w:sz w:val="20"/>
                <w:szCs w:val="20"/>
              </w:rPr>
              <w:fldChar w:fldCharType="separate"/>
            </w:r>
            <w:r w:rsidR="009C2754">
              <w:rPr>
                <w:rFonts w:asciiTheme="majorHAnsi" w:hAnsiTheme="majorHAnsi"/>
                <w:noProof/>
                <w:webHidden/>
                <w:sz w:val="20"/>
                <w:szCs w:val="20"/>
              </w:rPr>
              <w:t>3</w:t>
            </w:r>
            <w:r w:rsidR="00E45169" w:rsidRPr="001A6CA9">
              <w:rPr>
                <w:rFonts w:asciiTheme="majorHAnsi" w:hAnsiTheme="majorHAnsi"/>
                <w:noProof/>
                <w:webHidden/>
                <w:sz w:val="20"/>
                <w:szCs w:val="20"/>
              </w:rPr>
              <w:fldChar w:fldCharType="end"/>
            </w:r>
          </w:hyperlink>
        </w:p>
        <w:p w:rsidR="00E45169" w:rsidRPr="001A6CA9" w:rsidRDefault="00285BC9" w:rsidP="005177AF">
          <w:pPr>
            <w:pStyle w:val="TOC2"/>
            <w:tabs>
              <w:tab w:val="left" w:pos="720"/>
            </w:tabs>
            <w:rPr>
              <w:rFonts w:asciiTheme="majorHAnsi" w:eastAsiaTheme="minorEastAsia" w:hAnsiTheme="majorHAnsi" w:cstheme="minorBidi"/>
              <w:noProof/>
              <w:sz w:val="20"/>
              <w:szCs w:val="20"/>
              <w:bdr w:val="none" w:sz="0" w:space="0" w:color="auto"/>
            </w:rPr>
          </w:pPr>
          <w:hyperlink w:anchor="_Toc525294028" w:history="1">
            <w:r w:rsidR="00E45169" w:rsidRPr="001A6CA9">
              <w:rPr>
                <w:rStyle w:val="Hyperlink"/>
                <w:rFonts w:asciiTheme="majorHAnsi" w:hAnsiTheme="majorHAnsi"/>
                <w:noProof/>
                <w:sz w:val="20"/>
                <w:szCs w:val="20"/>
                <w:lang w:val="es-ES_tradnl"/>
              </w:rPr>
              <w:t>A.</w:t>
            </w:r>
            <w:r w:rsidR="00E45169" w:rsidRPr="001A6CA9">
              <w:rPr>
                <w:rFonts w:asciiTheme="majorHAnsi" w:eastAsiaTheme="minorEastAsia" w:hAnsiTheme="majorHAnsi" w:cstheme="minorBidi"/>
                <w:noProof/>
                <w:sz w:val="20"/>
                <w:szCs w:val="20"/>
                <w:bdr w:val="none" w:sz="0" w:space="0" w:color="auto"/>
              </w:rPr>
              <w:tab/>
            </w:r>
            <w:r w:rsidR="00E45169" w:rsidRPr="001A6CA9">
              <w:rPr>
                <w:rStyle w:val="Hyperlink"/>
                <w:rFonts w:asciiTheme="majorHAnsi" w:hAnsiTheme="majorHAnsi"/>
                <w:noProof/>
                <w:sz w:val="20"/>
                <w:szCs w:val="20"/>
                <w:lang w:val="es-ES_tradnl"/>
              </w:rPr>
              <w:t>PARTE PETICIONARIA</w:t>
            </w:r>
            <w:r w:rsidR="00E45169" w:rsidRPr="001A6CA9">
              <w:rPr>
                <w:rFonts w:asciiTheme="majorHAnsi" w:hAnsiTheme="majorHAnsi"/>
                <w:noProof/>
                <w:webHidden/>
                <w:sz w:val="20"/>
                <w:szCs w:val="20"/>
              </w:rPr>
              <w:tab/>
            </w:r>
            <w:r w:rsidR="00E45169" w:rsidRPr="001A6CA9">
              <w:rPr>
                <w:rFonts w:asciiTheme="majorHAnsi" w:hAnsiTheme="majorHAnsi"/>
                <w:noProof/>
                <w:webHidden/>
                <w:sz w:val="20"/>
                <w:szCs w:val="20"/>
              </w:rPr>
              <w:fldChar w:fldCharType="begin"/>
            </w:r>
            <w:r w:rsidR="00E45169" w:rsidRPr="001A6CA9">
              <w:rPr>
                <w:rFonts w:asciiTheme="majorHAnsi" w:hAnsiTheme="majorHAnsi"/>
                <w:noProof/>
                <w:webHidden/>
                <w:sz w:val="20"/>
                <w:szCs w:val="20"/>
              </w:rPr>
              <w:instrText xml:space="preserve"> PAGEREF _Toc525294028 \h </w:instrText>
            </w:r>
            <w:r w:rsidR="00E45169" w:rsidRPr="001A6CA9">
              <w:rPr>
                <w:rFonts w:asciiTheme="majorHAnsi" w:hAnsiTheme="majorHAnsi"/>
                <w:noProof/>
                <w:webHidden/>
                <w:sz w:val="20"/>
                <w:szCs w:val="20"/>
              </w:rPr>
            </w:r>
            <w:r w:rsidR="00E45169" w:rsidRPr="001A6CA9">
              <w:rPr>
                <w:rFonts w:asciiTheme="majorHAnsi" w:hAnsiTheme="majorHAnsi"/>
                <w:noProof/>
                <w:webHidden/>
                <w:sz w:val="20"/>
                <w:szCs w:val="20"/>
              </w:rPr>
              <w:fldChar w:fldCharType="separate"/>
            </w:r>
            <w:r w:rsidR="009C2754">
              <w:rPr>
                <w:rFonts w:asciiTheme="majorHAnsi" w:hAnsiTheme="majorHAnsi"/>
                <w:noProof/>
                <w:webHidden/>
                <w:sz w:val="20"/>
                <w:szCs w:val="20"/>
              </w:rPr>
              <w:t>3</w:t>
            </w:r>
            <w:r w:rsidR="00E45169" w:rsidRPr="001A6CA9">
              <w:rPr>
                <w:rFonts w:asciiTheme="majorHAnsi" w:hAnsiTheme="majorHAnsi"/>
                <w:noProof/>
                <w:webHidden/>
                <w:sz w:val="20"/>
                <w:szCs w:val="20"/>
              </w:rPr>
              <w:fldChar w:fldCharType="end"/>
            </w:r>
          </w:hyperlink>
        </w:p>
        <w:p w:rsidR="00E45169" w:rsidRPr="001A6CA9" w:rsidRDefault="00285BC9" w:rsidP="005177AF">
          <w:pPr>
            <w:pStyle w:val="TOC2"/>
            <w:tabs>
              <w:tab w:val="left" w:pos="720"/>
            </w:tabs>
            <w:rPr>
              <w:rFonts w:asciiTheme="majorHAnsi" w:eastAsiaTheme="minorEastAsia" w:hAnsiTheme="majorHAnsi" w:cstheme="minorBidi"/>
              <w:noProof/>
              <w:sz w:val="20"/>
              <w:szCs w:val="20"/>
              <w:bdr w:val="none" w:sz="0" w:space="0" w:color="auto"/>
            </w:rPr>
          </w:pPr>
          <w:hyperlink w:anchor="_Toc525294029" w:history="1">
            <w:r w:rsidR="00E45169" w:rsidRPr="001A6CA9">
              <w:rPr>
                <w:rStyle w:val="Hyperlink"/>
                <w:rFonts w:asciiTheme="majorHAnsi" w:hAnsiTheme="majorHAnsi"/>
                <w:noProof/>
                <w:sz w:val="20"/>
                <w:szCs w:val="20"/>
                <w:lang w:val="es-ES_tradnl"/>
              </w:rPr>
              <w:t>B.</w:t>
            </w:r>
            <w:r w:rsidR="00E45169" w:rsidRPr="001A6CA9">
              <w:rPr>
                <w:rFonts w:asciiTheme="majorHAnsi" w:eastAsiaTheme="minorEastAsia" w:hAnsiTheme="majorHAnsi" w:cstheme="minorBidi"/>
                <w:noProof/>
                <w:sz w:val="20"/>
                <w:szCs w:val="20"/>
                <w:bdr w:val="none" w:sz="0" w:space="0" w:color="auto"/>
              </w:rPr>
              <w:tab/>
            </w:r>
            <w:r w:rsidR="00E45169" w:rsidRPr="001A6CA9">
              <w:rPr>
                <w:rStyle w:val="Hyperlink"/>
                <w:rFonts w:asciiTheme="majorHAnsi" w:hAnsiTheme="majorHAnsi"/>
                <w:noProof/>
                <w:sz w:val="20"/>
                <w:szCs w:val="20"/>
                <w:lang w:val="es-ES_tradnl"/>
              </w:rPr>
              <w:t>ESTADO</w:t>
            </w:r>
            <w:r w:rsidR="00E45169" w:rsidRPr="001A6CA9">
              <w:rPr>
                <w:rFonts w:asciiTheme="majorHAnsi" w:hAnsiTheme="majorHAnsi"/>
                <w:noProof/>
                <w:webHidden/>
                <w:sz w:val="20"/>
                <w:szCs w:val="20"/>
              </w:rPr>
              <w:tab/>
            </w:r>
            <w:r w:rsidR="00E45169" w:rsidRPr="001A6CA9">
              <w:rPr>
                <w:rFonts w:asciiTheme="majorHAnsi" w:hAnsiTheme="majorHAnsi"/>
                <w:noProof/>
                <w:webHidden/>
                <w:sz w:val="20"/>
                <w:szCs w:val="20"/>
              </w:rPr>
              <w:fldChar w:fldCharType="begin"/>
            </w:r>
            <w:r w:rsidR="00E45169" w:rsidRPr="001A6CA9">
              <w:rPr>
                <w:rFonts w:asciiTheme="majorHAnsi" w:hAnsiTheme="majorHAnsi"/>
                <w:noProof/>
                <w:webHidden/>
                <w:sz w:val="20"/>
                <w:szCs w:val="20"/>
              </w:rPr>
              <w:instrText xml:space="preserve"> PAGEREF _Toc525294029 \h </w:instrText>
            </w:r>
            <w:r w:rsidR="00E45169" w:rsidRPr="001A6CA9">
              <w:rPr>
                <w:rFonts w:asciiTheme="majorHAnsi" w:hAnsiTheme="majorHAnsi"/>
                <w:noProof/>
                <w:webHidden/>
                <w:sz w:val="20"/>
                <w:szCs w:val="20"/>
              </w:rPr>
            </w:r>
            <w:r w:rsidR="00E45169" w:rsidRPr="001A6CA9">
              <w:rPr>
                <w:rFonts w:asciiTheme="majorHAnsi" w:hAnsiTheme="majorHAnsi"/>
                <w:noProof/>
                <w:webHidden/>
                <w:sz w:val="20"/>
                <w:szCs w:val="20"/>
              </w:rPr>
              <w:fldChar w:fldCharType="separate"/>
            </w:r>
            <w:r w:rsidR="009C2754">
              <w:rPr>
                <w:rFonts w:asciiTheme="majorHAnsi" w:hAnsiTheme="majorHAnsi"/>
                <w:noProof/>
                <w:webHidden/>
                <w:sz w:val="20"/>
                <w:szCs w:val="20"/>
              </w:rPr>
              <w:t>7</w:t>
            </w:r>
            <w:r w:rsidR="00E45169" w:rsidRPr="001A6CA9">
              <w:rPr>
                <w:rFonts w:asciiTheme="majorHAnsi" w:hAnsiTheme="majorHAnsi"/>
                <w:noProof/>
                <w:webHidden/>
                <w:sz w:val="20"/>
                <w:szCs w:val="20"/>
              </w:rPr>
              <w:fldChar w:fldCharType="end"/>
            </w:r>
          </w:hyperlink>
        </w:p>
        <w:p w:rsidR="00E45169" w:rsidRPr="001A6CA9" w:rsidRDefault="00285BC9" w:rsidP="005177AF">
          <w:pPr>
            <w:pStyle w:val="TOC1"/>
            <w:tabs>
              <w:tab w:val="left" w:pos="720"/>
            </w:tabs>
            <w:rPr>
              <w:rFonts w:asciiTheme="majorHAnsi" w:eastAsiaTheme="minorEastAsia" w:hAnsiTheme="majorHAnsi" w:cstheme="minorBidi"/>
              <w:noProof/>
              <w:sz w:val="20"/>
              <w:szCs w:val="20"/>
              <w:bdr w:val="none" w:sz="0" w:space="0" w:color="auto"/>
            </w:rPr>
          </w:pPr>
          <w:hyperlink w:anchor="_Toc525294030" w:history="1">
            <w:r w:rsidR="00E45169" w:rsidRPr="001A6CA9">
              <w:rPr>
                <w:rStyle w:val="Hyperlink"/>
                <w:rFonts w:asciiTheme="majorHAnsi" w:hAnsiTheme="majorHAnsi"/>
                <w:noProof/>
                <w:sz w:val="20"/>
                <w:szCs w:val="20"/>
                <w:lang w:val="es-ES_tradnl"/>
              </w:rPr>
              <w:t>III.</w:t>
            </w:r>
            <w:r w:rsidR="00E45169" w:rsidRPr="001A6CA9">
              <w:rPr>
                <w:rFonts w:asciiTheme="majorHAnsi" w:eastAsiaTheme="minorEastAsia" w:hAnsiTheme="majorHAnsi" w:cstheme="minorBidi"/>
                <w:noProof/>
                <w:sz w:val="20"/>
                <w:szCs w:val="20"/>
                <w:bdr w:val="none" w:sz="0" w:space="0" w:color="auto"/>
              </w:rPr>
              <w:tab/>
            </w:r>
            <w:r w:rsidR="00E45169" w:rsidRPr="001A6CA9">
              <w:rPr>
                <w:rStyle w:val="Hyperlink"/>
                <w:rFonts w:asciiTheme="majorHAnsi" w:hAnsiTheme="majorHAnsi"/>
                <w:noProof/>
                <w:sz w:val="20"/>
                <w:szCs w:val="20"/>
                <w:lang w:val="es-ES_tradnl"/>
              </w:rPr>
              <w:t>DETERMINACIONES FACTICAS</w:t>
            </w:r>
            <w:r w:rsidR="00E45169" w:rsidRPr="001A6CA9">
              <w:rPr>
                <w:rFonts w:asciiTheme="majorHAnsi" w:hAnsiTheme="majorHAnsi"/>
                <w:noProof/>
                <w:webHidden/>
                <w:sz w:val="20"/>
                <w:szCs w:val="20"/>
              </w:rPr>
              <w:tab/>
            </w:r>
            <w:r w:rsidR="00E45169" w:rsidRPr="001A6CA9">
              <w:rPr>
                <w:rFonts w:asciiTheme="majorHAnsi" w:hAnsiTheme="majorHAnsi"/>
                <w:noProof/>
                <w:webHidden/>
                <w:sz w:val="20"/>
                <w:szCs w:val="20"/>
              </w:rPr>
              <w:fldChar w:fldCharType="begin"/>
            </w:r>
            <w:r w:rsidR="00E45169" w:rsidRPr="001A6CA9">
              <w:rPr>
                <w:rFonts w:asciiTheme="majorHAnsi" w:hAnsiTheme="majorHAnsi"/>
                <w:noProof/>
                <w:webHidden/>
                <w:sz w:val="20"/>
                <w:szCs w:val="20"/>
              </w:rPr>
              <w:instrText xml:space="preserve"> PAGEREF _Toc525294030 \h </w:instrText>
            </w:r>
            <w:r w:rsidR="00E45169" w:rsidRPr="001A6CA9">
              <w:rPr>
                <w:rFonts w:asciiTheme="majorHAnsi" w:hAnsiTheme="majorHAnsi"/>
                <w:noProof/>
                <w:webHidden/>
                <w:sz w:val="20"/>
                <w:szCs w:val="20"/>
              </w:rPr>
            </w:r>
            <w:r w:rsidR="00E45169" w:rsidRPr="001A6CA9">
              <w:rPr>
                <w:rFonts w:asciiTheme="majorHAnsi" w:hAnsiTheme="majorHAnsi"/>
                <w:noProof/>
                <w:webHidden/>
                <w:sz w:val="20"/>
                <w:szCs w:val="20"/>
              </w:rPr>
              <w:fldChar w:fldCharType="separate"/>
            </w:r>
            <w:r w:rsidR="009C2754">
              <w:rPr>
                <w:rFonts w:asciiTheme="majorHAnsi" w:hAnsiTheme="majorHAnsi"/>
                <w:noProof/>
                <w:webHidden/>
                <w:sz w:val="20"/>
                <w:szCs w:val="20"/>
              </w:rPr>
              <w:t>11</w:t>
            </w:r>
            <w:r w:rsidR="00E45169" w:rsidRPr="001A6CA9">
              <w:rPr>
                <w:rFonts w:asciiTheme="majorHAnsi" w:hAnsiTheme="majorHAnsi"/>
                <w:noProof/>
                <w:webHidden/>
                <w:sz w:val="20"/>
                <w:szCs w:val="20"/>
              </w:rPr>
              <w:fldChar w:fldCharType="end"/>
            </w:r>
          </w:hyperlink>
        </w:p>
        <w:p w:rsidR="00E45169" w:rsidRPr="001A6CA9" w:rsidRDefault="00285BC9" w:rsidP="005177AF">
          <w:pPr>
            <w:pStyle w:val="TOC2"/>
            <w:tabs>
              <w:tab w:val="left" w:pos="720"/>
            </w:tabs>
            <w:rPr>
              <w:rFonts w:asciiTheme="majorHAnsi" w:eastAsiaTheme="minorEastAsia" w:hAnsiTheme="majorHAnsi" w:cstheme="minorBidi"/>
              <w:noProof/>
              <w:sz w:val="20"/>
              <w:szCs w:val="20"/>
              <w:bdr w:val="none" w:sz="0" w:space="0" w:color="auto"/>
            </w:rPr>
          </w:pPr>
          <w:hyperlink w:anchor="_Toc525294031" w:history="1">
            <w:r w:rsidR="00E45169" w:rsidRPr="001A6CA9">
              <w:rPr>
                <w:rStyle w:val="Hyperlink"/>
                <w:rFonts w:asciiTheme="majorHAnsi" w:hAnsiTheme="majorHAnsi"/>
                <w:noProof/>
                <w:sz w:val="20"/>
                <w:szCs w:val="20"/>
                <w:lang w:val="es-ES_tradnl"/>
              </w:rPr>
              <w:t>A.</w:t>
            </w:r>
            <w:r w:rsidR="00E45169" w:rsidRPr="001A6CA9">
              <w:rPr>
                <w:rFonts w:asciiTheme="majorHAnsi" w:eastAsiaTheme="minorEastAsia" w:hAnsiTheme="majorHAnsi" w:cstheme="minorBidi"/>
                <w:noProof/>
                <w:sz w:val="20"/>
                <w:szCs w:val="20"/>
                <w:bdr w:val="none" w:sz="0" w:space="0" w:color="auto"/>
              </w:rPr>
              <w:tab/>
            </w:r>
            <w:r w:rsidR="00E45169" w:rsidRPr="001A6CA9">
              <w:rPr>
                <w:rStyle w:val="Hyperlink"/>
                <w:rFonts w:asciiTheme="majorHAnsi" w:hAnsiTheme="majorHAnsi"/>
                <w:noProof/>
                <w:sz w:val="20"/>
                <w:szCs w:val="20"/>
                <w:lang w:val="es-ES_tradnl"/>
              </w:rPr>
              <w:t>ANTECEDENTES Y CONTEXTO</w:t>
            </w:r>
            <w:r w:rsidR="00E45169" w:rsidRPr="001A6CA9">
              <w:rPr>
                <w:rFonts w:asciiTheme="majorHAnsi" w:hAnsiTheme="majorHAnsi"/>
                <w:noProof/>
                <w:webHidden/>
                <w:sz w:val="20"/>
                <w:szCs w:val="20"/>
              </w:rPr>
              <w:tab/>
            </w:r>
            <w:r w:rsidR="00E45169" w:rsidRPr="001A6CA9">
              <w:rPr>
                <w:rFonts w:asciiTheme="majorHAnsi" w:hAnsiTheme="majorHAnsi"/>
                <w:noProof/>
                <w:webHidden/>
                <w:sz w:val="20"/>
                <w:szCs w:val="20"/>
              </w:rPr>
              <w:fldChar w:fldCharType="begin"/>
            </w:r>
            <w:r w:rsidR="00E45169" w:rsidRPr="001A6CA9">
              <w:rPr>
                <w:rFonts w:asciiTheme="majorHAnsi" w:hAnsiTheme="majorHAnsi"/>
                <w:noProof/>
                <w:webHidden/>
                <w:sz w:val="20"/>
                <w:szCs w:val="20"/>
              </w:rPr>
              <w:instrText xml:space="preserve"> PAGEREF _Toc525294031 \h </w:instrText>
            </w:r>
            <w:r w:rsidR="00E45169" w:rsidRPr="001A6CA9">
              <w:rPr>
                <w:rFonts w:asciiTheme="majorHAnsi" w:hAnsiTheme="majorHAnsi"/>
                <w:noProof/>
                <w:webHidden/>
                <w:sz w:val="20"/>
                <w:szCs w:val="20"/>
              </w:rPr>
            </w:r>
            <w:r w:rsidR="00E45169" w:rsidRPr="001A6CA9">
              <w:rPr>
                <w:rFonts w:asciiTheme="majorHAnsi" w:hAnsiTheme="majorHAnsi"/>
                <w:noProof/>
                <w:webHidden/>
                <w:sz w:val="20"/>
                <w:szCs w:val="20"/>
              </w:rPr>
              <w:fldChar w:fldCharType="separate"/>
            </w:r>
            <w:r w:rsidR="009C2754">
              <w:rPr>
                <w:rFonts w:asciiTheme="majorHAnsi" w:hAnsiTheme="majorHAnsi"/>
                <w:noProof/>
                <w:webHidden/>
                <w:sz w:val="20"/>
                <w:szCs w:val="20"/>
              </w:rPr>
              <w:t>12</w:t>
            </w:r>
            <w:r w:rsidR="00E45169" w:rsidRPr="001A6CA9">
              <w:rPr>
                <w:rFonts w:asciiTheme="majorHAnsi" w:hAnsiTheme="majorHAnsi"/>
                <w:noProof/>
                <w:webHidden/>
                <w:sz w:val="20"/>
                <w:szCs w:val="20"/>
              </w:rPr>
              <w:fldChar w:fldCharType="end"/>
            </w:r>
          </w:hyperlink>
        </w:p>
        <w:p w:rsidR="00E45169" w:rsidRPr="001A6CA9" w:rsidRDefault="00285BC9" w:rsidP="005177AF">
          <w:pPr>
            <w:pStyle w:val="TOC3"/>
            <w:tabs>
              <w:tab w:val="left" w:pos="720"/>
            </w:tabs>
            <w:rPr>
              <w:rFonts w:asciiTheme="majorHAnsi" w:eastAsiaTheme="minorEastAsia" w:hAnsiTheme="majorHAnsi" w:cstheme="minorBidi"/>
              <w:sz w:val="20"/>
              <w:szCs w:val="20"/>
              <w:bdr w:val="none" w:sz="0" w:space="0" w:color="auto"/>
              <w:lang w:val="en-US"/>
            </w:rPr>
          </w:pPr>
          <w:hyperlink w:anchor="_Toc525294032" w:history="1">
            <w:r w:rsidR="00E45169" w:rsidRPr="001A6CA9">
              <w:rPr>
                <w:rStyle w:val="Hyperlink"/>
                <w:rFonts w:asciiTheme="majorHAnsi" w:hAnsiTheme="majorHAnsi"/>
                <w:sz w:val="20"/>
                <w:szCs w:val="20"/>
              </w:rPr>
              <w:t>1.</w:t>
            </w:r>
            <w:r w:rsidR="00E45169" w:rsidRPr="001A6CA9">
              <w:rPr>
                <w:rFonts w:asciiTheme="majorHAnsi" w:eastAsiaTheme="minorEastAsia" w:hAnsiTheme="majorHAnsi" w:cstheme="minorBidi"/>
                <w:sz w:val="20"/>
                <w:szCs w:val="20"/>
                <w:bdr w:val="none" w:sz="0" w:space="0" w:color="auto"/>
                <w:lang w:val="en-US"/>
              </w:rPr>
              <w:tab/>
            </w:r>
            <w:r w:rsidR="00E45169" w:rsidRPr="001A6CA9">
              <w:rPr>
                <w:rStyle w:val="Hyperlink"/>
                <w:rFonts w:asciiTheme="majorHAnsi" w:hAnsiTheme="majorHAnsi"/>
                <w:sz w:val="20"/>
                <w:szCs w:val="20"/>
              </w:rPr>
              <w:t>Antecedentes históricos</w:t>
            </w:r>
            <w:r w:rsidR="00E45169" w:rsidRPr="001A6CA9">
              <w:rPr>
                <w:rFonts w:asciiTheme="majorHAnsi" w:hAnsiTheme="majorHAnsi"/>
                <w:webHidden/>
                <w:sz w:val="20"/>
                <w:szCs w:val="20"/>
              </w:rPr>
              <w:tab/>
            </w:r>
            <w:r w:rsidR="00E45169" w:rsidRPr="001A6CA9">
              <w:rPr>
                <w:rFonts w:asciiTheme="majorHAnsi" w:hAnsiTheme="majorHAnsi"/>
                <w:webHidden/>
                <w:sz w:val="20"/>
                <w:szCs w:val="20"/>
              </w:rPr>
              <w:fldChar w:fldCharType="begin"/>
            </w:r>
            <w:r w:rsidR="00E45169" w:rsidRPr="001A6CA9">
              <w:rPr>
                <w:rFonts w:asciiTheme="majorHAnsi" w:hAnsiTheme="majorHAnsi"/>
                <w:webHidden/>
                <w:sz w:val="20"/>
                <w:szCs w:val="20"/>
              </w:rPr>
              <w:instrText xml:space="preserve"> PAGEREF _Toc525294032 \h </w:instrText>
            </w:r>
            <w:r w:rsidR="00E45169" w:rsidRPr="001A6CA9">
              <w:rPr>
                <w:rFonts w:asciiTheme="majorHAnsi" w:hAnsiTheme="majorHAnsi"/>
                <w:webHidden/>
                <w:sz w:val="20"/>
                <w:szCs w:val="20"/>
              </w:rPr>
            </w:r>
            <w:r w:rsidR="00E45169" w:rsidRPr="001A6CA9">
              <w:rPr>
                <w:rFonts w:asciiTheme="majorHAnsi" w:hAnsiTheme="majorHAnsi"/>
                <w:webHidden/>
                <w:sz w:val="20"/>
                <w:szCs w:val="20"/>
              </w:rPr>
              <w:fldChar w:fldCharType="separate"/>
            </w:r>
            <w:r w:rsidR="009C2754">
              <w:rPr>
                <w:rFonts w:asciiTheme="majorHAnsi" w:hAnsiTheme="majorHAnsi"/>
                <w:webHidden/>
                <w:sz w:val="20"/>
                <w:szCs w:val="20"/>
              </w:rPr>
              <w:t>12</w:t>
            </w:r>
            <w:r w:rsidR="00E45169" w:rsidRPr="001A6CA9">
              <w:rPr>
                <w:rFonts w:asciiTheme="majorHAnsi" w:hAnsiTheme="majorHAnsi"/>
                <w:webHidden/>
                <w:sz w:val="20"/>
                <w:szCs w:val="20"/>
              </w:rPr>
              <w:fldChar w:fldCharType="end"/>
            </w:r>
          </w:hyperlink>
        </w:p>
        <w:p w:rsidR="00E45169" w:rsidRPr="001A6CA9" w:rsidRDefault="00285BC9" w:rsidP="005177AF">
          <w:pPr>
            <w:pStyle w:val="TOC3"/>
            <w:tabs>
              <w:tab w:val="left" w:pos="720"/>
            </w:tabs>
            <w:rPr>
              <w:rFonts w:asciiTheme="majorHAnsi" w:eastAsiaTheme="minorEastAsia" w:hAnsiTheme="majorHAnsi" w:cstheme="minorBidi"/>
              <w:sz w:val="20"/>
              <w:szCs w:val="20"/>
              <w:bdr w:val="none" w:sz="0" w:space="0" w:color="auto"/>
              <w:lang w:val="en-US"/>
            </w:rPr>
          </w:pPr>
          <w:hyperlink w:anchor="_Toc525294033" w:history="1">
            <w:r w:rsidR="00E45169" w:rsidRPr="001A6CA9">
              <w:rPr>
                <w:rStyle w:val="Hyperlink"/>
                <w:rFonts w:asciiTheme="majorHAnsi" w:hAnsiTheme="majorHAnsi"/>
                <w:sz w:val="20"/>
                <w:szCs w:val="20"/>
              </w:rPr>
              <w:t>2.</w:t>
            </w:r>
            <w:r w:rsidR="00E45169" w:rsidRPr="001A6CA9">
              <w:rPr>
                <w:rFonts w:asciiTheme="majorHAnsi" w:eastAsiaTheme="minorEastAsia" w:hAnsiTheme="majorHAnsi" w:cstheme="minorBidi"/>
                <w:sz w:val="20"/>
                <w:szCs w:val="20"/>
                <w:bdr w:val="none" w:sz="0" w:space="0" w:color="auto"/>
                <w:lang w:val="en-US"/>
              </w:rPr>
              <w:tab/>
            </w:r>
            <w:r w:rsidR="00E45169" w:rsidRPr="001A6CA9">
              <w:rPr>
                <w:rStyle w:val="Hyperlink"/>
                <w:rFonts w:asciiTheme="majorHAnsi" w:hAnsiTheme="majorHAnsi"/>
                <w:sz w:val="20"/>
                <w:szCs w:val="20"/>
              </w:rPr>
              <w:t>Incremento de las tensiones entre el gobierno de Panamá y el de Estados Unidos</w:t>
            </w:r>
            <w:r w:rsidR="00E45169" w:rsidRPr="001A6CA9">
              <w:rPr>
                <w:rFonts w:asciiTheme="majorHAnsi" w:hAnsiTheme="majorHAnsi"/>
                <w:webHidden/>
                <w:sz w:val="20"/>
                <w:szCs w:val="20"/>
              </w:rPr>
              <w:tab/>
            </w:r>
            <w:r w:rsidR="00E45169" w:rsidRPr="001A6CA9">
              <w:rPr>
                <w:rFonts w:asciiTheme="majorHAnsi" w:hAnsiTheme="majorHAnsi"/>
                <w:webHidden/>
                <w:sz w:val="20"/>
                <w:szCs w:val="20"/>
              </w:rPr>
              <w:fldChar w:fldCharType="begin"/>
            </w:r>
            <w:r w:rsidR="00E45169" w:rsidRPr="001A6CA9">
              <w:rPr>
                <w:rFonts w:asciiTheme="majorHAnsi" w:hAnsiTheme="majorHAnsi"/>
                <w:webHidden/>
                <w:sz w:val="20"/>
                <w:szCs w:val="20"/>
              </w:rPr>
              <w:instrText xml:space="preserve"> PAGEREF _Toc525294033 \h </w:instrText>
            </w:r>
            <w:r w:rsidR="00E45169" w:rsidRPr="001A6CA9">
              <w:rPr>
                <w:rFonts w:asciiTheme="majorHAnsi" w:hAnsiTheme="majorHAnsi"/>
                <w:webHidden/>
                <w:sz w:val="20"/>
                <w:szCs w:val="20"/>
              </w:rPr>
            </w:r>
            <w:r w:rsidR="00E45169" w:rsidRPr="001A6CA9">
              <w:rPr>
                <w:rFonts w:asciiTheme="majorHAnsi" w:hAnsiTheme="majorHAnsi"/>
                <w:webHidden/>
                <w:sz w:val="20"/>
                <w:szCs w:val="20"/>
              </w:rPr>
              <w:fldChar w:fldCharType="separate"/>
            </w:r>
            <w:r w:rsidR="009C2754">
              <w:rPr>
                <w:rFonts w:asciiTheme="majorHAnsi" w:hAnsiTheme="majorHAnsi"/>
                <w:webHidden/>
                <w:sz w:val="20"/>
                <w:szCs w:val="20"/>
              </w:rPr>
              <w:t>14</w:t>
            </w:r>
            <w:r w:rsidR="00E45169" w:rsidRPr="001A6CA9">
              <w:rPr>
                <w:rFonts w:asciiTheme="majorHAnsi" w:hAnsiTheme="majorHAnsi"/>
                <w:webHidden/>
                <w:sz w:val="20"/>
                <w:szCs w:val="20"/>
              </w:rPr>
              <w:fldChar w:fldCharType="end"/>
            </w:r>
          </w:hyperlink>
        </w:p>
        <w:p w:rsidR="00E45169" w:rsidRPr="001A6CA9" w:rsidRDefault="00285BC9" w:rsidP="005177AF">
          <w:pPr>
            <w:pStyle w:val="TOC3"/>
            <w:tabs>
              <w:tab w:val="left" w:pos="720"/>
            </w:tabs>
            <w:rPr>
              <w:rFonts w:asciiTheme="majorHAnsi" w:eastAsiaTheme="minorEastAsia" w:hAnsiTheme="majorHAnsi" w:cstheme="minorBidi"/>
              <w:sz w:val="20"/>
              <w:szCs w:val="20"/>
              <w:bdr w:val="none" w:sz="0" w:space="0" w:color="auto"/>
              <w:lang w:val="en-US"/>
            </w:rPr>
          </w:pPr>
          <w:hyperlink w:anchor="_Toc525294034" w:history="1">
            <w:r w:rsidR="00E45169" w:rsidRPr="001A6CA9">
              <w:rPr>
                <w:rStyle w:val="Hyperlink"/>
                <w:rFonts w:asciiTheme="majorHAnsi" w:hAnsiTheme="majorHAnsi"/>
                <w:sz w:val="20"/>
                <w:szCs w:val="20"/>
              </w:rPr>
              <w:t>3.</w:t>
            </w:r>
            <w:r w:rsidR="00E45169" w:rsidRPr="001A6CA9">
              <w:rPr>
                <w:rFonts w:asciiTheme="majorHAnsi" w:eastAsiaTheme="minorEastAsia" w:hAnsiTheme="majorHAnsi" w:cstheme="minorBidi"/>
                <w:sz w:val="20"/>
                <w:szCs w:val="20"/>
                <w:bdr w:val="none" w:sz="0" w:space="0" w:color="auto"/>
                <w:lang w:val="en-US"/>
              </w:rPr>
              <w:tab/>
            </w:r>
            <w:r w:rsidR="00E45169" w:rsidRPr="001A6CA9">
              <w:rPr>
                <w:rStyle w:val="Hyperlink"/>
                <w:rFonts w:asciiTheme="majorHAnsi" w:hAnsiTheme="majorHAnsi"/>
                <w:sz w:val="20"/>
                <w:szCs w:val="20"/>
              </w:rPr>
              <w:t>Operación Justa Causa</w:t>
            </w:r>
            <w:r w:rsidR="00E45169" w:rsidRPr="001A6CA9">
              <w:rPr>
                <w:rFonts w:asciiTheme="majorHAnsi" w:hAnsiTheme="majorHAnsi"/>
                <w:webHidden/>
                <w:sz w:val="20"/>
                <w:szCs w:val="20"/>
              </w:rPr>
              <w:tab/>
            </w:r>
            <w:r w:rsidR="00E45169" w:rsidRPr="001A6CA9">
              <w:rPr>
                <w:rFonts w:asciiTheme="majorHAnsi" w:hAnsiTheme="majorHAnsi"/>
                <w:webHidden/>
                <w:sz w:val="20"/>
                <w:szCs w:val="20"/>
              </w:rPr>
              <w:fldChar w:fldCharType="begin"/>
            </w:r>
            <w:r w:rsidR="00E45169" w:rsidRPr="001A6CA9">
              <w:rPr>
                <w:rFonts w:asciiTheme="majorHAnsi" w:hAnsiTheme="majorHAnsi"/>
                <w:webHidden/>
                <w:sz w:val="20"/>
                <w:szCs w:val="20"/>
              </w:rPr>
              <w:instrText xml:space="preserve"> PAGEREF _Toc525294034 \h </w:instrText>
            </w:r>
            <w:r w:rsidR="00E45169" w:rsidRPr="001A6CA9">
              <w:rPr>
                <w:rFonts w:asciiTheme="majorHAnsi" w:hAnsiTheme="majorHAnsi"/>
                <w:webHidden/>
                <w:sz w:val="20"/>
                <w:szCs w:val="20"/>
              </w:rPr>
            </w:r>
            <w:r w:rsidR="00E45169" w:rsidRPr="001A6CA9">
              <w:rPr>
                <w:rFonts w:asciiTheme="majorHAnsi" w:hAnsiTheme="majorHAnsi"/>
                <w:webHidden/>
                <w:sz w:val="20"/>
                <w:szCs w:val="20"/>
              </w:rPr>
              <w:fldChar w:fldCharType="separate"/>
            </w:r>
            <w:r w:rsidR="009C2754">
              <w:rPr>
                <w:rFonts w:asciiTheme="majorHAnsi" w:hAnsiTheme="majorHAnsi"/>
                <w:webHidden/>
                <w:sz w:val="20"/>
                <w:szCs w:val="20"/>
              </w:rPr>
              <w:t>16</w:t>
            </w:r>
            <w:r w:rsidR="00E45169" w:rsidRPr="001A6CA9">
              <w:rPr>
                <w:rFonts w:asciiTheme="majorHAnsi" w:hAnsiTheme="majorHAnsi"/>
                <w:webHidden/>
                <w:sz w:val="20"/>
                <w:szCs w:val="20"/>
              </w:rPr>
              <w:fldChar w:fldCharType="end"/>
            </w:r>
          </w:hyperlink>
        </w:p>
        <w:p w:rsidR="00E45169" w:rsidRPr="001A6CA9" w:rsidRDefault="00285BC9" w:rsidP="005177AF">
          <w:pPr>
            <w:pStyle w:val="TOC3"/>
            <w:tabs>
              <w:tab w:val="left" w:pos="720"/>
            </w:tabs>
            <w:rPr>
              <w:rFonts w:asciiTheme="majorHAnsi" w:eastAsiaTheme="minorEastAsia" w:hAnsiTheme="majorHAnsi" w:cstheme="minorBidi"/>
              <w:sz w:val="20"/>
              <w:szCs w:val="20"/>
              <w:bdr w:val="none" w:sz="0" w:space="0" w:color="auto"/>
              <w:lang w:val="en-US"/>
            </w:rPr>
          </w:pPr>
          <w:hyperlink w:anchor="_Toc525294035" w:history="1">
            <w:r w:rsidR="00E45169" w:rsidRPr="001A6CA9">
              <w:rPr>
                <w:rStyle w:val="Hyperlink"/>
                <w:rFonts w:asciiTheme="majorHAnsi" w:hAnsiTheme="majorHAnsi"/>
                <w:sz w:val="20"/>
                <w:szCs w:val="20"/>
              </w:rPr>
              <w:t>4.</w:t>
            </w:r>
            <w:r w:rsidR="00E45169" w:rsidRPr="001A6CA9">
              <w:rPr>
                <w:rFonts w:asciiTheme="majorHAnsi" w:eastAsiaTheme="minorEastAsia" w:hAnsiTheme="majorHAnsi" w:cstheme="minorBidi"/>
                <w:sz w:val="20"/>
                <w:szCs w:val="20"/>
                <w:bdr w:val="none" w:sz="0" w:space="0" w:color="auto"/>
                <w:lang w:val="en-US"/>
              </w:rPr>
              <w:tab/>
            </w:r>
            <w:r w:rsidR="00E45169" w:rsidRPr="001A6CA9">
              <w:rPr>
                <w:rStyle w:val="Hyperlink"/>
                <w:rFonts w:asciiTheme="majorHAnsi" w:hAnsiTheme="majorHAnsi"/>
                <w:sz w:val="20"/>
                <w:szCs w:val="20"/>
                <w:lang w:val="es-VE"/>
              </w:rPr>
              <w:t>Pronunciamientos a nivel internacional en el marco de la Operación “Justa</w:t>
            </w:r>
            <w:r w:rsidR="00E45169" w:rsidRPr="001A6CA9">
              <w:rPr>
                <w:rStyle w:val="Hyperlink"/>
                <w:rFonts w:asciiTheme="majorHAnsi" w:hAnsiTheme="majorHAnsi"/>
                <w:sz w:val="20"/>
                <w:szCs w:val="20"/>
                <w:lang w:val="es-CO"/>
              </w:rPr>
              <w:t xml:space="preserve"> Causa”</w:t>
            </w:r>
            <w:r w:rsidR="00E45169" w:rsidRPr="001A6CA9">
              <w:rPr>
                <w:rFonts w:asciiTheme="majorHAnsi" w:hAnsiTheme="majorHAnsi"/>
                <w:webHidden/>
                <w:sz w:val="20"/>
                <w:szCs w:val="20"/>
              </w:rPr>
              <w:tab/>
            </w:r>
            <w:r w:rsidR="00E45169" w:rsidRPr="001A6CA9">
              <w:rPr>
                <w:rFonts w:asciiTheme="majorHAnsi" w:hAnsiTheme="majorHAnsi"/>
                <w:webHidden/>
                <w:sz w:val="20"/>
                <w:szCs w:val="20"/>
              </w:rPr>
              <w:fldChar w:fldCharType="begin"/>
            </w:r>
            <w:r w:rsidR="00E45169" w:rsidRPr="001A6CA9">
              <w:rPr>
                <w:rFonts w:asciiTheme="majorHAnsi" w:hAnsiTheme="majorHAnsi"/>
                <w:webHidden/>
                <w:sz w:val="20"/>
                <w:szCs w:val="20"/>
              </w:rPr>
              <w:instrText xml:space="preserve"> PAGEREF _Toc525294035 \h </w:instrText>
            </w:r>
            <w:r w:rsidR="00E45169" w:rsidRPr="001A6CA9">
              <w:rPr>
                <w:rFonts w:asciiTheme="majorHAnsi" w:hAnsiTheme="majorHAnsi"/>
                <w:webHidden/>
                <w:sz w:val="20"/>
                <w:szCs w:val="20"/>
              </w:rPr>
            </w:r>
            <w:r w:rsidR="00E45169" w:rsidRPr="001A6CA9">
              <w:rPr>
                <w:rFonts w:asciiTheme="majorHAnsi" w:hAnsiTheme="majorHAnsi"/>
                <w:webHidden/>
                <w:sz w:val="20"/>
                <w:szCs w:val="20"/>
              </w:rPr>
              <w:fldChar w:fldCharType="separate"/>
            </w:r>
            <w:r w:rsidR="009C2754">
              <w:rPr>
                <w:rFonts w:asciiTheme="majorHAnsi" w:hAnsiTheme="majorHAnsi"/>
                <w:webHidden/>
                <w:sz w:val="20"/>
                <w:szCs w:val="20"/>
              </w:rPr>
              <w:t>18</w:t>
            </w:r>
            <w:r w:rsidR="00E45169" w:rsidRPr="001A6CA9">
              <w:rPr>
                <w:rFonts w:asciiTheme="majorHAnsi" w:hAnsiTheme="majorHAnsi"/>
                <w:webHidden/>
                <w:sz w:val="20"/>
                <w:szCs w:val="20"/>
              </w:rPr>
              <w:fldChar w:fldCharType="end"/>
            </w:r>
          </w:hyperlink>
        </w:p>
        <w:p w:rsidR="00E45169" w:rsidRPr="001A6CA9" w:rsidRDefault="00285BC9" w:rsidP="005177AF">
          <w:pPr>
            <w:pStyle w:val="TOC3"/>
            <w:tabs>
              <w:tab w:val="left" w:pos="720"/>
            </w:tabs>
            <w:rPr>
              <w:rFonts w:asciiTheme="majorHAnsi" w:eastAsiaTheme="minorEastAsia" w:hAnsiTheme="majorHAnsi" w:cstheme="minorBidi"/>
              <w:sz w:val="20"/>
              <w:szCs w:val="20"/>
              <w:bdr w:val="none" w:sz="0" w:space="0" w:color="auto"/>
              <w:lang w:val="en-US"/>
            </w:rPr>
          </w:pPr>
          <w:hyperlink w:anchor="_Toc525294036" w:history="1">
            <w:r w:rsidR="00E45169" w:rsidRPr="001A6CA9">
              <w:rPr>
                <w:rStyle w:val="Hyperlink"/>
                <w:rFonts w:asciiTheme="majorHAnsi" w:hAnsiTheme="majorHAnsi"/>
                <w:sz w:val="20"/>
                <w:szCs w:val="20"/>
              </w:rPr>
              <w:t>5.</w:t>
            </w:r>
            <w:r w:rsidR="00E45169" w:rsidRPr="001A6CA9">
              <w:rPr>
                <w:rFonts w:asciiTheme="majorHAnsi" w:eastAsiaTheme="minorEastAsia" w:hAnsiTheme="majorHAnsi" w:cstheme="minorBidi"/>
                <w:sz w:val="20"/>
                <w:szCs w:val="20"/>
                <w:bdr w:val="none" w:sz="0" w:space="0" w:color="auto"/>
                <w:lang w:val="en-US"/>
              </w:rPr>
              <w:tab/>
            </w:r>
            <w:r w:rsidR="00E45169" w:rsidRPr="001A6CA9">
              <w:rPr>
                <w:rStyle w:val="Hyperlink"/>
                <w:rFonts w:asciiTheme="majorHAnsi" w:hAnsiTheme="majorHAnsi"/>
                <w:sz w:val="20"/>
                <w:szCs w:val="20"/>
              </w:rPr>
              <w:t>Hechos posteriores a la invasión militar</w:t>
            </w:r>
            <w:r w:rsidR="00E45169" w:rsidRPr="001A6CA9">
              <w:rPr>
                <w:rFonts w:asciiTheme="majorHAnsi" w:hAnsiTheme="majorHAnsi"/>
                <w:webHidden/>
                <w:sz w:val="20"/>
                <w:szCs w:val="20"/>
              </w:rPr>
              <w:tab/>
            </w:r>
            <w:r w:rsidR="00E45169" w:rsidRPr="001A6CA9">
              <w:rPr>
                <w:rFonts w:asciiTheme="majorHAnsi" w:hAnsiTheme="majorHAnsi"/>
                <w:webHidden/>
                <w:sz w:val="20"/>
                <w:szCs w:val="20"/>
              </w:rPr>
              <w:fldChar w:fldCharType="begin"/>
            </w:r>
            <w:r w:rsidR="00E45169" w:rsidRPr="001A6CA9">
              <w:rPr>
                <w:rFonts w:asciiTheme="majorHAnsi" w:hAnsiTheme="majorHAnsi"/>
                <w:webHidden/>
                <w:sz w:val="20"/>
                <w:szCs w:val="20"/>
              </w:rPr>
              <w:instrText xml:space="preserve"> PAGEREF _Toc525294036 \h </w:instrText>
            </w:r>
            <w:r w:rsidR="00E45169" w:rsidRPr="001A6CA9">
              <w:rPr>
                <w:rFonts w:asciiTheme="majorHAnsi" w:hAnsiTheme="majorHAnsi"/>
                <w:webHidden/>
                <w:sz w:val="20"/>
                <w:szCs w:val="20"/>
              </w:rPr>
            </w:r>
            <w:r w:rsidR="00E45169" w:rsidRPr="001A6CA9">
              <w:rPr>
                <w:rFonts w:asciiTheme="majorHAnsi" w:hAnsiTheme="majorHAnsi"/>
                <w:webHidden/>
                <w:sz w:val="20"/>
                <w:szCs w:val="20"/>
              </w:rPr>
              <w:fldChar w:fldCharType="separate"/>
            </w:r>
            <w:r w:rsidR="009C2754">
              <w:rPr>
                <w:rFonts w:asciiTheme="majorHAnsi" w:hAnsiTheme="majorHAnsi"/>
                <w:webHidden/>
                <w:sz w:val="20"/>
                <w:szCs w:val="20"/>
              </w:rPr>
              <w:t>20</w:t>
            </w:r>
            <w:r w:rsidR="00E45169" w:rsidRPr="001A6CA9">
              <w:rPr>
                <w:rFonts w:asciiTheme="majorHAnsi" w:hAnsiTheme="majorHAnsi"/>
                <w:webHidden/>
                <w:sz w:val="20"/>
                <w:szCs w:val="20"/>
              </w:rPr>
              <w:fldChar w:fldCharType="end"/>
            </w:r>
          </w:hyperlink>
        </w:p>
        <w:p w:rsidR="00E45169" w:rsidRPr="001A6CA9" w:rsidRDefault="00285BC9" w:rsidP="005177AF">
          <w:pPr>
            <w:pStyle w:val="TOC2"/>
            <w:tabs>
              <w:tab w:val="left" w:pos="720"/>
            </w:tabs>
            <w:rPr>
              <w:rFonts w:asciiTheme="majorHAnsi" w:eastAsiaTheme="minorEastAsia" w:hAnsiTheme="majorHAnsi" w:cstheme="minorBidi"/>
              <w:noProof/>
              <w:sz w:val="20"/>
              <w:szCs w:val="20"/>
              <w:bdr w:val="none" w:sz="0" w:space="0" w:color="auto"/>
            </w:rPr>
          </w:pPr>
          <w:hyperlink w:anchor="_Toc525294037" w:history="1">
            <w:r w:rsidR="00E45169" w:rsidRPr="001A6CA9">
              <w:rPr>
                <w:rStyle w:val="Hyperlink"/>
                <w:rFonts w:asciiTheme="majorHAnsi" w:hAnsiTheme="majorHAnsi"/>
                <w:noProof/>
                <w:sz w:val="20"/>
                <w:szCs w:val="20"/>
                <w:lang w:val="es-ES_tradnl"/>
              </w:rPr>
              <w:t>B.</w:t>
            </w:r>
            <w:r w:rsidR="00E45169" w:rsidRPr="001A6CA9">
              <w:rPr>
                <w:rFonts w:asciiTheme="majorHAnsi" w:eastAsiaTheme="minorEastAsia" w:hAnsiTheme="majorHAnsi" w:cstheme="minorBidi"/>
                <w:noProof/>
                <w:sz w:val="20"/>
                <w:szCs w:val="20"/>
                <w:bdr w:val="none" w:sz="0" w:space="0" w:color="auto"/>
              </w:rPr>
              <w:tab/>
            </w:r>
            <w:r w:rsidR="00E45169" w:rsidRPr="001A6CA9">
              <w:rPr>
                <w:rStyle w:val="Hyperlink"/>
                <w:rFonts w:asciiTheme="majorHAnsi" w:hAnsiTheme="majorHAnsi"/>
                <w:noProof/>
                <w:sz w:val="20"/>
                <w:szCs w:val="20"/>
                <w:lang w:val="es-ES_tradnl"/>
              </w:rPr>
              <w:t>HECHOS RESPECTO A LAS PRESUNTAS VICTIMAS</w:t>
            </w:r>
            <w:r w:rsidR="00E45169" w:rsidRPr="001A6CA9">
              <w:rPr>
                <w:rFonts w:asciiTheme="majorHAnsi" w:hAnsiTheme="majorHAnsi"/>
                <w:noProof/>
                <w:webHidden/>
                <w:sz w:val="20"/>
                <w:szCs w:val="20"/>
              </w:rPr>
              <w:tab/>
            </w:r>
            <w:r w:rsidR="00E45169" w:rsidRPr="001A6CA9">
              <w:rPr>
                <w:rFonts w:asciiTheme="majorHAnsi" w:hAnsiTheme="majorHAnsi"/>
                <w:noProof/>
                <w:webHidden/>
                <w:sz w:val="20"/>
                <w:szCs w:val="20"/>
              </w:rPr>
              <w:fldChar w:fldCharType="begin"/>
            </w:r>
            <w:r w:rsidR="00E45169" w:rsidRPr="001A6CA9">
              <w:rPr>
                <w:rFonts w:asciiTheme="majorHAnsi" w:hAnsiTheme="majorHAnsi"/>
                <w:noProof/>
                <w:webHidden/>
                <w:sz w:val="20"/>
                <w:szCs w:val="20"/>
              </w:rPr>
              <w:instrText xml:space="preserve"> PAGEREF _Toc525294037 \h </w:instrText>
            </w:r>
            <w:r w:rsidR="00E45169" w:rsidRPr="001A6CA9">
              <w:rPr>
                <w:rFonts w:asciiTheme="majorHAnsi" w:hAnsiTheme="majorHAnsi"/>
                <w:noProof/>
                <w:webHidden/>
                <w:sz w:val="20"/>
                <w:szCs w:val="20"/>
              </w:rPr>
            </w:r>
            <w:r w:rsidR="00E45169" w:rsidRPr="001A6CA9">
              <w:rPr>
                <w:rFonts w:asciiTheme="majorHAnsi" w:hAnsiTheme="majorHAnsi"/>
                <w:noProof/>
                <w:webHidden/>
                <w:sz w:val="20"/>
                <w:szCs w:val="20"/>
              </w:rPr>
              <w:fldChar w:fldCharType="separate"/>
            </w:r>
            <w:r w:rsidR="009C2754">
              <w:rPr>
                <w:rFonts w:asciiTheme="majorHAnsi" w:hAnsiTheme="majorHAnsi"/>
                <w:noProof/>
                <w:webHidden/>
                <w:sz w:val="20"/>
                <w:szCs w:val="20"/>
              </w:rPr>
              <w:t>22</w:t>
            </w:r>
            <w:r w:rsidR="00E45169" w:rsidRPr="001A6CA9">
              <w:rPr>
                <w:rFonts w:asciiTheme="majorHAnsi" w:hAnsiTheme="majorHAnsi"/>
                <w:noProof/>
                <w:webHidden/>
                <w:sz w:val="20"/>
                <w:szCs w:val="20"/>
              </w:rPr>
              <w:fldChar w:fldCharType="end"/>
            </w:r>
          </w:hyperlink>
        </w:p>
        <w:p w:rsidR="00E45169" w:rsidRPr="001A6CA9" w:rsidRDefault="00285BC9" w:rsidP="005177AF">
          <w:pPr>
            <w:pStyle w:val="TOC3"/>
            <w:tabs>
              <w:tab w:val="left" w:pos="720"/>
            </w:tabs>
            <w:rPr>
              <w:rFonts w:asciiTheme="majorHAnsi" w:eastAsiaTheme="minorEastAsia" w:hAnsiTheme="majorHAnsi" w:cstheme="minorBidi"/>
              <w:sz w:val="20"/>
              <w:szCs w:val="20"/>
              <w:bdr w:val="none" w:sz="0" w:space="0" w:color="auto"/>
              <w:lang w:val="en-US"/>
            </w:rPr>
          </w:pPr>
          <w:hyperlink w:anchor="_Toc525294038" w:history="1">
            <w:r w:rsidR="00E45169" w:rsidRPr="001A6CA9">
              <w:rPr>
                <w:rStyle w:val="Hyperlink"/>
                <w:rFonts w:asciiTheme="majorHAnsi" w:eastAsia="Cambria" w:hAnsiTheme="majorHAnsi"/>
                <w:sz w:val="20"/>
                <w:szCs w:val="20"/>
                <w:lang w:val="es-CO"/>
              </w:rPr>
              <w:t>1.</w:t>
            </w:r>
            <w:r w:rsidR="00E45169" w:rsidRPr="001A6CA9">
              <w:rPr>
                <w:rFonts w:asciiTheme="majorHAnsi" w:eastAsiaTheme="minorEastAsia" w:hAnsiTheme="majorHAnsi" w:cstheme="minorBidi"/>
                <w:sz w:val="20"/>
                <w:szCs w:val="20"/>
                <w:bdr w:val="none" w:sz="0" w:space="0" w:color="auto"/>
                <w:lang w:val="en-US"/>
              </w:rPr>
              <w:tab/>
            </w:r>
            <w:r w:rsidR="00E45169" w:rsidRPr="001A6CA9">
              <w:rPr>
                <w:rStyle w:val="Hyperlink"/>
                <w:rFonts w:asciiTheme="majorHAnsi" w:eastAsia="Cambria" w:hAnsiTheme="majorHAnsi"/>
                <w:sz w:val="20"/>
                <w:szCs w:val="20"/>
              </w:rPr>
              <w:t>Personas que perdieron la vid</w:t>
            </w:r>
            <w:r w:rsidR="00E45169" w:rsidRPr="001A6CA9">
              <w:rPr>
                <w:rStyle w:val="Hyperlink"/>
                <w:rFonts w:asciiTheme="majorHAnsi" w:eastAsia="Cambria" w:hAnsiTheme="majorHAnsi"/>
                <w:sz w:val="20"/>
                <w:szCs w:val="20"/>
                <w:lang w:val="es-VE"/>
              </w:rPr>
              <w:t>a</w:t>
            </w:r>
            <w:r w:rsidR="00E45169" w:rsidRPr="001A6CA9">
              <w:rPr>
                <w:rFonts w:asciiTheme="majorHAnsi" w:hAnsiTheme="majorHAnsi"/>
                <w:webHidden/>
                <w:sz w:val="20"/>
                <w:szCs w:val="20"/>
              </w:rPr>
              <w:tab/>
            </w:r>
            <w:r w:rsidR="00E45169" w:rsidRPr="001A6CA9">
              <w:rPr>
                <w:rFonts w:asciiTheme="majorHAnsi" w:hAnsiTheme="majorHAnsi"/>
                <w:webHidden/>
                <w:sz w:val="20"/>
                <w:szCs w:val="20"/>
              </w:rPr>
              <w:fldChar w:fldCharType="begin"/>
            </w:r>
            <w:r w:rsidR="00E45169" w:rsidRPr="001A6CA9">
              <w:rPr>
                <w:rFonts w:asciiTheme="majorHAnsi" w:hAnsiTheme="majorHAnsi"/>
                <w:webHidden/>
                <w:sz w:val="20"/>
                <w:szCs w:val="20"/>
              </w:rPr>
              <w:instrText xml:space="preserve"> PAGEREF _Toc525294038 \h </w:instrText>
            </w:r>
            <w:r w:rsidR="00E45169" w:rsidRPr="001A6CA9">
              <w:rPr>
                <w:rFonts w:asciiTheme="majorHAnsi" w:hAnsiTheme="majorHAnsi"/>
                <w:webHidden/>
                <w:sz w:val="20"/>
                <w:szCs w:val="20"/>
              </w:rPr>
            </w:r>
            <w:r w:rsidR="00E45169" w:rsidRPr="001A6CA9">
              <w:rPr>
                <w:rFonts w:asciiTheme="majorHAnsi" w:hAnsiTheme="majorHAnsi"/>
                <w:webHidden/>
                <w:sz w:val="20"/>
                <w:szCs w:val="20"/>
              </w:rPr>
              <w:fldChar w:fldCharType="separate"/>
            </w:r>
            <w:r w:rsidR="009C2754">
              <w:rPr>
                <w:rFonts w:asciiTheme="majorHAnsi" w:hAnsiTheme="majorHAnsi"/>
                <w:webHidden/>
                <w:sz w:val="20"/>
                <w:szCs w:val="20"/>
              </w:rPr>
              <w:t>22</w:t>
            </w:r>
            <w:r w:rsidR="00E45169" w:rsidRPr="001A6CA9">
              <w:rPr>
                <w:rFonts w:asciiTheme="majorHAnsi" w:hAnsiTheme="majorHAnsi"/>
                <w:webHidden/>
                <w:sz w:val="20"/>
                <w:szCs w:val="20"/>
              </w:rPr>
              <w:fldChar w:fldCharType="end"/>
            </w:r>
          </w:hyperlink>
        </w:p>
        <w:p w:rsidR="00E45169" w:rsidRPr="001A6CA9" w:rsidRDefault="00285BC9" w:rsidP="005177AF">
          <w:pPr>
            <w:pStyle w:val="TOC3"/>
            <w:tabs>
              <w:tab w:val="left" w:pos="720"/>
            </w:tabs>
            <w:rPr>
              <w:rFonts w:asciiTheme="majorHAnsi" w:eastAsiaTheme="minorEastAsia" w:hAnsiTheme="majorHAnsi" w:cstheme="minorBidi"/>
              <w:sz w:val="20"/>
              <w:szCs w:val="20"/>
              <w:bdr w:val="none" w:sz="0" w:space="0" w:color="auto"/>
              <w:lang w:val="en-US"/>
            </w:rPr>
          </w:pPr>
          <w:hyperlink w:anchor="_Toc525294039" w:history="1">
            <w:r w:rsidR="00E45169" w:rsidRPr="001A6CA9">
              <w:rPr>
                <w:rStyle w:val="Hyperlink"/>
                <w:rFonts w:asciiTheme="majorHAnsi" w:hAnsiTheme="majorHAnsi"/>
                <w:sz w:val="20"/>
                <w:szCs w:val="20"/>
              </w:rPr>
              <w:t>2.</w:t>
            </w:r>
            <w:r w:rsidR="00E45169" w:rsidRPr="001A6CA9">
              <w:rPr>
                <w:rFonts w:asciiTheme="majorHAnsi" w:eastAsiaTheme="minorEastAsia" w:hAnsiTheme="majorHAnsi" w:cstheme="minorBidi"/>
                <w:sz w:val="20"/>
                <w:szCs w:val="20"/>
                <w:bdr w:val="none" w:sz="0" w:space="0" w:color="auto"/>
                <w:lang w:val="en-US"/>
              </w:rPr>
              <w:tab/>
            </w:r>
            <w:r w:rsidR="00E45169" w:rsidRPr="001A6CA9">
              <w:rPr>
                <w:rStyle w:val="Hyperlink"/>
                <w:rFonts w:asciiTheme="majorHAnsi" w:eastAsia="MS Mincho" w:hAnsiTheme="majorHAnsi"/>
                <w:sz w:val="20"/>
                <w:szCs w:val="20"/>
              </w:rPr>
              <w:t>Personas desaparecidas</w:t>
            </w:r>
            <w:r w:rsidR="00E45169" w:rsidRPr="001A6CA9">
              <w:rPr>
                <w:rFonts w:asciiTheme="majorHAnsi" w:hAnsiTheme="majorHAnsi"/>
                <w:webHidden/>
                <w:sz w:val="20"/>
                <w:szCs w:val="20"/>
              </w:rPr>
              <w:tab/>
            </w:r>
            <w:r w:rsidR="00E45169" w:rsidRPr="001A6CA9">
              <w:rPr>
                <w:rFonts w:asciiTheme="majorHAnsi" w:hAnsiTheme="majorHAnsi"/>
                <w:webHidden/>
                <w:sz w:val="20"/>
                <w:szCs w:val="20"/>
              </w:rPr>
              <w:fldChar w:fldCharType="begin"/>
            </w:r>
            <w:r w:rsidR="00E45169" w:rsidRPr="001A6CA9">
              <w:rPr>
                <w:rFonts w:asciiTheme="majorHAnsi" w:hAnsiTheme="majorHAnsi"/>
                <w:webHidden/>
                <w:sz w:val="20"/>
                <w:szCs w:val="20"/>
              </w:rPr>
              <w:instrText xml:space="preserve"> PAGEREF _Toc525294039 \h </w:instrText>
            </w:r>
            <w:r w:rsidR="00E45169" w:rsidRPr="001A6CA9">
              <w:rPr>
                <w:rFonts w:asciiTheme="majorHAnsi" w:hAnsiTheme="majorHAnsi"/>
                <w:webHidden/>
                <w:sz w:val="20"/>
                <w:szCs w:val="20"/>
              </w:rPr>
            </w:r>
            <w:r w:rsidR="00E45169" w:rsidRPr="001A6CA9">
              <w:rPr>
                <w:rFonts w:asciiTheme="majorHAnsi" w:hAnsiTheme="majorHAnsi"/>
                <w:webHidden/>
                <w:sz w:val="20"/>
                <w:szCs w:val="20"/>
              </w:rPr>
              <w:fldChar w:fldCharType="separate"/>
            </w:r>
            <w:r w:rsidR="009C2754">
              <w:rPr>
                <w:rFonts w:asciiTheme="majorHAnsi" w:hAnsiTheme="majorHAnsi"/>
                <w:webHidden/>
                <w:sz w:val="20"/>
                <w:szCs w:val="20"/>
              </w:rPr>
              <w:t>40</w:t>
            </w:r>
            <w:r w:rsidR="00E45169" w:rsidRPr="001A6CA9">
              <w:rPr>
                <w:rFonts w:asciiTheme="majorHAnsi" w:hAnsiTheme="majorHAnsi"/>
                <w:webHidden/>
                <w:sz w:val="20"/>
                <w:szCs w:val="20"/>
              </w:rPr>
              <w:fldChar w:fldCharType="end"/>
            </w:r>
          </w:hyperlink>
        </w:p>
        <w:p w:rsidR="00E45169" w:rsidRPr="001A6CA9" w:rsidRDefault="00285BC9" w:rsidP="005177AF">
          <w:pPr>
            <w:pStyle w:val="TOC3"/>
            <w:tabs>
              <w:tab w:val="left" w:pos="720"/>
            </w:tabs>
            <w:rPr>
              <w:rFonts w:asciiTheme="majorHAnsi" w:eastAsiaTheme="minorEastAsia" w:hAnsiTheme="majorHAnsi" w:cstheme="minorBidi"/>
              <w:sz w:val="20"/>
              <w:szCs w:val="20"/>
              <w:bdr w:val="none" w:sz="0" w:space="0" w:color="auto"/>
              <w:lang w:val="en-US"/>
            </w:rPr>
          </w:pPr>
          <w:hyperlink w:anchor="_Toc525294040" w:history="1">
            <w:r w:rsidR="00E45169" w:rsidRPr="001A6CA9">
              <w:rPr>
                <w:rStyle w:val="Hyperlink"/>
                <w:rFonts w:asciiTheme="majorHAnsi" w:hAnsiTheme="majorHAnsi"/>
                <w:sz w:val="20"/>
                <w:szCs w:val="20"/>
                <w:lang w:val="es-CO"/>
              </w:rPr>
              <w:t>3.</w:t>
            </w:r>
            <w:r w:rsidR="00E45169" w:rsidRPr="001A6CA9">
              <w:rPr>
                <w:rFonts w:asciiTheme="majorHAnsi" w:eastAsiaTheme="minorEastAsia" w:hAnsiTheme="majorHAnsi" w:cstheme="minorBidi"/>
                <w:sz w:val="20"/>
                <w:szCs w:val="20"/>
                <w:bdr w:val="none" w:sz="0" w:space="0" w:color="auto"/>
                <w:lang w:val="en-US"/>
              </w:rPr>
              <w:tab/>
            </w:r>
            <w:r w:rsidR="00E45169" w:rsidRPr="001A6CA9">
              <w:rPr>
                <w:rStyle w:val="Hyperlink"/>
                <w:rFonts w:asciiTheme="majorHAnsi" w:eastAsia="Cambria" w:hAnsiTheme="majorHAnsi"/>
                <w:sz w:val="20"/>
                <w:szCs w:val="20"/>
              </w:rPr>
              <w:t>Personas con afectaciones físicas y/o psicológicas</w:t>
            </w:r>
            <w:r w:rsidR="00E45169" w:rsidRPr="001A6CA9">
              <w:rPr>
                <w:rFonts w:asciiTheme="majorHAnsi" w:hAnsiTheme="majorHAnsi"/>
                <w:webHidden/>
                <w:sz w:val="20"/>
                <w:szCs w:val="20"/>
              </w:rPr>
              <w:tab/>
            </w:r>
            <w:r w:rsidR="00E45169" w:rsidRPr="001A6CA9">
              <w:rPr>
                <w:rFonts w:asciiTheme="majorHAnsi" w:hAnsiTheme="majorHAnsi"/>
                <w:webHidden/>
                <w:sz w:val="20"/>
                <w:szCs w:val="20"/>
              </w:rPr>
              <w:fldChar w:fldCharType="begin"/>
            </w:r>
            <w:r w:rsidR="00E45169" w:rsidRPr="001A6CA9">
              <w:rPr>
                <w:rFonts w:asciiTheme="majorHAnsi" w:hAnsiTheme="majorHAnsi"/>
                <w:webHidden/>
                <w:sz w:val="20"/>
                <w:szCs w:val="20"/>
              </w:rPr>
              <w:instrText xml:space="preserve"> PAGEREF _Toc525294040 \h </w:instrText>
            </w:r>
            <w:r w:rsidR="00E45169" w:rsidRPr="001A6CA9">
              <w:rPr>
                <w:rFonts w:asciiTheme="majorHAnsi" w:hAnsiTheme="majorHAnsi"/>
                <w:webHidden/>
                <w:sz w:val="20"/>
                <w:szCs w:val="20"/>
              </w:rPr>
            </w:r>
            <w:r w:rsidR="00E45169" w:rsidRPr="001A6CA9">
              <w:rPr>
                <w:rFonts w:asciiTheme="majorHAnsi" w:hAnsiTheme="majorHAnsi"/>
                <w:webHidden/>
                <w:sz w:val="20"/>
                <w:szCs w:val="20"/>
              </w:rPr>
              <w:fldChar w:fldCharType="separate"/>
            </w:r>
            <w:r w:rsidR="009C2754">
              <w:rPr>
                <w:rFonts w:asciiTheme="majorHAnsi" w:hAnsiTheme="majorHAnsi"/>
                <w:webHidden/>
                <w:sz w:val="20"/>
                <w:szCs w:val="20"/>
              </w:rPr>
              <w:t>41</w:t>
            </w:r>
            <w:r w:rsidR="00E45169" w:rsidRPr="001A6CA9">
              <w:rPr>
                <w:rFonts w:asciiTheme="majorHAnsi" w:hAnsiTheme="majorHAnsi"/>
                <w:webHidden/>
                <w:sz w:val="20"/>
                <w:szCs w:val="20"/>
              </w:rPr>
              <w:fldChar w:fldCharType="end"/>
            </w:r>
          </w:hyperlink>
        </w:p>
        <w:p w:rsidR="00E45169" w:rsidRPr="001A6CA9" w:rsidRDefault="00285BC9" w:rsidP="005177AF">
          <w:pPr>
            <w:pStyle w:val="TOC3"/>
            <w:tabs>
              <w:tab w:val="left" w:pos="720"/>
            </w:tabs>
            <w:rPr>
              <w:rFonts w:asciiTheme="majorHAnsi" w:eastAsiaTheme="minorEastAsia" w:hAnsiTheme="majorHAnsi" w:cstheme="minorBidi"/>
              <w:sz w:val="20"/>
              <w:szCs w:val="20"/>
              <w:bdr w:val="none" w:sz="0" w:space="0" w:color="auto"/>
              <w:lang w:val="en-US"/>
            </w:rPr>
          </w:pPr>
          <w:hyperlink w:anchor="_Toc525294041" w:history="1">
            <w:r w:rsidR="00E45169" w:rsidRPr="001A6CA9">
              <w:rPr>
                <w:rStyle w:val="Hyperlink"/>
                <w:rFonts w:asciiTheme="majorHAnsi" w:hAnsiTheme="majorHAnsi"/>
                <w:sz w:val="20"/>
                <w:szCs w:val="20"/>
                <w:lang w:val="es-CO"/>
              </w:rPr>
              <w:t>4.</w:t>
            </w:r>
            <w:r w:rsidR="00E45169" w:rsidRPr="001A6CA9">
              <w:rPr>
                <w:rFonts w:asciiTheme="majorHAnsi" w:eastAsiaTheme="minorEastAsia" w:hAnsiTheme="majorHAnsi" w:cstheme="minorBidi"/>
                <w:sz w:val="20"/>
                <w:szCs w:val="20"/>
                <w:bdr w:val="none" w:sz="0" w:space="0" w:color="auto"/>
                <w:lang w:val="en-US"/>
              </w:rPr>
              <w:tab/>
            </w:r>
            <w:r w:rsidR="00E45169" w:rsidRPr="001A6CA9">
              <w:rPr>
                <w:rStyle w:val="Hyperlink"/>
                <w:rFonts w:asciiTheme="majorHAnsi" w:hAnsiTheme="majorHAnsi"/>
                <w:sz w:val="20"/>
                <w:szCs w:val="20"/>
                <w:lang w:val="es-CO"/>
              </w:rPr>
              <w:t>Personas detenidas</w:t>
            </w:r>
            <w:r w:rsidR="00E45169" w:rsidRPr="001A6CA9">
              <w:rPr>
                <w:rFonts w:asciiTheme="majorHAnsi" w:hAnsiTheme="majorHAnsi"/>
                <w:webHidden/>
                <w:sz w:val="20"/>
                <w:szCs w:val="20"/>
              </w:rPr>
              <w:tab/>
            </w:r>
            <w:r w:rsidR="00E45169" w:rsidRPr="001A6CA9">
              <w:rPr>
                <w:rFonts w:asciiTheme="majorHAnsi" w:hAnsiTheme="majorHAnsi"/>
                <w:webHidden/>
                <w:sz w:val="20"/>
                <w:szCs w:val="20"/>
              </w:rPr>
              <w:fldChar w:fldCharType="begin"/>
            </w:r>
            <w:r w:rsidR="00E45169" w:rsidRPr="001A6CA9">
              <w:rPr>
                <w:rFonts w:asciiTheme="majorHAnsi" w:hAnsiTheme="majorHAnsi"/>
                <w:webHidden/>
                <w:sz w:val="20"/>
                <w:szCs w:val="20"/>
              </w:rPr>
              <w:instrText xml:space="preserve"> PAGEREF _Toc525294041 \h </w:instrText>
            </w:r>
            <w:r w:rsidR="00E45169" w:rsidRPr="001A6CA9">
              <w:rPr>
                <w:rFonts w:asciiTheme="majorHAnsi" w:hAnsiTheme="majorHAnsi"/>
                <w:webHidden/>
                <w:sz w:val="20"/>
                <w:szCs w:val="20"/>
              </w:rPr>
            </w:r>
            <w:r w:rsidR="00E45169" w:rsidRPr="001A6CA9">
              <w:rPr>
                <w:rFonts w:asciiTheme="majorHAnsi" w:hAnsiTheme="majorHAnsi"/>
                <w:webHidden/>
                <w:sz w:val="20"/>
                <w:szCs w:val="20"/>
              </w:rPr>
              <w:fldChar w:fldCharType="separate"/>
            </w:r>
            <w:r w:rsidR="009C2754">
              <w:rPr>
                <w:rFonts w:asciiTheme="majorHAnsi" w:hAnsiTheme="majorHAnsi"/>
                <w:webHidden/>
                <w:sz w:val="20"/>
                <w:szCs w:val="20"/>
              </w:rPr>
              <w:t>55</w:t>
            </w:r>
            <w:r w:rsidR="00E45169" w:rsidRPr="001A6CA9">
              <w:rPr>
                <w:rFonts w:asciiTheme="majorHAnsi" w:hAnsiTheme="majorHAnsi"/>
                <w:webHidden/>
                <w:sz w:val="20"/>
                <w:szCs w:val="20"/>
              </w:rPr>
              <w:fldChar w:fldCharType="end"/>
            </w:r>
          </w:hyperlink>
        </w:p>
        <w:p w:rsidR="00E45169" w:rsidRPr="001A6CA9" w:rsidRDefault="00285BC9" w:rsidP="005177AF">
          <w:pPr>
            <w:pStyle w:val="TOC3"/>
            <w:tabs>
              <w:tab w:val="left" w:pos="720"/>
            </w:tabs>
            <w:rPr>
              <w:rFonts w:asciiTheme="majorHAnsi" w:eastAsiaTheme="minorEastAsia" w:hAnsiTheme="majorHAnsi" w:cstheme="minorBidi"/>
              <w:sz w:val="20"/>
              <w:szCs w:val="20"/>
              <w:bdr w:val="none" w:sz="0" w:space="0" w:color="auto"/>
              <w:lang w:val="en-US"/>
            </w:rPr>
          </w:pPr>
          <w:hyperlink w:anchor="_Toc525294042" w:history="1">
            <w:r w:rsidR="00E45169" w:rsidRPr="001A6CA9">
              <w:rPr>
                <w:rStyle w:val="Hyperlink"/>
                <w:rFonts w:asciiTheme="majorHAnsi" w:hAnsiTheme="majorHAnsi"/>
                <w:sz w:val="20"/>
                <w:szCs w:val="20"/>
                <w:lang w:val="es-CO"/>
              </w:rPr>
              <w:t>5.</w:t>
            </w:r>
            <w:r w:rsidR="00E45169" w:rsidRPr="001A6CA9">
              <w:rPr>
                <w:rFonts w:asciiTheme="majorHAnsi" w:eastAsiaTheme="minorEastAsia" w:hAnsiTheme="majorHAnsi" w:cstheme="minorBidi"/>
                <w:sz w:val="20"/>
                <w:szCs w:val="20"/>
                <w:bdr w:val="none" w:sz="0" w:space="0" w:color="auto"/>
                <w:lang w:val="en-US"/>
              </w:rPr>
              <w:tab/>
            </w:r>
            <w:r w:rsidR="00E45169" w:rsidRPr="001A6CA9">
              <w:rPr>
                <w:rStyle w:val="Hyperlink"/>
                <w:rFonts w:asciiTheme="majorHAnsi" w:eastAsia="Cambria" w:hAnsiTheme="majorHAnsi"/>
                <w:sz w:val="20"/>
                <w:szCs w:val="20"/>
              </w:rPr>
              <w:t>Daños a la propiedad privada</w:t>
            </w:r>
            <w:r w:rsidR="00E45169" w:rsidRPr="001A6CA9">
              <w:rPr>
                <w:rFonts w:asciiTheme="majorHAnsi" w:hAnsiTheme="majorHAnsi"/>
                <w:webHidden/>
                <w:sz w:val="20"/>
                <w:szCs w:val="20"/>
              </w:rPr>
              <w:tab/>
            </w:r>
            <w:r w:rsidR="00E45169" w:rsidRPr="001A6CA9">
              <w:rPr>
                <w:rFonts w:asciiTheme="majorHAnsi" w:hAnsiTheme="majorHAnsi"/>
                <w:webHidden/>
                <w:sz w:val="20"/>
                <w:szCs w:val="20"/>
              </w:rPr>
              <w:fldChar w:fldCharType="begin"/>
            </w:r>
            <w:r w:rsidR="00E45169" w:rsidRPr="001A6CA9">
              <w:rPr>
                <w:rFonts w:asciiTheme="majorHAnsi" w:hAnsiTheme="majorHAnsi"/>
                <w:webHidden/>
                <w:sz w:val="20"/>
                <w:szCs w:val="20"/>
              </w:rPr>
              <w:instrText xml:space="preserve"> PAGEREF _Toc525294042 \h </w:instrText>
            </w:r>
            <w:r w:rsidR="00E45169" w:rsidRPr="001A6CA9">
              <w:rPr>
                <w:rFonts w:asciiTheme="majorHAnsi" w:hAnsiTheme="majorHAnsi"/>
                <w:webHidden/>
                <w:sz w:val="20"/>
                <w:szCs w:val="20"/>
              </w:rPr>
            </w:r>
            <w:r w:rsidR="00E45169" w:rsidRPr="001A6CA9">
              <w:rPr>
                <w:rFonts w:asciiTheme="majorHAnsi" w:hAnsiTheme="majorHAnsi"/>
                <w:webHidden/>
                <w:sz w:val="20"/>
                <w:szCs w:val="20"/>
              </w:rPr>
              <w:fldChar w:fldCharType="separate"/>
            </w:r>
            <w:r w:rsidR="009C2754">
              <w:rPr>
                <w:rFonts w:asciiTheme="majorHAnsi" w:hAnsiTheme="majorHAnsi"/>
                <w:webHidden/>
                <w:sz w:val="20"/>
                <w:szCs w:val="20"/>
              </w:rPr>
              <w:t>55</w:t>
            </w:r>
            <w:r w:rsidR="00E45169" w:rsidRPr="001A6CA9">
              <w:rPr>
                <w:rFonts w:asciiTheme="majorHAnsi" w:hAnsiTheme="majorHAnsi"/>
                <w:webHidden/>
                <w:sz w:val="20"/>
                <w:szCs w:val="20"/>
              </w:rPr>
              <w:fldChar w:fldCharType="end"/>
            </w:r>
          </w:hyperlink>
        </w:p>
        <w:p w:rsidR="00E45169" w:rsidRPr="001A6CA9" w:rsidRDefault="00285BC9" w:rsidP="005177AF">
          <w:pPr>
            <w:pStyle w:val="TOC1"/>
            <w:tabs>
              <w:tab w:val="left" w:pos="720"/>
            </w:tabs>
            <w:rPr>
              <w:rFonts w:asciiTheme="majorHAnsi" w:eastAsiaTheme="minorEastAsia" w:hAnsiTheme="majorHAnsi" w:cstheme="minorBidi"/>
              <w:noProof/>
              <w:sz w:val="20"/>
              <w:szCs w:val="20"/>
              <w:bdr w:val="none" w:sz="0" w:space="0" w:color="auto"/>
            </w:rPr>
          </w:pPr>
          <w:hyperlink w:anchor="_Toc525294043" w:history="1">
            <w:r w:rsidR="00E45169" w:rsidRPr="001A6CA9">
              <w:rPr>
                <w:rStyle w:val="Hyperlink"/>
                <w:rFonts w:asciiTheme="majorHAnsi" w:hAnsiTheme="majorHAnsi"/>
                <w:noProof/>
                <w:sz w:val="20"/>
                <w:szCs w:val="20"/>
                <w:lang w:val="es-VE"/>
              </w:rPr>
              <w:t>IV.</w:t>
            </w:r>
            <w:r w:rsidR="00E45169" w:rsidRPr="001A6CA9">
              <w:rPr>
                <w:rFonts w:asciiTheme="majorHAnsi" w:eastAsiaTheme="minorEastAsia" w:hAnsiTheme="majorHAnsi" w:cstheme="minorBidi"/>
                <w:noProof/>
                <w:sz w:val="20"/>
                <w:szCs w:val="20"/>
                <w:bdr w:val="none" w:sz="0" w:space="0" w:color="auto"/>
              </w:rPr>
              <w:tab/>
            </w:r>
            <w:r w:rsidR="00E45169" w:rsidRPr="001A6CA9">
              <w:rPr>
                <w:rStyle w:val="Hyperlink"/>
                <w:rFonts w:asciiTheme="majorHAnsi" w:hAnsiTheme="majorHAnsi"/>
                <w:noProof/>
                <w:sz w:val="20"/>
                <w:szCs w:val="20"/>
                <w:lang w:val="es-VE"/>
              </w:rPr>
              <w:t>ANALISIS DE DERECHO</w:t>
            </w:r>
            <w:r w:rsidR="00E45169" w:rsidRPr="001A6CA9">
              <w:rPr>
                <w:rFonts w:asciiTheme="majorHAnsi" w:hAnsiTheme="majorHAnsi"/>
                <w:noProof/>
                <w:webHidden/>
                <w:sz w:val="20"/>
                <w:szCs w:val="20"/>
              </w:rPr>
              <w:tab/>
            </w:r>
            <w:r w:rsidR="00E45169" w:rsidRPr="001A6CA9">
              <w:rPr>
                <w:rFonts w:asciiTheme="majorHAnsi" w:hAnsiTheme="majorHAnsi"/>
                <w:noProof/>
                <w:webHidden/>
                <w:sz w:val="20"/>
                <w:szCs w:val="20"/>
              </w:rPr>
              <w:fldChar w:fldCharType="begin"/>
            </w:r>
            <w:r w:rsidR="00E45169" w:rsidRPr="001A6CA9">
              <w:rPr>
                <w:rFonts w:asciiTheme="majorHAnsi" w:hAnsiTheme="majorHAnsi"/>
                <w:noProof/>
                <w:webHidden/>
                <w:sz w:val="20"/>
                <w:szCs w:val="20"/>
              </w:rPr>
              <w:instrText xml:space="preserve"> PAGEREF _Toc525294043 \h </w:instrText>
            </w:r>
            <w:r w:rsidR="00E45169" w:rsidRPr="001A6CA9">
              <w:rPr>
                <w:rFonts w:asciiTheme="majorHAnsi" w:hAnsiTheme="majorHAnsi"/>
                <w:noProof/>
                <w:webHidden/>
                <w:sz w:val="20"/>
                <w:szCs w:val="20"/>
              </w:rPr>
            </w:r>
            <w:r w:rsidR="00E45169" w:rsidRPr="001A6CA9">
              <w:rPr>
                <w:rFonts w:asciiTheme="majorHAnsi" w:hAnsiTheme="majorHAnsi"/>
                <w:noProof/>
                <w:webHidden/>
                <w:sz w:val="20"/>
                <w:szCs w:val="20"/>
              </w:rPr>
              <w:fldChar w:fldCharType="separate"/>
            </w:r>
            <w:r w:rsidR="009C2754">
              <w:rPr>
                <w:rFonts w:asciiTheme="majorHAnsi" w:hAnsiTheme="majorHAnsi"/>
                <w:noProof/>
                <w:webHidden/>
                <w:sz w:val="20"/>
                <w:szCs w:val="20"/>
              </w:rPr>
              <w:t>62</w:t>
            </w:r>
            <w:r w:rsidR="00E45169" w:rsidRPr="001A6CA9">
              <w:rPr>
                <w:rFonts w:asciiTheme="majorHAnsi" w:hAnsiTheme="majorHAnsi"/>
                <w:noProof/>
                <w:webHidden/>
                <w:sz w:val="20"/>
                <w:szCs w:val="20"/>
              </w:rPr>
              <w:fldChar w:fldCharType="end"/>
            </w:r>
          </w:hyperlink>
        </w:p>
        <w:p w:rsidR="00E45169" w:rsidRPr="001A6CA9" w:rsidRDefault="00285BC9" w:rsidP="005177AF">
          <w:pPr>
            <w:pStyle w:val="TOC2"/>
            <w:tabs>
              <w:tab w:val="left" w:pos="720"/>
            </w:tabs>
            <w:rPr>
              <w:rFonts w:asciiTheme="majorHAnsi" w:eastAsiaTheme="minorEastAsia" w:hAnsiTheme="majorHAnsi" w:cstheme="minorBidi"/>
              <w:noProof/>
              <w:sz w:val="20"/>
              <w:szCs w:val="20"/>
              <w:bdr w:val="none" w:sz="0" w:space="0" w:color="auto"/>
            </w:rPr>
          </w:pPr>
          <w:hyperlink w:anchor="_Toc525294044" w:history="1">
            <w:r w:rsidR="00E45169" w:rsidRPr="001A6CA9">
              <w:rPr>
                <w:rStyle w:val="Hyperlink"/>
                <w:rFonts w:asciiTheme="majorHAnsi" w:hAnsiTheme="majorHAnsi"/>
                <w:noProof/>
                <w:sz w:val="20"/>
                <w:szCs w:val="20"/>
                <w:lang w:val="es-ES_tradnl"/>
              </w:rPr>
              <w:t>A.</w:t>
            </w:r>
            <w:r w:rsidR="00E45169" w:rsidRPr="001A6CA9">
              <w:rPr>
                <w:rFonts w:asciiTheme="majorHAnsi" w:eastAsiaTheme="minorEastAsia" w:hAnsiTheme="majorHAnsi" w:cstheme="minorBidi"/>
                <w:noProof/>
                <w:sz w:val="20"/>
                <w:szCs w:val="20"/>
                <w:bdr w:val="none" w:sz="0" w:space="0" w:color="auto"/>
              </w:rPr>
              <w:tab/>
            </w:r>
            <w:r w:rsidR="00E45169" w:rsidRPr="001A6CA9">
              <w:rPr>
                <w:rStyle w:val="Hyperlink"/>
                <w:rFonts w:asciiTheme="majorHAnsi" w:hAnsiTheme="majorHAnsi"/>
                <w:noProof/>
                <w:sz w:val="20"/>
                <w:szCs w:val="20"/>
                <w:lang w:val="es-ES_tradnl"/>
              </w:rPr>
              <w:t>RESPONSABILIDAD INTERNACIONAL EXTRATERRITORIAL Y CONTROL EFECTIVO</w:t>
            </w:r>
            <w:r w:rsidR="00E45169" w:rsidRPr="001A6CA9">
              <w:rPr>
                <w:rFonts w:asciiTheme="majorHAnsi" w:hAnsiTheme="majorHAnsi"/>
                <w:noProof/>
                <w:webHidden/>
                <w:sz w:val="20"/>
                <w:szCs w:val="20"/>
              </w:rPr>
              <w:tab/>
            </w:r>
            <w:r w:rsidR="00E45169" w:rsidRPr="001A6CA9">
              <w:rPr>
                <w:rFonts w:asciiTheme="majorHAnsi" w:hAnsiTheme="majorHAnsi"/>
                <w:noProof/>
                <w:webHidden/>
                <w:sz w:val="20"/>
                <w:szCs w:val="20"/>
              </w:rPr>
              <w:fldChar w:fldCharType="begin"/>
            </w:r>
            <w:r w:rsidR="00E45169" w:rsidRPr="001A6CA9">
              <w:rPr>
                <w:rFonts w:asciiTheme="majorHAnsi" w:hAnsiTheme="majorHAnsi"/>
                <w:noProof/>
                <w:webHidden/>
                <w:sz w:val="20"/>
                <w:szCs w:val="20"/>
              </w:rPr>
              <w:instrText xml:space="preserve"> PAGEREF _Toc525294044 \h </w:instrText>
            </w:r>
            <w:r w:rsidR="00E45169" w:rsidRPr="001A6CA9">
              <w:rPr>
                <w:rFonts w:asciiTheme="majorHAnsi" w:hAnsiTheme="majorHAnsi"/>
                <w:noProof/>
                <w:webHidden/>
                <w:sz w:val="20"/>
                <w:szCs w:val="20"/>
              </w:rPr>
            </w:r>
            <w:r w:rsidR="00E45169" w:rsidRPr="001A6CA9">
              <w:rPr>
                <w:rFonts w:asciiTheme="majorHAnsi" w:hAnsiTheme="majorHAnsi"/>
                <w:noProof/>
                <w:webHidden/>
                <w:sz w:val="20"/>
                <w:szCs w:val="20"/>
              </w:rPr>
              <w:fldChar w:fldCharType="separate"/>
            </w:r>
            <w:r w:rsidR="009C2754">
              <w:rPr>
                <w:rFonts w:asciiTheme="majorHAnsi" w:hAnsiTheme="majorHAnsi"/>
                <w:noProof/>
                <w:webHidden/>
                <w:sz w:val="20"/>
                <w:szCs w:val="20"/>
              </w:rPr>
              <w:t>62</w:t>
            </w:r>
            <w:r w:rsidR="00E45169" w:rsidRPr="001A6CA9">
              <w:rPr>
                <w:rFonts w:asciiTheme="majorHAnsi" w:hAnsiTheme="majorHAnsi"/>
                <w:noProof/>
                <w:webHidden/>
                <w:sz w:val="20"/>
                <w:szCs w:val="20"/>
              </w:rPr>
              <w:fldChar w:fldCharType="end"/>
            </w:r>
          </w:hyperlink>
        </w:p>
        <w:p w:rsidR="00E45169" w:rsidRPr="001A6CA9" w:rsidRDefault="00285BC9" w:rsidP="005177AF">
          <w:pPr>
            <w:pStyle w:val="TOC2"/>
            <w:tabs>
              <w:tab w:val="left" w:pos="720"/>
            </w:tabs>
            <w:rPr>
              <w:rFonts w:asciiTheme="majorHAnsi" w:eastAsiaTheme="minorEastAsia" w:hAnsiTheme="majorHAnsi" w:cstheme="minorBidi"/>
              <w:noProof/>
              <w:sz w:val="20"/>
              <w:szCs w:val="20"/>
              <w:bdr w:val="none" w:sz="0" w:space="0" w:color="auto"/>
            </w:rPr>
          </w:pPr>
          <w:hyperlink w:anchor="_Toc525294045" w:history="1">
            <w:r w:rsidR="00E45169" w:rsidRPr="001A6CA9">
              <w:rPr>
                <w:rStyle w:val="Hyperlink"/>
                <w:rFonts w:asciiTheme="majorHAnsi" w:hAnsiTheme="majorHAnsi"/>
                <w:noProof/>
                <w:sz w:val="20"/>
                <w:szCs w:val="20"/>
                <w:lang w:val="es-VE"/>
              </w:rPr>
              <w:t>B.</w:t>
            </w:r>
            <w:r w:rsidR="00E45169" w:rsidRPr="001A6CA9">
              <w:rPr>
                <w:rFonts w:asciiTheme="majorHAnsi" w:eastAsiaTheme="minorEastAsia" w:hAnsiTheme="majorHAnsi" w:cstheme="minorBidi"/>
                <w:noProof/>
                <w:sz w:val="20"/>
                <w:szCs w:val="20"/>
                <w:bdr w:val="none" w:sz="0" w:space="0" w:color="auto"/>
              </w:rPr>
              <w:tab/>
            </w:r>
            <w:r w:rsidR="00E45169" w:rsidRPr="001A6CA9">
              <w:rPr>
                <w:rStyle w:val="Hyperlink"/>
                <w:rFonts w:asciiTheme="majorHAnsi" w:eastAsia="Cambria" w:hAnsiTheme="majorHAnsi"/>
                <w:noProof/>
                <w:sz w:val="20"/>
                <w:szCs w:val="20"/>
                <w:lang w:val="es-VE"/>
              </w:rPr>
              <w:t>APLICABILIDAD DEL DERECHO INTERNACIONAL HUMANITARIO COMO LEX SPECIALI</w:t>
            </w:r>
            <w:r w:rsidR="00E45169" w:rsidRPr="001A6CA9">
              <w:rPr>
                <w:rStyle w:val="Hyperlink"/>
                <w:rFonts w:asciiTheme="majorHAnsi" w:hAnsiTheme="majorHAnsi"/>
                <w:noProof/>
                <w:sz w:val="20"/>
                <w:szCs w:val="20"/>
                <w:lang w:val="es-VE"/>
              </w:rPr>
              <w:t>S</w:t>
            </w:r>
            <w:r w:rsidR="00E45169" w:rsidRPr="001A6CA9">
              <w:rPr>
                <w:rFonts w:asciiTheme="majorHAnsi" w:hAnsiTheme="majorHAnsi"/>
                <w:noProof/>
                <w:webHidden/>
                <w:sz w:val="20"/>
                <w:szCs w:val="20"/>
              </w:rPr>
              <w:tab/>
            </w:r>
            <w:r w:rsidR="00E45169" w:rsidRPr="001A6CA9">
              <w:rPr>
                <w:rFonts w:asciiTheme="majorHAnsi" w:hAnsiTheme="majorHAnsi"/>
                <w:noProof/>
                <w:webHidden/>
                <w:sz w:val="20"/>
                <w:szCs w:val="20"/>
              </w:rPr>
              <w:fldChar w:fldCharType="begin"/>
            </w:r>
            <w:r w:rsidR="00E45169" w:rsidRPr="001A6CA9">
              <w:rPr>
                <w:rFonts w:asciiTheme="majorHAnsi" w:hAnsiTheme="majorHAnsi"/>
                <w:noProof/>
                <w:webHidden/>
                <w:sz w:val="20"/>
                <w:szCs w:val="20"/>
              </w:rPr>
              <w:instrText xml:space="preserve"> PAGEREF _Toc525294045 \h </w:instrText>
            </w:r>
            <w:r w:rsidR="00E45169" w:rsidRPr="001A6CA9">
              <w:rPr>
                <w:rFonts w:asciiTheme="majorHAnsi" w:hAnsiTheme="majorHAnsi"/>
                <w:noProof/>
                <w:webHidden/>
                <w:sz w:val="20"/>
                <w:szCs w:val="20"/>
              </w:rPr>
            </w:r>
            <w:r w:rsidR="00E45169" w:rsidRPr="001A6CA9">
              <w:rPr>
                <w:rFonts w:asciiTheme="majorHAnsi" w:hAnsiTheme="majorHAnsi"/>
                <w:noProof/>
                <w:webHidden/>
                <w:sz w:val="20"/>
                <w:szCs w:val="20"/>
              </w:rPr>
              <w:fldChar w:fldCharType="separate"/>
            </w:r>
            <w:r w:rsidR="009C2754">
              <w:rPr>
                <w:rFonts w:asciiTheme="majorHAnsi" w:hAnsiTheme="majorHAnsi"/>
                <w:noProof/>
                <w:webHidden/>
                <w:sz w:val="20"/>
                <w:szCs w:val="20"/>
              </w:rPr>
              <w:t>66</w:t>
            </w:r>
            <w:r w:rsidR="00E45169" w:rsidRPr="001A6CA9">
              <w:rPr>
                <w:rFonts w:asciiTheme="majorHAnsi" w:hAnsiTheme="majorHAnsi"/>
                <w:noProof/>
                <w:webHidden/>
                <w:sz w:val="20"/>
                <w:szCs w:val="20"/>
              </w:rPr>
              <w:fldChar w:fldCharType="end"/>
            </w:r>
          </w:hyperlink>
        </w:p>
        <w:p w:rsidR="00E45169" w:rsidRPr="001A6CA9" w:rsidRDefault="00285BC9" w:rsidP="005177AF">
          <w:pPr>
            <w:pStyle w:val="TOC2"/>
            <w:tabs>
              <w:tab w:val="left" w:pos="720"/>
            </w:tabs>
            <w:rPr>
              <w:rFonts w:asciiTheme="majorHAnsi" w:eastAsiaTheme="minorEastAsia" w:hAnsiTheme="majorHAnsi" w:cstheme="minorBidi"/>
              <w:noProof/>
              <w:sz w:val="20"/>
              <w:szCs w:val="20"/>
              <w:bdr w:val="none" w:sz="0" w:space="0" w:color="auto"/>
            </w:rPr>
          </w:pPr>
          <w:hyperlink w:anchor="_Toc525294046" w:history="1">
            <w:r w:rsidR="00E45169" w:rsidRPr="001A6CA9">
              <w:rPr>
                <w:rStyle w:val="Hyperlink"/>
                <w:rFonts w:asciiTheme="majorHAnsi" w:hAnsiTheme="majorHAnsi"/>
                <w:noProof/>
                <w:sz w:val="20"/>
                <w:szCs w:val="20"/>
                <w:lang w:val="es-VE"/>
              </w:rPr>
              <w:t>C.</w:t>
            </w:r>
            <w:r w:rsidR="00E45169" w:rsidRPr="001A6CA9">
              <w:rPr>
                <w:rFonts w:asciiTheme="majorHAnsi" w:eastAsiaTheme="minorEastAsia" w:hAnsiTheme="majorHAnsi" w:cstheme="minorBidi"/>
                <w:noProof/>
                <w:sz w:val="20"/>
                <w:szCs w:val="20"/>
                <w:bdr w:val="none" w:sz="0" w:space="0" w:color="auto"/>
              </w:rPr>
              <w:tab/>
            </w:r>
            <w:r w:rsidR="00E45169" w:rsidRPr="001A6CA9">
              <w:rPr>
                <w:rStyle w:val="Hyperlink"/>
                <w:rFonts w:asciiTheme="majorHAnsi" w:hAnsiTheme="majorHAnsi"/>
                <w:noProof/>
                <w:sz w:val="20"/>
                <w:szCs w:val="20"/>
                <w:lang w:val="es-ES_tradnl"/>
              </w:rPr>
              <w:t>DERECHO A LA VIDA, INTEGRIDAD PERSONAL Y PROTECCION A LA INFANCIA</w:t>
            </w:r>
            <w:r w:rsidR="00E45169" w:rsidRPr="001A6CA9">
              <w:rPr>
                <w:rFonts w:asciiTheme="majorHAnsi" w:hAnsiTheme="majorHAnsi"/>
                <w:noProof/>
                <w:webHidden/>
                <w:sz w:val="20"/>
                <w:szCs w:val="20"/>
              </w:rPr>
              <w:tab/>
            </w:r>
            <w:r w:rsidR="00E45169" w:rsidRPr="001A6CA9">
              <w:rPr>
                <w:rFonts w:asciiTheme="majorHAnsi" w:hAnsiTheme="majorHAnsi"/>
                <w:noProof/>
                <w:webHidden/>
                <w:sz w:val="20"/>
                <w:szCs w:val="20"/>
              </w:rPr>
              <w:fldChar w:fldCharType="begin"/>
            </w:r>
            <w:r w:rsidR="00E45169" w:rsidRPr="001A6CA9">
              <w:rPr>
                <w:rFonts w:asciiTheme="majorHAnsi" w:hAnsiTheme="majorHAnsi"/>
                <w:noProof/>
                <w:webHidden/>
                <w:sz w:val="20"/>
                <w:szCs w:val="20"/>
              </w:rPr>
              <w:instrText xml:space="preserve"> PAGEREF _Toc525294046 \h </w:instrText>
            </w:r>
            <w:r w:rsidR="00E45169" w:rsidRPr="001A6CA9">
              <w:rPr>
                <w:rFonts w:asciiTheme="majorHAnsi" w:hAnsiTheme="majorHAnsi"/>
                <w:noProof/>
                <w:webHidden/>
                <w:sz w:val="20"/>
                <w:szCs w:val="20"/>
              </w:rPr>
            </w:r>
            <w:r w:rsidR="00E45169" w:rsidRPr="001A6CA9">
              <w:rPr>
                <w:rFonts w:asciiTheme="majorHAnsi" w:hAnsiTheme="majorHAnsi"/>
                <w:noProof/>
                <w:webHidden/>
                <w:sz w:val="20"/>
                <w:szCs w:val="20"/>
              </w:rPr>
              <w:fldChar w:fldCharType="separate"/>
            </w:r>
            <w:r w:rsidR="009C2754">
              <w:rPr>
                <w:rFonts w:asciiTheme="majorHAnsi" w:hAnsiTheme="majorHAnsi"/>
                <w:noProof/>
                <w:webHidden/>
                <w:sz w:val="20"/>
                <w:szCs w:val="20"/>
              </w:rPr>
              <w:t>68</w:t>
            </w:r>
            <w:r w:rsidR="00E45169" w:rsidRPr="001A6CA9">
              <w:rPr>
                <w:rFonts w:asciiTheme="majorHAnsi" w:hAnsiTheme="majorHAnsi"/>
                <w:noProof/>
                <w:webHidden/>
                <w:sz w:val="20"/>
                <w:szCs w:val="20"/>
              </w:rPr>
              <w:fldChar w:fldCharType="end"/>
            </w:r>
          </w:hyperlink>
        </w:p>
        <w:p w:rsidR="00E45169" w:rsidRPr="001A6CA9" w:rsidRDefault="00285BC9" w:rsidP="005177AF">
          <w:pPr>
            <w:pStyle w:val="TOC3"/>
            <w:tabs>
              <w:tab w:val="left" w:pos="720"/>
            </w:tabs>
            <w:rPr>
              <w:rFonts w:asciiTheme="majorHAnsi" w:eastAsiaTheme="minorEastAsia" w:hAnsiTheme="majorHAnsi" w:cstheme="minorBidi"/>
              <w:sz w:val="20"/>
              <w:szCs w:val="20"/>
              <w:bdr w:val="none" w:sz="0" w:space="0" w:color="auto"/>
              <w:lang w:val="en-US"/>
            </w:rPr>
          </w:pPr>
          <w:hyperlink w:anchor="_Toc525294047" w:history="1">
            <w:r w:rsidR="00E45169" w:rsidRPr="001A6CA9">
              <w:rPr>
                <w:rStyle w:val="Hyperlink"/>
                <w:rFonts w:asciiTheme="majorHAnsi" w:hAnsiTheme="majorHAnsi"/>
                <w:sz w:val="20"/>
                <w:szCs w:val="20"/>
              </w:rPr>
              <w:t>1.</w:t>
            </w:r>
            <w:r w:rsidR="00E45169" w:rsidRPr="001A6CA9">
              <w:rPr>
                <w:rFonts w:asciiTheme="majorHAnsi" w:eastAsiaTheme="minorEastAsia" w:hAnsiTheme="majorHAnsi" w:cstheme="minorBidi"/>
                <w:sz w:val="20"/>
                <w:szCs w:val="20"/>
                <w:bdr w:val="none" w:sz="0" w:space="0" w:color="auto"/>
                <w:lang w:val="en-US"/>
              </w:rPr>
              <w:tab/>
            </w:r>
            <w:r w:rsidR="00E45169" w:rsidRPr="001A6CA9">
              <w:rPr>
                <w:rStyle w:val="Hyperlink"/>
                <w:rFonts w:asciiTheme="majorHAnsi" w:hAnsiTheme="majorHAnsi"/>
                <w:sz w:val="20"/>
                <w:szCs w:val="20"/>
              </w:rPr>
              <w:t>Principios de distinción, proporcionalidad, necesidad y precaución</w:t>
            </w:r>
            <w:r w:rsidR="00E45169" w:rsidRPr="001A6CA9">
              <w:rPr>
                <w:rFonts w:asciiTheme="majorHAnsi" w:hAnsiTheme="majorHAnsi"/>
                <w:webHidden/>
                <w:sz w:val="20"/>
                <w:szCs w:val="20"/>
              </w:rPr>
              <w:tab/>
            </w:r>
            <w:r w:rsidR="00E45169" w:rsidRPr="001A6CA9">
              <w:rPr>
                <w:rFonts w:asciiTheme="majorHAnsi" w:hAnsiTheme="majorHAnsi"/>
                <w:webHidden/>
                <w:sz w:val="20"/>
                <w:szCs w:val="20"/>
              </w:rPr>
              <w:fldChar w:fldCharType="begin"/>
            </w:r>
            <w:r w:rsidR="00E45169" w:rsidRPr="001A6CA9">
              <w:rPr>
                <w:rFonts w:asciiTheme="majorHAnsi" w:hAnsiTheme="majorHAnsi"/>
                <w:webHidden/>
                <w:sz w:val="20"/>
                <w:szCs w:val="20"/>
              </w:rPr>
              <w:instrText xml:space="preserve"> PAGEREF _Toc525294047 \h </w:instrText>
            </w:r>
            <w:r w:rsidR="00E45169" w:rsidRPr="001A6CA9">
              <w:rPr>
                <w:rFonts w:asciiTheme="majorHAnsi" w:hAnsiTheme="majorHAnsi"/>
                <w:webHidden/>
                <w:sz w:val="20"/>
                <w:szCs w:val="20"/>
              </w:rPr>
            </w:r>
            <w:r w:rsidR="00E45169" w:rsidRPr="001A6CA9">
              <w:rPr>
                <w:rFonts w:asciiTheme="majorHAnsi" w:hAnsiTheme="majorHAnsi"/>
                <w:webHidden/>
                <w:sz w:val="20"/>
                <w:szCs w:val="20"/>
              </w:rPr>
              <w:fldChar w:fldCharType="separate"/>
            </w:r>
            <w:r w:rsidR="009C2754">
              <w:rPr>
                <w:rFonts w:asciiTheme="majorHAnsi" w:hAnsiTheme="majorHAnsi"/>
                <w:webHidden/>
                <w:sz w:val="20"/>
                <w:szCs w:val="20"/>
              </w:rPr>
              <w:t>69</w:t>
            </w:r>
            <w:r w:rsidR="00E45169" w:rsidRPr="001A6CA9">
              <w:rPr>
                <w:rFonts w:asciiTheme="majorHAnsi" w:hAnsiTheme="majorHAnsi"/>
                <w:webHidden/>
                <w:sz w:val="20"/>
                <w:szCs w:val="20"/>
              </w:rPr>
              <w:fldChar w:fldCharType="end"/>
            </w:r>
          </w:hyperlink>
        </w:p>
        <w:p w:rsidR="00E45169" w:rsidRPr="001A6CA9" w:rsidRDefault="00285BC9" w:rsidP="005177AF">
          <w:pPr>
            <w:pStyle w:val="TOC3"/>
            <w:tabs>
              <w:tab w:val="left" w:pos="720"/>
            </w:tabs>
            <w:rPr>
              <w:rFonts w:asciiTheme="majorHAnsi" w:eastAsiaTheme="minorEastAsia" w:hAnsiTheme="majorHAnsi" w:cstheme="minorBidi"/>
              <w:sz w:val="20"/>
              <w:szCs w:val="20"/>
              <w:bdr w:val="none" w:sz="0" w:space="0" w:color="auto"/>
              <w:lang w:val="en-US"/>
            </w:rPr>
          </w:pPr>
          <w:hyperlink w:anchor="_Toc525294048" w:history="1">
            <w:r w:rsidR="00E45169" w:rsidRPr="001A6CA9">
              <w:rPr>
                <w:rStyle w:val="Hyperlink"/>
                <w:rFonts w:asciiTheme="majorHAnsi" w:hAnsiTheme="majorHAnsi"/>
                <w:sz w:val="20"/>
                <w:szCs w:val="20"/>
              </w:rPr>
              <w:t>2.</w:t>
            </w:r>
            <w:r w:rsidR="00E45169" w:rsidRPr="001A6CA9">
              <w:rPr>
                <w:rFonts w:asciiTheme="majorHAnsi" w:eastAsiaTheme="minorEastAsia" w:hAnsiTheme="majorHAnsi" w:cstheme="minorBidi"/>
                <w:sz w:val="20"/>
                <w:szCs w:val="20"/>
                <w:bdr w:val="none" w:sz="0" w:space="0" w:color="auto"/>
                <w:lang w:val="en-US"/>
              </w:rPr>
              <w:tab/>
            </w:r>
            <w:r w:rsidR="00E45169" w:rsidRPr="001A6CA9">
              <w:rPr>
                <w:rStyle w:val="Hyperlink"/>
                <w:rFonts w:asciiTheme="majorHAnsi" w:hAnsiTheme="majorHAnsi"/>
                <w:sz w:val="20"/>
                <w:szCs w:val="20"/>
              </w:rPr>
              <w:t>Análisis del caso</w:t>
            </w:r>
            <w:r w:rsidR="00E45169" w:rsidRPr="001A6CA9">
              <w:rPr>
                <w:rFonts w:asciiTheme="majorHAnsi" w:hAnsiTheme="majorHAnsi"/>
                <w:webHidden/>
                <w:sz w:val="20"/>
                <w:szCs w:val="20"/>
              </w:rPr>
              <w:tab/>
            </w:r>
            <w:r w:rsidR="00E45169" w:rsidRPr="001A6CA9">
              <w:rPr>
                <w:rFonts w:asciiTheme="majorHAnsi" w:hAnsiTheme="majorHAnsi"/>
                <w:webHidden/>
                <w:sz w:val="20"/>
                <w:szCs w:val="20"/>
              </w:rPr>
              <w:fldChar w:fldCharType="begin"/>
            </w:r>
            <w:r w:rsidR="00E45169" w:rsidRPr="001A6CA9">
              <w:rPr>
                <w:rFonts w:asciiTheme="majorHAnsi" w:hAnsiTheme="majorHAnsi"/>
                <w:webHidden/>
                <w:sz w:val="20"/>
                <w:szCs w:val="20"/>
              </w:rPr>
              <w:instrText xml:space="preserve"> PAGEREF _Toc525294048 \h </w:instrText>
            </w:r>
            <w:r w:rsidR="00E45169" w:rsidRPr="001A6CA9">
              <w:rPr>
                <w:rFonts w:asciiTheme="majorHAnsi" w:hAnsiTheme="majorHAnsi"/>
                <w:webHidden/>
                <w:sz w:val="20"/>
                <w:szCs w:val="20"/>
              </w:rPr>
            </w:r>
            <w:r w:rsidR="00E45169" w:rsidRPr="001A6CA9">
              <w:rPr>
                <w:rFonts w:asciiTheme="majorHAnsi" w:hAnsiTheme="majorHAnsi"/>
                <w:webHidden/>
                <w:sz w:val="20"/>
                <w:szCs w:val="20"/>
              </w:rPr>
              <w:fldChar w:fldCharType="separate"/>
            </w:r>
            <w:r w:rsidR="009C2754">
              <w:rPr>
                <w:rFonts w:asciiTheme="majorHAnsi" w:hAnsiTheme="majorHAnsi"/>
                <w:webHidden/>
                <w:sz w:val="20"/>
                <w:szCs w:val="20"/>
              </w:rPr>
              <w:t>76</w:t>
            </w:r>
            <w:r w:rsidR="00E45169" w:rsidRPr="001A6CA9">
              <w:rPr>
                <w:rFonts w:asciiTheme="majorHAnsi" w:hAnsiTheme="majorHAnsi"/>
                <w:webHidden/>
                <w:sz w:val="20"/>
                <w:szCs w:val="20"/>
              </w:rPr>
              <w:fldChar w:fldCharType="end"/>
            </w:r>
          </w:hyperlink>
        </w:p>
        <w:p w:rsidR="00E45169" w:rsidRPr="001A6CA9" w:rsidRDefault="00285BC9" w:rsidP="005177AF">
          <w:pPr>
            <w:pStyle w:val="TOC2"/>
            <w:tabs>
              <w:tab w:val="left" w:pos="720"/>
            </w:tabs>
            <w:rPr>
              <w:rFonts w:asciiTheme="majorHAnsi" w:eastAsiaTheme="minorEastAsia" w:hAnsiTheme="majorHAnsi" w:cstheme="minorBidi"/>
              <w:noProof/>
              <w:sz w:val="20"/>
              <w:szCs w:val="20"/>
              <w:bdr w:val="none" w:sz="0" w:space="0" w:color="auto"/>
            </w:rPr>
          </w:pPr>
          <w:hyperlink w:anchor="_Toc525294049" w:history="1">
            <w:r w:rsidR="00E45169" w:rsidRPr="001A6CA9">
              <w:rPr>
                <w:rStyle w:val="Hyperlink"/>
                <w:rFonts w:asciiTheme="majorHAnsi" w:hAnsiTheme="majorHAnsi"/>
                <w:noProof/>
                <w:sz w:val="20"/>
                <w:szCs w:val="20"/>
                <w:lang w:val="es-VE"/>
              </w:rPr>
              <w:t>D.</w:t>
            </w:r>
            <w:r w:rsidR="00E45169" w:rsidRPr="001A6CA9">
              <w:rPr>
                <w:rFonts w:asciiTheme="majorHAnsi" w:eastAsiaTheme="minorEastAsia" w:hAnsiTheme="majorHAnsi" w:cstheme="minorBidi"/>
                <w:noProof/>
                <w:sz w:val="20"/>
                <w:szCs w:val="20"/>
                <w:bdr w:val="none" w:sz="0" w:space="0" w:color="auto"/>
              </w:rPr>
              <w:tab/>
            </w:r>
            <w:r w:rsidR="00E45169" w:rsidRPr="001A6CA9">
              <w:rPr>
                <w:rStyle w:val="Hyperlink"/>
                <w:rFonts w:asciiTheme="majorHAnsi" w:hAnsiTheme="majorHAnsi"/>
                <w:noProof/>
                <w:sz w:val="20"/>
                <w:szCs w:val="20"/>
                <w:lang w:val="es-ES_tradnl"/>
              </w:rPr>
              <w:t>DERECHO A LA PROPIEDAD</w:t>
            </w:r>
            <w:r w:rsidR="00E45169" w:rsidRPr="001A6CA9">
              <w:rPr>
                <w:rFonts w:asciiTheme="majorHAnsi" w:hAnsiTheme="majorHAnsi"/>
                <w:noProof/>
                <w:webHidden/>
                <w:sz w:val="20"/>
                <w:szCs w:val="20"/>
              </w:rPr>
              <w:tab/>
            </w:r>
            <w:r w:rsidR="00E45169" w:rsidRPr="001A6CA9">
              <w:rPr>
                <w:rFonts w:asciiTheme="majorHAnsi" w:hAnsiTheme="majorHAnsi"/>
                <w:noProof/>
                <w:webHidden/>
                <w:sz w:val="20"/>
                <w:szCs w:val="20"/>
              </w:rPr>
              <w:fldChar w:fldCharType="begin"/>
            </w:r>
            <w:r w:rsidR="00E45169" w:rsidRPr="001A6CA9">
              <w:rPr>
                <w:rFonts w:asciiTheme="majorHAnsi" w:hAnsiTheme="majorHAnsi"/>
                <w:noProof/>
                <w:webHidden/>
                <w:sz w:val="20"/>
                <w:szCs w:val="20"/>
              </w:rPr>
              <w:instrText xml:space="preserve"> PAGEREF _Toc525294049 \h </w:instrText>
            </w:r>
            <w:r w:rsidR="00E45169" w:rsidRPr="001A6CA9">
              <w:rPr>
                <w:rFonts w:asciiTheme="majorHAnsi" w:hAnsiTheme="majorHAnsi"/>
                <w:noProof/>
                <w:webHidden/>
                <w:sz w:val="20"/>
                <w:szCs w:val="20"/>
              </w:rPr>
            </w:r>
            <w:r w:rsidR="00E45169" w:rsidRPr="001A6CA9">
              <w:rPr>
                <w:rFonts w:asciiTheme="majorHAnsi" w:hAnsiTheme="majorHAnsi"/>
                <w:noProof/>
                <w:webHidden/>
                <w:sz w:val="20"/>
                <w:szCs w:val="20"/>
              </w:rPr>
              <w:fldChar w:fldCharType="separate"/>
            </w:r>
            <w:r w:rsidR="009C2754">
              <w:rPr>
                <w:rFonts w:asciiTheme="majorHAnsi" w:hAnsiTheme="majorHAnsi"/>
                <w:noProof/>
                <w:webHidden/>
                <w:sz w:val="20"/>
                <w:szCs w:val="20"/>
              </w:rPr>
              <w:t>81</w:t>
            </w:r>
            <w:r w:rsidR="00E45169" w:rsidRPr="001A6CA9">
              <w:rPr>
                <w:rFonts w:asciiTheme="majorHAnsi" w:hAnsiTheme="majorHAnsi"/>
                <w:noProof/>
                <w:webHidden/>
                <w:sz w:val="20"/>
                <w:szCs w:val="20"/>
              </w:rPr>
              <w:fldChar w:fldCharType="end"/>
            </w:r>
          </w:hyperlink>
        </w:p>
        <w:p w:rsidR="00E45169" w:rsidRPr="001A6CA9" w:rsidRDefault="00285BC9" w:rsidP="005177AF">
          <w:pPr>
            <w:pStyle w:val="TOC2"/>
            <w:tabs>
              <w:tab w:val="left" w:pos="720"/>
            </w:tabs>
            <w:rPr>
              <w:rFonts w:asciiTheme="majorHAnsi" w:eastAsiaTheme="minorEastAsia" w:hAnsiTheme="majorHAnsi" w:cstheme="minorBidi"/>
              <w:noProof/>
              <w:sz w:val="20"/>
              <w:szCs w:val="20"/>
              <w:bdr w:val="none" w:sz="0" w:space="0" w:color="auto"/>
            </w:rPr>
          </w:pPr>
          <w:hyperlink w:anchor="_Toc525294050" w:history="1">
            <w:r w:rsidR="00E45169" w:rsidRPr="001A6CA9">
              <w:rPr>
                <w:rStyle w:val="Hyperlink"/>
                <w:rFonts w:asciiTheme="majorHAnsi" w:hAnsiTheme="majorHAnsi"/>
                <w:noProof/>
                <w:sz w:val="20"/>
                <w:szCs w:val="20"/>
                <w:lang w:val="es-VE"/>
              </w:rPr>
              <w:t>E.</w:t>
            </w:r>
            <w:r w:rsidR="00E45169" w:rsidRPr="001A6CA9">
              <w:rPr>
                <w:rFonts w:asciiTheme="majorHAnsi" w:eastAsiaTheme="minorEastAsia" w:hAnsiTheme="majorHAnsi" w:cstheme="minorBidi"/>
                <w:noProof/>
                <w:sz w:val="20"/>
                <w:szCs w:val="20"/>
                <w:bdr w:val="none" w:sz="0" w:space="0" w:color="auto"/>
              </w:rPr>
              <w:tab/>
            </w:r>
            <w:r w:rsidR="00E45169" w:rsidRPr="001A6CA9">
              <w:rPr>
                <w:rStyle w:val="Hyperlink"/>
                <w:rFonts w:asciiTheme="majorHAnsi" w:hAnsiTheme="majorHAnsi"/>
                <w:noProof/>
                <w:sz w:val="20"/>
                <w:szCs w:val="20"/>
                <w:lang w:val="es-ES_tradnl"/>
              </w:rPr>
              <w:t>DERECHO A LA JUSTICIA, VERDAD Y REPARACIÓN</w:t>
            </w:r>
            <w:r w:rsidR="00E45169" w:rsidRPr="001A6CA9">
              <w:rPr>
                <w:rFonts w:asciiTheme="majorHAnsi" w:hAnsiTheme="majorHAnsi"/>
                <w:noProof/>
                <w:webHidden/>
                <w:sz w:val="20"/>
                <w:szCs w:val="20"/>
              </w:rPr>
              <w:tab/>
            </w:r>
            <w:r w:rsidR="00E45169" w:rsidRPr="001A6CA9">
              <w:rPr>
                <w:rFonts w:asciiTheme="majorHAnsi" w:hAnsiTheme="majorHAnsi"/>
                <w:noProof/>
                <w:webHidden/>
                <w:sz w:val="20"/>
                <w:szCs w:val="20"/>
              </w:rPr>
              <w:fldChar w:fldCharType="begin"/>
            </w:r>
            <w:r w:rsidR="00E45169" w:rsidRPr="001A6CA9">
              <w:rPr>
                <w:rFonts w:asciiTheme="majorHAnsi" w:hAnsiTheme="majorHAnsi"/>
                <w:noProof/>
                <w:webHidden/>
                <w:sz w:val="20"/>
                <w:szCs w:val="20"/>
              </w:rPr>
              <w:instrText xml:space="preserve"> PAGEREF _Toc525294050 \h </w:instrText>
            </w:r>
            <w:r w:rsidR="00E45169" w:rsidRPr="001A6CA9">
              <w:rPr>
                <w:rFonts w:asciiTheme="majorHAnsi" w:hAnsiTheme="majorHAnsi"/>
                <w:noProof/>
                <w:webHidden/>
                <w:sz w:val="20"/>
                <w:szCs w:val="20"/>
              </w:rPr>
            </w:r>
            <w:r w:rsidR="00E45169" w:rsidRPr="001A6CA9">
              <w:rPr>
                <w:rFonts w:asciiTheme="majorHAnsi" w:hAnsiTheme="majorHAnsi"/>
                <w:noProof/>
                <w:webHidden/>
                <w:sz w:val="20"/>
                <w:szCs w:val="20"/>
              </w:rPr>
              <w:fldChar w:fldCharType="separate"/>
            </w:r>
            <w:r w:rsidR="009C2754">
              <w:rPr>
                <w:rFonts w:asciiTheme="majorHAnsi" w:hAnsiTheme="majorHAnsi"/>
                <w:noProof/>
                <w:webHidden/>
                <w:sz w:val="20"/>
                <w:szCs w:val="20"/>
              </w:rPr>
              <w:t>83</w:t>
            </w:r>
            <w:r w:rsidR="00E45169" w:rsidRPr="001A6CA9">
              <w:rPr>
                <w:rFonts w:asciiTheme="majorHAnsi" w:hAnsiTheme="majorHAnsi"/>
                <w:noProof/>
                <w:webHidden/>
                <w:sz w:val="20"/>
                <w:szCs w:val="20"/>
              </w:rPr>
              <w:fldChar w:fldCharType="end"/>
            </w:r>
          </w:hyperlink>
        </w:p>
        <w:p w:rsidR="00E45169" w:rsidRPr="001A6CA9" w:rsidRDefault="00285BC9" w:rsidP="005177AF">
          <w:pPr>
            <w:pStyle w:val="TOC3"/>
            <w:tabs>
              <w:tab w:val="left" w:pos="720"/>
            </w:tabs>
            <w:rPr>
              <w:rFonts w:asciiTheme="majorHAnsi" w:eastAsiaTheme="minorEastAsia" w:hAnsiTheme="majorHAnsi" w:cstheme="minorBidi"/>
              <w:sz w:val="20"/>
              <w:szCs w:val="20"/>
              <w:bdr w:val="none" w:sz="0" w:space="0" w:color="auto"/>
              <w:lang w:val="en-US"/>
            </w:rPr>
          </w:pPr>
          <w:hyperlink w:anchor="_Toc525294051" w:history="1">
            <w:r w:rsidR="00E45169" w:rsidRPr="001A6CA9">
              <w:rPr>
                <w:rStyle w:val="Hyperlink"/>
                <w:rFonts w:asciiTheme="majorHAnsi" w:hAnsiTheme="majorHAnsi"/>
                <w:sz w:val="20"/>
                <w:szCs w:val="20"/>
              </w:rPr>
              <w:t>1.</w:t>
            </w:r>
            <w:r w:rsidR="00E45169" w:rsidRPr="001A6CA9">
              <w:rPr>
                <w:rFonts w:asciiTheme="majorHAnsi" w:eastAsiaTheme="minorEastAsia" w:hAnsiTheme="majorHAnsi" w:cstheme="minorBidi"/>
                <w:sz w:val="20"/>
                <w:szCs w:val="20"/>
                <w:bdr w:val="none" w:sz="0" w:space="0" w:color="auto"/>
                <w:lang w:val="en-US"/>
              </w:rPr>
              <w:tab/>
            </w:r>
            <w:r w:rsidR="00E45169" w:rsidRPr="001A6CA9">
              <w:rPr>
                <w:rStyle w:val="Hyperlink"/>
                <w:rFonts w:asciiTheme="majorHAnsi" w:hAnsiTheme="majorHAnsi"/>
                <w:sz w:val="20"/>
                <w:szCs w:val="20"/>
              </w:rPr>
              <w:t>Consideraciones generales</w:t>
            </w:r>
            <w:r w:rsidR="00E45169" w:rsidRPr="001A6CA9">
              <w:rPr>
                <w:rFonts w:asciiTheme="majorHAnsi" w:hAnsiTheme="majorHAnsi"/>
                <w:webHidden/>
                <w:sz w:val="20"/>
                <w:szCs w:val="20"/>
              </w:rPr>
              <w:tab/>
            </w:r>
            <w:r w:rsidR="00E45169" w:rsidRPr="001A6CA9">
              <w:rPr>
                <w:rFonts w:asciiTheme="majorHAnsi" w:hAnsiTheme="majorHAnsi"/>
                <w:webHidden/>
                <w:sz w:val="20"/>
                <w:szCs w:val="20"/>
              </w:rPr>
              <w:fldChar w:fldCharType="begin"/>
            </w:r>
            <w:r w:rsidR="00E45169" w:rsidRPr="001A6CA9">
              <w:rPr>
                <w:rFonts w:asciiTheme="majorHAnsi" w:hAnsiTheme="majorHAnsi"/>
                <w:webHidden/>
                <w:sz w:val="20"/>
                <w:szCs w:val="20"/>
              </w:rPr>
              <w:instrText xml:space="preserve"> PAGEREF _Toc525294051 \h </w:instrText>
            </w:r>
            <w:r w:rsidR="00E45169" w:rsidRPr="001A6CA9">
              <w:rPr>
                <w:rFonts w:asciiTheme="majorHAnsi" w:hAnsiTheme="majorHAnsi"/>
                <w:webHidden/>
                <w:sz w:val="20"/>
                <w:szCs w:val="20"/>
              </w:rPr>
            </w:r>
            <w:r w:rsidR="00E45169" w:rsidRPr="001A6CA9">
              <w:rPr>
                <w:rFonts w:asciiTheme="majorHAnsi" w:hAnsiTheme="majorHAnsi"/>
                <w:webHidden/>
                <w:sz w:val="20"/>
                <w:szCs w:val="20"/>
              </w:rPr>
              <w:fldChar w:fldCharType="separate"/>
            </w:r>
            <w:r w:rsidR="009C2754">
              <w:rPr>
                <w:rFonts w:asciiTheme="majorHAnsi" w:hAnsiTheme="majorHAnsi"/>
                <w:webHidden/>
                <w:sz w:val="20"/>
                <w:szCs w:val="20"/>
              </w:rPr>
              <w:t>83</w:t>
            </w:r>
            <w:r w:rsidR="00E45169" w:rsidRPr="001A6CA9">
              <w:rPr>
                <w:rFonts w:asciiTheme="majorHAnsi" w:hAnsiTheme="majorHAnsi"/>
                <w:webHidden/>
                <w:sz w:val="20"/>
                <w:szCs w:val="20"/>
              </w:rPr>
              <w:fldChar w:fldCharType="end"/>
            </w:r>
          </w:hyperlink>
        </w:p>
        <w:p w:rsidR="00E45169" w:rsidRPr="001A6CA9" w:rsidRDefault="00285BC9" w:rsidP="005177AF">
          <w:pPr>
            <w:pStyle w:val="TOC3"/>
            <w:tabs>
              <w:tab w:val="left" w:pos="720"/>
            </w:tabs>
            <w:rPr>
              <w:rFonts w:asciiTheme="majorHAnsi" w:eastAsiaTheme="minorEastAsia" w:hAnsiTheme="majorHAnsi" w:cstheme="minorBidi"/>
              <w:sz w:val="20"/>
              <w:szCs w:val="20"/>
              <w:bdr w:val="none" w:sz="0" w:space="0" w:color="auto"/>
              <w:lang w:val="en-US"/>
            </w:rPr>
          </w:pPr>
          <w:hyperlink w:anchor="_Toc525294052" w:history="1">
            <w:r w:rsidR="00E45169" w:rsidRPr="001A6CA9">
              <w:rPr>
                <w:rStyle w:val="Hyperlink"/>
                <w:rFonts w:asciiTheme="majorHAnsi" w:hAnsiTheme="majorHAnsi"/>
                <w:sz w:val="20"/>
                <w:szCs w:val="20"/>
                <w:lang w:val="es-VE"/>
              </w:rPr>
              <w:t>2.</w:t>
            </w:r>
            <w:r w:rsidR="00E45169" w:rsidRPr="001A6CA9">
              <w:rPr>
                <w:rFonts w:asciiTheme="majorHAnsi" w:eastAsiaTheme="minorEastAsia" w:hAnsiTheme="majorHAnsi" w:cstheme="minorBidi"/>
                <w:sz w:val="20"/>
                <w:szCs w:val="20"/>
                <w:bdr w:val="none" w:sz="0" w:space="0" w:color="auto"/>
                <w:lang w:val="en-US"/>
              </w:rPr>
              <w:tab/>
            </w:r>
            <w:r w:rsidR="00E45169" w:rsidRPr="001A6CA9">
              <w:rPr>
                <w:rStyle w:val="Hyperlink"/>
                <w:rFonts w:asciiTheme="majorHAnsi" w:hAnsiTheme="majorHAnsi"/>
                <w:sz w:val="20"/>
                <w:szCs w:val="20"/>
                <w:lang w:val="es-VE"/>
              </w:rPr>
              <w:t>Análisis del caso</w:t>
            </w:r>
            <w:r w:rsidR="00E45169" w:rsidRPr="001A6CA9">
              <w:rPr>
                <w:rFonts w:asciiTheme="majorHAnsi" w:hAnsiTheme="majorHAnsi"/>
                <w:webHidden/>
                <w:sz w:val="20"/>
                <w:szCs w:val="20"/>
              </w:rPr>
              <w:tab/>
            </w:r>
            <w:r w:rsidR="00E45169" w:rsidRPr="001A6CA9">
              <w:rPr>
                <w:rFonts w:asciiTheme="majorHAnsi" w:hAnsiTheme="majorHAnsi"/>
                <w:webHidden/>
                <w:sz w:val="20"/>
                <w:szCs w:val="20"/>
              </w:rPr>
              <w:fldChar w:fldCharType="begin"/>
            </w:r>
            <w:r w:rsidR="00E45169" w:rsidRPr="001A6CA9">
              <w:rPr>
                <w:rFonts w:asciiTheme="majorHAnsi" w:hAnsiTheme="majorHAnsi"/>
                <w:webHidden/>
                <w:sz w:val="20"/>
                <w:szCs w:val="20"/>
              </w:rPr>
              <w:instrText xml:space="preserve"> PAGEREF _Toc525294052 \h </w:instrText>
            </w:r>
            <w:r w:rsidR="00E45169" w:rsidRPr="001A6CA9">
              <w:rPr>
                <w:rFonts w:asciiTheme="majorHAnsi" w:hAnsiTheme="majorHAnsi"/>
                <w:webHidden/>
                <w:sz w:val="20"/>
                <w:szCs w:val="20"/>
              </w:rPr>
            </w:r>
            <w:r w:rsidR="00E45169" w:rsidRPr="001A6CA9">
              <w:rPr>
                <w:rFonts w:asciiTheme="majorHAnsi" w:hAnsiTheme="majorHAnsi"/>
                <w:webHidden/>
                <w:sz w:val="20"/>
                <w:szCs w:val="20"/>
              </w:rPr>
              <w:fldChar w:fldCharType="separate"/>
            </w:r>
            <w:r w:rsidR="009C2754">
              <w:rPr>
                <w:rFonts w:asciiTheme="majorHAnsi" w:hAnsiTheme="majorHAnsi"/>
                <w:webHidden/>
                <w:sz w:val="20"/>
                <w:szCs w:val="20"/>
              </w:rPr>
              <w:t>85</w:t>
            </w:r>
            <w:r w:rsidR="00E45169" w:rsidRPr="001A6CA9">
              <w:rPr>
                <w:rFonts w:asciiTheme="majorHAnsi" w:hAnsiTheme="majorHAnsi"/>
                <w:webHidden/>
                <w:sz w:val="20"/>
                <w:szCs w:val="20"/>
              </w:rPr>
              <w:fldChar w:fldCharType="end"/>
            </w:r>
          </w:hyperlink>
        </w:p>
        <w:p w:rsidR="00E45169" w:rsidRPr="001A6CA9" w:rsidRDefault="00285BC9" w:rsidP="005177AF">
          <w:pPr>
            <w:pStyle w:val="TOC2"/>
            <w:tabs>
              <w:tab w:val="left" w:pos="720"/>
            </w:tabs>
            <w:rPr>
              <w:rFonts w:asciiTheme="majorHAnsi" w:eastAsiaTheme="minorEastAsia" w:hAnsiTheme="majorHAnsi" w:cstheme="minorBidi"/>
              <w:noProof/>
              <w:sz w:val="20"/>
              <w:szCs w:val="20"/>
              <w:bdr w:val="none" w:sz="0" w:space="0" w:color="auto"/>
            </w:rPr>
          </w:pPr>
          <w:hyperlink w:anchor="_Toc525294053" w:history="1">
            <w:r w:rsidR="00E45169" w:rsidRPr="001A6CA9">
              <w:rPr>
                <w:rStyle w:val="Hyperlink"/>
                <w:rFonts w:asciiTheme="majorHAnsi" w:hAnsiTheme="majorHAnsi"/>
                <w:noProof/>
                <w:sz w:val="20"/>
                <w:szCs w:val="20"/>
                <w:lang w:val="es-VE"/>
              </w:rPr>
              <w:t>F.</w:t>
            </w:r>
            <w:r w:rsidR="00E45169" w:rsidRPr="001A6CA9">
              <w:rPr>
                <w:rFonts w:asciiTheme="majorHAnsi" w:eastAsiaTheme="minorEastAsia" w:hAnsiTheme="majorHAnsi" w:cstheme="minorBidi"/>
                <w:noProof/>
                <w:sz w:val="20"/>
                <w:szCs w:val="20"/>
                <w:bdr w:val="none" w:sz="0" w:space="0" w:color="auto"/>
              </w:rPr>
              <w:tab/>
            </w:r>
            <w:r w:rsidR="00E45169" w:rsidRPr="001A6CA9">
              <w:rPr>
                <w:rStyle w:val="Hyperlink"/>
                <w:rFonts w:asciiTheme="majorHAnsi" w:hAnsiTheme="majorHAnsi"/>
                <w:noProof/>
                <w:sz w:val="20"/>
                <w:szCs w:val="20"/>
                <w:lang w:val="es-VE"/>
              </w:rPr>
              <w:t>DERECHO A LA INTEGRIDAD PERSONAL</w:t>
            </w:r>
            <w:r w:rsidR="00E45169" w:rsidRPr="001A6CA9">
              <w:rPr>
                <w:rFonts w:asciiTheme="majorHAnsi" w:hAnsiTheme="majorHAnsi"/>
                <w:noProof/>
                <w:webHidden/>
                <w:sz w:val="20"/>
                <w:szCs w:val="20"/>
              </w:rPr>
              <w:tab/>
            </w:r>
            <w:r w:rsidR="00E45169" w:rsidRPr="001A6CA9">
              <w:rPr>
                <w:rFonts w:asciiTheme="majorHAnsi" w:hAnsiTheme="majorHAnsi"/>
                <w:noProof/>
                <w:webHidden/>
                <w:sz w:val="20"/>
                <w:szCs w:val="20"/>
              </w:rPr>
              <w:fldChar w:fldCharType="begin"/>
            </w:r>
            <w:r w:rsidR="00E45169" w:rsidRPr="001A6CA9">
              <w:rPr>
                <w:rFonts w:asciiTheme="majorHAnsi" w:hAnsiTheme="majorHAnsi"/>
                <w:noProof/>
                <w:webHidden/>
                <w:sz w:val="20"/>
                <w:szCs w:val="20"/>
              </w:rPr>
              <w:instrText xml:space="preserve"> PAGEREF _Toc525294053 \h </w:instrText>
            </w:r>
            <w:r w:rsidR="00E45169" w:rsidRPr="001A6CA9">
              <w:rPr>
                <w:rFonts w:asciiTheme="majorHAnsi" w:hAnsiTheme="majorHAnsi"/>
                <w:noProof/>
                <w:webHidden/>
                <w:sz w:val="20"/>
                <w:szCs w:val="20"/>
              </w:rPr>
            </w:r>
            <w:r w:rsidR="00E45169" w:rsidRPr="001A6CA9">
              <w:rPr>
                <w:rFonts w:asciiTheme="majorHAnsi" w:hAnsiTheme="majorHAnsi"/>
                <w:noProof/>
                <w:webHidden/>
                <w:sz w:val="20"/>
                <w:szCs w:val="20"/>
              </w:rPr>
              <w:fldChar w:fldCharType="separate"/>
            </w:r>
            <w:r w:rsidR="009C2754">
              <w:rPr>
                <w:rFonts w:asciiTheme="majorHAnsi" w:hAnsiTheme="majorHAnsi"/>
                <w:noProof/>
                <w:webHidden/>
                <w:sz w:val="20"/>
                <w:szCs w:val="20"/>
              </w:rPr>
              <w:t>88</w:t>
            </w:r>
            <w:r w:rsidR="00E45169" w:rsidRPr="001A6CA9">
              <w:rPr>
                <w:rFonts w:asciiTheme="majorHAnsi" w:hAnsiTheme="majorHAnsi"/>
                <w:noProof/>
                <w:webHidden/>
                <w:sz w:val="20"/>
                <w:szCs w:val="20"/>
              </w:rPr>
              <w:fldChar w:fldCharType="end"/>
            </w:r>
          </w:hyperlink>
        </w:p>
        <w:p w:rsidR="00E45169" w:rsidRPr="001A6CA9" w:rsidRDefault="00285BC9" w:rsidP="005177AF">
          <w:pPr>
            <w:pStyle w:val="TOC1"/>
            <w:tabs>
              <w:tab w:val="left" w:pos="720"/>
            </w:tabs>
            <w:rPr>
              <w:rFonts w:asciiTheme="majorHAnsi" w:eastAsiaTheme="minorEastAsia" w:hAnsiTheme="majorHAnsi" w:cstheme="minorBidi"/>
              <w:noProof/>
              <w:sz w:val="20"/>
              <w:szCs w:val="20"/>
              <w:bdr w:val="none" w:sz="0" w:space="0" w:color="auto"/>
            </w:rPr>
          </w:pPr>
          <w:hyperlink w:anchor="_Toc525294054" w:history="1">
            <w:r w:rsidR="00E45169" w:rsidRPr="001A6CA9">
              <w:rPr>
                <w:rStyle w:val="Hyperlink"/>
                <w:rFonts w:asciiTheme="majorHAnsi" w:hAnsiTheme="majorHAnsi"/>
                <w:noProof/>
                <w:sz w:val="20"/>
                <w:szCs w:val="20"/>
                <w:lang w:val="es-ES_tradnl"/>
              </w:rPr>
              <w:t>V.</w:t>
            </w:r>
            <w:r w:rsidR="00E45169" w:rsidRPr="001A6CA9">
              <w:rPr>
                <w:rFonts w:asciiTheme="majorHAnsi" w:eastAsiaTheme="minorEastAsia" w:hAnsiTheme="majorHAnsi" w:cstheme="minorBidi"/>
                <w:noProof/>
                <w:sz w:val="20"/>
                <w:szCs w:val="20"/>
                <w:bdr w:val="none" w:sz="0" w:space="0" w:color="auto"/>
              </w:rPr>
              <w:tab/>
            </w:r>
            <w:r w:rsidR="00E45169" w:rsidRPr="001A6CA9">
              <w:rPr>
                <w:rStyle w:val="Hyperlink"/>
                <w:rFonts w:asciiTheme="majorHAnsi" w:hAnsiTheme="majorHAnsi"/>
                <w:noProof/>
                <w:sz w:val="20"/>
                <w:szCs w:val="20"/>
                <w:lang w:val="es-ES_tradnl"/>
              </w:rPr>
              <w:t>INFORME No.169/17</w:t>
            </w:r>
            <w:r w:rsidR="00E45169" w:rsidRPr="001A6CA9">
              <w:rPr>
                <w:rFonts w:asciiTheme="majorHAnsi" w:hAnsiTheme="majorHAnsi"/>
                <w:noProof/>
                <w:webHidden/>
                <w:sz w:val="20"/>
                <w:szCs w:val="20"/>
              </w:rPr>
              <w:tab/>
            </w:r>
            <w:r w:rsidR="00E45169" w:rsidRPr="001A6CA9">
              <w:rPr>
                <w:rFonts w:asciiTheme="majorHAnsi" w:hAnsiTheme="majorHAnsi"/>
                <w:noProof/>
                <w:webHidden/>
                <w:sz w:val="20"/>
                <w:szCs w:val="20"/>
              </w:rPr>
              <w:fldChar w:fldCharType="begin"/>
            </w:r>
            <w:r w:rsidR="00E45169" w:rsidRPr="001A6CA9">
              <w:rPr>
                <w:rFonts w:asciiTheme="majorHAnsi" w:hAnsiTheme="majorHAnsi"/>
                <w:noProof/>
                <w:webHidden/>
                <w:sz w:val="20"/>
                <w:szCs w:val="20"/>
              </w:rPr>
              <w:instrText xml:space="preserve"> PAGEREF _Toc525294054 \h </w:instrText>
            </w:r>
            <w:r w:rsidR="00E45169" w:rsidRPr="001A6CA9">
              <w:rPr>
                <w:rFonts w:asciiTheme="majorHAnsi" w:hAnsiTheme="majorHAnsi"/>
                <w:noProof/>
                <w:webHidden/>
                <w:sz w:val="20"/>
                <w:szCs w:val="20"/>
              </w:rPr>
            </w:r>
            <w:r w:rsidR="00E45169" w:rsidRPr="001A6CA9">
              <w:rPr>
                <w:rFonts w:asciiTheme="majorHAnsi" w:hAnsiTheme="majorHAnsi"/>
                <w:noProof/>
                <w:webHidden/>
                <w:sz w:val="20"/>
                <w:szCs w:val="20"/>
              </w:rPr>
              <w:fldChar w:fldCharType="separate"/>
            </w:r>
            <w:r w:rsidR="009C2754">
              <w:rPr>
                <w:rFonts w:asciiTheme="majorHAnsi" w:hAnsiTheme="majorHAnsi"/>
                <w:noProof/>
                <w:webHidden/>
                <w:sz w:val="20"/>
                <w:szCs w:val="20"/>
              </w:rPr>
              <w:t>89</w:t>
            </w:r>
            <w:r w:rsidR="00E45169" w:rsidRPr="001A6CA9">
              <w:rPr>
                <w:rFonts w:asciiTheme="majorHAnsi" w:hAnsiTheme="majorHAnsi"/>
                <w:noProof/>
                <w:webHidden/>
                <w:sz w:val="20"/>
                <w:szCs w:val="20"/>
              </w:rPr>
              <w:fldChar w:fldCharType="end"/>
            </w:r>
          </w:hyperlink>
        </w:p>
        <w:p w:rsidR="00E45169" w:rsidRPr="001A6CA9" w:rsidRDefault="00285BC9" w:rsidP="005177AF">
          <w:pPr>
            <w:pStyle w:val="TOC1"/>
            <w:tabs>
              <w:tab w:val="left" w:pos="720"/>
            </w:tabs>
            <w:rPr>
              <w:rFonts w:asciiTheme="majorHAnsi" w:eastAsiaTheme="minorEastAsia" w:hAnsiTheme="majorHAnsi" w:cstheme="minorBidi"/>
              <w:noProof/>
              <w:sz w:val="20"/>
              <w:szCs w:val="20"/>
              <w:bdr w:val="none" w:sz="0" w:space="0" w:color="auto"/>
            </w:rPr>
          </w:pPr>
          <w:hyperlink w:anchor="_Toc525294055" w:history="1">
            <w:r w:rsidR="00E45169" w:rsidRPr="001A6CA9">
              <w:rPr>
                <w:rStyle w:val="Hyperlink"/>
                <w:rFonts w:asciiTheme="majorHAnsi" w:hAnsiTheme="majorHAnsi"/>
                <w:noProof/>
                <w:sz w:val="20"/>
                <w:szCs w:val="20"/>
                <w:lang w:val="es-ES_tradnl"/>
              </w:rPr>
              <w:t>VI.</w:t>
            </w:r>
            <w:r w:rsidR="00E45169" w:rsidRPr="001A6CA9">
              <w:rPr>
                <w:rFonts w:asciiTheme="majorHAnsi" w:eastAsiaTheme="minorEastAsia" w:hAnsiTheme="majorHAnsi" w:cstheme="minorBidi"/>
                <w:noProof/>
                <w:sz w:val="20"/>
                <w:szCs w:val="20"/>
                <w:bdr w:val="none" w:sz="0" w:space="0" w:color="auto"/>
              </w:rPr>
              <w:tab/>
            </w:r>
            <w:r w:rsidR="00E45169" w:rsidRPr="001A6CA9">
              <w:rPr>
                <w:rStyle w:val="Hyperlink"/>
                <w:rFonts w:asciiTheme="majorHAnsi" w:hAnsiTheme="majorHAnsi"/>
                <w:noProof/>
                <w:sz w:val="20"/>
                <w:szCs w:val="20"/>
                <w:lang w:val="es-ES_tradnl"/>
              </w:rPr>
              <w:t>MEDIDAS POSTERIORES AL INFORME No. 169/17</w:t>
            </w:r>
            <w:r w:rsidR="00E45169" w:rsidRPr="001A6CA9">
              <w:rPr>
                <w:rFonts w:asciiTheme="majorHAnsi" w:hAnsiTheme="majorHAnsi"/>
                <w:noProof/>
                <w:webHidden/>
                <w:sz w:val="20"/>
                <w:szCs w:val="20"/>
              </w:rPr>
              <w:tab/>
            </w:r>
            <w:r w:rsidR="00E45169" w:rsidRPr="001A6CA9">
              <w:rPr>
                <w:rFonts w:asciiTheme="majorHAnsi" w:hAnsiTheme="majorHAnsi"/>
                <w:noProof/>
                <w:webHidden/>
                <w:sz w:val="20"/>
                <w:szCs w:val="20"/>
              </w:rPr>
              <w:fldChar w:fldCharType="begin"/>
            </w:r>
            <w:r w:rsidR="00E45169" w:rsidRPr="001A6CA9">
              <w:rPr>
                <w:rFonts w:asciiTheme="majorHAnsi" w:hAnsiTheme="majorHAnsi"/>
                <w:noProof/>
                <w:webHidden/>
                <w:sz w:val="20"/>
                <w:szCs w:val="20"/>
              </w:rPr>
              <w:instrText xml:space="preserve"> PAGEREF _Toc525294055 \h </w:instrText>
            </w:r>
            <w:r w:rsidR="00E45169" w:rsidRPr="001A6CA9">
              <w:rPr>
                <w:rFonts w:asciiTheme="majorHAnsi" w:hAnsiTheme="majorHAnsi"/>
                <w:noProof/>
                <w:webHidden/>
                <w:sz w:val="20"/>
                <w:szCs w:val="20"/>
              </w:rPr>
            </w:r>
            <w:r w:rsidR="00E45169" w:rsidRPr="001A6CA9">
              <w:rPr>
                <w:rFonts w:asciiTheme="majorHAnsi" w:hAnsiTheme="majorHAnsi"/>
                <w:noProof/>
                <w:webHidden/>
                <w:sz w:val="20"/>
                <w:szCs w:val="20"/>
              </w:rPr>
              <w:fldChar w:fldCharType="separate"/>
            </w:r>
            <w:r w:rsidR="009C2754">
              <w:rPr>
                <w:rFonts w:asciiTheme="majorHAnsi" w:hAnsiTheme="majorHAnsi"/>
                <w:noProof/>
                <w:webHidden/>
                <w:sz w:val="20"/>
                <w:szCs w:val="20"/>
              </w:rPr>
              <w:t>89</w:t>
            </w:r>
            <w:r w:rsidR="00E45169" w:rsidRPr="001A6CA9">
              <w:rPr>
                <w:rFonts w:asciiTheme="majorHAnsi" w:hAnsiTheme="majorHAnsi"/>
                <w:noProof/>
                <w:webHidden/>
                <w:sz w:val="20"/>
                <w:szCs w:val="20"/>
              </w:rPr>
              <w:fldChar w:fldCharType="end"/>
            </w:r>
          </w:hyperlink>
        </w:p>
        <w:p w:rsidR="00E45169" w:rsidRPr="001A6CA9" w:rsidRDefault="00285BC9" w:rsidP="005177AF">
          <w:pPr>
            <w:pStyle w:val="TOC1"/>
            <w:tabs>
              <w:tab w:val="left" w:pos="720"/>
            </w:tabs>
            <w:rPr>
              <w:rFonts w:asciiTheme="majorHAnsi" w:eastAsiaTheme="minorEastAsia" w:hAnsiTheme="majorHAnsi" w:cstheme="minorBidi"/>
              <w:noProof/>
              <w:sz w:val="20"/>
              <w:szCs w:val="20"/>
              <w:bdr w:val="none" w:sz="0" w:space="0" w:color="auto"/>
            </w:rPr>
          </w:pPr>
          <w:hyperlink w:anchor="_Toc525294056" w:history="1">
            <w:r w:rsidR="00E45169" w:rsidRPr="001A6CA9">
              <w:rPr>
                <w:rStyle w:val="Hyperlink"/>
                <w:rFonts w:asciiTheme="majorHAnsi" w:hAnsiTheme="majorHAnsi"/>
                <w:noProof/>
                <w:sz w:val="20"/>
                <w:szCs w:val="20"/>
                <w:lang w:val="es-ES_tradnl"/>
              </w:rPr>
              <w:t>VII.</w:t>
            </w:r>
            <w:r w:rsidR="00E45169" w:rsidRPr="001A6CA9">
              <w:rPr>
                <w:rFonts w:asciiTheme="majorHAnsi" w:eastAsiaTheme="minorEastAsia" w:hAnsiTheme="majorHAnsi" w:cstheme="minorBidi"/>
                <w:noProof/>
                <w:sz w:val="20"/>
                <w:szCs w:val="20"/>
                <w:bdr w:val="none" w:sz="0" w:space="0" w:color="auto"/>
              </w:rPr>
              <w:tab/>
            </w:r>
            <w:r w:rsidR="00E45169" w:rsidRPr="001A6CA9">
              <w:rPr>
                <w:rStyle w:val="Hyperlink"/>
                <w:rFonts w:asciiTheme="majorHAnsi" w:hAnsiTheme="majorHAnsi"/>
                <w:noProof/>
                <w:sz w:val="20"/>
                <w:szCs w:val="20"/>
                <w:lang w:val="es-VE"/>
              </w:rPr>
              <w:t>INFORME DE FONDO (FINAL) No. 70/18</w:t>
            </w:r>
            <w:r w:rsidR="00E45169" w:rsidRPr="001A6CA9">
              <w:rPr>
                <w:rFonts w:asciiTheme="majorHAnsi" w:hAnsiTheme="majorHAnsi"/>
                <w:noProof/>
                <w:webHidden/>
                <w:sz w:val="20"/>
                <w:szCs w:val="20"/>
              </w:rPr>
              <w:tab/>
            </w:r>
            <w:r w:rsidR="00E45169" w:rsidRPr="001A6CA9">
              <w:rPr>
                <w:rFonts w:asciiTheme="majorHAnsi" w:hAnsiTheme="majorHAnsi"/>
                <w:noProof/>
                <w:webHidden/>
                <w:sz w:val="20"/>
                <w:szCs w:val="20"/>
              </w:rPr>
              <w:fldChar w:fldCharType="begin"/>
            </w:r>
            <w:r w:rsidR="00E45169" w:rsidRPr="001A6CA9">
              <w:rPr>
                <w:rFonts w:asciiTheme="majorHAnsi" w:hAnsiTheme="majorHAnsi"/>
                <w:noProof/>
                <w:webHidden/>
                <w:sz w:val="20"/>
                <w:szCs w:val="20"/>
              </w:rPr>
              <w:instrText xml:space="preserve"> PAGEREF _Toc525294056 \h </w:instrText>
            </w:r>
            <w:r w:rsidR="00E45169" w:rsidRPr="001A6CA9">
              <w:rPr>
                <w:rFonts w:asciiTheme="majorHAnsi" w:hAnsiTheme="majorHAnsi"/>
                <w:noProof/>
                <w:webHidden/>
                <w:sz w:val="20"/>
                <w:szCs w:val="20"/>
              </w:rPr>
            </w:r>
            <w:r w:rsidR="00E45169" w:rsidRPr="001A6CA9">
              <w:rPr>
                <w:rFonts w:asciiTheme="majorHAnsi" w:hAnsiTheme="majorHAnsi"/>
                <w:noProof/>
                <w:webHidden/>
                <w:sz w:val="20"/>
                <w:szCs w:val="20"/>
              </w:rPr>
              <w:fldChar w:fldCharType="separate"/>
            </w:r>
            <w:r w:rsidR="009C2754">
              <w:rPr>
                <w:rFonts w:asciiTheme="majorHAnsi" w:hAnsiTheme="majorHAnsi"/>
                <w:noProof/>
                <w:webHidden/>
                <w:sz w:val="20"/>
                <w:szCs w:val="20"/>
              </w:rPr>
              <w:t>90</w:t>
            </w:r>
            <w:r w:rsidR="00E45169" w:rsidRPr="001A6CA9">
              <w:rPr>
                <w:rFonts w:asciiTheme="majorHAnsi" w:hAnsiTheme="majorHAnsi"/>
                <w:noProof/>
                <w:webHidden/>
                <w:sz w:val="20"/>
                <w:szCs w:val="20"/>
              </w:rPr>
              <w:fldChar w:fldCharType="end"/>
            </w:r>
          </w:hyperlink>
        </w:p>
        <w:p w:rsidR="00E45169" w:rsidRPr="001A6CA9" w:rsidRDefault="00285BC9" w:rsidP="005177AF">
          <w:pPr>
            <w:pStyle w:val="TOC1"/>
            <w:tabs>
              <w:tab w:val="left" w:pos="720"/>
            </w:tabs>
            <w:rPr>
              <w:rFonts w:asciiTheme="majorHAnsi" w:eastAsiaTheme="minorEastAsia" w:hAnsiTheme="majorHAnsi" w:cstheme="minorBidi"/>
              <w:noProof/>
              <w:sz w:val="20"/>
              <w:szCs w:val="20"/>
              <w:bdr w:val="none" w:sz="0" w:space="0" w:color="auto"/>
            </w:rPr>
          </w:pPr>
          <w:hyperlink w:anchor="_Toc525294057" w:history="1">
            <w:r w:rsidR="00E45169" w:rsidRPr="001A6CA9">
              <w:rPr>
                <w:rStyle w:val="Hyperlink"/>
                <w:rFonts w:asciiTheme="majorHAnsi" w:hAnsiTheme="majorHAnsi"/>
                <w:noProof/>
                <w:sz w:val="20"/>
                <w:szCs w:val="20"/>
                <w:lang w:val="es-ES_tradnl"/>
              </w:rPr>
              <w:t>VIII.</w:t>
            </w:r>
            <w:r w:rsidR="00E45169" w:rsidRPr="001A6CA9">
              <w:rPr>
                <w:rFonts w:asciiTheme="majorHAnsi" w:eastAsiaTheme="minorEastAsia" w:hAnsiTheme="majorHAnsi" w:cstheme="minorBidi"/>
                <w:noProof/>
                <w:sz w:val="20"/>
                <w:szCs w:val="20"/>
                <w:bdr w:val="none" w:sz="0" w:space="0" w:color="auto"/>
              </w:rPr>
              <w:tab/>
            </w:r>
            <w:r w:rsidR="00E45169" w:rsidRPr="001A6CA9">
              <w:rPr>
                <w:rStyle w:val="Hyperlink"/>
                <w:rFonts w:asciiTheme="majorHAnsi" w:hAnsiTheme="majorHAnsi"/>
                <w:noProof/>
                <w:sz w:val="20"/>
                <w:szCs w:val="20"/>
                <w:lang w:val="es-VE"/>
              </w:rPr>
              <w:t>CONCLUSIONES</w:t>
            </w:r>
            <w:r w:rsidR="00E45169" w:rsidRPr="001A6CA9">
              <w:rPr>
                <w:rStyle w:val="Hyperlink"/>
                <w:rFonts w:asciiTheme="majorHAnsi" w:hAnsiTheme="majorHAnsi"/>
                <w:noProof/>
                <w:sz w:val="20"/>
                <w:szCs w:val="20"/>
                <w:lang w:val="es-ES_tradnl"/>
              </w:rPr>
              <w:t xml:space="preserve"> Y RECOMENDACIONES</w:t>
            </w:r>
            <w:r w:rsidR="00E45169" w:rsidRPr="001A6CA9">
              <w:rPr>
                <w:rFonts w:asciiTheme="majorHAnsi" w:hAnsiTheme="majorHAnsi"/>
                <w:noProof/>
                <w:webHidden/>
                <w:sz w:val="20"/>
                <w:szCs w:val="20"/>
              </w:rPr>
              <w:tab/>
            </w:r>
            <w:r w:rsidR="00E45169" w:rsidRPr="001A6CA9">
              <w:rPr>
                <w:rFonts w:asciiTheme="majorHAnsi" w:hAnsiTheme="majorHAnsi"/>
                <w:noProof/>
                <w:webHidden/>
                <w:sz w:val="20"/>
                <w:szCs w:val="20"/>
              </w:rPr>
              <w:fldChar w:fldCharType="begin"/>
            </w:r>
            <w:r w:rsidR="00E45169" w:rsidRPr="001A6CA9">
              <w:rPr>
                <w:rFonts w:asciiTheme="majorHAnsi" w:hAnsiTheme="majorHAnsi"/>
                <w:noProof/>
                <w:webHidden/>
                <w:sz w:val="20"/>
                <w:szCs w:val="20"/>
              </w:rPr>
              <w:instrText xml:space="preserve"> PAGEREF _Toc525294057 \h </w:instrText>
            </w:r>
            <w:r w:rsidR="00E45169" w:rsidRPr="001A6CA9">
              <w:rPr>
                <w:rFonts w:asciiTheme="majorHAnsi" w:hAnsiTheme="majorHAnsi"/>
                <w:noProof/>
                <w:webHidden/>
                <w:sz w:val="20"/>
                <w:szCs w:val="20"/>
              </w:rPr>
            </w:r>
            <w:r w:rsidR="00E45169" w:rsidRPr="001A6CA9">
              <w:rPr>
                <w:rFonts w:asciiTheme="majorHAnsi" w:hAnsiTheme="majorHAnsi"/>
                <w:noProof/>
                <w:webHidden/>
                <w:sz w:val="20"/>
                <w:szCs w:val="20"/>
              </w:rPr>
              <w:fldChar w:fldCharType="separate"/>
            </w:r>
            <w:r w:rsidR="009C2754">
              <w:rPr>
                <w:rFonts w:asciiTheme="majorHAnsi" w:hAnsiTheme="majorHAnsi"/>
                <w:noProof/>
                <w:webHidden/>
                <w:sz w:val="20"/>
                <w:szCs w:val="20"/>
              </w:rPr>
              <w:t>90</w:t>
            </w:r>
            <w:r w:rsidR="00E45169" w:rsidRPr="001A6CA9">
              <w:rPr>
                <w:rFonts w:asciiTheme="majorHAnsi" w:hAnsiTheme="majorHAnsi"/>
                <w:noProof/>
                <w:webHidden/>
                <w:sz w:val="20"/>
                <w:szCs w:val="20"/>
              </w:rPr>
              <w:fldChar w:fldCharType="end"/>
            </w:r>
          </w:hyperlink>
        </w:p>
        <w:p w:rsidR="007C39F0" w:rsidRPr="00713E68" w:rsidRDefault="00285BC9" w:rsidP="005177AF">
          <w:pPr>
            <w:pStyle w:val="TOC1"/>
            <w:tabs>
              <w:tab w:val="left" w:pos="720"/>
            </w:tabs>
          </w:pPr>
          <w:hyperlink w:anchor="_Toc525294058" w:history="1">
            <w:r w:rsidR="00E45169" w:rsidRPr="001A6CA9">
              <w:rPr>
                <w:rStyle w:val="Hyperlink"/>
                <w:rFonts w:asciiTheme="majorHAnsi" w:hAnsiTheme="majorHAnsi"/>
                <w:noProof/>
                <w:sz w:val="20"/>
                <w:szCs w:val="20"/>
                <w:lang w:val="es-ES_tradnl"/>
              </w:rPr>
              <w:t>IX.</w:t>
            </w:r>
            <w:r w:rsidR="00E45169" w:rsidRPr="001A6CA9">
              <w:rPr>
                <w:rFonts w:asciiTheme="majorHAnsi" w:eastAsiaTheme="minorEastAsia" w:hAnsiTheme="majorHAnsi" w:cstheme="minorBidi"/>
                <w:noProof/>
                <w:sz w:val="20"/>
                <w:szCs w:val="20"/>
                <w:bdr w:val="none" w:sz="0" w:space="0" w:color="auto"/>
              </w:rPr>
              <w:tab/>
            </w:r>
            <w:r w:rsidR="00E45169" w:rsidRPr="001A6CA9">
              <w:rPr>
                <w:rStyle w:val="Hyperlink"/>
                <w:rFonts w:asciiTheme="majorHAnsi" w:hAnsiTheme="majorHAnsi"/>
                <w:noProof/>
                <w:sz w:val="20"/>
                <w:szCs w:val="20"/>
                <w:lang w:val="es-VE"/>
              </w:rPr>
              <w:t>PUBLICACIÓN</w:t>
            </w:r>
            <w:r w:rsidR="00E45169" w:rsidRPr="001A6CA9">
              <w:rPr>
                <w:rFonts w:asciiTheme="majorHAnsi" w:hAnsiTheme="majorHAnsi"/>
                <w:noProof/>
                <w:webHidden/>
                <w:sz w:val="20"/>
                <w:szCs w:val="20"/>
              </w:rPr>
              <w:tab/>
            </w:r>
            <w:r w:rsidR="00E45169" w:rsidRPr="001A6CA9">
              <w:rPr>
                <w:rFonts w:asciiTheme="majorHAnsi" w:hAnsiTheme="majorHAnsi"/>
                <w:noProof/>
                <w:webHidden/>
                <w:sz w:val="20"/>
                <w:szCs w:val="20"/>
              </w:rPr>
              <w:fldChar w:fldCharType="begin"/>
            </w:r>
            <w:r w:rsidR="00E45169" w:rsidRPr="001A6CA9">
              <w:rPr>
                <w:rFonts w:asciiTheme="majorHAnsi" w:hAnsiTheme="majorHAnsi"/>
                <w:noProof/>
                <w:webHidden/>
                <w:sz w:val="20"/>
                <w:szCs w:val="20"/>
              </w:rPr>
              <w:instrText xml:space="preserve"> PAGEREF _Toc525294058 \h </w:instrText>
            </w:r>
            <w:r w:rsidR="00E45169" w:rsidRPr="001A6CA9">
              <w:rPr>
                <w:rFonts w:asciiTheme="majorHAnsi" w:hAnsiTheme="majorHAnsi"/>
                <w:noProof/>
                <w:webHidden/>
                <w:sz w:val="20"/>
                <w:szCs w:val="20"/>
              </w:rPr>
            </w:r>
            <w:r w:rsidR="00E45169" w:rsidRPr="001A6CA9">
              <w:rPr>
                <w:rFonts w:asciiTheme="majorHAnsi" w:hAnsiTheme="majorHAnsi"/>
                <w:noProof/>
                <w:webHidden/>
                <w:sz w:val="20"/>
                <w:szCs w:val="20"/>
              </w:rPr>
              <w:fldChar w:fldCharType="separate"/>
            </w:r>
            <w:r w:rsidR="009C2754">
              <w:rPr>
                <w:rFonts w:asciiTheme="majorHAnsi" w:hAnsiTheme="majorHAnsi"/>
                <w:noProof/>
                <w:webHidden/>
                <w:sz w:val="20"/>
                <w:szCs w:val="20"/>
              </w:rPr>
              <w:t>91</w:t>
            </w:r>
            <w:r w:rsidR="00E45169" w:rsidRPr="001A6CA9">
              <w:rPr>
                <w:rFonts w:asciiTheme="majorHAnsi" w:hAnsiTheme="majorHAnsi"/>
                <w:noProof/>
                <w:webHidden/>
                <w:sz w:val="20"/>
                <w:szCs w:val="20"/>
              </w:rPr>
              <w:fldChar w:fldCharType="end"/>
            </w:r>
          </w:hyperlink>
          <w:r w:rsidR="007C39F0" w:rsidRPr="00D529F8">
            <w:rPr>
              <w:rFonts w:asciiTheme="majorHAnsi" w:hAnsiTheme="majorHAnsi"/>
              <w:b/>
              <w:bCs/>
              <w:sz w:val="20"/>
              <w:szCs w:val="20"/>
            </w:rPr>
            <w:fldChar w:fldCharType="end"/>
          </w:r>
        </w:p>
      </w:sdtContent>
    </w:sdt>
    <w:p w:rsidR="00722C9F" w:rsidRPr="005177AF" w:rsidRDefault="001A6CA9" w:rsidP="009712EB">
      <w:pPr>
        <w:tabs>
          <w:tab w:val="center" w:pos="5400"/>
        </w:tabs>
        <w:suppressAutoHyphens/>
        <w:jc w:val="center"/>
        <w:rPr>
          <w:rFonts w:ascii="Cambria" w:hAnsi="Cambria"/>
          <w:b/>
          <w:sz w:val="18"/>
          <w:szCs w:val="20"/>
          <w:lang w:val="es-CO"/>
        </w:rPr>
      </w:pPr>
      <w:r w:rsidRPr="005177AF">
        <w:rPr>
          <w:rFonts w:ascii="Cambria" w:hAnsi="Cambria"/>
          <w:b/>
          <w:sz w:val="18"/>
          <w:szCs w:val="20"/>
          <w:lang w:val="es-ES"/>
        </w:rPr>
        <w:lastRenderedPageBreak/>
        <w:t>I</w:t>
      </w:r>
      <w:r w:rsidR="007C756A" w:rsidRPr="005177AF">
        <w:rPr>
          <w:rFonts w:ascii="Cambria" w:hAnsi="Cambria"/>
          <w:b/>
          <w:sz w:val="18"/>
          <w:szCs w:val="20"/>
          <w:lang w:val="es-ES"/>
        </w:rPr>
        <w:t xml:space="preserve">NFORME No. </w:t>
      </w:r>
      <w:r w:rsidR="00713E68" w:rsidRPr="005177AF">
        <w:rPr>
          <w:rFonts w:ascii="Cambria" w:hAnsi="Cambria"/>
          <w:b/>
          <w:sz w:val="18"/>
          <w:szCs w:val="20"/>
          <w:lang w:val="es-CO"/>
        </w:rPr>
        <w:t>1</w:t>
      </w:r>
      <w:r w:rsidRPr="005177AF">
        <w:rPr>
          <w:rFonts w:ascii="Cambria" w:hAnsi="Cambria"/>
          <w:b/>
          <w:sz w:val="18"/>
          <w:szCs w:val="20"/>
          <w:lang w:val="es-CO"/>
        </w:rPr>
        <w:t>21</w:t>
      </w:r>
      <w:r w:rsidR="007C756A" w:rsidRPr="005177AF">
        <w:rPr>
          <w:rFonts w:ascii="Cambria" w:hAnsi="Cambria"/>
          <w:b/>
          <w:sz w:val="18"/>
          <w:szCs w:val="20"/>
          <w:lang w:val="es-CO"/>
        </w:rPr>
        <w:t>/</w:t>
      </w:r>
      <w:r w:rsidR="00713E68" w:rsidRPr="005177AF">
        <w:rPr>
          <w:rFonts w:ascii="Cambria" w:hAnsi="Cambria"/>
          <w:b/>
          <w:sz w:val="18"/>
          <w:szCs w:val="20"/>
          <w:lang w:val="es-CO"/>
        </w:rPr>
        <w:t>1</w:t>
      </w:r>
      <w:r w:rsidRPr="005177AF">
        <w:rPr>
          <w:rFonts w:ascii="Cambria" w:hAnsi="Cambria"/>
          <w:b/>
          <w:sz w:val="18"/>
          <w:szCs w:val="20"/>
          <w:lang w:val="es-CO"/>
        </w:rPr>
        <w:t>8</w:t>
      </w:r>
    </w:p>
    <w:p w:rsidR="00722C9F" w:rsidRPr="005177AF" w:rsidRDefault="00722C9F" w:rsidP="009712EB">
      <w:pPr>
        <w:tabs>
          <w:tab w:val="center" w:pos="5400"/>
        </w:tabs>
        <w:suppressAutoHyphens/>
        <w:jc w:val="center"/>
        <w:rPr>
          <w:rFonts w:ascii="Cambria" w:hAnsi="Cambria"/>
          <w:b/>
          <w:sz w:val="18"/>
          <w:szCs w:val="20"/>
          <w:lang w:val="es-ES"/>
        </w:rPr>
      </w:pPr>
      <w:r w:rsidRPr="005177AF">
        <w:rPr>
          <w:rFonts w:ascii="Cambria" w:hAnsi="Cambria"/>
          <w:b/>
          <w:sz w:val="18"/>
          <w:szCs w:val="20"/>
          <w:lang w:val="es-ES"/>
        </w:rPr>
        <w:t xml:space="preserve">CASO </w:t>
      </w:r>
      <w:r w:rsidR="00D90527" w:rsidRPr="005177AF">
        <w:rPr>
          <w:rFonts w:ascii="Cambria" w:hAnsi="Cambria"/>
          <w:b/>
          <w:sz w:val="18"/>
          <w:szCs w:val="20"/>
          <w:lang w:val="es-ES"/>
        </w:rPr>
        <w:t>10.573</w:t>
      </w:r>
    </w:p>
    <w:p w:rsidR="00722C9F" w:rsidRPr="005177AF" w:rsidRDefault="007C756A" w:rsidP="009712EB">
      <w:pPr>
        <w:tabs>
          <w:tab w:val="center" w:pos="5400"/>
        </w:tabs>
        <w:suppressAutoHyphens/>
        <w:jc w:val="center"/>
        <w:rPr>
          <w:rFonts w:ascii="Cambria" w:hAnsi="Cambria"/>
          <w:sz w:val="18"/>
          <w:szCs w:val="20"/>
          <w:lang w:val="es-ES_tradnl"/>
        </w:rPr>
      </w:pPr>
      <w:r w:rsidRPr="005177AF">
        <w:rPr>
          <w:rFonts w:ascii="Cambria" w:hAnsi="Cambria"/>
          <w:sz w:val="18"/>
          <w:szCs w:val="20"/>
          <w:lang w:val="es-ES_tradnl"/>
        </w:rPr>
        <w:t>FONDO</w:t>
      </w:r>
    </w:p>
    <w:p w:rsidR="00722C9F" w:rsidRPr="005177AF" w:rsidRDefault="00D90527" w:rsidP="009712EB">
      <w:pPr>
        <w:tabs>
          <w:tab w:val="center" w:pos="5400"/>
        </w:tabs>
        <w:suppressAutoHyphens/>
        <w:jc w:val="center"/>
        <w:rPr>
          <w:rFonts w:ascii="Cambria" w:hAnsi="Cambria"/>
          <w:sz w:val="18"/>
          <w:szCs w:val="20"/>
          <w:lang w:val="es-ES_tradnl"/>
        </w:rPr>
      </w:pPr>
      <w:r w:rsidRPr="005177AF">
        <w:rPr>
          <w:rFonts w:ascii="Cambria" w:hAnsi="Cambria"/>
          <w:sz w:val="18"/>
          <w:szCs w:val="20"/>
          <w:lang w:val="es-ES_tradnl"/>
        </w:rPr>
        <w:t>JOSÉ ISABEL SALAS Y OTROS</w:t>
      </w:r>
    </w:p>
    <w:p w:rsidR="00722C9F" w:rsidRPr="005177AF" w:rsidRDefault="00D90527" w:rsidP="009712EB">
      <w:pPr>
        <w:tabs>
          <w:tab w:val="center" w:pos="5400"/>
        </w:tabs>
        <w:suppressAutoHyphens/>
        <w:jc w:val="center"/>
        <w:rPr>
          <w:rFonts w:ascii="Cambria" w:hAnsi="Cambria"/>
          <w:sz w:val="18"/>
          <w:szCs w:val="20"/>
          <w:lang w:val="es-ES_tradnl"/>
        </w:rPr>
      </w:pPr>
      <w:r w:rsidRPr="005177AF">
        <w:rPr>
          <w:rFonts w:ascii="Cambria" w:hAnsi="Cambria"/>
          <w:sz w:val="18"/>
          <w:szCs w:val="20"/>
          <w:lang w:val="es-ES_tradnl"/>
        </w:rPr>
        <w:t>ESTADOS UNIDO</w:t>
      </w:r>
      <w:r w:rsidR="00722C9F" w:rsidRPr="005177AF">
        <w:rPr>
          <w:rFonts w:ascii="Cambria" w:hAnsi="Cambria"/>
          <w:sz w:val="18"/>
          <w:szCs w:val="20"/>
          <w:lang w:val="es-ES_tradnl"/>
        </w:rPr>
        <w:t>S</w:t>
      </w:r>
      <w:r w:rsidR="005C4CA5" w:rsidRPr="005177AF">
        <w:rPr>
          <w:rStyle w:val="FootnoteReference"/>
          <w:rFonts w:ascii="Cambria" w:hAnsi="Cambria"/>
          <w:sz w:val="18"/>
          <w:szCs w:val="20"/>
          <w:lang w:val="es-ES_tradnl"/>
        </w:rPr>
        <w:footnoteReference w:id="2"/>
      </w:r>
    </w:p>
    <w:p w:rsidR="00722C9F" w:rsidRPr="005177AF" w:rsidRDefault="001A6CA9" w:rsidP="009712EB">
      <w:pPr>
        <w:tabs>
          <w:tab w:val="center" w:pos="5400"/>
        </w:tabs>
        <w:suppressAutoHyphens/>
        <w:jc w:val="center"/>
        <w:rPr>
          <w:rFonts w:ascii="Cambria" w:hAnsi="Cambria"/>
          <w:sz w:val="18"/>
          <w:szCs w:val="20"/>
          <w:lang w:val="es-ES_tradnl"/>
        </w:rPr>
      </w:pPr>
      <w:r w:rsidRPr="005177AF">
        <w:rPr>
          <w:rFonts w:ascii="Cambria" w:hAnsi="Cambria"/>
          <w:sz w:val="18"/>
          <w:szCs w:val="20"/>
          <w:lang w:val="es-ES_tradnl"/>
        </w:rPr>
        <w:t>5</w:t>
      </w:r>
      <w:r w:rsidR="00713E68" w:rsidRPr="005177AF">
        <w:rPr>
          <w:rFonts w:ascii="Cambria" w:hAnsi="Cambria"/>
          <w:sz w:val="18"/>
          <w:szCs w:val="20"/>
          <w:lang w:val="es-ES_tradnl"/>
        </w:rPr>
        <w:t xml:space="preserve"> de </w:t>
      </w:r>
      <w:r w:rsidRPr="005177AF">
        <w:rPr>
          <w:rFonts w:ascii="Cambria" w:hAnsi="Cambria"/>
          <w:sz w:val="18"/>
          <w:szCs w:val="20"/>
          <w:lang w:val="es-ES_tradnl"/>
        </w:rPr>
        <w:t xml:space="preserve">octubre de </w:t>
      </w:r>
      <w:r w:rsidR="00713E68" w:rsidRPr="005177AF">
        <w:rPr>
          <w:rFonts w:ascii="Cambria" w:hAnsi="Cambria"/>
          <w:sz w:val="18"/>
          <w:szCs w:val="20"/>
          <w:lang w:val="es-ES_tradnl"/>
        </w:rPr>
        <w:t>201</w:t>
      </w:r>
      <w:r w:rsidRPr="005177AF">
        <w:rPr>
          <w:rFonts w:ascii="Cambria" w:hAnsi="Cambria"/>
          <w:sz w:val="18"/>
          <w:szCs w:val="20"/>
          <w:lang w:val="es-ES_tradnl"/>
        </w:rPr>
        <w:t>8</w:t>
      </w:r>
    </w:p>
    <w:p w:rsidR="005177AF" w:rsidRPr="009712EB" w:rsidRDefault="005177AF" w:rsidP="009712EB">
      <w:pPr>
        <w:tabs>
          <w:tab w:val="center" w:pos="5400"/>
        </w:tabs>
        <w:suppressAutoHyphens/>
        <w:jc w:val="center"/>
        <w:rPr>
          <w:rFonts w:ascii="Cambria" w:hAnsi="Cambria"/>
          <w:sz w:val="20"/>
          <w:szCs w:val="20"/>
          <w:lang w:val="es-ES_tradnl"/>
        </w:rPr>
      </w:pPr>
    </w:p>
    <w:p w:rsidR="005937F1" w:rsidRPr="009712EB" w:rsidRDefault="005937F1" w:rsidP="009712EB">
      <w:pPr>
        <w:pStyle w:val="ListParagraph"/>
        <w:suppressAutoHyphens/>
        <w:ind w:left="1440"/>
        <w:rPr>
          <w:b/>
          <w:sz w:val="20"/>
          <w:szCs w:val="20"/>
          <w:lang w:val="es-ES_tradnl"/>
        </w:rPr>
      </w:pPr>
    </w:p>
    <w:p w:rsidR="00605F3A" w:rsidRPr="00561F99" w:rsidRDefault="00D12193" w:rsidP="005177AF">
      <w:pPr>
        <w:pStyle w:val="Heading1"/>
        <w:spacing w:before="0"/>
        <w:ind w:firstLine="0"/>
        <w:jc w:val="both"/>
        <w:rPr>
          <w:rFonts w:ascii="Cambria" w:hAnsi="Cambria"/>
          <w:color w:val="auto"/>
          <w:sz w:val="20"/>
          <w:lang w:val="es-ES_tradnl"/>
        </w:rPr>
      </w:pPr>
      <w:bookmarkStart w:id="1" w:name="_Toc525294026"/>
      <w:r w:rsidRPr="00561F99">
        <w:rPr>
          <w:rFonts w:ascii="Cambria" w:hAnsi="Cambria"/>
          <w:color w:val="auto"/>
          <w:sz w:val="20"/>
          <w:lang w:val="es-ES_tradnl"/>
        </w:rPr>
        <w:t>RESUMEN</w:t>
      </w:r>
      <w:bookmarkEnd w:id="1"/>
      <w:r w:rsidR="00361415" w:rsidRPr="00561F99">
        <w:rPr>
          <w:rFonts w:ascii="Cambria" w:hAnsi="Cambria"/>
          <w:color w:val="auto"/>
          <w:lang w:val="es-ES_tradnl"/>
        </w:rPr>
        <w:t xml:space="preserve"> </w:t>
      </w:r>
    </w:p>
    <w:p w:rsidR="00605F3A" w:rsidRPr="009712EB" w:rsidRDefault="00605F3A" w:rsidP="009712EB">
      <w:pPr>
        <w:pStyle w:val="ListParagraph"/>
        <w:suppressAutoHyphens/>
        <w:ind w:left="1440"/>
        <w:rPr>
          <w:b/>
          <w:color w:val="auto"/>
          <w:sz w:val="20"/>
          <w:szCs w:val="20"/>
          <w:lang w:val="es-ES_tradnl"/>
        </w:rPr>
      </w:pPr>
    </w:p>
    <w:p w:rsidR="009014A4" w:rsidRPr="009712EB" w:rsidRDefault="005C4CA5" w:rsidP="003B6A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9712EB">
        <w:rPr>
          <w:rFonts w:ascii="Cambria" w:hAnsi="Cambria"/>
          <w:sz w:val="20"/>
          <w:szCs w:val="20"/>
          <w:lang w:val="es-VE"/>
        </w:rPr>
        <w:t xml:space="preserve">El </w:t>
      </w:r>
      <w:r w:rsidR="00A062F9" w:rsidRPr="009712EB">
        <w:rPr>
          <w:rFonts w:ascii="Cambria" w:hAnsi="Cambria"/>
          <w:sz w:val="20"/>
          <w:szCs w:val="20"/>
          <w:lang w:val="es-VE"/>
        </w:rPr>
        <w:t>10</w:t>
      </w:r>
      <w:r w:rsidRPr="009712EB">
        <w:rPr>
          <w:rFonts w:ascii="Cambria" w:hAnsi="Cambria"/>
          <w:sz w:val="20"/>
          <w:szCs w:val="20"/>
          <w:lang w:val="es-VE"/>
        </w:rPr>
        <w:t xml:space="preserve"> de </w:t>
      </w:r>
      <w:r w:rsidR="00B40B6A" w:rsidRPr="009712EB">
        <w:rPr>
          <w:rFonts w:ascii="Cambria" w:hAnsi="Cambria"/>
          <w:sz w:val="20"/>
          <w:szCs w:val="20"/>
          <w:lang w:val="es-VE"/>
        </w:rPr>
        <w:t>mayo</w:t>
      </w:r>
      <w:r w:rsidRPr="009712EB">
        <w:rPr>
          <w:rFonts w:ascii="Cambria" w:hAnsi="Cambria"/>
          <w:sz w:val="20"/>
          <w:szCs w:val="20"/>
          <w:lang w:val="es-VE"/>
        </w:rPr>
        <w:t xml:space="preserve"> de </w:t>
      </w:r>
      <w:r w:rsidR="00B40B6A" w:rsidRPr="009712EB">
        <w:rPr>
          <w:rFonts w:ascii="Cambria" w:hAnsi="Cambria"/>
          <w:sz w:val="20"/>
          <w:szCs w:val="20"/>
          <w:lang w:val="es-VE"/>
        </w:rPr>
        <w:t>1990</w:t>
      </w:r>
      <w:r w:rsidRPr="009712EB">
        <w:rPr>
          <w:rFonts w:ascii="Cambria" w:hAnsi="Cambria"/>
          <w:sz w:val="20"/>
          <w:szCs w:val="20"/>
          <w:lang w:val="es-VE"/>
        </w:rPr>
        <w:t xml:space="preserve"> la Comisión Interamericana de Derechos Humanos (en adelante “la Comisión Interamericana”, “la Comisión” o “la CIDH”) recibi</w:t>
      </w:r>
      <w:r w:rsidR="00A062F9" w:rsidRPr="009712EB">
        <w:rPr>
          <w:rFonts w:ascii="Cambria" w:hAnsi="Cambria"/>
          <w:sz w:val="20"/>
          <w:szCs w:val="20"/>
          <w:lang w:val="es-VE"/>
        </w:rPr>
        <w:t>ó una petición presentada por el abogado José Luís Morín y la abogada Gilma Camargo en representación del Centro por los Derechos Constitucionales</w:t>
      </w:r>
      <w:r w:rsidRPr="009712EB">
        <w:rPr>
          <w:rFonts w:ascii="Cambria" w:hAnsi="Cambria"/>
          <w:sz w:val="20"/>
          <w:szCs w:val="20"/>
          <w:lang w:val="es-VE"/>
        </w:rPr>
        <w:t xml:space="preserve"> (en adelante </w:t>
      </w:r>
      <w:r w:rsidR="006C41A1">
        <w:rPr>
          <w:rFonts w:ascii="Cambria" w:hAnsi="Cambria"/>
          <w:sz w:val="20"/>
          <w:szCs w:val="20"/>
          <w:lang w:val="es-VE"/>
        </w:rPr>
        <w:t xml:space="preserve">“los peticionarios” o </w:t>
      </w:r>
      <w:r w:rsidRPr="009712EB">
        <w:rPr>
          <w:rFonts w:ascii="Cambria" w:hAnsi="Cambria"/>
          <w:sz w:val="20"/>
          <w:szCs w:val="20"/>
          <w:lang w:val="es-VE"/>
        </w:rPr>
        <w:t>“la parte peticionaria”)</w:t>
      </w:r>
      <w:r w:rsidRPr="009712EB">
        <w:rPr>
          <w:rStyle w:val="FootnoteReference"/>
          <w:rFonts w:ascii="Cambria" w:hAnsi="Cambria"/>
          <w:sz w:val="20"/>
          <w:szCs w:val="20"/>
          <w:lang w:val="es-VE"/>
        </w:rPr>
        <w:footnoteReference w:id="3"/>
      </w:r>
      <w:r w:rsidRPr="009712EB">
        <w:rPr>
          <w:rFonts w:ascii="Cambria" w:hAnsi="Cambria"/>
          <w:sz w:val="20"/>
          <w:szCs w:val="20"/>
          <w:lang w:val="es-VE"/>
        </w:rPr>
        <w:t xml:space="preserve"> en la cual se alega la responsabilidad internacional de </w:t>
      </w:r>
      <w:r w:rsidR="00A062F9" w:rsidRPr="009712EB">
        <w:rPr>
          <w:rFonts w:ascii="Cambria" w:hAnsi="Cambria"/>
          <w:sz w:val="20"/>
          <w:szCs w:val="20"/>
          <w:lang w:val="es-VE"/>
        </w:rPr>
        <w:t xml:space="preserve">Estados Unidos de América (en adelante </w:t>
      </w:r>
      <w:r w:rsidR="006C41A1">
        <w:rPr>
          <w:rFonts w:ascii="Cambria" w:hAnsi="Cambria"/>
          <w:color w:val="000000" w:themeColor="text1"/>
          <w:sz w:val="20"/>
          <w:szCs w:val="20"/>
          <w:lang w:val="es-VE"/>
        </w:rPr>
        <w:t>“</w:t>
      </w:r>
      <w:r w:rsidR="00A062F9" w:rsidRPr="009712EB">
        <w:rPr>
          <w:rFonts w:ascii="Cambria" w:hAnsi="Cambria"/>
          <w:color w:val="000000" w:themeColor="text1"/>
          <w:sz w:val="20"/>
          <w:szCs w:val="20"/>
          <w:lang w:val="es-VE"/>
        </w:rPr>
        <w:t>Estado americano”, “Estado”</w:t>
      </w:r>
      <w:r w:rsidR="004E1CB0" w:rsidRPr="009712EB">
        <w:rPr>
          <w:rFonts w:ascii="Cambria" w:hAnsi="Cambria"/>
          <w:color w:val="000000" w:themeColor="text1"/>
          <w:sz w:val="20"/>
          <w:szCs w:val="20"/>
          <w:lang w:val="es-VE"/>
        </w:rPr>
        <w:t>, “Estados Unidos”</w:t>
      </w:r>
      <w:r w:rsidR="00A062F9" w:rsidRPr="009712EB">
        <w:rPr>
          <w:rFonts w:ascii="Cambria" w:hAnsi="Cambria"/>
          <w:color w:val="000000" w:themeColor="text1"/>
          <w:sz w:val="20"/>
          <w:szCs w:val="20"/>
          <w:lang w:val="es-VE"/>
        </w:rPr>
        <w:t xml:space="preserve"> o “EE.UU</w:t>
      </w:r>
      <w:r w:rsidRPr="009712EB">
        <w:rPr>
          <w:rFonts w:ascii="Cambria" w:hAnsi="Cambria"/>
          <w:color w:val="000000" w:themeColor="text1"/>
          <w:sz w:val="20"/>
          <w:szCs w:val="20"/>
          <w:lang w:val="es-VE"/>
        </w:rPr>
        <w:t xml:space="preserve">”) en </w:t>
      </w:r>
      <w:r w:rsidRPr="009712EB">
        <w:rPr>
          <w:rFonts w:ascii="Cambria" w:hAnsi="Cambria"/>
          <w:sz w:val="20"/>
          <w:szCs w:val="20"/>
          <w:lang w:val="es-VE"/>
        </w:rPr>
        <w:t>perjuicio de</w:t>
      </w:r>
      <w:r w:rsidR="00A062F9" w:rsidRPr="009712EB">
        <w:rPr>
          <w:rFonts w:ascii="Cambria" w:hAnsi="Cambria"/>
          <w:sz w:val="20"/>
          <w:szCs w:val="20"/>
          <w:lang w:val="es-VE"/>
        </w:rPr>
        <w:t xml:space="preserve"> las</w:t>
      </w:r>
      <w:r w:rsidR="006C41A1">
        <w:rPr>
          <w:rFonts w:ascii="Cambria" w:hAnsi="Cambria"/>
          <w:sz w:val="20"/>
          <w:szCs w:val="20"/>
          <w:lang w:val="es-VE"/>
        </w:rPr>
        <w:t xml:space="preserve"> personas identificadas como</w:t>
      </w:r>
      <w:r w:rsidR="00A062F9" w:rsidRPr="009712EB">
        <w:rPr>
          <w:rFonts w:ascii="Cambria" w:hAnsi="Cambria"/>
          <w:sz w:val="20"/>
          <w:szCs w:val="20"/>
          <w:lang w:val="es-VE"/>
        </w:rPr>
        <w:t xml:space="preserve"> </w:t>
      </w:r>
      <w:r w:rsidR="005A5FB4" w:rsidRPr="009712EB">
        <w:rPr>
          <w:rFonts w:ascii="Cambria" w:hAnsi="Cambria"/>
          <w:sz w:val="20"/>
          <w:szCs w:val="20"/>
          <w:lang w:val="es-VE"/>
        </w:rPr>
        <w:t xml:space="preserve">presuntas </w:t>
      </w:r>
      <w:r w:rsidR="00A062F9" w:rsidRPr="009712EB">
        <w:rPr>
          <w:rFonts w:ascii="Cambria" w:hAnsi="Cambria"/>
          <w:sz w:val="20"/>
          <w:szCs w:val="20"/>
          <w:lang w:val="es-VE"/>
        </w:rPr>
        <w:t xml:space="preserve">víctimas </w:t>
      </w:r>
      <w:r w:rsidR="006C41A1">
        <w:rPr>
          <w:rFonts w:ascii="Cambria" w:hAnsi="Cambria"/>
          <w:sz w:val="20"/>
          <w:szCs w:val="20"/>
          <w:lang w:val="es-VE"/>
        </w:rPr>
        <w:t xml:space="preserve">de </w:t>
      </w:r>
      <w:r w:rsidR="004E1CB0" w:rsidRPr="009712EB">
        <w:rPr>
          <w:rFonts w:ascii="Cambria" w:hAnsi="Cambria"/>
          <w:sz w:val="20"/>
          <w:szCs w:val="20"/>
          <w:lang w:val="es-VE"/>
        </w:rPr>
        <w:t xml:space="preserve">la invasión militar iniciada </w:t>
      </w:r>
      <w:r w:rsidR="006C41A1">
        <w:rPr>
          <w:rFonts w:ascii="Cambria" w:hAnsi="Cambria"/>
          <w:sz w:val="20"/>
          <w:szCs w:val="20"/>
          <w:lang w:val="es-VE"/>
        </w:rPr>
        <w:t xml:space="preserve">por los Estados Unidos </w:t>
      </w:r>
      <w:r w:rsidR="004E1CB0" w:rsidRPr="009712EB">
        <w:rPr>
          <w:rFonts w:ascii="Cambria" w:hAnsi="Cambria"/>
          <w:sz w:val="20"/>
          <w:szCs w:val="20"/>
          <w:lang w:val="es-VE"/>
        </w:rPr>
        <w:t>el 20 de diciembre de 1989 en Panamá</w:t>
      </w:r>
      <w:r w:rsidRPr="009712EB">
        <w:rPr>
          <w:rFonts w:ascii="Cambria" w:hAnsi="Cambria"/>
          <w:sz w:val="20"/>
          <w:szCs w:val="20"/>
          <w:lang w:val="es-VE"/>
        </w:rPr>
        <w:t xml:space="preserve">. </w:t>
      </w:r>
    </w:p>
    <w:p w:rsidR="00605F3A" w:rsidRPr="009712EB" w:rsidRDefault="00605F3A" w:rsidP="009712E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rsidR="009014A4" w:rsidRPr="009712EB" w:rsidRDefault="009014A4" w:rsidP="000419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themeColor="text1"/>
          <w:sz w:val="20"/>
          <w:szCs w:val="20"/>
          <w:lang w:val="es-VE"/>
        </w:rPr>
      </w:pPr>
      <w:r w:rsidRPr="009712EB">
        <w:rPr>
          <w:rFonts w:ascii="Cambria" w:hAnsi="Cambria"/>
          <w:sz w:val="20"/>
          <w:szCs w:val="20"/>
          <w:lang w:val="es-VE"/>
        </w:rPr>
        <w:t>L</w:t>
      </w:r>
      <w:r w:rsidR="0004197D">
        <w:rPr>
          <w:rFonts w:ascii="Cambria" w:hAnsi="Cambria"/>
          <w:sz w:val="20"/>
          <w:szCs w:val="20"/>
          <w:lang w:val="es-ES_tradnl"/>
        </w:rPr>
        <w:t>a Comisión aprobó el I</w:t>
      </w:r>
      <w:r w:rsidRPr="009712EB">
        <w:rPr>
          <w:rFonts w:ascii="Cambria" w:hAnsi="Cambria"/>
          <w:sz w:val="20"/>
          <w:szCs w:val="20"/>
          <w:lang w:val="es-ES_tradnl"/>
        </w:rPr>
        <w:t xml:space="preserve">nforme de </w:t>
      </w:r>
      <w:r w:rsidR="0004197D">
        <w:rPr>
          <w:rFonts w:ascii="Cambria" w:hAnsi="Cambria"/>
          <w:sz w:val="20"/>
          <w:szCs w:val="20"/>
          <w:lang w:val="es-ES_tradnl"/>
        </w:rPr>
        <w:t>A</w:t>
      </w:r>
      <w:r w:rsidRPr="009712EB">
        <w:rPr>
          <w:rFonts w:ascii="Cambria" w:hAnsi="Cambria"/>
          <w:sz w:val="20"/>
          <w:szCs w:val="20"/>
          <w:lang w:val="es-ES_tradnl"/>
        </w:rPr>
        <w:t xml:space="preserve">dmisibilidad No. </w:t>
      </w:r>
      <w:r w:rsidR="00A062F9" w:rsidRPr="009712EB">
        <w:rPr>
          <w:rFonts w:ascii="Cambria" w:hAnsi="Cambria"/>
          <w:sz w:val="20"/>
          <w:szCs w:val="20"/>
          <w:lang w:val="es-ES_tradnl"/>
        </w:rPr>
        <w:t>31</w:t>
      </w:r>
      <w:r w:rsidRPr="009712EB">
        <w:rPr>
          <w:rFonts w:ascii="Cambria" w:hAnsi="Cambria"/>
          <w:sz w:val="20"/>
          <w:szCs w:val="20"/>
          <w:lang w:val="es-ES_tradnl"/>
        </w:rPr>
        <w:t>/</w:t>
      </w:r>
      <w:r w:rsidR="00A062F9" w:rsidRPr="009712EB">
        <w:rPr>
          <w:rFonts w:ascii="Cambria" w:hAnsi="Cambria"/>
          <w:sz w:val="20"/>
          <w:szCs w:val="20"/>
          <w:lang w:val="es-ES_tradnl"/>
        </w:rPr>
        <w:t>93</w:t>
      </w:r>
      <w:r w:rsidRPr="009712EB">
        <w:rPr>
          <w:rFonts w:ascii="Cambria" w:hAnsi="Cambria"/>
          <w:sz w:val="20"/>
          <w:szCs w:val="20"/>
          <w:lang w:val="es-ES_tradnl"/>
        </w:rPr>
        <w:t xml:space="preserve"> el </w:t>
      </w:r>
      <w:r w:rsidR="00A062F9" w:rsidRPr="009712EB">
        <w:rPr>
          <w:rFonts w:ascii="Cambria" w:hAnsi="Cambria"/>
          <w:sz w:val="20"/>
          <w:szCs w:val="20"/>
          <w:lang w:val="es-ES_tradnl"/>
        </w:rPr>
        <w:t>14</w:t>
      </w:r>
      <w:r w:rsidRPr="009712EB">
        <w:rPr>
          <w:rFonts w:ascii="Cambria" w:hAnsi="Cambria"/>
          <w:sz w:val="20"/>
          <w:szCs w:val="20"/>
          <w:lang w:val="es-ES_tradnl"/>
        </w:rPr>
        <w:t xml:space="preserve"> de </w:t>
      </w:r>
      <w:r w:rsidR="00A062F9" w:rsidRPr="009712EB">
        <w:rPr>
          <w:rFonts w:ascii="Cambria" w:hAnsi="Cambria"/>
          <w:sz w:val="20"/>
          <w:szCs w:val="20"/>
          <w:lang w:val="es-ES_tradnl"/>
        </w:rPr>
        <w:t xml:space="preserve">octubre </w:t>
      </w:r>
      <w:r w:rsidRPr="009712EB">
        <w:rPr>
          <w:rFonts w:ascii="Cambria" w:hAnsi="Cambria"/>
          <w:sz w:val="20"/>
          <w:szCs w:val="20"/>
          <w:lang w:val="es-ES_tradnl"/>
        </w:rPr>
        <w:t xml:space="preserve">de </w:t>
      </w:r>
      <w:r w:rsidR="00A062F9" w:rsidRPr="009712EB">
        <w:rPr>
          <w:rFonts w:ascii="Cambria" w:hAnsi="Cambria"/>
          <w:sz w:val="20"/>
          <w:szCs w:val="20"/>
          <w:lang w:val="es-ES_tradnl"/>
        </w:rPr>
        <w:t>1993</w:t>
      </w:r>
      <w:r w:rsidRPr="009712EB">
        <w:rPr>
          <w:rStyle w:val="FootnoteReference"/>
          <w:rFonts w:ascii="Cambria" w:hAnsi="Cambria"/>
          <w:sz w:val="20"/>
          <w:szCs w:val="20"/>
          <w:lang w:val="es-ES_tradnl"/>
        </w:rPr>
        <w:footnoteReference w:id="4"/>
      </w:r>
      <w:r w:rsidR="00AF7988" w:rsidRPr="009712EB">
        <w:rPr>
          <w:rFonts w:ascii="Cambria" w:hAnsi="Cambria"/>
          <w:sz w:val="20"/>
          <w:szCs w:val="20"/>
          <w:lang w:val="es-ES_tradnl"/>
        </w:rPr>
        <w:t xml:space="preserve">. </w:t>
      </w:r>
      <w:r w:rsidRPr="009712EB">
        <w:rPr>
          <w:rFonts w:ascii="Cambria" w:hAnsi="Cambria"/>
          <w:sz w:val="20"/>
          <w:szCs w:val="20"/>
          <w:lang w:val="es-ES_tradnl"/>
        </w:rPr>
        <w:t xml:space="preserve">El </w:t>
      </w:r>
      <w:r w:rsidR="00A062F9" w:rsidRPr="009712EB">
        <w:rPr>
          <w:rFonts w:ascii="Cambria" w:hAnsi="Cambria"/>
          <w:sz w:val="20"/>
          <w:szCs w:val="20"/>
          <w:lang w:val="es-ES_tradnl"/>
        </w:rPr>
        <w:t xml:space="preserve">12 </w:t>
      </w:r>
      <w:r w:rsidRPr="009712EB">
        <w:rPr>
          <w:rFonts w:ascii="Cambria" w:hAnsi="Cambria"/>
          <w:sz w:val="20"/>
          <w:szCs w:val="20"/>
          <w:lang w:val="es-ES_tradnl"/>
        </w:rPr>
        <w:t xml:space="preserve">de </w:t>
      </w:r>
      <w:r w:rsidR="00A062F9" w:rsidRPr="009712EB">
        <w:rPr>
          <w:rFonts w:ascii="Cambria" w:hAnsi="Cambria"/>
          <w:sz w:val="20"/>
          <w:szCs w:val="20"/>
          <w:lang w:val="es-ES_tradnl"/>
        </w:rPr>
        <w:t>noviembre de 1993</w:t>
      </w:r>
      <w:r w:rsidRPr="009712EB">
        <w:rPr>
          <w:rFonts w:ascii="Cambria" w:hAnsi="Cambria"/>
          <w:sz w:val="20"/>
          <w:szCs w:val="20"/>
          <w:lang w:val="es-ES_tradnl"/>
        </w:rPr>
        <w:t xml:space="preserve"> la Comisión notificó dicho informe a las partes y se puso a su disposición a fin de llegar a una solución amistosa</w:t>
      </w:r>
      <w:r w:rsidRPr="009712EB">
        <w:rPr>
          <w:rStyle w:val="FootnoteReference"/>
          <w:rFonts w:ascii="Cambria" w:hAnsi="Cambria"/>
          <w:sz w:val="20"/>
          <w:szCs w:val="20"/>
          <w:lang w:val="es-ES_tradnl"/>
        </w:rPr>
        <w:footnoteReference w:id="5"/>
      </w:r>
      <w:r w:rsidRPr="009712EB">
        <w:rPr>
          <w:rFonts w:ascii="Cambria" w:hAnsi="Cambria"/>
          <w:sz w:val="20"/>
          <w:szCs w:val="20"/>
          <w:lang w:val="es-ES_tradnl"/>
        </w:rPr>
        <w:t>. Las partes contaron con los plazos reglamentarios para presentar sus observaciones adicionales sobre el fondo</w:t>
      </w:r>
      <w:r w:rsidR="00115F12" w:rsidRPr="009712EB">
        <w:rPr>
          <w:rStyle w:val="FootnoteReference"/>
          <w:rFonts w:ascii="Cambria" w:hAnsi="Cambria"/>
          <w:sz w:val="20"/>
          <w:szCs w:val="20"/>
          <w:lang w:val="es-ES_tradnl"/>
        </w:rPr>
        <w:footnoteReference w:id="6"/>
      </w:r>
      <w:r w:rsidRPr="009712EB">
        <w:rPr>
          <w:rFonts w:ascii="Cambria" w:hAnsi="Cambria"/>
          <w:sz w:val="20"/>
          <w:szCs w:val="20"/>
          <w:lang w:val="es-ES_tradnl"/>
        </w:rPr>
        <w:t>.</w:t>
      </w:r>
      <w:r w:rsidR="008C3098" w:rsidRPr="009712EB">
        <w:rPr>
          <w:rFonts w:ascii="Cambria" w:hAnsi="Cambria"/>
          <w:sz w:val="20"/>
          <w:szCs w:val="20"/>
          <w:lang w:val="es-ES_tradnl"/>
        </w:rPr>
        <w:t xml:space="preserve"> El</w:t>
      </w:r>
      <w:r w:rsidR="004E1CB0" w:rsidRPr="009712EB">
        <w:rPr>
          <w:rFonts w:ascii="Cambria" w:hAnsi="Cambria"/>
          <w:sz w:val="20"/>
          <w:szCs w:val="20"/>
          <w:lang w:val="es-ES_tradnl"/>
        </w:rPr>
        <w:t xml:space="preserve"> 3 de febrero y 6 de septiembre de 1995, y el 9 de diciembre de 2016</w:t>
      </w:r>
      <w:r w:rsidR="008C3098" w:rsidRPr="009712EB">
        <w:rPr>
          <w:rFonts w:ascii="Cambria" w:hAnsi="Cambria"/>
          <w:sz w:val="20"/>
          <w:szCs w:val="20"/>
          <w:lang w:val="es-ES_tradnl"/>
        </w:rPr>
        <w:t xml:space="preserve"> la CIDH </w:t>
      </w:r>
      <w:r w:rsidR="004E1CB0" w:rsidRPr="009712EB">
        <w:rPr>
          <w:rFonts w:ascii="Cambria" w:hAnsi="Cambria"/>
          <w:sz w:val="20"/>
          <w:szCs w:val="20"/>
          <w:lang w:val="es-ES_tradnl"/>
        </w:rPr>
        <w:t xml:space="preserve">celebró </w:t>
      </w:r>
      <w:r w:rsidR="008C3098" w:rsidRPr="009712EB">
        <w:rPr>
          <w:rFonts w:ascii="Cambria" w:hAnsi="Cambria"/>
          <w:sz w:val="20"/>
          <w:szCs w:val="20"/>
          <w:lang w:val="es-ES_tradnl"/>
        </w:rPr>
        <w:t>audiencia</w:t>
      </w:r>
      <w:r w:rsidR="004E1CB0" w:rsidRPr="009712EB">
        <w:rPr>
          <w:rFonts w:ascii="Cambria" w:hAnsi="Cambria"/>
          <w:sz w:val="20"/>
          <w:szCs w:val="20"/>
          <w:lang w:val="es-ES_tradnl"/>
        </w:rPr>
        <w:t>s</w:t>
      </w:r>
      <w:r w:rsidR="008C3098" w:rsidRPr="009712EB">
        <w:rPr>
          <w:rFonts w:ascii="Cambria" w:hAnsi="Cambria"/>
          <w:sz w:val="20"/>
          <w:szCs w:val="20"/>
          <w:lang w:val="es-ES_tradnl"/>
        </w:rPr>
        <w:t xml:space="preserve"> sobre el fondo del caso.</w:t>
      </w:r>
      <w:r w:rsidR="0004197D">
        <w:rPr>
          <w:rFonts w:ascii="Cambria" w:hAnsi="Cambria"/>
          <w:sz w:val="20"/>
          <w:szCs w:val="20"/>
          <w:lang w:val="es-ES_tradnl"/>
        </w:rPr>
        <w:t xml:space="preserve"> </w:t>
      </w:r>
      <w:r w:rsidR="0004197D" w:rsidRPr="0004197D">
        <w:rPr>
          <w:rFonts w:ascii="Cambria" w:hAnsi="Cambria"/>
          <w:sz w:val="20"/>
          <w:szCs w:val="20"/>
          <w:lang w:val="es-ES_tradnl"/>
        </w:rPr>
        <w:t xml:space="preserve">Dada la complejidad de este caso, desde la última audiencia, la Comisión </w:t>
      </w:r>
      <w:r w:rsidR="0004197D">
        <w:rPr>
          <w:rFonts w:ascii="Cambria" w:hAnsi="Cambria"/>
          <w:sz w:val="20"/>
          <w:szCs w:val="20"/>
          <w:lang w:val="es-ES_tradnl"/>
        </w:rPr>
        <w:t xml:space="preserve">ha dedicado especial atención al análisis del </w:t>
      </w:r>
      <w:r w:rsidR="0004197D" w:rsidRPr="0004197D">
        <w:rPr>
          <w:rFonts w:ascii="Cambria" w:hAnsi="Cambria"/>
          <w:sz w:val="20"/>
          <w:szCs w:val="20"/>
          <w:lang w:val="es-ES_tradnl"/>
        </w:rPr>
        <w:t xml:space="preserve">fondo y </w:t>
      </w:r>
      <w:r w:rsidR="0004197D">
        <w:rPr>
          <w:rFonts w:ascii="Cambria" w:hAnsi="Cambria"/>
          <w:sz w:val="20"/>
          <w:szCs w:val="20"/>
          <w:lang w:val="es-ES_tradnl"/>
        </w:rPr>
        <w:t xml:space="preserve">a </w:t>
      </w:r>
      <w:r w:rsidR="0004197D" w:rsidRPr="0004197D">
        <w:rPr>
          <w:rFonts w:ascii="Cambria" w:hAnsi="Cambria"/>
          <w:sz w:val="20"/>
          <w:szCs w:val="20"/>
          <w:lang w:val="es-ES_tradnl"/>
        </w:rPr>
        <w:t>llevar el asunto a una conclusión.</w:t>
      </w:r>
      <w:r w:rsidRPr="009712EB">
        <w:rPr>
          <w:rFonts w:ascii="Cambria" w:hAnsi="Cambria"/>
          <w:sz w:val="20"/>
          <w:szCs w:val="20"/>
          <w:lang w:val="es-ES_tradnl"/>
        </w:rPr>
        <w:t xml:space="preserve"> Toda la información recibida </w:t>
      </w:r>
      <w:r w:rsidR="0004197D">
        <w:rPr>
          <w:rFonts w:ascii="Cambria" w:hAnsi="Cambria"/>
          <w:sz w:val="20"/>
          <w:szCs w:val="20"/>
          <w:lang w:val="es-ES_tradnl"/>
        </w:rPr>
        <w:t xml:space="preserve">durante el trámite del caso </w:t>
      </w:r>
      <w:r w:rsidRPr="009712EB">
        <w:rPr>
          <w:rFonts w:ascii="Cambria" w:hAnsi="Cambria"/>
          <w:sz w:val="20"/>
          <w:szCs w:val="20"/>
          <w:lang w:val="es-ES_tradnl"/>
        </w:rPr>
        <w:t>fue debidamente trasladada entre las partes</w:t>
      </w:r>
      <w:r w:rsidRPr="009712EB">
        <w:rPr>
          <w:rStyle w:val="FootnoteReference"/>
          <w:rFonts w:ascii="Cambria" w:hAnsi="Cambria"/>
          <w:sz w:val="20"/>
          <w:szCs w:val="20"/>
          <w:lang w:val="es-ES_tradnl"/>
        </w:rPr>
        <w:footnoteReference w:id="7"/>
      </w:r>
      <w:r w:rsidRPr="009712EB">
        <w:rPr>
          <w:rFonts w:ascii="Cambria" w:hAnsi="Cambria"/>
          <w:sz w:val="20"/>
          <w:szCs w:val="20"/>
          <w:lang w:val="es-ES_tradnl"/>
        </w:rPr>
        <w:t xml:space="preserve">. </w:t>
      </w:r>
    </w:p>
    <w:p w:rsidR="00605F3A" w:rsidRPr="009712EB" w:rsidRDefault="00605F3A" w:rsidP="009712E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143016" w:rsidRPr="00E41501" w:rsidRDefault="002D12AA" w:rsidP="003B6A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Los peticionarios alegaron</w:t>
      </w:r>
      <w:r w:rsidR="00143016" w:rsidRPr="009712EB">
        <w:rPr>
          <w:rFonts w:ascii="Cambria" w:hAnsi="Cambria"/>
          <w:color w:val="000000" w:themeColor="text1"/>
          <w:sz w:val="20"/>
          <w:szCs w:val="20"/>
          <w:lang w:val="es-VE"/>
        </w:rPr>
        <w:t xml:space="preserve"> la</w:t>
      </w:r>
      <w:r w:rsidR="00143016" w:rsidRPr="009712EB">
        <w:rPr>
          <w:rFonts w:ascii="Cambria" w:hAnsi="Cambria"/>
          <w:sz w:val="20"/>
          <w:szCs w:val="20"/>
          <w:lang w:val="es-CO"/>
        </w:rPr>
        <w:t xml:space="preserve"> violación de principios fundamentales establecidos en la Carta de la Organización de Estados Americanos, en la Carta de la Organización de las Naciones Unidas</w:t>
      </w:r>
      <w:r w:rsidR="00143016" w:rsidRPr="009712EB">
        <w:rPr>
          <w:rFonts w:ascii="Cambria" w:hAnsi="Cambria"/>
          <w:sz w:val="20"/>
          <w:szCs w:val="20"/>
          <w:lang w:val="es-VE"/>
        </w:rPr>
        <w:t xml:space="preserve"> así como</w:t>
      </w:r>
      <w:r w:rsidR="00143016" w:rsidRPr="009712EB">
        <w:rPr>
          <w:rFonts w:ascii="Cambria" w:hAnsi="Cambria"/>
          <w:sz w:val="20"/>
          <w:szCs w:val="20"/>
          <w:lang w:val="es-CO"/>
        </w:rPr>
        <w:t xml:space="preserve"> derechos humanos</w:t>
      </w:r>
      <w:r>
        <w:rPr>
          <w:rFonts w:ascii="Cambria" w:hAnsi="Cambria"/>
          <w:sz w:val="20"/>
          <w:szCs w:val="20"/>
          <w:lang w:val="es-CO"/>
        </w:rPr>
        <w:t xml:space="preserve"> fundamentales</w:t>
      </w:r>
      <w:r w:rsidR="00143016" w:rsidRPr="009712EB">
        <w:rPr>
          <w:rFonts w:ascii="Cambria" w:hAnsi="Cambria"/>
          <w:sz w:val="20"/>
          <w:szCs w:val="20"/>
          <w:lang w:val="es-CO"/>
        </w:rPr>
        <w:t xml:space="preserve"> establecidos en la Declaración Americana de los Derechos y Deberes del Hombre, y en la Declaración Universal de Derechos Humanos. </w:t>
      </w:r>
      <w:r w:rsidR="002A5764" w:rsidRPr="009712EB">
        <w:rPr>
          <w:rFonts w:ascii="Cambria" w:hAnsi="Cambria"/>
          <w:sz w:val="20"/>
          <w:szCs w:val="20"/>
          <w:lang w:val="es-CO"/>
        </w:rPr>
        <w:t>En particular</w:t>
      </w:r>
      <w:r w:rsidR="00143016" w:rsidRPr="009712EB">
        <w:rPr>
          <w:rFonts w:ascii="Cambria" w:hAnsi="Cambria"/>
          <w:sz w:val="20"/>
          <w:szCs w:val="20"/>
          <w:lang w:val="es-CO"/>
        </w:rPr>
        <w:t xml:space="preserve"> </w:t>
      </w:r>
      <w:r>
        <w:rPr>
          <w:rFonts w:ascii="Cambria" w:hAnsi="Cambria"/>
          <w:sz w:val="20"/>
          <w:szCs w:val="20"/>
          <w:lang w:val="es-CO"/>
        </w:rPr>
        <w:t>los peticionarios argumentaron</w:t>
      </w:r>
      <w:r w:rsidR="00143016" w:rsidRPr="009712EB">
        <w:rPr>
          <w:rFonts w:ascii="Cambria" w:hAnsi="Cambria"/>
          <w:sz w:val="20"/>
          <w:szCs w:val="20"/>
          <w:lang w:val="es-CO"/>
        </w:rPr>
        <w:t xml:space="preserve"> que tanto durante la invasión como en la ocupación militar, el Estado violó principios esenciales del derecho internacional humanitario consuetudinario.</w:t>
      </w:r>
      <w:r w:rsidR="00143016" w:rsidRPr="009712EB">
        <w:rPr>
          <w:rFonts w:ascii="Cambria" w:hAnsi="Cambria"/>
          <w:color w:val="000000" w:themeColor="text1"/>
          <w:sz w:val="20"/>
          <w:szCs w:val="20"/>
          <w:lang w:val="es-VE"/>
        </w:rPr>
        <w:t xml:space="preserve"> La parte peticionaria</w:t>
      </w:r>
      <w:r w:rsidR="00E14A18">
        <w:rPr>
          <w:rFonts w:ascii="Cambria" w:hAnsi="Cambria"/>
          <w:color w:val="000000" w:themeColor="text1"/>
          <w:sz w:val="20"/>
          <w:szCs w:val="20"/>
          <w:lang w:val="es-VE"/>
        </w:rPr>
        <w:t xml:space="preserve"> </w:t>
      </w:r>
      <w:r w:rsidR="00420019">
        <w:rPr>
          <w:rFonts w:ascii="Cambria" w:hAnsi="Cambria"/>
          <w:color w:val="000000" w:themeColor="text1"/>
          <w:sz w:val="20"/>
          <w:szCs w:val="20"/>
          <w:lang w:val="es-VE"/>
        </w:rPr>
        <w:t xml:space="preserve">afirmó </w:t>
      </w:r>
      <w:r w:rsidR="00143016" w:rsidRPr="009712EB">
        <w:rPr>
          <w:rFonts w:ascii="Cambria" w:hAnsi="Cambria"/>
          <w:color w:val="000000" w:themeColor="text1"/>
          <w:sz w:val="20"/>
          <w:szCs w:val="20"/>
          <w:lang w:val="es-VE"/>
        </w:rPr>
        <w:t>la responsabilidad internacional del Estado en</w:t>
      </w:r>
      <w:r w:rsidR="002A5764" w:rsidRPr="009712EB">
        <w:rPr>
          <w:rFonts w:ascii="Cambria" w:hAnsi="Cambria"/>
          <w:color w:val="000000" w:themeColor="text1"/>
          <w:sz w:val="20"/>
          <w:szCs w:val="20"/>
          <w:lang w:val="es-VE"/>
        </w:rPr>
        <w:t xml:space="preserve"> cuanto</w:t>
      </w:r>
      <w:r w:rsidR="00143016" w:rsidRPr="009712EB">
        <w:rPr>
          <w:rFonts w:ascii="Cambria" w:hAnsi="Cambria"/>
          <w:color w:val="000000" w:themeColor="text1"/>
          <w:sz w:val="20"/>
          <w:szCs w:val="20"/>
          <w:lang w:val="es-VE"/>
        </w:rPr>
        <w:t xml:space="preserve"> a sus acciones y</w:t>
      </w:r>
      <w:r w:rsidR="002A5764" w:rsidRPr="009712EB">
        <w:rPr>
          <w:rFonts w:ascii="Cambria" w:hAnsi="Cambria"/>
          <w:color w:val="000000" w:themeColor="text1"/>
          <w:sz w:val="20"/>
          <w:szCs w:val="20"/>
          <w:lang w:val="es-VE"/>
        </w:rPr>
        <w:t xml:space="preserve"> omisiones durante la invasión por causar afectaciones a la vida, libertad e integridad de las personas, </w:t>
      </w:r>
      <w:r w:rsidR="00420019">
        <w:rPr>
          <w:rFonts w:ascii="Cambria" w:hAnsi="Cambria"/>
          <w:color w:val="000000" w:themeColor="text1"/>
          <w:sz w:val="20"/>
          <w:szCs w:val="20"/>
          <w:lang w:val="es-VE"/>
        </w:rPr>
        <w:t xml:space="preserve"> así como por </w:t>
      </w:r>
      <w:r w:rsidR="002A5764" w:rsidRPr="00E41501">
        <w:rPr>
          <w:rFonts w:ascii="Cambria" w:hAnsi="Cambria"/>
          <w:color w:val="000000" w:themeColor="text1"/>
          <w:sz w:val="20"/>
          <w:szCs w:val="20"/>
          <w:lang w:val="es-VE"/>
        </w:rPr>
        <w:t xml:space="preserve">vulnerar </w:t>
      </w:r>
      <w:r w:rsidR="009B57E3" w:rsidRPr="00E41501">
        <w:rPr>
          <w:rFonts w:ascii="Cambria" w:hAnsi="Cambria"/>
          <w:color w:val="000000" w:themeColor="text1"/>
          <w:sz w:val="20"/>
          <w:szCs w:val="20"/>
          <w:lang w:val="es-VE"/>
        </w:rPr>
        <w:t xml:space="preserve">el derecho de libertad de investigación, opinión, expresión y difusión, el derecho a la constitución y a la protección de la familia, </w:t>
      </w:r>
      <w:r w:rsidR="002A5764" w:rsidRPr="00E41501">
        <w:rPr>
          <w:rFonts w:ascii="Cambria" w:hAnsi="Cambria"/>
          <w:color w:val="000000" w:themeColor="text1"/>
          <w:sz w:val="20"/>
          <w:szCs w:val="20"/>
          <w:lang w:val="es-VE"/>
        </w:rPr>
        <w:t xml:space="preserve">el derecho de protección a la maternidad y la infancia, </w:t>
      </w:r>
      <w:r w:rsidR="009B57E3" w:rsidRPr="00E41501">
        <w:rPr>
          <w:rFonts w:ascii="Cambria" w:hAnsi="Cambria"/>
          <w:color w:val="000000" w:themeColor="text1"/>
          <w:sz w:val="20"/>
          <w:szCs w:val="20"/>
          <w:lang w:val="es-VE"/>
        </w:rPr>
        <w:t xml:space="preserve">el derecho de residencia y tránsito, </w:t>
      </w:r>
      <w:r w:rsidR="002A5764" w:rsidRPr="00E41501">
        <w:rPr>
          <w:rFonts w:ascii="Cambria" w:hAnsi="Cambria"/>
          <w:color w:val="000000" w:themeColor="text1"/>
          <w:sz w:val="20"/>
          <w:szCs w:val="20"/>
          <w:lang w:val="es-VE"/>
        </w:rPr>
        <w:t>la inviolabilidad del domicilio, la preservación de la salud y bienestar,</w:t>
      </w:r>
      <w:r w:rsidR="009B57E3" w:rsidRPr="00E41501">
        <w:rPr>
          <w:rFonts w:ascii="Cambria" w:hAnsi="Cambria"/>
          <w:color w:val="000000" w:themeColor="text1"/>
          <w:sz w:val="20"/>
          <w:szCs w:val="20"/>
          <w:lang w:val="es-VE"/>
        </w:rPr>
        <w:t xml:space="preserve"> el derecho a la educación,</w:t>
      </w:r>
      <w:r w:rsidR="002A5764" w:rsidRPr="00E41501">
        <w:rPr>
          <w:rFonts w:ascii="Cambria" w:hAnsi="Cambria"/>
          <w:color w:val="000000" w:themeColor="text1"/>
          <w:sz w:val="20"/>
          <w:szCs w:val="20"/>
          <w:lang w:val="es-VE"/>
        </w:rPr>
        <w:t xml:space="preserve"> </w:t>
      </w:r>
      <w:r w:rsidR="00307EA2" w:rsidRPr="00E41501">
        <w:rPr>
          <w:rFonts w:ascii="Cambria" w:hAnsi="Cambria"/>
          <w:color w:val="000000" w:themeColor="text1"/>
          <w:sz w:val="20"/>
          <w:szCs w:val="20"/>
          <w:lang w:val="es-VE"/>
        </w:rPr>
        <w:t xml:space="preserve">el derecho a los beneficios de la cultura, el derecho al trabajo, </w:t>
      </w:r>
      <w:r w:rsidR="009B57E3" w:rsidRPr="00E41501">
        <w:rPr>
          <w:rFonts w:ascii="Cambria" w:hAnsi="Cambria"/>
          <w:color w:val="000000" w:themeColor="text1"/>
          <w:sz w:val="20"/>
          <w:szCs w:val="20"/>
          <w:lang w:val="es-VE"/>
        </w:rPr>
        <w:t xml:space="preserve">derecho de sufragio y de participación en el gobierno, derecho de reunión, derecho de asociación, </w:t>
      </w:r>
      <w:r w:rsidR="00307EA2" w:rsidRPr="00E41501">
        <w:rPr>
          <w:rFonts w:ascii="Cambria" w:hAnsi="Cambria"/>
          <w:color w:val="000000" w:themeColor="text1"/>
          <w:sz w:val="20"/>
          <w:szCs w:val="20"/>
          <w:lang w:val="es-VE"/>
        </w:rPr>
        <w:t>el derecho a la propiedad</w:t>
      </w:r>
      <w:r w:rsidR="009B57E3" w:rsidRPr="00E41501">
        <w:rPr>
          <w:rFonts w:ascii="Cambria" w:hAnsi="Cambria"/>
          <w:color w:val="000000" w:themeColor="text1"/>
          <w:sz w:val="20"/>
          <w:szCs w:val="20"/>
          <w:lang w:val="es-VE"/>
        </w:rPr>
        <w:t>, y el derecho de asilo.</w:t>
      </w:r>
    </w:p>
    <w:p w:rsidR="00605F3A" w:rsidRPr="009712EB" w:rsidRDefault="00605F3A" w:rsidP="009712EB">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color w:val="000000" w:themeColor="text1"/>
          <w:sz w:val="20"/>
          <w:szCs w:val="20"/>
          <w:lang w:val="es-VE"/>
        </w:rPr>
      </w:pPr>
    </w:p>
    <w:p w:rsidR="00605F3A" w:rsidRPr="009712EB" w:rsidRDefault="005C4CA5" w:rsidP="003B6A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color w:val="000000" w:themeColor="text1"/>
          <w:sz w:val="20"/>
          <w:szCs w:val="20"/>
          <w:lang w:val="es-VE"/>
        </w:rPr>
      </w:pPr>
      <w:r w:rsidRPr="009712EB">
        <w:rPr>
          <w:rFonts w:ascii="Cambria" w:hAnsi="Cambria"/>
          <w:color w:val="000000" w:themeColor="text1"/>
          <w:sz w:val="20"/>
          <w:szCs w:val="20"/>
          <w:lang w:val="es-VE"/>
        </w:rPr>
        <w:t xml:space="preserve">El Estado alegó </w:t>
      </w:r>
      <w:r w:rsidR="00143016" w:rsidRPr="009712EB">
        <w:rPr>
          <w:rFonts w:ascii="Cambria" w:hAnsi="Cambria"/>
          <w:color w:val="000000" w:themeColor="text1"/>
          <w:sz w:val="20"/>
          <w:szCs w:val="20"/>
          <w:lang w:val="es-VE"/>
        </w:rPr>
        <w:t xml:space="preserve">que la operación </w:t>
      </w:r>
      <w:r w:rsidR="00143016" w:rsidRPr="009712EB">
        <w:rPr>
          <w:rFonts w:ascii="Cambria" w:hAnsi="Cambria"/>
          <w:sz w:val="20"/>
          <w:szCs w:val="20"/>
          <w:lang w:val="es-AR"/>
        </w:rPr>
        <w:t xml:space="preserve">militar fue llevada siguiendo las </w:t>
      </w:r>
      <w:r w:rsidR="00143016" w:rsidRPr="009712EB">
        <w:rPr>
          <w:rFonts w:ascii="Cambria" w:hAnsi="Cambria"/>
          <w:sz w:val="20"/>
          <w:szCs w:val="20"/>
          <w:lang w:val="es-CO"/>
        </w:rPr>
        <w:t xml:space="preserve">normas procedentes para entablar combate y </w:t>
      </w:r>
      <w:r w:rsidR="006E1FB6">
        <w:rPr>
          <w:rFonts w:ascii="Cambria" w:hAnsi="Cambria"/>
          <w:sz w:val="20"/>
          <w:szCs w:val="20"/>
          <w:lang w:val="es-CO"/>
        </w:rPr>
        <w:t xml:space="preserve">empleando </w:t>
      </w:r>
      <w:r w:rsidR="00143016" w:rsidRPr="009712EB">
        <w:rPr>
          <w:rFonts w:ascii="Cambria" w:hAnsi="Cambria"/>
          <w:sz w:val="20"/>
          <w:szCs w:val="20"/>
          <w:lang w:val="es-CO"/>
        </w:rPr>
        <w:t xml:space="preserve">todos los esfuerzos para minimizar el número de víctimas civiles. </w:t>
      </w:r>
      <w:r w:rsidR="00143016" w:rsidRPr="009712EB">
        <w:rPr>
          <w:rFonts w:ascii="Cambria" w:hAnsi="Cambria"/>
          <w:sz w:val="20"/>
          <w:szCs w:val="20"/>
          <w:lang w:val="es-CR"/>
        </w:rPr>
        <w:t xml:space="preserve">Igualmente continuó presentando alegatos relativos a la admisibilidad de la petición en particular sobre la falta de </w:t>
      </w:r>
      <w:r w:rsidR="00143016" w:rsidRPr="009712EB">
        <w:rPr>
          <w:rFonts w:ascii="Cambria" w:hAnsi="Cambria"/>
          <w:sz w:val="20"/>
          <w:szCs w:val="20"/>
          <w:lang w:val="es-CR"/>
        </w:rPr>
        <w:lastRenderedPageBreak/>
        <w:t>agotamiento de recursos internos, la incompetencia de la CIDH</w:t>
      </w:r>
      <w:r w:rsidR="00844765">
        <w:rPr>
          <w:rFonts w:ascii="Cambria" w:hAnsi="Cambria"/>
          <w:sz w:val="20"/>
          <w:szCs w:val="20"/>
          <w:lang w:val="es-CR"/>
        </w:rPr>
        <w:t xml:space="preserve"> en razón de la materia</w:t>
      </w:r>
      <w:r w:rsidR="00143016" w:rsidRPr="009712EB">
        <w:rPr>
          <w:rFonts w:ascii="Cambria" w:hAnsi="Cambria"/>
          <w:sz w:val="20"/>
          <w:szCs w:val="20"/>
          <w:lang w:val="es-CR"/>
        </w:rPr>
        <w:t>, la falta de detalle y especificidad de l</w:t>
      </w:r>
      <w:r w:rsidR="006E1FB6">
        <w:rPr>
          <w:rFonts w:ascii="Cambria" w:hAnsi="Cambria"/>
          <w:sz w:val="20"/>
          <w:szCs w:val="20"/>
          <w:lang w:val="es-CR"/>
        </w:rPr>
        <w:t xml:space="preserve">os reclamos </w:t>
      </w:r>
      <w:r w:rsidR="00844765">
        <w:rPr>
          <w:rFonts w:ascii="Cambria" w:hAnsi="Cambria"/>
          <w:sz w:val="20"/>
          <w:szCs w:val="20"/>
          <w:lang w:val="es-CR"/>
        </w:rPr>
        <w:t xml:space="preserve">de los peticionarios </w:t>
      </w:r>
      <w:r w:rsidR="00143016" w:rsidRPr="009712EB">
        <w:rPr>
          <w:rFonts w:ascii="Cambria" w:hAnsi="Cambria"/>
          <w:sz w:val="20"/>
          <w:szCs w:val="20"/>
          <w:lang w:val="es-CR"/>
        </w:rPr>
        <w:t xml:space="preserve">y la inadmisibilidad en cuanto a las víctimas no identificadas. </w:t>
      </w:r>
    </w:p>
    <w:p w:rsidR="00115F12" w:rsidRPr="009712EB" w:rsidRDefault="00115F12" w:rsidP="009712EB">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color w:val="000000" w:themeColor="text1"/>
          <w:sz w:val="20"/>
          <w:szCs w:val="20"/>
          <w:lang w:val="es-VE"/>
        </w:rPr>
      </w:pPr>
    </w:p>
    <w:p w:rsidR="005C4CA5" w:rsidRPr="00E41501" w:rsidRDefault="00844765" w:rsidP="003B6A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lang w:val="es-VE"/>
        </w:rPr>
      </w:pPr>
      <w:r>
        <w:rPr>
          <w:rFonts w:ascii="Cambria" w:hAnsi="Cambria"/>
          <w:sz w:val="20"/>
          <w:szCs w:val="20"/>
          <w:lang w:val="es-VE"/>
        </w:rPr>
        <w:t>Con base en sus</w:t>
      </w:r>
      <w:r w:rsidR="005C4CA5" w:rsidRPr="00E41501">
        <w:rPr>
          <w:rFonts w:ascii="Cambria" w:hAnsi="Cambria"/>
          <w:sz w:val="20"/>
          <w:szCs w:val="20"/>
          <w:lang w:val="es-VE"/>
        </w:rPr>
        <w:t xml:space="preserve"> determinaciones de hecho y de derecho, la Comisión Interamericana concluyó que</w:t>
      </w:r>
      <w:r w:rsidR="00A814FA" w:rsidRPr="00E41501">
        <w:rPr>
          <w:rFonts w:ascii="Cambria" w:hAnsi="Cambria"/>
          <w:sz w:val="20"/>
          <w:szCs w:val="20"/>
          <w:lang w:val="es-VE"/>
        </w:rPr>
        <w:t xml:space="preserve"> </w:t>
      </w:r>
      <w:r w:rsidR="005C4CA5" w:rsidRPr="00E41501">
        <w:rPr>
          <w:rFonts w:ascii="Cambria" w:hAnsi="Cambria"/>
          <w:sz w:val="20"/>
          <w:szCs w:val="20"/>
          <w:lang w:val="es-VE"/>
        </w:rPr>
        <w:t xml:space="preserve">el Estado es responsable por la violación de los artículos </w:t>
      </w:r>
      <w:r w:rsidR="008C2F63" w:rsidRPr="00E41501">
        <w:rPr>
          <w:rFonts w:ascii="Cambria" w:hAnsi="Cambria"/>
          <w:sz w:val="20"/>
          <w:szCs w:val="20"/>
          <w:lang w:val="es-VE"/>
        </w:rPr>
        <w:t xml:space="preserve">I (derecho a la vida, a la libertad, a la seguridad e integridad de la persona), VII (derecho de protección a la infancia), XXIII (derecho a la propiedad) y XVIII (derecho de justicia) </w:t>
      </w:r>
      <w:r w:rsidR="005C4CA5" w:rsidRPr="00E41501">
        <w:rPr>
          <w:rFonts w:ascii="Cambria" w:hAnsi="Cambria"/>
          <w:sz w:val="20"/>
          <w:szCs w:val="20"/>
          <w:lang w:val="es-VE"/>
        </w:rPr>
        <w:t xml:space="preserve">de la </w:t>
      </w:r>
      <w:r w:rsidR="004E1CB0" w:rsidRPr="00E41501">
        <w:rPr>
          <w:rFonts w:ascii="Cambria" w:hAnsi="Cambria"/>
          <w:sz w:val="20"/>
          <w:szCs w:val="20"/>
          <w:lang w:val="es-VE"/>
        </w:rPr>
        <w:t xml:space="preserve">Declaración Americana de </w:t>
      </w:r>
      <w:r w:rsidR="008C2F63" w:rsidRPr="00E41501">
        <w:rPr>
          <w:rFonts w:ascii="Cambria" w:hAnsi="Cambria"/>
          <w:sz w:val="20"/>
          <w:szCs w:val="20"/>
          <w:lang w:val="es-VE"/>
        </w:rPr>
        <w:t>los Derechos y Deberes del Hombre</w:t>
      </w:r>
      <w:r w:rsidR="005C4CA5" w:rsidRPr="00E41501">
        <w:rPr>
          <w:rFonts w:ascii="Cambria" w:hAnsi="Cambria"/>
          <w:sz w:val="20"/>
          <w:szCs w:val="20"/>
          <w:lang w:val="es-VE"/>
        </w:rPr>
        <w:t xml:space="preserve"> (en adelante “la </w:t>
      </w:r>
      <w:r w:rsidR="004E1CB0" w:rsidRPr="00E41501">
        <w:rPr>
          <w:rFonts w:ascii="Cambria" w:hAnsi="Cambria"/>
          <w:sz w:val="20"/>
          <w:szCs w:val="20"/>
          <w:lang w:val="es-VE"/>
        </w:rPr>
        <w:t>Declaración</w:t>
      </w:r>
      <w:r w:rsidR="005C4CA5" w:rsidRPr="00E41501">
        <w:rPr>
          <w:rFonts w:ascii="Cambria" w:hAnsi="Cambria"/>
          <w:sz w:val="20"/>
          <w:szCs w:val="20"/>
          <w:lang w:val="es-VE"/>
        </w:rPr>
        <w:t xml:space="preserve"> Americana” o “la </w:t>
      </w:r>
      <w:r w:rsidR="004E1CB0" w:rsidRPr="00E41501">
        <w:rPr>
          <w:rFonts w:ascii="Cambria" w:hAnsi="Cambria"/>
          <w:sz w:val="20"/>
          <w:szCs w:val="20"/>
          <w:lang w:val="es-VE"/>
        </w:rPr>
        <w:t>Declaración”)</w:t>
      </w:r>
      <w:r w:rsidR="005C4CA5" w:rsidRPr="00E41501">
        <w:rPr>
          <w:rFonts w:ascii="Cambria" w:hAnsi="Cambria"/>
          <w:sz w:val="20"/>
          <w:szCs w:val="20"/>
          <w:lang w:val="es-VE"/>
        </w:rPr>
        <w:t xml:space="preserve">. La Comisión </w:t>
      </w:r>
      <w:r>
        <w:rPr>
          <w:rFonts w:ascii="Cambria" w:hAnsi="Cambria"/>
          <w:sz w:val="20"/>
          <w:szCs w:val="20"/>
          <w:lang w:val="es-VE"/>
        </w:rPr>
        <w:t>emiti</w:t>
      </w:r>
      <w:r w:rsidR="005C4CA5" w:rsidRPr="00E41501">
        <w:rPr>
          <w:rFonts w:ascii="Cambria" w:hAnsi="Cambria"/>
          <w:sz w:val="20"/>
          <w:szCs w:val="20"/>
          <w:lang w:val="es-VE"/>
        </w:rPr>
        <w:t xml:space="preserve">ó las recomendaciones </w:t>
      </w:r>
      <w:r>
        <w:rPr>
          <w:rFonts w:ascii="Cambria" w:hAnsi="Cambria"/>
          <w:sz w:val="20"/>
          <w:szCs w:val="20"/>
          <w:lang w:val="es-VE"/>
        </w:rPr>
        <w:t>correspondientes</w:t>
      </w:r>
      <w:r w:rsidR="005C4CA5" w:rsidRPr="00E41501">
        <w:rPr>
          <w:rFonts w:ascii="Cambria" w:hAnsi="Cambria"/>
          <w:sz w:val="20"/>
          <w:szCs w:val="20"/>
          <w:lang w:val="es-VE"/>
        </w:rPr>
        <w:t xml:space="preserve">. </w:t>
      </w:r>
    </w:p>
    <w:p w:rsidR="00605F3A" w:rsidRPr="009712EB" w:rsidRDefault="00605F3A" w:rsidP="009712EB">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color w:val="000000" w:themeColor="text1"/>
          <w:sz w:val="20"/>
          <w:szCs w:val="20"/>
          <w:lang w:val="es-VE"/>
        </w:rPr>
      </w:pPr>
    </w:p>
    <w:p w:rsidR="0008768F" w:rsidRPr="00561F99" w:rsidRDefault="00E71067" w:rsidP="00D529F8">
      <w:pPr>
        <w:pStyle w:val="Heading1"/>
        <w:spacing w:before="0"/>
        <w:ind w:firstLine="0"/>
        <w:jc w:val="both"/>
        <w:rPr>
          <w:rFonts w:ascii="Cambria" w:hAnsi="Cambria"/>
          <w:color w:val="auto"/>
          <w:sz w:val="20"/>
          <w:lang w:val="es-ES_tradnl"/>
        </w:rPr>
      </w:pPr>
      <w:bookmarkStart w:id="2" w:name="_Toc525294027"/>
      <w:r w:rsidRPr="006643C6">
        <w:rPr>
          <w:rFonts w:ascii="Cambria" w:hAnsi="Cambria"/>
          <w:color w:val="auto"/>
          <w:sz w:val="20"/>
          <w:lang w:val="es-ES_tradnl"/>
        </w:rPr>
        <w:t>POSICION</w:t>
      </w:r>
      <w:r w:rsidR="00D12193" w:rsidRPr="006643C6">
        <w:rPr>
          <w:rFonts w:ascii="Cambria" w:hAnsi="Cambria"/>
          <w:color w:val="auto"/>
          <w:sz w:val="20"/>
          <w:lang w:val="es-ES_tradnl"/>
        </w:rPr>
        <w:t xml:space="preserve"> DE LAS PARTES</w:t>
      </w:r>
      <w:bookmarkEnd w:id="2"/>
    </w:p>
    <w:p w:rsidR="00605F3A" w:rsidRPr="009712EB" w:rsidRDefault="00605F3A" w:rsidP="00D529F8">
      <w:pPr>
        <w:pStyle w:val="ListParagraph"/>
        <w:suppressAutoHyphens/>
        <w:ind w:left="1080"/>
        <w:rPr>
          <w:b/>
          <w:sz w:val="20"/>
          <w:szCs w:val="20"/>
          <w:lang w:val="es-ES_tradnl"/>
        </w:rPr>
      </w:pPr>
    </w:p>
    <w:p w:rsidR="00D12193" w:rsidRPr="006643C6" w:rsidRDefault="005177AF" w:rsidP="00D529F8">
      <w:pPr>
        <w:pStyle w:val="Heading2"/>
        <w:numPr>
          <w:ilvl w:val="0"/>
          <w:numId w:val="65"/>
        </w:numPr>
        <w:spacing w:before="0" w:after="0"/>
        <w:ind w:firstLine="0"/>
        <w:jc w:val="both"/>
        <w:rPr>
          <w:rFonts w:ascii="Cambria" w:hAnsi="Cambria"/>
          <w:i w:val="0"/>
          <w:lang w:val="es-ES_tradnl"/>
        </w:rPr>
      </w:pPr>
      <w:bookmarkStart w:id="3" w:name="_Toc525294028"/>
      <w:r w:rsidRPr="006643C6">
        <w:rPr>
          <w:rFonts w:ascii="Cambria" w:hAnsi="Cambria"/>
          <w:i w:val="0"/>
          <w:sz w:val="20"/>
          <w:lang w:val="es-ES_tradnl"/>
        </w:rPr>
        <w:t>Parte Peticionaria</w:t>
      </w:r>
      <w:bookmarkEnd w:id="3"/>
      <w:r w:rsidR="00CC63CF" w:rsidRPr="006643C6">
        <w:rPr>
          <w:rFonts w:ascii="Cambria" w:hAnsi="Cambria"/>
          <w:i w:val="0"/>
          <w:lang w:val="es-ES_tradnl"/>
        </w:rPr>
        <w:t xml:space="preserve"> </w:t>
      </w:r>
    </w:p>
    <w:p w:rsidR="00605F3A" w:rsidRPr="009712EB" w:rsidRDefault="00605F3A" w:rsidP="009712EB">
      <w:pPr>
        <w:pStyle w:val="ListParagraph"/>
        <w:suppressAutoHyphens/>
        <w:ind w:left="1440"/>
        <w:rPr>
          <w:b/>
          <w:sz w:val="20"/>
          <w:szCs w:val="20"/>
          <w:lang w:val="es-ES_tradnl"/>
        </w:rPr>
      </w:pPr>
    </w:p>
    <w:p w:rsidR="00E71067" w:rsidRPr="009712EB" w:rsidRDefault="00E71067" w:rsidP="003B6A9B">
      <w:pPr>
        <w:numPr>
          <w:ilvl w:val="0"/>
          <w:numId w:val="55"/>
        </w:numPr>
        <w:ind w:left="0" w:firstLine="720"/>
        <w:jc w:val="both"/>
        <w:rPr>
          <w:rFonts w:ascii="Cambria" w:hAnsi="Cambria"/>
          <w:sz w:val="20"/>
          <w:szCs w:val="20"/>
          <w:lang w:val="es-VE"/>
        </w:rPr>
      </w:pPr>
      <w:r w:rsidRPr="009712EB">
        <w:rPr>
          <w:rFonts w:ascii="Cambria" w:hAnsi="Cambria"/>
          <w:sz w:val="20"/>
          <w:szCs w:val="20"/>
          <w:lang w:val="es-ES_tradnl"/>
        </w:rPr>
        <w:t>Manifiesta la</w:t>
      </w:r>
      <w:r w:rsidRPr="009712EB">
        <w:rPr>
          <w:rFonts w:ascii="Cambria" w:hAnsi="Cambria"/>
          <w:sz w:val="20"/>
          <w:szCs w:val="20"/>
          <w:lang w:val="es-VE"/>
        </w:rPr>
        <w:t xml:space="preserve"> parte peticionaria que las víctimas del presente caso son panameños civiles no combatientes que sufrieron lesiones personales, pérdidas materiales y/o fueron víctimas mortales de la invasión militar por parte de los Estados Unidos en Panamá llevada a cabo el 20 de diciembre de 1989. </w:t>
      </w:r>
      <w:r w:rsidR="006E1FB6">
        <w:rPr>
          <w:rFonts w:ascii="Cambria" w:hAnsi="Cambria"/>
          <w:sz w:val="20"/>
          <w:szCs w:val="20"/>
          <w:lang w:val="es-VE"/>
        </w:rPr>
        <w:t>L</w:t>
      </w:r>
      <w:r w:rsidRPr="009712EB">
        <w:rPr>
          <w:rFonts w:ascii="Cambria" w:hAnsi="Cambria"/>
          <w:sz w:val="20"/>
          <w:szCs w:val="20"/>
          <w:lang w:val="es-VE"/>
        </w:rPr>
        <w:t xml:space="preserve">a parte peticionaria indica que las víctimas actúan en nombre propio y en nombre de todos los panameños que fueron “similarmente perjudicados” por </w:t>
      </w:r>
      <w:r w:rsidRPr="009712EB">
        <w:rPr>
          <w:rFonts w:ascii="Cambria" w:hAnsi="Cambria"/>
          <w:sz w:val="20"/>
          <w:szCs w:val="20"/>
          <w:lang w:val="es-CO"/>
        </w:rPr>
        <w:t xml:space="preserve">las acciones temerarias e indiscriminadas de las fuerzas militares del Estado al utilizar una fuerza abrumadora para borrar una pequeña cantidad de resistencia. </w:t>
      </w:r>
      <w:r w:rsidR="006E1FB6">
        <w:rPr>
          <w:rFonts w:ascii="Cambria" w:hAnsi="Cambria"/>
          <w:sz w:val="20"/>
          <w:szCs w:val="20"/>
          <w:lang w:val="es-CO"/>
        </w:rPr>
        <w:t>En la etapa de admisibilidad indivi</w:t>
      </w:r>
      <w:r w:rsidR="006E1FB6" w:rsidRPr="00B053C8">
        <w:rPr>
          <w:rFonts w:ascii="Cambria" w:hAnsi="Cambria"/>
          <w:sz w:val="20"/>
          <w:szCs w:val="20"/>
          <w:lang w:val="es-CO"/>
        </w:rPr>
        <w:t xml:space="preserve">dualizaron </w:t>
      </w:r>
      <w:r w:rsidR="00921C8D">
        <w:rPr>
          <w:rFonts w:ascii="Cambria" w:hAnsi="Cambria"/>
          <w:sz w:val="20"/>
          <w:szCs w:val="20"/>
          <w:lang w:val="es-CO"/>
        </w:rPr>
        <w:t xml:space="preserve">por nombre </w:t>
      </w:r>
      <w:r w:rsidR="006E1FB6" w:rsidRPr="00B053C8">
        <w:rPr>
          <w:rFonts w:ascii="Cambria" w:hAnsi="Cambria"/>
          <w:sz w:val="20"/>
          <w:szCs w:val="20"/>
          <w:lang w:val="es-CO"/>
        </w:rPr>
        <w:t>a 315 personas.</w:t>
      </w:r>
      <w:r w:rsidR="006E1FB6">
        <w:rPr>
          <w:rFonts w:ascii="Cambria" w:hAnsi="Cambria"/>
          <w:sz w:val="20"/>
          <w:szCs w:val="20"/>
          <w:lang w:val="es-CO"/>
        </w:rPr>
        <w:t xml:space="preserve"> </w:t>
      </w:r>
    </w:p>
    <w:p w:rsidR="00605F3A" w:rsidRPr="009712EB" w:rsidRDefault="00605F3A" w:rsidP="009712EB">
      <w:pPr>
        <w:ind w:left="720"/>
        <w:jc w:val="both"/>
        <w:rPr>
          <w:rFonts w:ascii="Cambria" w:hAnsi="Cambria"/>
          <w:sz w:val="20"/>
          <w:szCs w:val="20"/>
          <w:lang w:val="es-VE"/>
        </w:rPr>
      </w:pPr>
    </w:p>
    <w:p w:rsidR="00E71067" w:rsidRPr="009712EB" w:rsidRDefault="00921C8D" w:rsidP="003B6A9B">
      <w:pPr>
        <w:numPr>
          <w:ilvl w:val="0"/>
          <w:numId w:val="55"/>
        </w:numPr>
        <w:ind w:left="0" w:firstLine="720"/>
        <w:jc w:val="both"/>
        <w:rPr>
          <w:rFonts w:ascii="Cambria" w:hAnsi="Cambria"/>
          <w:sz w:val="20"/>
          <w:szCs w:val="20"/>
          <w:lang w:val="es-VE"/>
        </w:rPr>
      </w:pPr>
      <w:r>
        <w:rPr>
          <w:rFonts w:ascii="Cambria" w:hAnsi="Cambria"/>
          <w:sz w:val="20"/>
          <w:szCs w:val="20"/>
          <w:lang w:val="es-VE"/>
        </w:rPr>
        <w:t>Los peticionarios a</w:t>
      </w:r>
      <w:r w:rsidR="00E71067" w:rsidRPr="009712EB">
        <w:rPr>
          <w:rFonts w:ascii="Cambria" w:hAnsi="Cambria"/>
          <w:sz w:val="20"/>
          <w:szCs w:val="20"/>
          <w:lang w:val="es-VE"/>
        </w:rPr>
        <w:t>rgumenta</w:t>
      </w:r>
      <w:r>
        <w:rPr>
          <w:rFonts w:ascii="Cambria" w:hAnsi="Cambria"/>
          <w:sz w:val="20"/>
          <w:szCs w:val="20"/>
          <w:lang w:val="es-VE"/>
        </w:rPr>
        <w:t>n</w:t>
      </w:r>
      <w:r w:rsidR="00E71067" w:rsidRPr="009712EB">
        <w:rPr>
          <w:rFonts w:ascii="Cambria" w:hAnsi="Cambria"/>
          <w:sz w:val="20"/>
          <w:szCs w:val="20"/>
          <w:lang w:val="es-VE"/>
        </w:rPr>
        <w:t xml:space="preserve"> que con la participación </w:t>
      </w:r>
      <w:r w:rsidR="005A5FB4" w:rsidRPr="009712EB">
        <w:rPr>
          <w:rFonts w:ascii="Cambria" w:hAnsi="Cambria"/>
          <w:sz w:val="20"/>
          <w:szCs w:val="20"/>
          <w:lang w:val="es-VE"/>
        </w:rPr>
        <w:t xml:space="preserve">de </w:t>
      </w:r>
      <w:r w:rsidR="00E71067" w:rsidRPr="009712EB">
        <w:rPr>
          <w:rFonts w:ascii="Cambria" w:hAnsi="Cambria"/>
          <w:sz w:val="20"/>
          <w:szCs w:val="20"/>
          <w:lang w:val="es-VE"/>
        </w:rPr>
        <w:t xml:space="preserve">soldados del Ejército, la Marina y los Marines de Estados Unidos se emprendió un ataque por aire, tierra y mar en la República de Panamá atacando a 27 objetivos militares de manera simultánea con el uso de un número abrumador de armas militares incluyendo el armamento más sofisticado de los Estados Unidos y tropas terrestres de más de 24.000 soldados. </w:t>
      </w:r>
    </w:p>
    <w:p w:rsidR="00605F3A" w:rsidRPr="009712EB" w:rsidRDefault="00605F3A" w:rsidP="00844765">
      <w:pPr>
        <w:ind w:left="720"/>
        <w:jc w:val="both"/>
        <w:rPr>
          <w:rFonts w:ascii="Cambria" w:hAnsi="Cambria"/>
          <w:sz w:val="20"/>
          <w:szCs w:val="20"/>
          <w:lang w:val="es-VE"/>
        </w:rPr>
      </w:pPr>
    </w:p>
    <w:p w:rsidR="00E71067" w:rsidRPr="009712EB" w:rsidRDefault="00E71067" w:rsidP="003B6A9B">
      <w:pPr>
        <w:numPr>
          <w:ilvl w:val="0"/>
          <w:numId w:val="55"/>
        </w:numPr>
        <w:ind w:left="0" w:firstLine="720"/>
        <w:jc w:val="both"/>
        <w:rPr>
          <w:rFonts w:ascii="Cambria" w:hAnsi="Cambria"/>
          <w:sz w:val="20"/>
          <w:szCs w:val="20"/>
          <w:lang w:val="es-VE"/>
        </w:rPr>
      </w:pPr>
      <w:r w:rsidRPr="009712EB">
        <w:rPr>
          <w:rFonts w:ascii="Cambria" w:hAnsi="Cambria"/>
          <w:sz w:val="20"/>
          <w:szCs w:val="20"/>
          <w:lang w:val="es-VE"/>
        </w:rPr>
        <w:t>En particular, la parte peticionaria explica que el objetivo pretendido de esta intervención era expulsar al General Noriega del poder y trasladarlo a Estados Unidos para que fuese sometido a juicio por tráfico de drogas, entre otros delitos. Sostiene que, como parte de la estrategia de la invasión, el gobierno panameño encabezado por Guillermo Endara fue juramentado</w:t>
      </w:r>
      <w:r w:rsidR="00921C8D">
        <w:rPr>
          <w:rFonts w:ascii="Cambria" w:hAnsi="Cambria"/>
          <w:sz w:val="20"/>
          <w:szCs w:val="20"/>
          <w:lang w:val="es-VE"/>
        </w:rPr>
        <w:t xml:space="preserve"> en</w:t>
      </w:r>
      <w:r w:rsidRPr="009712EB">
        <w:rPr>
          <w:rFonts w:ascii="Cambria" w:hAnsi="Cambria"/>
          <w:sz w:val="20"/>
          <w:szCs w:val="20"/>
          <w:lang w:val="es-VE"/>
        </w:rPr>
        <w:t xml:space="preserve"> la noche de la invasión en un</w:t>
      </w:r>
      <w:r w:rsidR="00921C8D">
        <w:rPr>
          <w:rFonts w:ascii="Cambria" w:hAnsi="Cambria"/>
          <w:sz w:val="20"/>
          <w:szCs w:val="20"/>
          <w:lang w:val="es-VE"/>
        </w:rPr>
        <w:t xml:space="preserve"> acto que tuvo lugar en l</w:t>
      </w:r>
      <w:r w:rsidRPr="009712EB">
        <w:rPr>
          <w:rFonts w:ascii="Cambria" w:hAnsi="Cambria"/>
          <w:sz w:val="20"/>
          <w:szCs w:val="20"/>
          <w:lang w:val="es-VE"/>
        </w:rPr>
        <w:t>a base</w:t>
      </w:r>
      <w:r w:rsidR="00921C8D">
        <w:rPr>
          <w:rFonts w:ascii="Cambria" w:hAnsi="Cambria"/>
          <w:sz w:val="20"/>
          <w:szCs w:val="20"/>
          <w:lang w:val="es-VE"/>
        </w:rPr>
        <w:t xml:space="preserve"> militar de los Estados Unidos y luego</w:t>
      </w:r>
      <w:r w:rsidRPr="009712EB">
        <w:rPr>
          <w:rFonts w:ascii="Cambria" w:hAnsi="Cambria"/>
          <w:sz w:val="20"/>
          <w:szCs w:val="20"/>
          <w:lang w:val="es-VE"/>
        </w:rPr>
        <w:t xml:space="preserve"> </w:t>
      </w:r>
      <w:r w:rsidR="00921C8D">
        <w:rPr>
          <w:rFonts w:ascii="Cambria" w:hAnsi="Cambria"/>
          <w:sz w:val="20"/>
          <w:szCs w:val="20"/>
          <w:lang w:val="es-VE"/>
        </w:rPr>
        <w:t xml:space="preserve">fue </w:t>
      </w:r>
      <w:r w:rsidRPr="009712EB">
        <w:rPr>
          <w:rFonts w:ascii="Cambria" w:hAnsi="Cambria"/>
          <w:sz w:val="20"/>
          <w:szCs w:val="20"/>
          <w:lang w:val="es-VE"/>
        </w:rPr>
        <w:t xml:space="preserve">instalado </w:t>
      </w:r>
      <w:r w:rsidR="00921C8D">
        <w:rPr>
          <w:rFonts w:ascii="Cambria" w:hAnsi="Cambria"/>
          <w:sz w:val="20"/>
          <w:szCs w:val="20"/>
          <w:lang w:val="es-VE"/>
        </w:rPr>
        <w:t>como jefe de gobierno</w:t>
      </w:r>
      <w:r w:rsidRPr="009712EB">
        <w:rPr>
          <w:rFonts w:ascii="Cambria" w:hAnsi="Cambria"/>
          <w:sz w:val="20"/>
          <w:szCs w:val="20"/>
          <w:lang w:val="es-VE"/>
        </w:rPr>
        <w:t>.</w:t>
      </w:r>
    </w:p>
    <w:p w:rsidR="00605F3A" w:rsidRPr="009712EB" w:rsidRDefault="00605F3A" w:rsidP="009712EB">
      <w:pPr>
        <w:ind w:left="720"/>
        <w:jc w:val="both"/>
        <w:rPr>
          <w:rFonts w:ascii="Cambria" w:hAnsi="Cambria"/>
          <w:sz w:val="20"/>
          <w:szCs w:val="20"/>
          <w:lang w:val="es-VE"/>
        </w:rPr>
      </w:pPr>
    </w:p>
    <w:p w:rsidR="00E71067" w:rsidRPr="009712EB" w:rsidRDefault="00E71067" w:rsidP="003B6A9B">
      <w:pPr>
        <w:numPr>
          <w:ilvl w:val="0"/>
          <w:numId w:val="55"/>
        </w:numPr>
        <w:ind w:left="0" w:firstLine="720"/>
        <w:jc w:val="both"/>
        <w:rPr>
          <w:rFonts w:ascii="Cambria" w:hAnsi="Cambria"/>
          <w:sz w:val="20"/>
          <w:szCs w:val="20"/>
          <w:lang w:val="es-VE"/>
        </w:rPr>
      </w:pPr>
      <w:r w:rsidRPr="009712EB">
        <w:rPr>
          <w:rFonts w:ascii="Cambria" w:hAnsi="Cambria"/>
          <w:sz w:val="20"/>
          <w:szCs w:val="20"/>
          <w:lang w:val="es-VE"/>
        </w:rPr>
        <w:t xml:space="preserve">La parte peticionaria argumenta que el número de </w:t>
      </w:r>
      <w:r w:rsidR="006E1FB6">
        <w:rPr>
          <w:rFonts w:ascii="Cambria" w:hAnsi="Cambria"/>
          <w:sz w:val="20"/>
          <w:szCs w:val="20"/>
          <w:lang w:val="es-VE"/>
        </w:rPr>
        <w:t xml:space="preserve">presuntas </w:t>
      </w:r>
      <w:r w:rsidRPr="009712EB">
        <w:rPr>
          <w:rFonts w:ascii="Cambria" w:hAnsi="Cambria"/>
          <w:sz w:val="20"/>
          <w:szCs w:val="20"/>
          <w:lang w:val="es-VE"/>
        </w:rPr>
        <w:t xml:space="preserve">víctimas </w:t>
      </w:r>
      <w:r w:rsidR="00921C8D">
        <w:rPr>
          <w:rFonts w:ascii="Cambria" w:hAnsi="Cambria"/>
          <w:sz w:val="20"/>
          <w:szCs w:val="20"/>
          <w:lang w:val="es-VE"/>
        </w:rPr>
        <w:t xml:space="preserve">presentadas en </w:t>
      </w:r>
      <w:r w:rsidRPr="009712EB">
        <w:rPr>
          <w:rFonts w:ascii="Cambria" w:hAnsi="Cambria"/>
          <w:sz w:val="20"/>
          <w:szCs w:val="20"/>
          <w:lang w:val="es-VE"/>
        </w:rPr>
        <w:t xml:space="preserve">este caso demuestran la destrucción máxima y la profunda victimización infligida en la sociedad panameña en violación de la Carta de la OEA y de la DADDH. </w:t>
      </w:r>
      <w:r w:rsidRPr="009712EB">
        <w:rPr>
          <w:rFonts w:ascii="Cambria" w:hAnsi="Cambria"/>
          <w:sz w:val="20"/>
          <w:szCs w:val="20"/>
          <w:lang w:val="es-CO"/>
        </w:rPr>
        <w:t>En concreto, la parte peticionaria argumenta que las fuerzas militares del Estado tomaron acción con un gran descuido imprudente y temerario a la seguridad personal de los panameños civiles “</w:t>
      </w:r>
      <w:r w:rsidRPr="009712EB">
        <w:rPr>
          <w:rFonts w:ascii="Cambria" w:hAnsi="Cambria"/>
          <w:sz w:val="20"/>
          <w:szCs w:val="20"/>
          <w:lang w:val="es-VE"/>
        </w:rPr>
        <w:t xml:space="preserve">en flagrante violación de los derechos humanos de los panameños bajo la Declaración Americana”. </w:t>
      </w:r>
    </w:p>
    <w:p w:rsidR="00605F3A" w:rsidRPr="009712EB" w:rsidRDefault="00605F3A" w:rsidP="009712EB">
      <w:pPr>
        <w:ind w:left="720"/>
        <w:jc w:val="both"/>
        <w:rPr>
          <w:rFonts w:ascii="Cambria" w:hAnsi="Cambria"/>
          <w:sz w:val="20"/>
          <w:szCs w:val="20"/>
          <w:lang w:val="es-VE"/>
        </w:rPr>
      </w:pPr>
    </w:p>
    <w:p w:rsidR="00E71067" w:rsidRPr="009712EB" w:rsidRDefault="00E71067" w:rsidP="003B6A9B">
      <w:pPr>
        <w:numPr>
          <w:ilvl w:val="0"/>
          <w:numId w:val="55"/>
        </w:numPr>
        <w:ind w:left="0" w:firstLine="720"/>
        <w:jc w:val="both"/>
        <w:rPr>
          <w:rFonts w:ascii="Cambria" w:hAnsi="Cambria"/>
          <w:sz w:val="20"/>
          <w:szCs w:val="20"/>
          <w:lang w:val="es-VE"/>
        </w:rPr>
      </w:pPr>
      <w:r w:rsidRPr="009712EB">
        <w:rPr>
          <w:rFonts w:ascii="Cambria" w:hAnsi="Cambria"/>
          <w:sz w:val="20"/>
          <w:szCs w:val="20"/>
          <w:lang w:val="es-CO"/>
        </w:rPr>
        <w:t>En consecuencia, la parte peticionaria argumenta que el Estado violó principios fundamentales establecidos en los artículos 11, 14, 16, 19, 18, 20 y 27 de la Carta de la Organización de Estados Americanos, en el artículo 2(4) de la Carta de la Organización de las Naciones Unidas</w:t>
      </w:r>
      <w:r w:rsidRPr="009712EB">
        <w:rPr>
          <w:rFonts w:ascii="Cambria" w:hAnsi="Cambria"/>
          <w:sz w:val="20"/>
          <w:szCs w:val="20"/>
          <w:lang w:val="es-VE"/>
        </w:rPr>
        <w:t xml:space="preserve"> así como</w:t>
      </w:r>
      <w:r w:rsidRPr="009712EB">
        <w:rPr>
          <w:rFonts w:ascii="Cambria" w:hAnsi="Cambria"/>
          <w:sz w:val="20"/>
          <w:szCs w:val="20"/>
          <w:lang w:val="es-CO"/>
        </w:rPr>
        <w:t xml:space="preserve"> derechos humanos establecidos en los artículos I, IV, VI, VII, VIII, IX, XI, XII, XIII, XIV, XX, XX</w:t>
      </w:r>
      <w:r w:rsidRPr="009712EB">
        <w:rPr>
          <w:rFonts w:ascii="Cambria" w:hAnsi="Cambria"/>
          <w:sz w:val="20"/>
          <w:szCs w:val="20"/>
          <w:lang w:val="es-VE"/>
        </w:rPr>
        <w:t>I, XXII,</w:t>
      </w:r>
      <w:r w:rsidRPr="009712EB">
        <w:rPr>
          <w:rFonts w:ascii="Cambria" w:hAnsi="Cambria"/>
          <w:sz w:val="20"/>
          <w:szCs w:val="20"/>
          <w:lang w:val="es-CO"/>
        </w:rPr>
        <w:t xml:space="preserve"> XXIII, XXVII  y XXVIII de la Declaración Americana de los Derechos y Deberes del Hombre, y en los artículos 3, 5, 17(2), 28 y 30 de la Declaración Universal de Derechos Humanos. </w:t>
      </w:r>
    </w:p>
    <w:p w:rsidR="00605F3A" w:rsidRPr="009712EB" w:rsidRDefault="00605F3A" w:rsidP="009712EB">
      <w:pPr>
        <w:ind w:left="720"/>
        <w:jc w:val="both"/>
        <w:rPr>
          <w:rFonts w:ascii="Cambria" w:hAnsi="Cambria"/>
          <w:sz w:val="20"/>
          <w:szCs w:val="20"/>
          <w:lang w:val="es-VE"/>
        </w:rPr>
      </w:pPr>
    </w:p>
    <w:p w:rsidR="00E71067" w:rsidRPr="009712EB" w:rsidRDefault="00E71067" w:rsidP="003B6A9B">
      <w:pPr>
        <w:numPr>
          <w:ilvl w:val="0"/>
          <w:numId w:val="55"/>
        </w:numPr>
        <w:ind w:left="0" w:firstLine="720"/>
        <w:jc w:val="both"/>
        <w:rPr>
          <w:rFonts w:ascii="Cambria" w:hAnsi="Cambria"/>
          <w:sz w:val="20"/>
          <w:szCs w:val="20"/>
          <w:lang w:val="es-VE"/>
        </w:rPr>
      </w:pPr>
      <w:r w:rsidRPr="009712EB">
        <w:rPr>
          <w:rFonts w:ascii="Cambria" w:hAnsi="Cambria"/>
          <w:sz w:val="20"/>
          <w:szCs w:val="20"/>
          <w:lang w:val="es-CO"/>
        </w:rPr>
        <w:t xml:space="preserve">La parte peticionaria asevera que tanto durante la invasión como en la ocupación militar, el Estado violó principios esenciales del derecho internacional humanitario consuetudinario como el principio de discriminación entre civiles y militares, </w:t>
      </w:r>
      <w:r w:rsidR="00B17EA1">
        <w:rPr>
          <w:rFonts w:ascii="Cambria" w:hAnsi="Cambria"/>
          <w:sz w:val="20"/>
          <w:szCs w:val="20"/>
          <w:lang w:val="es-CO"/>
        </w:rPr>
        <w:t xml:space="preserve">así como </w:t>
      </w:r>
      <w:r w:rsidRPr="009712EB">
        <w:rPr>
          <w:rFonts w:ascii="Cambria" w:hAnsi="Cambria"/>
          <w:sz w:val="20"/>
          <w:szCs w:val="20"/>
          <w:lang w:val="es-CO"/>
        </w:rPr>
        <w:t xml:space="preserve">el principio de proporcionalidad de la fuerza y de necesidad. </w:t>
      </w:r>
    </w:p>
    <w:p w:rsidR="00605F3A" w:rsidRPr="009712EB" w:rsidRDefault="00605F3A" w:rsidP="009712EB">
      <w:pPr>
        <w:ind w:left="720"/>
        <w:jc w:val="both"/>
        <w:rPr>
          <w:rFonts w:ascii="Cambria" w:hAnsi="Cambria"/>
          <w:sz w:val="20"/>
          <w:szCs w:val="20"/>
          <w:lang w:val="es-VE"/>
        </w:rPr>
      </w:pPr>
    </w:p>
    <w:p w:rsidR="00605F3A" w:rsidRPr="009712EB" w:rsidRDefault="00E71067" w:rsidP="003B6A9B">
      <w:pPr>
        <w:numPr>
          <w:ilvl w:val="0"/>
          <w:numId w:val="55"/>
        </w:numPr>
        <w:ind w:left="0" w:firstLine="720"/>
        <w:jc w:val="both"/>
        <w:rPr>
          <w:rFonts w:ascii="Cambria" w:hAnsi="Cambria"/>
          <w:sz w:val="20"/>
          <w:szCs w:val="20"/>
          <w:lang w:val="es-VE"/>
        </w:rPr>
      </w:pPr>
      <w:r w:rsidRPr="009712EB">
        <w:rPr>
          <w:rFonts w:ascii="Cambria" w:hAnsi="Cambria"/>
          <w:sz w:val="20"/>
          <w:szCs w:val="20"/>
          <w:lang w:val="es-CO"/>
        </w:rPr>
        <w:t>Asimismo</w:t>
      </w:r>
      <w:r w:rsidR="00B17EA1">
        <w:rPr>
          <w:rFonts w:ascii="Cambria" w:hAnsi="Cambria"/>
          <w:sz w:val="20"/>
          <w:szCs w:val="20"/>
          <w:lang w:val="es-CO"/>
        </w:rPr>
        <w:t xml:space="preserve"> los peticionarios</w:t>
      </w:r>
      <w:r w:rsidRPr="009712EB">
        <w:rPr>
          <w:rFonts w:ascii="Cambria" w:hAnsi="Cambria"/>
          <w:sz w:val="20"/>
          <w:szCs w:val="20"/>
          <w:lang w:val="es-CO"/>
        </w:rPr>
        <w:t xml:space="preserve"> sostiene</w:t>
      </w:r>
      <w:r w:rsidR="00B17EA1">
        <w:rPr>
          <w:rFonts w:ascii="Cambria" w:hAnsi="Cambria"/>
          <w:sz w:val="20"/>
          <w:szCs w:val="20"/>
          <w:lang w:val="es-CO"/>
        </w:rPr>
        <w:t>n</w:t>
      </w:r>
      <w:r w:rsidRPr="009712EB">
        <w:rPr>
          <w:rFonts w:ascii="Cambria" w:hAnsi="Cambria"/>
          <w:sz w:val="20"/>
          <w:szCs w:val="20"/>
          <w:lang w:val="es-CO"/>
        </w:rPr>
        <w:t xml:space="preserve"> que la intervención militar y operaciones de las fuerzas armadas estadounidenses en Panamá contravinieron los principios del derecho internacional que protegen la vida civil en tiempos de combate militar. En particular, la parte peticionaria menciona el artículo 3 del IV Convenio de Ginebra que provee la obligación de aplicar “como mínimo” protecciones a la vida e integridad para personas que no participen directamente en las hostilidades, así como los artículos 51 y 52 del Protocolo </w:t>
      </w:r>
      <w:r w:rsidR="006E1FB6">
        <w:rPr>
          <w:rFonts w:ascii="Cambria" w:hAnsi="Cambria"/>
          <w:sz w:val="20"/>
          <w:szCs w:val="20"/>
          <w:lang w:val="es-CO"/>
        </w:rPr>
        <w:lastRenderedPageBreak/>
        <w:t xml:space="preserve">I </w:t>
      </w:r>
      <w:r w:rsidRPr="009712EB">
        <w:rPr>
          <w:rFonts w:ascii="Cambria" w:hAnsi="Cambria"/>
          <w:sz w:val="20"/>
          <w:szCs w:val="20"/>
          <w:lang w:val="es-CO"/>
        </w:rPr>
        <w:t xml:space="preserve">de los Convenios de Ginebra que prohíben los ataques indiscriminados por bombardeo a personas y comunidades civiles. </w:t>
      </w:r>
    </w:p>
    <w:p w:rsidR="00605F3A" w:rsidRPr="009712EB" w:rsidRDefault="00605F3A" w:rsidP="009712EB">
      <w:pPr>
        <w:pStyle w:val="ListParagraph"/>
        <w:rPr>
          <w:sz w:val="20"/>
          <w:szCs w:val="20"/>
          <w:lang w:val="es-VE"/>
        </w:rPr>
      </w:pPr>
    </w:p>
    <w:p w:rsidR="00E71067" w:rsidRPr="00CD49F1" w:rsidRDefault="00E71067" w:rsidP="003B6A9B">
      <w:pPr>
        <w:numPr>
          <w:ilvl w:val="0"/>
          <w:numId w:val="55"/>
        </w:numPr>
        <w:ind w:left="0" w:firstLine="720"/>
        <w:jc w:val="both"/>
        <w:rPr>
          <w:rFonts w:ascii="Cambria" w:hAnsi="Cambria"/>
          <w:sz w:val="20"/>
          <w:szCs w:val="20"/>
          <w:lang w:val="es-VE"/>
        </w:rPr>
      </w:pPr>
      <w:r w:rsidRPr="009712EB">
        <w:rPr>
          <w:rFonts w:ascii="Cambria" w:hAnsi="Cambria"/>
          <w:sz w:val="20"/>
          <w:szCs w:val="20"/>
          <w:lang w:val="es-CO"/>
        </w:rPr>
        <w:t>E</w:t>
      </w:r>
      <w:r w:rsidRPr="00CD49F1">
        <w:rPr>
          <w:rFonts w:ascii="Cambria" w:hAnsi="Cambria"/>
          <w:sz w:val="20"/>
          <w:szCs w:val="20"/>
          <w:lang w:val="es-CO"/>
        </w:rPr>
        <w:t xml:space="preserve">n particular </w:t>
      </w:r>
      <w:r w:rsidR="00DD1CFC">
        <w:rPr>
          <w:rFonts w:ascii="Cambria" w:hAnsi="Cambria"/>
          <w:sz w:val="20"/>
          <w:szCs w:val="20"/>
          <w:lang w:val="es-CO"/>
        </w:rPr>
        <w:t xml:space="preserve">la parte peticionaria </w:t>
      </w:r>
      <w:r w:rsidRPr="00CD49F1">
        <w:rPr>
          <w:rFonts w:ascii="Cambria" w:hAnsi="Cambria"/>
          <w:sz w:val="20"/>
          <w:szCs w:val="20"/>
          <w:lang w:val="es-CO"/>
        </w:rPr>
        <w:t>argumenta</w:t>
      </w:r>
      <w:r w:rsidRPr="00CD49F1">
        <w:rPr>
          <w:rFonts w:ascii="Cambria" w:hAnsi="Cambria"/>
          <w:sz w:val="20"/>
          <w:szCs w:val="20"/>
          <w:lang w:val="es-VE"/>
        </w:rPr>
        <w:t xml:space="preserve"> </w:t>
      </w:r>
      <w:r w:rsidR="00DD1CFC">
        <w:rPr>
          <w:rFonts w:ascii="Cambria" w:hAnsi="Cambria"/>
          <w:sz w:val="20"/>
          <w:szCs w:val="20"/>
          <w:lang w:val="es-VE"/>
        </w:rPr>
        <w:t xml:space="preserve">que el Estado es responsable por </w:t>
      </w:r>
      <w:r w:rsidRPr="00CD49F1">
        <w:rPr>
          <w:rFonts w:ascii="Cambria" w:hAnsi="Cambria"/>
          <w:sz w:val="20"/>
          <w:szCs w:val="20"/>
          <w:lang w:val="es-VE"/>
        </w:rPr>
        <w:t xml:space="preserve">el uso de fuerza militar de manera excesiva y el bombardeo aéreo indiscriminado </w:t>
      </w:r>
      <w:r w:rsidRPr="00CD49F1">
        <w:rPr>
          <w:rFonts w:ascii="Cambria" w:hAnsi="Cambria"/>
          <w:sz w:val="20"/>
          <w:szCs w:val="20"/>
          <w:lang w:val="es-CO"/>
        </w:rPr>
        <w:t xml:space="preserve">en comunidades residenciales muy pobladas de Panamá, específicamente en la ciudad de Panamá y la ciudad de Colón, </w:t>
      </w:r>
      <w:r w:rsidR="00DD1CFC">
        <w:rPr>
          <w:rFonts w:ascii="Cambria" w:hAnsi="Cambria"/>
          <w:sz w:val="20"/>
          <w:szCs w:val="20"/>
          <w:lang w:val="es-CO"/>
        </w:rPr>
        <w:t xml:space="preserve"> lo cual</w:t>
      </w:r>
      <w:r w:rsidR="00C16CB8" w:rsidRPr="00CD49F1">
        <w:rPr>
          <w:rFonts w:ascii="Cambria" w:hAnsi="Cambria"/>
          <w:sz w:val="20"/>
          <w:szCs w:val="20"/>
          <w:lang w:val="es-CO"/>
        </w:rPr>
        <w:t xml:space="preserve"> </w:t>
      </w:r>
      <w:r w:rsidRPr="00CD49F1">
        <w:rPr>
          <w:rFonts w:ascii="Cambria" w:hAnsi="Cambria"/>
          <w:sz w:val="20"/>
          <w:szCs w:val="20"/>
          <w:lang w:val="es-VE"/>
        </w:rPr>
        <w:t xml:space="preserve">“privó a miles de panameños de sus vidas y amenazó la seguridad personal de aquellos que sobrevivieron” </w:t>
      </w:r>
      <w:r w:rsidRPr="00CD49F1">
        <w:rPr>
          <w:rFonts w:ascii="Cambria" w:hAnsi="Cambria"/>
          <w:sz w:val="20"/>
          <w:szCs w:val="20"/>
          <w:lang w:val="es-CO"/>
        </w:rPr>
        <w:t>constituyendo una violación grave a los principios internacionales afianzados que buscan proteger a los civiles.</w:t>
      </w:r>
    </w:p>
    <w:p w:rsidR="00605F3A" w:rsidRPr="00CD49F1" w:rsidRDefault="00605F3A" w:rsidP="009712EB">
      <w:pPr>
        <w:ind w:left="720"/>
        <w:jc w:val="both"/>
        <w:rPr>
          <w:rFonts w:ascii="Cambria" w:hAnsi="Cambria"/>
          <w:sz w:val="20"/>
          <w:szCs w:val="20"/>
          <w:lang w:val="es-VE"/>
        </w:rPr>
      </w:pPr>
    </w:p>
    <w:p w:rsidR="00E71067" w:rsidRPr="00CD49F1" w:rsidRDefault="00E71067" w:rsidP="003B6A9B">
      <w:pPr>
        <w:numPr>
          <w:ilvl w:val="0"/>
          <w:numId w:val="55"/>
        </w:numPr>
        <w:ind w:left="0" w:firstLine="720"/>
        <w:jc w:val="both"/>
        <w:rPr>
          <w:rFonts w:ascii="Cambria" w:hAnsi="Cambria"/>
          <w:sz w:val="20"/>
          <w:szCs w:val="20"/>
          <w:lang w:val="es-VE"/>
        </w:rPr>
      </w:pPr>
      <w:r w:rsidRPr="00CD49F1">
        <w:rPr>
          <w:rFonts w:ascii="Cambria" w:hAnsi="Cambria"/>
          <w:sz w:val="20"/>
          <w:szCs w:val="20"/>
          <w:lang w:val="es-CO"/>
        </w:rPr>
        <w:t xml:space="preserve">De acuerdo con la parte peticionaria, las razones presentadas por </w:t>
      </w:r>
      <w:r w:rsidR="00DD1CFC">
        <w:rPr>
          <w:rFonts w:ascii="Cambria" w:hAnsi="Cambria"/>
          <w:sz w:val="20"/>
          <w:szCs w:val="20"/>
          <w:lang w:val="es-CO"/>
        </w:rPr>
        <w:t xml:space="preserve">Estados Unidos </w:t>
      </w:r>
      <w:r w:rsidRPr="00CD49F1">
        <w:rPr>
          <w:rFonts w:ascii="Cambria" w:hAnsi="Cambria"/>
          <w:sz w:val="20"/>
          <w:szCs w:val="20"/>
          <w:lang w:val="es-CO"/>
        </w:rPr>
        <w:t xml:space="preserve">no cumplen con las condiciones requeridas por el Artículo 51 de la Carta de las Naciones Unidas para el uso de </w:t>
      </w:r>
      <w:r w:rsidR="00DD1CFC">
        <w:rPr>
          <w:rFonts w:ascii="Cambria" w:hAnsi="Cambria"/>
          <w:sz w:val="20"/>
          <w:szCs w:val="20"/>
          <w:lang w:val="es-CO"/>
        </w:rPr>
        <w:t>la fuerza militar</w:t>
      </w:r>
      <w:r w:rsidRPr="00CD49F1">
        <w:rPr>
          <w:rFonts w:ascii="Cambria" w:hAnsi="Cambria"/>
          <w:sz w:val="20"/>
          <w:szCs w:val="20"/>
          <w:lang w:val="es-CO"/>
        </w:rPr>
        <w:t xml:space="preserve"> como defensa. </w:t>
      </w:r>
      <w:r w:rsidR="00033BB5">
        <w:rPr>
          <w:rFonts w:ascii="Cambria" w:hAnsi="Cambria"/>
          <w:sz w:val="20"/>
          <w:szCs w:val="20"/>
          <w:lang w:val="es-CO"/>
        </w:rPr>
        <w:t>Sostiene</w:t>
      </w:r>
      <w:r w:rsidRPr="00CD49F1">
        <w:rPr>
          <w:rFonts w:ascii="Cambria" w:hAnsi="Cambria"/>
          <w:sz w:val="20"/>
          <w:szCs w:val="20"/>
          <w:lang w:val="es-CO"/>
        </w:rPr>
        <w:t xml:space="preserve"> que los hechos precedentes a la invasión militar no constituyeron “la amenaza de un ataque arm</w:t>
      </w:r>
      <w:r w:rsidR="00033BB5">
        <w:rPr>
          <w:rFonts w:ascii="Cambria" w:hAnsi="Cambria"/>
          <w:sz w:val="20"/>
          <w:szCs w:val="20"/>
          <w:lang w:val="es-CO"/>
        </w:rPr>
        <w:t>ado inminente requerido por la C</w:t>
      </w:r>
      <w:r w:rsidRPr="00CD49F1">
        <w:rPr>
          <w:rFonts w:ascii="Cambria" w:hAnsi="Cambria"/>
          <w:sz w:val="20"/>
          <w:szCs w:val="20"/>
          <w:lang w:val="es-CO"/>
        </w:rPr>
        <w:t xml:space="preserve">arta de la ONU para justificar </w:t>
      </w:r>
      <w:r w:rsidR="00033BB5">
        <w:rPr>
          <w:rFonts w:ascii="Cambria" w:hAnsi="Cambria"/>
          <w:sz w:val="20"/>
          <w:szCs w:val="20"/>
          <w:lang w:val="es-CO"/>
        </w:rPr>
        <w:t>el argumento</w:t>
      </w:r>
      <w:r w:rsidRPr="00CD49F1">
        <w:rPr>
          <w:rFonts w:ascii="Cambria" w:hAnsi="Cambria"/>
          <w:sz w:val="20"/>
          <w:szCs w:val="20"/>
          <w:lang w:val="es-CO"/>
        </w:rPr>
        <w:t xml:space="preserve"> de autodefensa”.</w:t>
      </w:r>
    </w:p>
    <w:p w:rsidR="00605F3A" w:rsidRPr="00CD49F1" w:rsidRDefault="00605F3A" w:rsidP="009712EB">
      <w:pPr>
        <w:ind w:left="720"/>
        <w:jc w:val="both"/>
        <w:rPr>
          <w:rFonts w:ascii="Cambria" w:hAnsi="Cambria"/>
          <w:sz w:val="20"/>
          <w:szCs w:val="20"/>
          <w:lang w:val="es-VE"/>
        </w:rPr>
      </w:pPr>
    </w:p>
    <w:p w:rsidR="00E71067" w:rsidRDefault="00E71067" w:rsidP="003B6A9B">
      <w:pPr>
        <w:numPr>
          <w:ilvl w:val="0"/>
          <w:numId w:val="55"/>
        </w:numPr>
        <w:ind w:left="0" w:firstLine="720"/>
        <w:jc w:val="both"/>
        <w:rPr>
          <w:rFonts w:ascii="Cambria" w:hAnsi="Cambria"/>
          <w:sz w:val="20"/>
          <w:szCs w:val="20"/>
          <w:lang w:val="es-VE"/>
        </w:rPr>
      </w:pPr>
      <w:r w:rsidRPr="00CD49F1">
        <w:rPr>
          <w:rFonts w:ascii="Cambria" w:hAnsi="Cambria"/>
          <w:sz w:val="20"/>
          <w:szCs w:val="20"/>
          <w:lang w:val="es-VE"/>
        </w:rPr>
        <w:t xml:space="preserve">La parte peticionaria explica </w:t>
      </w:r>
      <w:r w:rsidRPr="00CD49F1">
        <w:rPr>
          <w:rFonts w:ascii="Cambria" w:hAnsi="Cambria"/>
          <w:sz w:val="20"/>
          <w:szCs w:val="20"/>
          <w:lang w:val="es-CO"/>
        </w:rPr>
        <w:t xml:space="preserve">que la resolución de la Asamblea Nacional panameña </w:t>
      </w:r>
      <w:r w:rsidR="004A3FE0" w:rsidRPr="00CD49F1">
        <w:rPr>
          <w:rFonts w:ascii="Cambria" w:hAnsi="Cambria"/>
          <w:sz w:val="20"/>
          <w:szCs w:val="20"/>
          <w:lang w:val="es-CO"/>
        </w:rPr>
        <w:t xml:space="preserve">mediante la cual se declaró un estado de guerra </w:t>
      </w:r>
      <w:r w:rsidRPr="00CD49F1">
        <w:rPr>
          <w:rFonts w:ascii="Cambria" w:hAnsi="Cambria"/>
          <w:sz w:val="20"/>
          <w:szCs w:val="20"/>
          <w:lang w:val="es-CO"/>
        </w:rPr>
        <w:t>el 15 de diciembre 1989 no fue una declaración de guerra</w:t>
      </w:r>
      <w:r w:rsidR="00033BB5">
        <w:rPr>
          <w:rFonts w:ascii="Cambria" w:hAnsi="Cambria"/>
          <w:sz w:val="20"/>
          <w:szCs w:val="20"/>
          <w:lang w:val="es-CO"/>
        </w:rPr>
        <w:t xml:space="preserve"> como tal</w:t>
      </w:r>
      <w:r w:rsidRPr="00CD49F1">
        <w:rPr>
          <w:rFonts w:ascii="Cambria" w:hAnsi="Cambria"/>
          <w:sz w:val="20"/>
          <w:szCs w:val="20"/>
          <w:lang w:val="es-CO"/>
        </w:rPr>
        <w:t xml:space="preserve">, y no contenía ninguna indicación de que Panamá intentaría atacar a los Estados Unidos. </w:t>
      </w:r>
      <w:r w:rsidRPr="00CD49F1">
        <w:rPr>
          <w:rFonts w:ascii="Cambria" w:hAnsi="Cambria"/>
          <w:sz w:val="20"/>
          <w:szCs w:val="20"/>
          <w:lang w:val="es-VE"/>
        </w:rPr>
        <w:t>Por el contrario, fue una respuesta a acciones y provocaciones, tales como las sanciones económicas impuestas a Panamá en 1987 y el congelamiento de bienes panameños en Estados Unidos. En este sentido la parte peticionaria afirma que la Asamblea Nacional Panameña, al habilitarle al General</w:t>
      </w:r>
      <w:r w:rsidR="00033BB5">
        <w:rPr>
          <w:rFonts w:ascii="Cambria" w:hAnsi="Cambria"/>
          <w:sz w:val="20"/>
          <w:szCs w:val="20"/>
          <w:lang w:val="es-VE"/>
        </w:rPr>
        <w:t xml:space="preserve"> Manuel</w:t>
      </w:r>
      <w:r w:rsidRPr="00CD49F1">
        <w:rPr>
          <w:rFonts w:ascii="Cambria" w:hAnsi="Cambria"/>
          <w:sz w:val="20"/>
          <w:szCs w:val="20"/>
          <w:lang w:val="es-VE"/>
        </w:rPr>
        <w:t xml:space="preserve"> Noriega poderes extraordinarios, declaró a la República de Panamá “en estado de guerra” mientras “los actos de agresión de los Estados Unidos en contra del pueblo panameño continúen”. </w:t>
      </w:r>
    </w:p>
    <w:p w:rsidR="00F550FD" w:rsidRPr="00CD49F1" w:rsidRDefault="00F550FD" w:rsidP="00F550FD">
      <w:pPr>
        <w:ind w:left="720"/>
        <w:jc w:val="both"/>
        <w:rPr>
          <w:rFonts w:ascii="Cambria" w:hAnsi="Cambria"/>
          <w:sz w:val="20"/>
          <w:szCs w:val="20"/>
          <w:lang w:val="es-VE"/>
        </w:rPr>
      </w:pPr>
    </w:p>
    <w:p w:rsidR="00E71067" w:rsidRPr="00CD49F1" w:rsidRDefault="00E71067" w:rsidP="003B6A9B">
      <w:pPr>
        <w:pStyle w:val="ListParagraph"/>
        <w:numPr>
          <w:ilvl w:val="0"/>
          <w:numId w:val="55"/>
        </w:numPr>
        <w:ind w:left="0" w:firstLine="720"/>
        <w:jc w:val="both"/>
        <w:rPr>
          <w:color w:val="auto"/>
          <w:sz w:val="20"/>
          <w:szCs w:val="20"/>
          <w:lang w:val="es-VE"/>
        </w:rPr>
      </w:pPr>
      <w:r w:rsidRPr="00CD49F1">
        <w:rPr>
          <w:color w:val="auto"/>
          <w:sz w:val="20"/>
          <w:szCs w:val="20"/>
          <w:lang w:val="es-VE"/>
        </w:rPr>
        <w:t xml:space="preserve">La parte peticionaria sostiene que los incidentes con oficiales </w:t>
      </w:r>
      <w:r w:rsidR="009A0701" w:rsidRPr="00CD49F1">
        <w:rPr>
          <w:color w:val="auto"/>
          <w:sz w:val="20"/>
          <w:szCs w:val="20"/>
          <w:lang w:val="es-VE"/>
        </w:rPr>
        <w:t xml:space="preserve">y </w:t>
      </w:r>
      <w:r w:rsidRPr="00CD49F1">
        <w:rPr>
          <w:color w:val="auto"/>
          <w:sz w:val="20"/>
          <w:szCs w:val="20"/>
          <w:lang w:val="es-VE"/>
        </w:rPr>
        <w:t xml:space="preserve">ciudadanos estadounidenses que fueron tomados por los Estados Unidos como detonantes de la invasión </w:t>
      </w:r>
      <w:r w:rsidRPr="00CD49F1">
        <w:rPr>
          <w:color w:val="auto"/>
          <w:sz w:val="20"/>
          <w:szCs w:val="20"/>
          <w:lang w:val="es-CO"/>
        </w:rPr>
        <w:t>eran insuficiente</w:t>
      </w:r>
      <w:r w:rsidR="009A0701" w:rsidRPr="00CD49F1">
        <w:rPr>
          <w:color w:val="auto"/>
          <w:sz w:val="20"/>
          <w:szCs w:val="20"/>
          <w:lang w:val="es-CO"/>
        </w:rPr>
        <w:t>s</w:t>
      </w:r>
      <w:r w:rsidRPr="00CD49F1">
        <w:rPr>
          <w:color w:val="auto"/>
          <w:sz w:val="20"/>
          <w:szCs w:val="20"/>
          <w:lang w:val="es-CO"/>
        </w:rPr>
        <w:t xml:space="preserve"> para justificar una invasión de la nación ofensiva. Asimismo </w:t>
      </w:r>
      <w:r w:rsidR="00033BB5">
        <w:rPr>
          <w:color w:val="auto"/>
          <w:sz w:val="20"/>
          <w:szCs w:val="20"/>
          <w:lang w:val="es-CO"/>
        </w:rPr>
        <w:t xml:space="preserve">la parte peticionaria sostiene </w:t>
      </w:r>
      <w:r w:rsidRPr="00CD49F1">
        <w:rPr>
          <w:color w:val="auto"/>
          <w:sz w:val="20"/>
          <w:szCs w:val="20"/>
          <w:lang w:val="es-CO"/>
        </w:rPr>
        <w:t xml:space="preserve">que la “defensa de la democracia” como justificación para invadir una nación soberana no </w:t>
      </w:r>
      <w:r w:rsidR="00033BB5">
        <w:rPr>
          <w:color w:val="auto"/>
          <w:sz w:val="20"/>
          <w:szCs w:val="20"/>
          <w:lang w:val="es-CO"/>
        </w:rPr>
        <w:t xml:space="preserve">presenta ningún </w:t>
      </w:r>
      <w:r w:rsidRPr="00CD49F1">
        <w:rPr>
          <w:color w:val="auto"/>
          <w:sz w:val="20"/>
          <w:szCs w:val="20"/>
          <w:lang w:val="es-CO"/>
        </w:rPr>
        <w:t>fundamento legal</w:t>
      </w:r>
      <w:r w:rsidR="00033BB5">
        <w:rPr>
          <w:color w:val="auto"/>
          <w:sz w:val="20"/>
          <w:szCs w:val="20"/>
          <w:lang w:val="es-CO"/>
        </w:rPr>
        <w:t xml:space="preserve"> bajo</w:t>
      </w:r>
      <w:r w:rsidRPr="00CD49F1">
        <w:rPr>
          <w:color w:val="auto"/>
          <w:sz w:val="20"/>
          <w:szCs w:val="20"/>
          <w:lang w:val="es-CO"/>
        </w:rPr>
        <w:t xml:space="preserve"> el derecho internacional para un ataque militar. </w:t>
      </w:r>
      <w:r w:rsidRPr="00CD49F1">
        <w:rPr>
          <w:color w:val="auto"/>
          <w:sz w:val="20"/>
          <w:szCs w:val="20"/>
          <w:lang w:val="es-VE"/>
        </w:rPr>
        <w:t xml:space="preserve">En cuanto a la existencia de un derecho a proteger al Canal de Panamá bajo el Tratado del Canal de </w:t>
      </w:r>
      <w:r w:rsidR="009A0701" w:rsidRPr="00CD49F1">
        <w:rPr>
          <w:color w:val="auto"/>
          <w:sz w:val="20"/>
          <w:szCs w:val="20"/>
          <w:lang w:val="es-VE"/>
        </w:rPr>
        <w:t>P</w:t>
      </w:r>
      <w:r w:rsidRPr="00CD49F1">
        <w:rPr>
          <w:color w:val="auto"/>
          <w:sz w:val="20"/>
          <w:szCs w:val="20"/>
          <w:lang w:val="es-VE"/>
        </w:rPr>
        <w:t>anamá y el Tratado</w:t>
      </w:r>
      <w:r w:rsidRPr="00CD49F1">
        <w:rPr>
          <w:bCs/>
          <w:color w:val="auto"/>
          <w:sz w:val="20"/>
          <w:szCs w:val="20"/>
          <w:lang w:val="es-CO"/>
        </w:rPr>
        <w:t xml:space="preserve"> Concerniente a la Neutralidad Permanente y Funcionamiento del Canal de Panamá</w:t>
      </w:r>
      <w:r w:rsidR="004A3FE0" w:rsidRPr="00CD49F1">
        <w:rPr>
          <w:color w:val="auto"/>
          <w:sz w:val="20"/>
          <w:szCs w:val="20"/>
          <w:lang w:val="es-VE"/>
        </w:rPr>
        <w:t xml:space="preserve"> </w:t>
      </w:r>
      <w:r w:rsidR="004A3FE0" w:rsidRPr="00CD49F1">
        <w:rPr>
          <w:bCs/>
          <w:color w:val="auto"/>
          <w:sz w:val="20"/>
          <w:szCs w:val="20"/>
          <w:lang w:val="es-CO"/>
        </w:rPr>
        <w:t>invocado por los Estados Unidos</w:t>
      </w:r>
      <w:r w:rsidRPr="00CD49F1">
        <w:rPr>
          <w:color w:val="auto"/>
          <w:sz w:val="20"/>
          <w:szCs w:val="20"/>
          <w:lang w:val="es-VE"/>
        </w:rPr>
        <w:t xml:space="preserve"> para justificar su intervención militar</w:t>
      </w:r>
      <w:r w:rsidR="004A3FE0" w:rsidRPr="00CD49F1">
        <w:rPr>
          <w:color w:val="auto"/>
          <w:sz w:val="20"/>
          <w:szCs w:val="20"/>
          <w:lang w:val="es-CO"/>
        </w:rPr>
        <w:t>,</w:t>
      </w:r>
      <w:r w:rsidRPr="00CD49F1">
        <w:rPr>
          <w:color w:val="auto"/>
          <w:sz w:val="20"/>
          <w:szCs w:val="20"/>
          <w:lang w:val="es-VE"/>
        </w:rPr>
        <w:t xml:space="preserve"> la parte peticionaria alega que dichos tratados le otorgaban a Estados Unidos el derecho a proteger el Canal en caso de que el tráfico naval estuviese en riesgo, pero no el derecho a intervenir militarmente. </w:t>
      </w:r>
    </w:p>
    <w:p w:rsidR="00605F3A" w:rsidRPr="00CD49F1" w:rsidRDefault="00605F3A" w:rsidP="009712EB">
      <w:pPr>
        <w:ind w:left="720"/>
        <w:jc w:val="both"/>
        <w:rPr>
          <w:rFonts w:ascii="Cambria" w:hAnsi="Cambria"/>
          <w:sz w:val="20"/>
          <w:szCs w:val="20"/>
          <w:lang w:val="es-VE"/>
        </w:rPr>
      </w:pPr>
    </w:p>
    <w:p w:rsidR="00E71067" w:rsidRPr="00CD49F1" w:rsidRDefault="00E71067" w:rsidP="003B6A9B">
      <w:pPr>
        <w:numPr>
          <w:ilvl w:val="0"/>
          <w:numId w:val="55"/>
        </w:numPr>
        <w:ind w:left="0" w:firstLine="720"/>
        <w:jc w:val="both"/>
        <w:rPr>
          <w:rFonts w:ascii="Cambria" w:hAnsi="Cambria"/>
          <w:sz w:val="20"/>
          <w:szCs w:val="20"/>
          <w:lang w:val="es-VE"/>
        </w:rPr>
      </w:pPr>
      <w:r w:rsidRPr="00CD49F1">
        <w:rPr>
          <w:rFonts w:ascii="Cambria" w:hAnsi="Cambria"/>
          <w:sz w:val="20"/>
          <w:szCs w:val="20"/>
          <w:lang w:val="es-VE"/>
        </w:rPr>
        <w:t xml:space="preserve">La parte peticionaria </w:t>
      </w:r>
      <w:r w:rsidR="00123AFC">
        <w:rPr>
          <w:rFonts w:ascii="Cambria" w:hAnsi="Cambria"/>
          <w:sz w:val="20"/>
          <w:szCs w:val="20"/>
          <w:lang w:val="es-VE"/>
        </w:rPr>
        <w:t>enfatiza</w:t>
      </w:r>
      <w:r w:rsidRPr="00CD49F1">
        <w:rPr>
          <w:rFonts w:ascii="Cambria" w:hAnsi="Cambria"/>
          <w:sz w:val="20"/>
          <w:szCs w:val="20"/>
          <w:lang w:val="es-VE"/>
        </w:rPr>
        <w:t xml:space="preserve"> que, en un acuerdo de entendimiento suscrito por ambos Estados, estos acordaron que la norma sobre el derecho al </w:t>
      </w:r>
      <w:r w:rsidR="00123AFC">
        <w:rPr>
          <w:rFonts w:ascii="Cambria" w:hAnsi="Cambria"/>
          <w:sz w:val="20"/>
          <w:szCs w:val="20"/>
          <w:lang w:val="es-VE"/>
        </w:rPr>
        <w:t xml:space="preserve">uso de la fuerza no implicaba ni incluía </w:t>
      </w:r>
      <w:r w:rsidRPr="00CD49F1">
        <w:rPr>
          <w:rFonts w:ascii="Cambria" w:hAnsi="Cambria"/>
          <w:sz w:val="20"/>
          <w:szCs w:val="20"/>
          <w:lang w:val="es-VE"/>
        </w:rPr>
        <w:t>el “derecho de Estados Unidos a intervenir en los asuntos internos de Panamá”. Las acciones de Estados Unidos</w:t>
      </w:r>
      <w:r w:rsidR="00123AFC">
        <w:rPr>
          <w:rFonts w:ascii="Cambria" w:hAnsi="Cambria"/>
          <w:sz w:val="20"/>
          <w:szCs w:val="20"/>
          <w:lang w:val="es-VE"/>
        </w:rPr>
        <w:t xml:space="preserve"> </w:t>
      </w:r>
      <w:r w:rsidRPr="00CD49F1">
        <w:rPr>
          <w:rFonts w:ascii="Cambria" w:hAnsi="Cambria"/>
          <w:sz w:val="20"/>
          <w:szCs w:val="20"/>
          <w:lang w:val="es-VE"/>
        </w:rPr>
        <w:t xml:space="preserve">debían estar </w:t>
      </w:r>
      <w:r w:rsidR="00123AFC">
        <w:rPr>
          <w:rFonts w:ascii="Cambria" w:hAnsi="Cambria"/>
          <w:sz w:val="20"/>
          <w:szCs w:val="20"/>
          <w:lang w:val="es-VE"/>
        </w:rPr>
        <w:t xml:space="preserve">solo </w:t>
      </w:r>
      <w:r w:rsidRPr="00CD49F1">
        <w:rPr>
          <w:rFonts w:ascii="Cambria" w:hAnsi="Cambria"/>
          <w:sz w:val="20"/>
          <w:szCs w:val="20"/>
          <w:lang w:val="es-VE"/>
        </w:rPr>
        <w:t xml:space="preserve">dirigidas a asegurar que el Canal permaneciera abierto, seguro y asequible. De acuerdo con la parte peticionaria, si bien los Estados Unidos alegaba que el gobierno de Panamá había acosado a personal estadounidense y que estas amenazas interferían con las operaciones del Canal, estas actividades no habían impedido el funcionamiento del </w:t>
      </w:r>
      <w:r w:rsidR="00C16CB8" w:rsidRPr="00CD49F1">
        <w:rPr>
          <w:rFonts w:ascii="Cambria" w:hAnsi="Cambria"/>
          <w:sz w:val="20"/>
          <w:szCs w:val="20"/>
          <w:lang w:val="es-VE"/>
        </w:rPr>
        <w:t>C</w:t>
      </w:r>
      <w:r w:rsidRPr="00CD49F1">
        <w:rPr>
          <w:rFonts w:ascii="Cambria" w:hAnsi="Cambria"/>
          <w:sz w:val="20"/>
          <w:szCs w:val="20"/>
          <w:lang w:val="es-VE"/>
        </w:rPr>
        <w:t xml:space="preserve">anal. </w:t>
      </w:r>
    </w:p>
    <w:p w:rsidR="00605F3A" w:rsidRPr="00CD49F1" w:rsidRDefault="00605F3A" w:rsidP="009712EB">
      <w:pPr>
        <w:ind w:left="720"/>
        <w:jc w:val="both"/>
        <w:rPr>
          <w:rFonts w:ascii="Cambria" w:hAnsi="Cambria"/>
          <w:sz w:val="20"/>
          <w:szCs w:val="20"/>
          <w:lang w:val="es-VE"/>
        </w:rPr>
      </w:pPr>
    </w:p>
    <w:p w:rsidR="00E71067" w:rsidRPr="009712EB" w:rsidRDefault="00E71067" w:rsidP="003B6A9B">
      <w:pPr>
        <w:numPr>
          <w:ilvl w:val="0"/>
          <w:numId w:val="55"/>
        </w:numPr>
        <w:ind w:left="0" w:firstLine="720"/>
        <w:jc w:val="both"/>
        <w:rPr>
          <w:rFonts w:ascii="Cambria" w:hAnsi="Cambria"/>
          <w:sz w:val="20"/>
          <w:szCs w:val="20"/>
          <w:lang w:val="es-VE"/>
        </w:rPr>
      </w:pPr>
      <w:r w:rsidRPr="00CD49F1">
        <w:rPr>
          <w:rFonts w:ascii="Cambria" w:hAnsi="Cambria"/>
          <w:sz w:val="20"/>
          <w:szCs w:val="20"/>
          <w:lang w:val="es-VE"/>
        </w:rPr>
        <w:t xml:space="preserve">La parte peticionaria sostiene que </w:t>
      </w:r>
      <w:r w:rsidR="00123AFC">
        <w:rPr>
          <w:rFonts w:ascii="Cambria" w:hAnsi="Cambria"/>
          <w:sz w:val="20"/>
          <w:szCs w:val="20"/>
          <w:lang w:val="es-VE"/>
        </w:rPr>
        <w:t>la planificación inicial</w:t>
      </w:r>
      <w:r w:rsidRPr="00CD49F1">
        <w:rPr>
          <w:rFonts w:ascii="Cambria" w:hAnsi="Cambria"/>
          <w:sz w:val="20"/>
          <w:szCs w:val="20"/>
          <w:lang w:val="es-VE"/>
        </w:rPr>
        <w:t xml:space="preserve"> para la invasión </w:t>
      </w:r>
      <w:r w:rsidR="00123AFC">
        <w:rPr>
          <w:rFonts w:ascii="Cambria" w:hAnsi="Cambria"/>
          <w:sz w:val="20"/>
          <w:szCs w:val="20"/>
          <w:lang w:val="es-VE"/>
        </w:rPr>
        <w:t>comenzó</w:t>
      </w:r>
      <w:r w:rsidRPr="00CD49F1">
        <w:rPr>
          <w:rFonts w:ascii="Cambria" w:hAnsi="Cambria"/>
          <w:sz w:val="20"/>
          <w:szCs w:val="20"/>
          <w:lang w:val="es-VE"/>
        </w:rPr>
        <w:t xml:space="preserve"> por orden de los “Joint Chiefs of Staff” de los Estados Unidos en febrero de 1988 luego de la imputación por </w:t>
      </w:r>
      <w:r w:rsidR="004A3FE0" w:rsidRPr="00CD49F1">
        <w:rPr>
          <w:rFonts w:ascii="Cambria" w:hAnsi="Cambria"/>
          <w:sz w:val="20"/>
          <w:szCs w:val="20"/>
          <w:lang w:val="es-VE"/>
        </w:rPr>
        <w:t>Estados Unidos</w:t>
      </w:r>
      <w:r w:rsidRPr="00CD49F1">
        <w:rPr>
          <w:rFonts w:ascii="Cambria" w:hAnsi="Cambria"/>
          <w:sz w:val="20"/>
          <w:szCs w:val="20"/>
          <w:lang w:val="es-VE"/>
        </w:rPr>
        <w:t xml:space="preserve"> al Ge</w:t>
      </w:r>
      <w:r w:rsidR="00123AFC">
        <w:rPr>
          <w:rFonts w:ascii="Cambria" w:hAnsi="Cambria"/>
          <w:sz w:val="20"/>
          <w:szCs w:val="20"/>
          <w:lang w:val="es-VE"/>
        </w:rPr>
        <w:t>neral Manuel Antonio Noriega de</w:t>
      </w:r>
      <w:r w:rsidRPr="00CD49F1">
        <w:rPr>
          <w:rFonts w:ascii="Cambria" w:hAnsi="Cambria"/>
          <w:sz w:val="20"/>
          <w:szCs w:val="20"/>
          <w:lang w:val="es-VE"/>
        </w:rPr>
        <w:t xml:space="preserve"> crímenes relacionados con el tráfico de drogas y otros ilícitos de la ley estadounidense. En este sentido </w:t>
      </w:r>
      <w:r w:rsidR="00123AFC">
        <w:rPr>
          <w:rFonts w:ascii="Cambria" w:hAnsi="Cambria"/>
          <w:sz w:val="20"/>
          <w:szCs w:val="20"/>
          <w:lang w:val="es-VE"/>
        </w:rPr>
        <w:t xml:space="preserve">la parte peticionaria </w:t>
      </w:r>
      <w:r w:rsidRPr="00CD49F1">
        <w:rPr>
          <w:rFonts w:ascii="Cambria" w:hAnsi="Cambria"/>
          <w:sz w:val="20"/>
          <w:szCs w:val="20"/>
          <w:lang w:val="es-VE"/>
        </w:rPr>
        <w:t>insiste que, con anterioridad al ataque militar e invasión, Estado</w:t>
      </w:r>
      <w:r w:rsidR="004A3FE0" w:rsidRPr="00CD49F1">
        <w:rPr>
          <w:rFonts w:ascii="Cambria" w:hAnsi="Cambria"/>
          <w:sz w:val="20"/>
          <w:szCs w:val="20"/>
          <w:lang w:val="es-VE"/>
        </w:rPr>
        <w:t>s Unidos</w:t>
      </w:r>
      <w:r w:rsidRPr="00CD49F1">
        <w:rPr>
          <w:rFonts w:ascii="Cambria" w:hAnsi="Cambria"/>
          <w:sz w:val="20"/>
          <w:szCs w:val="20"/>
          <w:lang w:val="es-VE"/>
        </w:rPr>
        <w:t xml:space="preserve"> tenía un exhaustivo conocimiento de Panamá, de la composición de las Fuerzas de Defensas Panameñas, de la ubicación de sus cuarte</w:t>
      </w:r>
      <w:r w:rsidR="00C16CB8" w:rsidRPr="00CD49F1">
        <w:rPr>
          <w:rFonts w:ascii="Cambria" w:hAnsi="Cambria"/>
          <w:sz w:val="20"/>
          <w:szCs w:val="20"/>
          <w:lang w:val="es-VE"/>
        </w:rPr>
        <w:t>le</w:t>
      </w:r>
      <w:r w:rsidRPr="00CD49F1">
        <w:rPr>
          <w:rFonts w:ascii="Cambria" w:hAnsi="Cambria"/>
          <w:sz w:val="20"/>
          <w:szCs w:val="20"/>
          <w:lang w:val="es-VE"/>
        </w:rPr>
        <w:t xml:space="preserve">s </w:t>
      </w:r>
      <w:r w:rsidR="00D717CE" w:rsidRPr="00CD49F1">
        <w:rPr>
          <w:rFonts w:ascii="Cambria" w:hAnsi="Cambria"/>
          <w:sz w:val="20"/>
          <w:szCs w:val="20"/>
          <w:lang w:val="es-VE"/>
        </w:rPr>
        <w:t>gener</w:t>
      </w:r>
      <w:r w:rsidR="00D717CE" w:rsidRPr="009712EB">
        <w:rPr>
          <w:rFonts w:ascii="Cambria" w:hAnsi="Cambria"/>
          <w:sz w:val="20"/>
          <w:szCs w:val="20"/>
          <w:lang w:val="es-VE"/>
        </w:rPr>
        <w:t>ales,</w:t>
      </w:r>
      <w:r w:rsidRPr="009712EB">
        <w:rPr>
          <w:rFonts w:ascii="Cambria" w:hAnsi="Cambria"/>
          <w:sz w:val="20"/>
          <w:szCs w:val="20"/>
          <w:lang w:val="es-VE"/>
        </w:rPr>
        <w:t xml:space="preserve"> </w:t>
      </w:r>
      <w:r w:rsidR="00C16CB8" w:rsidRPr="009712EB">
        <w:rPr>
          <w:rFonts w:ascii="Cambria" w:hAnsi="Cambria"/>
          <w:sz w:val="20"/>
          <w:szCs w:val="20"/>
          <w:lang w:val="es-VE"/>
        </w:rPr>
        <w:t>así como</w:t>
      </w:r>
      <w:r w:rsidRPr="009712EB">
        <w:rPr>
          <w:rFonts w:ascii="Cambria" w:hAnsi="Cambria"/>
          <w:sz w:val="20"/>
          <w:szCs w:val="20"/>
          <w:lang w:val="es-VE"/>
        </w:rPr>
        <w:t xml:space="preserve"> conocimiento específico del alto número de civiles y negocios que se ubicaban en las proximidades de las áreas militares. </w:t>
      </w:r>
    </w:p>
    <w:p w:rsidR="00605F3A" w:rsidRPr="009712EB" w:rsidRDefault="00605F3A" w:rsidP="009712EB">
      <w:pPr>
        <w:ind w:left="720"/>
        <w:jc w:val="both"/>
        <w:rPr>
          <w:rFonts w:ascii="Cambria" w:hAnsi="Cambria"/>
          <w:sz w:val="20"/>
          <w:szCs w:val="20"/>
          <w:lang w:val="es-VE"/>
        </w:rPr>
      </w:pPr>
    </w:p>
    <w:p w:rsidR="00E71067" w:rsidRPr="009712EB" w:rsidRDefault="00700040" w:rsidP="003B6A9B">
      <w:pPr>
        <w:numPr>
          <w:ilvl w:val="0"/>
          <w:numId w:val="55"/>
        </w:numPr>
        <w:ind w:left="0" w:firstLine="720"/>
        <w:jc w:val="both"/>
        <w:rPr>
          <w:rFonts w:ascii="Cambria" w:hAnsi="Cambria"/>
          <w:sz w:val="20"/>
          <w:szCs w:val="20"/>
          <w:lang w:val="es-VE"/>
        </w:rPr>
      </w:pPr>
      <w:r>
        <w:rPr>
          <w:rFonts w:ascii="Cambria" w:hAnsi="Cambria"/>
          <w:sz w:val="20"/>
          <w:szCs w:val="20"/>
          <w:lang w:val="es-VE"/>
        </w:rPr>
        <w:t>A partir de</w:t>
      </w:r>
      <w:r w:rsidR="00E71067" w:rsidRPr="009712EB">
        <w:rPr>
          <w:rFonts w:ascii="Cambria" w:hAnsi="Cambria"/>
          <w:sz w:val="20"/>
          <w:szCs w:val="20"/>
          <w:lang w:val="es-VE"/>
        </w:rPr>
        <w:t xml:space="preserve"> 1988, la parte peticionaria sostiene que las Fuerzas de Defensas Panameñas estaban integradas por 15.000 unidades con menos de la mitad considerada lista para combate y el resto encargados de deberes policiales, de inmigración, aduanas y otros deberes de naturaleza civil. </w:t>
      </w:r>
    </w:p>
    <w:p w:rsidR="00605F3A" w:rsidRPr="009712EB" w:rsidRDefault="00605F3A" w:rsidP="009712EB">
      <w:pPr>
        <w:ind w:left="720"/>
        <w:jc w:val="both"/>
        <w:rPr>
          <w:rFonts w:ascii="Cambria" w:hAnsi="Cambria"/>
          <w:sz w:val="20"/>
          <w:szCs w:val="20"/>
          <w:lang w:val="es-VE"/>
        </w:rPr>
      </w:pPr>
    </w:p>
    <w:p w:rsidR="00E71067" w:rsidRPr="009712EB" w:rsidRDefault="00E71067" w:rsidP="003B6A9B">
      <w:pPr>
        <w:numPr>
          <w:ilvl w:val="0"/>
          <w:numId w:val="55"/>
        </w:numPr>
        <w:ind w:left="0" w:firstLine="720"/>
        <w:jc w:val="both"/>
        <w:rPr>
          <w:rFonts w:ascii="Cambria" w:hAnsi="Cambria"/>
          <w:sz w:val="20"/>
          <w:szCs w:val="20"/>
          <w:lang w:val="es-VE"/>
        </w:rPr>
      </w:pPr>
      <w:r w:rsidRPr="009712EB">
        <w:rPr>
          <w:rFonts w:ascii="Cambria" w:hAnsi="Cambria"/>
          <w:sz w:val="20"/>
          <w:szCs w:val="20"/>
          <w:lang w:val="es-VE"/>
        </w:rPr>
        <w:t xml:space="preserve">La parte peticionaria reclama que hubo una planificación para evacuar a los civiles estadounidenses de las áreas de la ciudad de Panamá y de Colón, y una ausencia de planificación para desalojar </w:t>
      </w:r>
      <w:r w:rsidRPr="009712EB">
        <w:rPr>
          <w:rFonts w:ascii="Cambria" w:hAnsi="Cambria"/>
          <w:sz w:val="20"/>
          <w:szCs w:val="20"/>
          <w:lang w:val="es-VE"/>
        </w:rPr>
        <w:lastRenderedPageBreak/>
        <w:t xml:space="preserve">y proteger civiles panameños. Alega igualmente que </w:t>
      </w:r>
      <w:r w:rsidR="00700040">
        <w:rPr>
          <w:rFonts w:ascii="Cambria" w:hAnsi="Cambria"/>
          <w:sz w:val="20"/>
          <w:szCs w:val="20"/>
          <w:lang w:val="es-VE"/>
        </w:rPr>
        <w:t xml:space="preserve">el gobierno de los Estados Unidos </w:t>
      </w:r>
      <w:r w:rsidRPr="009712EB">
        <w:rPr>
          <w:rFonts w:ascii="Cambria" w:hAnsi="Cambria"/>
          <w:sz w:val="20"/>
          <w:szCs w:val="20"/>
          <w:lang w:val="es-VE"/>
        </w:rPr>
        <w:t xml:space="preserve">no </w:t>
      </w:r>
      <w:r w:rsidRPr="009712EB">
        <w:rPr>
          <w:rFonts w:ascii="Cambria" w:hAnsi="Cambria"/>
          <w:sz w:val="20"/>
          <w:szCs w:val="20"/>
          <w:lang w:val="es-CO"/>
        </w:rPr>
        <w:t xml:space="preserve">había </w:t>
      </w:r>
      <w:r w:rsidR="003A65FC">
        <w:rPr>
          <w:rFonts w:ascii="Cambria" w:hAnsi="Cambria"/>
          <w:sz w:val="20"/>
          <w:szCs w:val="20"/>
          <w:lang w:val="es-CO"/>
        </w:rPr>
        <w:t xml:space="preserve">preparado </w:t>
      </w:r>
      <w:r w:rsidRPr="009712EB">
        <w:rPr>
          <w:rFonts w:ascii="Cambria" w:hAnsi="Cambria"/>
          <w:sz w:val="20"/>
          <w:szCs w:val="20"/>
          <w:lang w:val="es-CO"/>
        </w:rPr>
        <w:t>suficiente</w:t>
      </w:r>
      <w:r w:rsidR="003A65FC">
        <w:rPr>
          <w:rFonts w:ascii="Cambria" w:hAnsi="Cambria"/>
          <w:sz w:val="20"/>
          <w:szCs w:val="20"/>
          <w:lang w:val="es-CO"/>
        </w:rPr>
        <w:t>mente</w:t>
      </w:r>
      <w:r w:rsidRPr="009712EB">
        <w:rPr>
          <w:rFonts w:ascii="Cambria" w:hAnsi="Cambria"/>
          <w:sz w:val="20"/>
          <w:szCs w:val="20"/>
          <w:lang w:val="es-CO"/>
        </w:rPr>
        <w:t xml:space="preserve"> ni </w:t>
      </w:r>
      <w:r w:rsidR="003A65FC">
        <w:rPr>
          <w:rFonts w:ascii="Cambria" w:hAnsi="Cambria"/>
          <w:sz w:val="20"/>
          <w:szCs w:val="20"/>
          <w:lang w:val="es-CO"/>
        </w:rPr>
        <w:t xml:space="preserve">seguido </w:t>
      </w:r>
      <w:r w:rsidRPr="009712EB">
        <w:rPr>
          <w:rFonts w:ascii="Cambria" w:hAnsi="Cambria"/>
          <w:sz w:val="20"/>
          <w:szCs w:val="20"/>
          <w:lang w:val="es-CO"/>
        </w:rPr>
        <w:t>con los procedimientos debidos para identificar, registrar y disponer de los restos humanos</w:t>
      </w:r>
      <w:r w:rsidR="003A65FC">
        <w:rPr>
          <w:rFonts w:ascii="Cambria" w:hAnsi="Cambria"/>
          <w:sz w:val="20"/>
          <w:szCs w:val="20"/>
          <w:lang w:val="es-CO"/>
        </w:rPr>
        <w:t xml:space="preserve"> de manera pronta y con el nivel necesario de detalle</w:t>
      </w:r>
      <w:r w:rsidRPr="009712EB">
        <w:rPr>
          <w:rFonts w:ascii="Cambria" w:hAnsi="Cambria"/>
          <w:sz w:val="20"/>
          <w:szCs w:val="20"/>
          <w:lang w:val="es-CO"/>
        </w:rPr>
        <w:t>.</w:t>
      </w:r>
    </w:p>
    <w:p w:rsidR="00605F3A" w:rsidRPr="009712EB" w:rsidRDefault="00605F3A" w:rsidP="009712EB">
      <w:pPr>
        <w:ind w:left="720"/>
        <w:jc w:val="both"/>
        <w:rPr>
          <w:rFonts w:ascii="Cambria" w:hAnsi="Cambria"/>
          <w:sz w:val="20"/>
          <w:szCs w:val="20"/>
          <w:lang w:val="es-VE"/>
        </w:rPr>
      </w:pPr>
    </w:p>
    <w:p w:rsidR="00E71067" w:rsidRPr="009712EB" w:rsidRDefault="00E71067" w:rsidP="003B6A9B">
      <w:pPr>
        <w:numPr>
          <w:ilvl w:val="0"/>
          <w:numId w:val="55"/>
        </w:numPr>
        <w:ind w:left="0" w:firstLine="720"/>
        <w:jc w:val="both"/>
        <w:rPr>
          <w:rFonts w:ascii="Cambria" w:hAnsi="Cambria"/>
          <w:sz w:val="20"/>
          <w:szCs w:val="20"/>
          <w:lang w:val="es-VE"/>
        </w:rPr>
      </w:pPr>
      <w:r w:rsidRPr="009712EB">
        <w:rPr>
          <w:rFonts w:ascii="Cambria" w:hAnsi="Cambria"/>
          <w:sz w:val="20"/>
          <w:szCs w:val="20"/>
          <w:lang w:val="es-VE"/>
        </w:rPr>
        <w:t>Al no advertir a la población civil del ataque inminente se generaron muertes y lesiones en un número significativo de personas, incluyendo niños, mujeres, y aquellos</w:t>
      </w:r>
      <w:r w:rsidR="003A65FC">
        <w:rPr>
          <w:rFonts w:ascii="Cambria" w:hAnsi="Cambria"/>
          <w:sz w:val="20"/>
          <w:szCs w:val="20"/>
          <w:lang w:val="es-VE"/>
        </w:rPr>
        <w:t xml:space="preserve"> quienes su condición les imposibilitaba</w:t>
      </w:r>
      <w:r w:rsidRPr="009712EB">
        <w:rPr>
          <w:rFonts w:ascii="Cambria" w:hAnsi="Cambria"/>
          <w:sz w:val="20"/>
          <w:szCs w:val="20"/>
          <w:lang w:val="es-VE"/>
        </w:rPr>
        <w:t xml:space="preserve"> huir rápidamente. </w:t>
      </w:r>
    </w:p>
    <w:p w:rsidR="00605F3A" w:rsidRPr="009712EB" w:rsidRDefault="00605F3A" w:rsidP="009712EB">
      <w:pPr>
        <w:ind w:left="720"/>
        <w:jc w:val="both"/>
        <w:rPr>
          <w:rFonts w:ascii="Cambria" w:hAnsi="Cambria"/>
          <w:sz w:val="20"/>
          <w:szCs w:val="20"/>
          <w:lang w:val="es-VE"/>
        </w:rPr>
      </w:pPr>
    </w:p>
    <w:p w:rsidR="00E71067" w:rsidRPr="00CD49F1" w:rsidRDefault="00E71067" w:rsidP="003B6A9B">
      <w:pPr>
        <w:numPr>
          <w:ilvl w:val="0"/>
          <w:numId w:val="55"/>
        </w:numPr>
        <w:ind w:left="0" w:firstLine="720"/>
        <w:jc w:val="both"/>
        <w:rPr>
          <w:rFonts w:ascii="Cambria" w:hAnsi="Cambria"/>
          <w:sz w:val="20"/>
          <w:szCs w:val="20"/>
          <w:lang w:val="es-VE"/>
        </w:rPr>
      </w:pPr>
      <w:r w:rsidRPr="009712EB">
        <w:rPr>
          <w:rFonts w:ascii="Cambria" w:hAnsi="Cambria"/>
          <w:sz w:val="20"/>
          <w:szCs w:val="20"/>
          <w:lang w:val="es-VE"/>
        </w:rPr>
        <w:t xml:space="preserve">La parte peticionaria cuestiona </w:t>
      </w:r>
      <w:r w:rsidR="003A65FC">
        <w:rPr>
          <w:rFonts w:ascii="Cambria" w:hAnsi="Cambria"/>
          <w:sz w:val="20"/>
          <w:szCs w:val="20"/>
          <w:lang w:val="es-VE"/>
        </w:rPr>
        <w:t xml:space="preserve">las cifras oficiales presentadas por el gobierno de los Estados Unidos </w:t>
      </w:r>
      <w:r w:rsidRPr="009712EB">
        <w:rPr>
          <w:rFonts w:ascii="Cambria" w:hAnsi="Cambria"/>
          <w:sz w:val="20"/>
          <w:szCs w:val="20"/>
          <w:lang w:val="es-VE"/>
        </w:rPr>
        <w:t xml:space="preserve">de 202 civiles y 314 militares panameños fallecidos </w:t>
      </w:r>
      <w:r w:rsidR="003A65FC">
        <w:rPr>
          <w:rFonts w:ascii="Cambria" w:hAnsi="Cambria"/>
          <w:sz w:val="20"/>
          <w:szCs w:val="20"/>
          <w:lang w:val="es-VE"/>
        </w:rPr>
        <w:t>como resultado de la invasión</w:t>
      </w:r>
      <w:r w:rsidRPr="009712EB">
        <w:rPr>
          <w:rFonts w:ascii="Cambria" w:hAnsi="Cambria"/>
          <w:sz w:val="20"/>
          <w:szCs w:val="20"/>
          <w:lang w:val="es-VE"/>
        </w:rPr>
        <w:t>, y resalta las cifras de fuentes independientes que apuntan a más de 2.000 civiles. Par</w:t>
      </w:r>
      <w:r w:rsidRPr="00CD49F1">
        <w:rPr>
          <w:rFonts w:ascii="Cambria" w:hAnsi="Cambria"/>
          <w:sz w:val="20"/>
          <w:szCs w:val="20"/>
          <w:lang w:val="es-VE"/>
        </w:rPr>
        <w:t xml:space="preserve">a la parte peticionaria, la forma en la que abandonaron los restos mortales de civiles panameños evidencia que hay razones para considerar la existencia de más fosas comunes en las </w:t>
      </w:r>
      <w:r w:rsidR="00946B98">
        <w:rPr>
          <w:rFonts w:ascii="Cambria" w:hAnsi="Cambria"/>
          <w:sz w:val="20"/>
          <w:szCs w:val="20"/>
          <w:lang w:val="es-VE"/>
        </w:rPr>
        <w:t xml:space="preserve">que </w:t>
      </w:r>
      <w:r w:rsidR="00E619D3">
        <w:rPr>
          <w:rFonts w:ascii="Cambria" w:hAnsi="Cambria"/>
          <w:sz w:val="20"/>
          <w:szCs w:val="20"/>
          <w:lang w:val="es-VE"/>
        </w:rPr>
        <w:t>se podrían encontrar</w:t>
      </w:r>
      <w:r w:rsidR="00E619D3" w:rsidRPr="00CD49F1">
        <w:rPr>
          <w:rFonts w:ascii="Cambria" w:hAnsi="Cambria"/>
          <w:sz w:val="20"/>
          <w:szCs w:val="20"/>
          <w:lang w:val="es-VE"/>
        </w:rPr>
        <w:t xml:space="preserve"> </w:t>
      </w:r>
      <w:r w:rsidR="00E619D3">
        <w:rPr>
          <w:rFonts w:ascii="Cambria" w:hAnsi="Cambria"/>
          <w:sz w:val="20"/>
          <w:szCs w:val="20"/>
          <w:lang w:val="es-VE"/>
        </w:rPr>
        <w:t xml:space="preserve">a </w:t>
      </w:r>
      <w:r w:rsidRPr="00CD49F1">
        <w:rPr>
          <w:rFonts w:ascii="Cambria" w:hAnsi="Cambria"/>
          <w:sz w:val="20"/>
          <w:szCs w:val="20"/>
          <w:lang w:val="es-VE"/>
        </w:rPr>
        <w:t xml:space="preserve">las personas aún desaparecidas. </w:t>
      </w:r>
    </w:p>
    <w:p w:rsidR="00605F3A" w:rsidRPr="00CD49F1" w:rsidRDefault="00605F3A" w:rsidP="009712EB">
      <w:pPr>
        <w:ind w:left="720"/>
        <w:jc w:val="both"/>
        <w:rPr>
          <w:rFonts w:ascii="Cambria" w:hAnsi="Cambria"/>
          <w:sz w:val="20"/>
          <w:szCs w:val="20"/>
          <w:lang w:val="es-VE"/>
        </w:rPr>
      </w:pPr>
    </w:p>
    <w:p w:rsidR="00E71067" w:rsidRPr="00CD49F1" w:rsidRDefault="00E71067" w:rsidP="003B6A9B">
      <w:pPr>
        <w:numPr>
          <w:ilvl w:val="0"/>
          <w:numId w:val="55"/>
        </w:numPr>
        <w:ind w:left="0" w:firstLine="720"/>
        <w:jc w:val="both"/>
        <w:rPr>
          <w:rFonts w:ascii="Cambria" w:hAnsi="Cambria"/>
          <w:sz w:val="20"/>
          <w:szCs w:val="20"/>
          <w:lang w:val="es-VE"/>
        </w:rPr>
      </w:pPr>
      <w:r w:rsidRPr="00CD49F1">
        <w:rPr>
          <w:rFonts w:ascii="Cambria" w:hAnsi="Cambria"/>
          <w:sz w:val="20"/>
          <w:szCs w:val="20"/>
          <w:lang w:val="es-VE"/>
        </w:rPr>
        <w:t xml:space="preserve">En este contexto, alega que los Estados Unidos no </w:t>
      </w:r>
      <w:r w:rsidR="00A65641">
        <w:rPr>
          <w:rFonts w:ascii="Cambria" w:hAnsi="Cambria"/>
          <w:sz w:val="20"/>
          <w:szCs w:val="20"/>
          <w:lang w:val="es-VE"/>
        </w:rPr>
        <w:t>desarrolló</w:t>
      </w:r>
      <w:r w:rsidR="00E619D3">
        <w:rPr>
          <w:rFonts w:ascii="Cambria" w:hAnsi="Cambria"/>
          <w:sz w:val="20"/>
          <w:szCs w:val="20"/>
          <w:lang w:val="es-VE"/>
        </w:rPr>
        <w:t xml:space="preserve"> </w:t>
      </w:r>
      <w:r w:rsidR="00EF3E63">
        <w:rPr>
          <w:rFonts w:ascii="Cambria" w:hAnsi="Cambria"/>
          <w:sz w:val="20"/>
          <w:szCs w:val="20"/>
          <w:lang w:val="es-VE"/>
        </w:rPr>
        <w:t xml:space="preserve">ninguna </w:t>
      </w:r>
      <w:r w:rsidRPr="00CD49F1">
        <w:rPr>
          <w:rFonts w:ascii="Cambria" w:hAnsi="Cambria"/>
          <w:sz w:val="20"/>
          <w:szCs w:val="20"/>
          <w:lang w:val="es-VE"/>
        </w:rPr>
        <w:t xml:space="preserve">planificación </w:t>
      </w:r>
      <w:r w:rsidR="00EF3E63">
        <w:rPr>
          <w:rFonts w:ascii="Cambria" w:hAnsi="Cambria"/>
          <w:sz w:val="20"/>
          <w:szCs w:val="20"/>
          <w:lang w:val="es-VE"/>
        </w:rPr>
        <w:t xml:space="preserve">o preparación </w:t>
      </w:r>
      <w:r w:rsidRPr="00CD49F1">
        <w:rPr>
          <w:rFonts w:ascii="Cambria" w:hAnsi="Cambria"/>
          <w:sz w:val="20"/>
          <w:szCs w:val="20"/>
          <w:lang w:val="es-VE"/>
        </w:rPr>
        <w:t>para el cuidado de l</w:t>
      </w:r>
      <w:r w:rsidR="00A65641">
        <w:rPr>
          <w:rFonts w:ascii="Cambria" w:hAnsi="Cambria"/>
          <w:sz w:val="20"/>
          <w:szCs w:val="20"/>
          <w:lang w:val="es-VE"/>
        </w:rPr>
        <w:t>as personas desplazadas o de aquellas que quedaron sin hogar, como resultado de la invasión</w:t>
      </w:r>
      <w:r w:rsidRPr="00CD49F1">
        <w:rPr>
          <w:rFonts w:ascii="Cambria" w:hAnsi="Cambria"/>
          <w:sz w:val="20"/>
          <w:szCs w:val="20"/>
          <w:lang w:val="es-VE"/>
        </w:rPr>
        <w:t xml:space="preserve">. Al respecto, la parte peticionaria estima que 18.000 civiles quedaron sin hogar siendo afectados en particular </w:t>
      </w:r>
      <w:r w:rsidR="00A65641">
        <w:rPr>
          <w:rFonts w:ascii="Cambria" w:hAnsi="Cambria"/>
          <w:sz w:val="20"/>
          <w:szCs w:val="20"/>
          <w:lang w:val="es-VE"/>
        </w:rPr>
        <w:t xml:space="preserve">las </w:t>
      </w:r>
      <w:r w:rsidRPr="00CD49F1">
        <w:rPr>
          <w:rFonts w:ascii="Cambria" w:hAnsi="Cambria"/>
          <w:sz w:val="20"/>
          <w:szCs w:val="20"/>
          <w:lang w:val="es-VE"/>
        </w:rPr>
        <w:t xml:space="preserve">áreas residenciales de El Chorrillo, Ciudad de Panamá, y Ciudad de Colón. </w:t>
      </w:r>
    </w:p>
    <w:p w:rsidR="00605F3A" w:rsidRPr="00CD49F1" w:rsidRDefault="00605F3A" w:rsidP="009712EB">
      <w:pPr>
        <w:ind w:left="720"/>
        <w:jc w:val="both"/>
        <w:rPr>
          <w:rFonts w:ascii="Cambria" w:hAnsi="Cambria"/>
          <w:sz w:val="20"/>
          <w:szCs w:val="20"/>
          <w:lang w:val="es-VE"/>
        </w:rPr>
      </w:pPr>
    </w:p>
    <w:p w:rsidR="00E71067" w:rsidRPr="00CD49F1" w:rsidRDefault="00C03FA2" w:rsidP="003B6A9B">
      <w:pPr>
        <w:numPr>
          <w:ilvl w:val="0"/>
          <w:numId w:val="55"/>
        </w:numPr>
        <w:ind w:left="0" w:firstLine="720"/>
        <w:jc w:val="both"/>
        <w:rPr>
          <w:rFonts w:ascii="Cambria" w:hAnsi="Cambria"/>
          <w:sz w:val="20"/>
          <w:szCs w:val="20"/>
          <w:lang w:val="es-VE"/>
        </w:rPr>
      </w:pPr>
      <w:r w:rsidRPr="00CD49F1">
        <w:rPr>
          <w:rFonts w:ascii="Cambria" w:hAnsi="Cambria"/>
          <w:sz w:val="20"/>
          <w:szCs w:val="20"/>
          <w:lang w:val="es-VE"/>
        </w:rPr>
        <w:t xml:space="preserve">En </w:t>
      </w:r>
      <w:r w:rsidR="00A65641">
        <w:rPr>
          <w:rFonts w:ascii="Cambria" w:hAnsi="Cambria"/>
          <w:sz w:val="20"/>
          <w:szCs w:val="20"/>
          <w:lang w:val="es-VE"/>
        </w:rPr>
        <w:t>conexión con lo anterior</w:t>
      </w:r>
      <w:r w:rsidRPr="00CD49F1">
        <w:rPr>
          <w:rFonts w:ascii="Cambria" w:hAnsi="Cambria"/>
          <w:sz w:val="20"/>
          <w:szCs w:val="20"/>
          <w:lang w:val="es-VE"/>
        </w:rPr>
        <w:t>,</w:t>
      </w:r>
      <w:r w:rsidR="00E71067" w:rsidRPr="00CD49F1">
        <w:rPr>
          <w:rFonts w:ascii="Cambria" w:hAnsi="Cambria"/>
          <w:sz w:val="20"/>
          <w:szCs w:val="20"/>
          <w:lang w:val="es-VE"/>
        </w:rPr>
        <w:t xml:space="preserve"> la parte peticionaria alega que las víctimas civiles panameñas sufrieron tratos </w:t>
      </w:r>
      <w:r w:rsidR="00A65641">
        <w:rPr>
          <w:rFonts w:ascii="Cambria" w:hAnsi="Cambria"/>
          <w:sz w:val="20"/>
          <w:szCs w:val="20"/>
          <w:lang w:val="es-VE"/>
        </w:rPr>
        <w:t xml:space="preserve">crueles, inhumanos </w:t>
      </w:r>
      <w:r w:rsidR="00E71067" w:rsidRPr="00CD49F1">
        <w:rPr>
          <w:rFonts w:ascii="Cambria" w:hAnsi="Cambria"/>
          <w:sz w:val="20"/>
          <w:szCs w:val="20"/>
          <w:lang w:val="es-VE"/>
        </w:rPr>
        <w:t>y degradantes al incumplirse la obligación estatal de proteger a la población civil y al ser sometidos a circunstancias y conductas en los campamentos de refugio</w:t>
      </w:r>
      <w:r w:rsidR="00A65641">
        <w:rPr>
          <w:rFonts w:ascii="Cambria" w:hAnsi="Cambria"/>
          <w:sz w:val="20"/>
          <w:szCs w:val="20"/>
          <w:lang w:val="es-VE"/>
        </w:rPr>
        <w:t xml:space="preserve"> que violaron su derecho de un trato digno</w:t>
      </w:r>
      <w:r w:rsidR="00E71067" w:rsidRPr="00CD49F1">
        <w:rPr>
          <w:rFonts w:ascii="Cambria" w:hAnsi="Cambria"/>
          <w:sz w:val="20"/>
          <w:szCs w:val="20"/>
          <w:lang w:val="es-VE"/>
        </w:rPr>
        <w:t xml:space="preserve">. </w:t>
      </w:r>
      <w:r w:rsidR="00A65641">
        <w:rPr>
          <w:rFonts w:ascii="Cambria" w:hAnsi="Cambria"/>
          <w:sz w:val="20"/>
          <w:szCs w:val="20"/>
          <w:lang w:val="es-VE"/>
        </w:rPr>
        <w:t xml:space="preserve">En este contexto, la parte peticionaria se refirió adicionalmente </w:t>
      </w:r>
      <w:r w:rsidR="00777014">
        <w:rPr>
          <w:rFonts w:ascii="Cambria" w:hAnsi="Cambria"/>
          <w:sz w:val="20"/>
          <w:szCs w:val="20"/>
          <w:lang w:val="es-VE"/>
        </w:rPr>
        <w:t xml:space="preserve">a </w:t>
      </w:r>
      <w:r w:rsidR="00E71067" w:rsidRPr="00CD49F1">
        <w:rPr>
          <w:rFonts w:ascii="Cambria" w:hAnsi="Cambria"/>
          <w:sz w:val="20"/>
          <w:szCs w:val="20"/>
          <w:lang w:val="es-VE"/>
        </w:rPr>
        <w:t>las afectaciones a la salud, estabilidad</w:t>
      </w:r>
      <w:r w:rsidR="00582FE2" w:rsidRPr="00CD49F1">
        <w:rPr>
          <w:rFonts w:ascii="Cambria" w:hAnsi="Cambria"/>
          <w:sz w:val="20"/>
          <w:szCs w:val="20"/>
          <w:lang w:val="es-VE"/>
        </w:rPr>
        <w:t xml:space="preserve"> económica</w:t>
      </w:r>
      <w:r w:rsidR="00E71067" w:rsidRPr="00CD49F1">
        <w:rPr>
          <w:rFonts w:ascii="Cambria" w:hAnsi="Cambria"/>
          <w:sz w:val="20"/>
          <w:szCs w:val="20"/>
          <w:lang w:val="es-VE"/>
        </w:rPr>
        <w:t>, libertad y seguridad como consecuencia del desplazamiento a 17 nuevas áreas</w:t>
      </w:r>
      <w:r w:rsidR="00A952E0" w:rsidRPr="00CD49F1">
        <w:rPr>
          <w:rFonts w:ascii="Cambria" w:hAnsi="Cambria"/>
          <w:sz w:val="20"/>
          <w:szCs w:val="20"/>
          <w:lang w:val="es-VE"/>
        </w:rPr>
        <w:t>,</w:t>
      </w:r>
      <w:r w:rsidR="00E71067" w:rsidRPr="00CD49F1">
        <w:rPr>
          <w:rFonts w:ascii="Cambria" w:hAnsi="Cambria"/>
          <w:sz w:val="20"/>
          <w:szCs w:val="20"/>
          <w:lang w:val="es-VE"/>
        </w:rPr>
        <w:t xml:space="preserve"> así como el trauma psicológico causado por las muertes y destrucción. </w:t>
      </w:r>
    </w:p>
    <w:p w:rsidR="00605F3A" w:rsidRPr="00CD49F1" w:rsidRDefault="00605F3A" w:rsidP="009712EB">
      <w:pPr>
        <w:ind w:left="720"/>
        <w:jc w:val="both"/>
        <w:rPr>
          <w:rFonts w:ascii="Cambria" w:hAnsi="Cambria"/>
          <w:sz w:val="20"/>
          <w:szCs w:val="20"/>
          <w:lang w:val="es-VE"/>
        </w:rPr>
      </w:pPr>
    </w:p>
    <w:p w:rsidR="00582FE2" w:rsidRPr="00CD49F1" w:rsidRDefault="00E71067" w:rsidP="003B6A9B">
      <w:pPr>
        <w:numPr>
          <w:ilvl w:val="0"/>
          <w:numId w:val="55"/>
        </w:numPr>
        <w:ind w:left="0" w:firstLine="720"/>
        <w:jc w:val="both"/>
        <w:rPr>
          <w:rFonts w:ascii="Cambria" w:hAnsi="Cambria"/>
          <w:sz w:val="20"/>
          <w:szCs w:val="20"/>
          <w:lang w:val="es-VE"/>
        </w:rPr>
      </w:pPr>
      <w:r w:rsidRPr="00CD49F1">
        <w:rPr>
          <w:rFonts w:ascii="Cambria" w:hAnsi="Cambria"/>
          <w:sz w:val="20"/>
          <w:szCs w:val="20"/>
          <w:lang w:val="es-VE"/>
        </w:rPr>
        <w:t xml:space="preserve"> En cuanto a la extensiva destrucción de propiedades y bienes, </w:t>
      </w:r>
      <w:r w:rsidR="00777014">
        <w:rPr>
          <w:rFonts w:ascii="Cambria" w:hAnsi="Cambria"/>
          <w:sz w:val="20"/>
          <w:szCs w:val="20"/>
          <w:lang w:val="es-VE"/>
        </w:rPr>
        <w:t xml:space="preserve">los peticionarios </w:t>
      </w:r>
      <w:r w:rsidRPr="00CD49F1">
        <w:rPr>
          <w:rFonts w:ascii="Cambria" w:hAnsi="Cambria"/>
          <w:sz w:val="20"/>
          <w:szCs w:val="20"/>
          <w:lang w:val="es-VE"/>
        </w:rPr>
        <w:t>argumenta</w:t>
      </w:r>
      <w:r w:rsidR="00777014">
        <w:rPr>
          <w:rFonts w:ascii="Cambria" w:hAnsi="Cambria"/>
          <w:sz w:val="20"/>
          <w:szCs w:val="20"/>
          <w:lang w:val="es-VE"/>
        </w:rPr>
        <w:t xml:space="preserve">n </w:t>
      </w:r>
      <w:r w:rsidRPr="00CD49F1">
        <w:rPr>
          <w:rFonts w:ascii="Cambria" w:hAnsi="Cambria"/>
          <w:sz w:val="20"/>
          <w:szCs w:val="20"/>
          <w:lang w:val="es-VE"/>
        </w:rPr>
        <w:t xml:space="preserve"> que </w:t>
      </w:r>
      <w:r w:rsidR="00777014">
        <w:rPr>
          <w:rFonts w:ascii="Cambria" w:hAnsi="Cambria"/>
          <w:sz w:val="20"/>
          <w:szCs w:val="20"/>
          <w:lang w:val="es-VE"/>
        </w:rPr>
        <w:t xml:space="preserve">en </w:t>
      </w:r>
      <w:r w:rsidRPr="00CD49F1">
        <w:rPr>
          <w:rFonts w:ascii="Cambria" w:hAnsi="Cambria"/>
          <w:sz w:val="20"/>
          <w:szCs w:val="20"/>
          <w:lang w:val="es-VE"/>
        </w:rPr>
        <w:t xml:space="preserve">un gran número de casos </w:t>
      </w:r>
      <w:r w:rsidR="00777014">
        <w:rPr>
          <w:rFonts w:ascii="Cambria" w:hAnsi="Cambria"/>
          <w:sz w:val="20"/>
          <w:szCs w:val="20"/>
          <w:lang w:val="es-VE"/>
        </w:rPr>
        <w:t>e</w:t>
      </w:r>
      <w:r w:rsidRPr="00CD49F1">
        <w:rPr>
          <w:rFonts w:ascii="Cambria" w:hAnsi="Cambria"/>
          <w:sz w:val="20"/>
          <w:szCs w:val="20"/>
          <w:lang w:val="es-VE"/>
        </w:rPr>
        <w:t xml:space="preserve">l principio de necesidad </w:t>
      </w:r>
      <w:r w:rsidR="00777014">
        <w:rPr>
          <w:rFonts w:ascii="Cambria" w:hAnsi="Cambria"/>
          <w:sz w:val="20"/>
          <w:szCs w:val="20"/>
          <w:lang w:val="es-VE"/>
        </w:rPr>
        <w:t xml:space="preserve">no fue aplicado y que pérdidas sufridas </w:t>
      </w:r>
      <w:r w:rsidRPr="00CD49F1">
        <w:rPr>
          <w:rFonts w:ascii="Cambria" w:hAnsi="Cambria"/>
          <w:sz w:val="20"/>
          <w:szCs w:val="20"/>
          <w:lang w:val="es-VE"/>
        </w:rPr>
        <w:t xml:space="preserve">fueron </w:t>
      </w:r>
      <w:r w:rsidR="00777014">
        <w:rPr>
          <w:rFonts w:ascii="Cambria" w:hAnsi="Cambria"/>
          <w:sz w:val="20"/>
          <w:szCs w:val="20"/>
          <w:lang w:val="es-VE"/>
        </w:rPr>
        <w:t>el resultado de actos deliberados e ilegales de las fuerzas invasoras</w:t>
      </w:r>
      <w:r w:rsidRPr="00CD49F1">
        <w:rPr>
          <w:rFonts w:ascii="Cambria" w:hAnsi="Cambria"/>
          <w:sz w:val="20"/>
          <w:szCs w:val="20"/>
          <w:lang w:val="es-VE"/>
        </w:rPr>
        <w:t xml:space="preserve">. En particular con la destrucción de El Chorrillo, la parte peticionaria </w:t>
      </w:r>
      <w:r w:rsidR="00A952E0" w:rsidRPr="00CD49F1">
        <w:rPr>
          <w:rFonts w:ascii="Cambria" w:hAnsi="Cambria"/>
          <w:sz w:val="20"/>
          <w:szCs w:val="20"/>
          <w:lang w:val="es-VE"/>
        </w:rPr>
        <w:t>señala</w:t>
      </w:r>
      <w:r w:rsidR="00AC481C" w:rsidRPr="00CD49F1">
        <w:rPr>
          <w:rFonts w:ascii="Cambria" w:hAnsi="Cambria"/>
          <w:sz w:val="20"/>
          <w:szCs w:val="20"/>
          <w:lang w:val="es-VE"/>
        </w:rPr>
        <w:t xml:space="preserve"> que el bombardeo indiscriminado al Cuartel General de las Fuerzas de Defensa “La Comandancia” ubicado </w:t>
      </w:r>
      <w:r w:rsidR="00F1372D" w:rsidRPr="00CD49F1">
        <w:rPr>
          <w:rFonts w:ascii="Cambria" w:hAnsi="Cambria"/>
          <w:sz w:val="20"/>
          <w:szCs w:val="20"/>
          <w:lang w:val="es-VE"/>
        </w:rPr>
        <w:t xml:space="preserve">la zona de El Chorrillo, </w:t>
      </w:r>
      <w:r w:rsidR="00AC481C" w:rsidRPr="00CD49F1">
        <w:rPr>
          <w:rFonts w:ascii="Cambria" w:hAnsi="Cambria"/>
          <w:sz w:val="20"/>
          <w:szCs w:val="20"/>
          <w:lang w:val="es-VE"/>
        </w:rPr>
        <w:t>un área densamente poblada por civiles</w:t>
      </w:r>
      <w:r w:rsidR="00686E7B">
        <w:rPr>
          <w:rFonts w:ascii="Cambria" w:hAnsi="Cambria"/>
          <w:sz w:val="20"/>
          <w:szCs w:val="20"/>
          <w:lang w:val="es-VE"/>
        </w:rPr>
        <w:t xml:space="preserve">, </w:t>
      </w:r>
      <w:r w:rsidR="00686E7B" w:rsidRPr="00CD49F1">
        <w:rPr>
          <w:rFonts w:ascii="Cambria" w:hAnsi="Cambria"/>
          <w:sz w:val="20"/>
          <w:szCs w:val="20"/>
          <w:lang w:val="es-VE"/>
        </w:rPr>
        <w:t>comenzó</w:t>
      </w:r>
      <w:r w:rsidR="00686E7B">
        <w:rPr>
          <w:rFonts w:ascii="Cambria" w:hAnsi="Cambria"/>
          <w:sz w:val="20"/>
          <w:szCs w:val="20"/>
          <w:lang w:val="es-VE"/>
        </w:rPr>
        <w:t xml:space="preserve"> </w:t>
      </w:r>
      <w:r w:rsidR="00686E7B" w:rsidRPr="00CD49F1">
        <w:rPr>
          <w:rFonts w:ascii="Cambria" w:hAnsi="Cambria"/>
          <w:sz w:val="20"/>
          <w:szCs w:val="20"/>
          <w:lang w:val="es-VE"/>
        </w:rPr>
        <w:t>después de la medianoche</w:t>
      </w:r>
      <w:r w:rsidR="00AC481C" w:rsidRPr="00CD49F1">
        <w:rPr>
          <w:rFonts w:ascii="Cambria" w:hAnsi="Cambria"/>
          <w:sz w:val="20"/>
          <w:szCs w:val="20"/>
          <w:lang w:val="es-VE"/>
        </w:rPr>
        <w:t xml:space="preserve">. </w:t>
      </w:r>
      <w:r w:rsidR="00F1372D" w:rsidRPr="00CD49F1">
        <w:rPr>
          <w:rFonts w:ascii="Cambria" w:hAnsi="Cambria"/>
          <w:sz w:val="20"/>
          <w:szCs w:val="20"/>
          <w:lang w:val="es-VE"/>
        </w:rPr>
        <w:t>Subraya</w:t>
      </w:r>
      <w:r w:rsidR="00686E7B">
        <w:rPr>
          <w:rFonts w:ascii="Cambria" w:hAnsi="Cambria"/>
          <w:sz w:val="20"/>
          <w:szCs w:val="20"/>
          <w:lang w:val="es-VE"/>
        </w:rPr>
        <w:t>n</w:t>
      </w:r>
      <w:r w:rsidR="00F1372D" w:rsidRPr="00CD49F1">
        <w:rPr>
          <w:rFonts w:ascii="Cambria" w:hAnsi="Cambria"/>
          <w:sz w:val="20"/>
          <w:szCs w:val="20"/>
          <w:lang w:val="es-VE"/>
        </w:rPr>
        <w:t xml:space="preserve"> que por lo menos uno de los incendios en El Chorrillo fue consecuencia del bombardeo indiscriminado llevado a cabo por las fuerzas de los Estados Unidos, aunque</w:t>
      </w:r>
      <w:r w:rsidR="00686E7B">
        <w:rPr>
          <w:rFonts w:ascii="Cambria" w:hAnsi="Cambria"/>
          <w:sz w:val="20"/>
          <w:szCs w:val="20"/>
          <w:lang w:val="es-VE"/>
        </w:rPr>
        <w:t xml:space="preserve"> remarcan que</w:t>
      </w:r>
      <w:r w:rsidR="00F1372D" w:rsidRPr="00CD49F1">
        <w:rPr>
          <w:rFonts w:ascii="Cambria" w:hAnsi="Cambria"/>
          <w:sz w:val="20"/>
          <w:szCs w:val="20"/>
          <w:lang w:val="es-VE"/>
        </w:rPr>
        <w:t xml:space="preserve"> varios civiles afirman que los soldados estadounidenses usaron lanzallamas para quemar las casas. Durante estos eventos, las fuerzas estadounidenses destruyeron </w:t>
      </w:r>
      <w:r w:rsidR="00AC481C" w:rsidRPr="00CD49F1">
        <w:rPr>
          <w:rFonts w:ascii="Cambria" w:hAnsi="Cambria"/>
          <w:sz w:val="20"/>
          <w:szCs w:val="20"/>
          <w:lang w:val="es-VE"/>
        </w:rPr>
        <w:t>hogares, negocios y otros bienes inmuebles</w:t>
      </w:r>
      <w:r w:rsidR="00F1372D" w:rsidRPr="00CD49F1">
        <w:rPr>
          <w:rFonts w:ascii="Cambria" w:hAnsi="Cambria"/>
          <w:sz w:val="20"/>
          <w:szCs w:val="20"/>
          <w:lang w:val="es-VE"/>
        </w:rPr>
        <w:t xml:space="preserve"> como el Mercado Periférico El Chorrillo, el centro de detención juvenil “Tutelar de Menores”, </w:t>
      </w:r>
      <w:r w:rsidR="00582FE2" w:rsidRPr="00CD49F1">
        <w:rPr>
          <w:rFonts w:ascii="Cambria" w:hAnsi="Cambria"/>
          <w:sz w:val="20"/>
          <w:szCs w:val="20"/>
          <w:lang w:val="es-VE"/>
        </w:rPr>
        <w:t>una escuela, y dos estaciones de buses. A</w:t>
      </w:r>
      <w:r w:rsidRPr="00CD49F1">
        <w:rPr>
          <w:rFonts w:ascii="Cambria" w:hAnsi="Cambria"/>
          <w:sz w:val="20"/>
          <w:szCs w:val="20"/>
          <w:lang w:val="es-VE"/>
        </w:rPr>
        <w:t>rgumenta</w:t>
      </w:r>
      <w:r w:rsidR="00686E7B">
        <w:rPr>
          <w:rFonts w:ascii="Cambria" w:hAnsi="Cambria"/>
          <w:sz w:val="20"/>
          <w:szCs w:val="20"/>
          <w:lang w:val="es-VE"/>
        </w:rPr>
        <w:t>n</w:t>
      </w:r>
      <w:r w:rsidRPr="00CD49F1">
        <w:rPr>
          <w:rFonts w:ascii="Cambria" w:hAnsi="Cambria"/>
          <w:sz w:val="20"/>
          <w:szCs w:val="20"/>
          <w:lang w:val="es-VE"/>
        </w:rPr>
        <w:t xml:space="preserve"> que </w:t>
      </w:r>
      <w:r w:rsidR="008D247D" w:rsidRPr="00CD49F1">
        <w:rPr>
          <w:rFonts w:ascii="Cambria" w:hAnsi="Cambria"/>
          <w:sz w:val="20"/>
          <w:szCs w:val="20"/>
          <w:lang w:val="es-VE"/>
        </w:rPr>
        <w:t>las fuerzas de Estados Unidos</w:t>
      </w:r>
      <w:r w:rsidRPr="00CD49F1">
        <w:rPr>
          <w:rFonts w:ascii="Cambria" w:hAnsi="Cambria"/>
          <w:sz w:val="20"/>
          <w:szCs w:val="20"/>
          <w:lang w:val="es-VE"/>
        </w:rPr>
        <w:t xml:space="preserve"> estaba</w:t>
      </w:r>
      <w:r w:rsidR="008D247D" w:rsidRPr="00CD49F1">
        <w:rPr>
          <w:rFonts w:ascii="Cambria" w:hAnsi="Cambria"/>
          <w:sz w:val="20"/>
          <w:szCs w:val="20"/>
          <w:lang w:val="es-VE"/>
        </w:rPr>
        <w:t>n</w:t>
      </w:r>
      <w:r w:rsidRPr="00CD49F1">
        <w:rPr>
          <w:rFonts w:ascii="Cambria" w:hAnsi="Cambria"/>
          <w:sz w:val="20"/>
          <w:szCs w:val="20"/>
          <w:lang w:val="es-VE"/>
        </w:rPr>
        <w:t xml:space="preserve"> en completo control del área para las 6 am del 20 de diciembre de 1989. </w:t>
      </w:r>
    </w:p>
    <w:p w:rsidR="00582FE2" w:rsidRPr="00CD49F1" w:rsidRDefault="00582FE2" w:rsidP="00582FE2">
      <w:pPr>
        <w:ind w:left="720"/>
        <w:jc w:val="both"/>
        <w:rPr>
          <w:rFonts w:ascii="Cambria" w:hAnsi="Cambria"/>
          <w:sz w:val="20"/>
          <w:szCs w:val="20"/>
          <w:lang w:val="es-VE"/>
        </w:rPr>
      </w:pPr>
    </w:p>
    <w:p w:rsidR="00E71067" w:rsidRPr="00CD49F1" w:rsidRDefault="00686E7B" w:rsidP="003B6A9B">
      <w:pPr>
        <w:numPr>
          <w:ilvl w:val="0"/>
          <w:numId w:val="55"/>
        </w:numPr>
        <w:ind w:left="0" w:firstLine="720"/>
        <w:jc w:val="both"/>
        <w:rPr>
          <w:rFonts w:ascii="Cambria" w:hAnsi="Cambria"/>
          <w:sz w:val="20"/>
          <w:szCs w:val="20"/>
          <w:lang w:val="es-VE"/>
        </w:rPr>
      </w:pPr>
      <w:r>
        <w:rPr>
          <w:rFonts w:ascii="Cambria" w:hAnsi="Cambria"/>
          <w:sz w:val="20"/>
          <w:szCs w:val="20"/>
          <w:lang w:val="es-VE"/>
        </w:rPr>
        <w:t>Los peticionarios a</w:t>
      </w:r>
      <w:r w:rsidR="00E71067" w:rsidRPr="00CD49F1">
        <w:rPr>
          <w:rFonts w:ascii="Cambria" w:hAnsi="Cambria"/>
          <w:sz w:val="20"/>
          <w:szCs w:val="20"/>
          <w:lang w:val="es-VE"/>
        </w:rPr>
        <w:t>lega</w:t>
      </w:r>
      <w:r>
        <w:rPr>
          <w:rFonts w:ascii="Cambria" w:hAnsi="Cambria"/>
          <w:sz w:val="20"/>
          <w:szCs w:val="20"/>
          <w:lang w:val="es-VE"/>
        </w:rPr>
        <w:t>n</w:t>
      </w:r>
      <w:r w:rsidR="00E71067" w:rsidRPr="00CD49F1">
        <w:rPr>
          <w:rFonts w:ascii="Cambria" w:hAnsi="Cambria"/>
          <w:sz w:val="20"/>
          <w:szCs w:val="20"/>
          <w:lang w:val="es-VE"/>
        </w:rPr>
        <w:t xml:space="preserve"> que </w:t>
      </w:r>
      <w:r w:rsidR="00582FE2" w:rsidRPr="00CD49F1">
        <w:rPr>
          <w:rFonts w:ascii="Cambria" w:hAnsi="Cambria"/>
          <w:sz w:val="20"/>
          <w:szCs w:val="20"/>
          <w:lang w:val="es-VE"/>
        </w:rPr>
        <w:t>al mismo tiempo que El Chorrillo</w:t>
      </w:r>
      <w:r w:rsidR="00E71067" w:rsidRPr="00CD49F1">
        <w:rPr>
          <w:rFonts w:ascii="Cambria" w:hAnsi="Cambria"/>
          <w:sz w:val="20"/>
          <w:szCs w:val="20"/>
          <w:lang w:val="es-VE"/>
        </w:rPr>
        <w:t xml:space="preserve"> se incend</w:t>
      </w:r>
      <w:r w:rsidR="00582FE2" w:rsidRPr="00CD49F1">
        <w:rPr>
          <w:rFonts w:ascii="Cambria" w:hAnsi="Cambria"/>
          <w:sz w:val="20"/>
          <w:szCs w:val="20"/>
          <w:lang w:val="es-VE"/>
        </w:rPr>
        <w:t xml:space="preserve">iaba </w:t>
      </w:r>
      <w:r w:rsidR="00E71067" w:rsidRPr="00CD49F1">
        <w:rPr>
          <w:rFonts w:ascii="Cambria" w:hAnsi="Cambria"/>
          <w:sz w:val="20"/>
          <w:szCs w:val="20"/>
          <w:lang w:val="es-VE"/>
        </w:rPr>
        <w:t>como consecuencia de los ataques,</w:t>
      </w:r>
      <w:r w:rsidR="00582FE2" w:rsidRPr="00CD49F1" w:rsidDel="00582FE2">
        <w:rPr>
          <w:rFonts w:ascii="Cambria" w:hAnsi="Cambria"/>
          <w:sz w:val="20"/>
          <w:szCs w:val="20"/>
          <w:lang w:val="es-VE"/>
        </w:rPr>
        <w:t xml:space="preserve"> </w:t>
      </w:r>
      <w:r w:rsidR="00E71067" w:rsidRPr="00CD49F1">
        <w:rPr>
          <w:rFonts w:ascii="Cambria" w:hAnsi="Cambria"/>
          <w:sz w:val="20"/>
          <w:szCs w:val="20"/>
          <w:lang w:val="es-VE"/>
        </w:rPr>
        <w:t>soldados estadounidense</w:t>
      </w:r>
      <w:r w:rsidR="008D247D" w:rsidRPr="00CD49F1">
        <w:rPr>
          <w:rFonts w:ascii="Cambria" w:hAnsi="Cambria"/>
          <w:sz w:val="20"/>
          <w:szCs w:val="20"/>
          <w:lang w:val="es-VE"/>
        </w:rPr>
        <w:t>s</w:t>
      </w:r>
      <w:r w:rsidR="00E71067" w:rsidRPr="00CD49F1">
        <w:rPr>
          <w:rFonts w:ascii="Cambria" w:hAnsi="Cambria"/>
          <w:sz w:val="20"/>
          <w:szCs w:val="20"/>
          <w:lang w:val="es-VE"/>
        </w:rPr>
        <w:t xml:space="preserve"> comenzaron a ordenar la evacuación de civiles. Señala</w:t>
      </w:r>
      <w:r>
        <w:rPr>
          <w:rFonts w:ascii="Cambria" w:hAnsi="Cambria"/>
          <w:sz w:val="20"/>
          <w:szCs w:val="20"/>
          <w:lang w:val="es-VE"/>
        </w:rPr>
        <w:t>n</w:t>
      </w:r>
      <w:r w:rsidR="00E71067" w:rsidRPr="00CD49F1">
        <w:rPr>
          <w:rFonts w:ascii="Cambria" w:hAnsi="Cambria"/>
          <w:sz w:val="20"/>
          <w:szCs w:val="20"/>
          <w:lang w:val="es-VE"/>
        </w:rPr>
        <w:t xml:space="preserve"> que </w:t>
      </w:r>
      <w:r w:rsidR="008D247D" w:rsidRPr="00CD49F1">
        <w:rPr>
          <w:rFonts w:ascii="Cambria" w:hAnsi="Cambria"/>
          <w:sz w:val="20"/>
          <w:szCs w:val="20"/>
          <w:lang w:val="es-VE"/>
        </w:rPr>
        <w:t>las fuerzas de Estados Unidos</w:t>
      </w:r>
      <w:r w:rsidR="00E71067" w:rsidRPr="00CD49F1">
        <w:rPr>
          <w:rFonts w:ascii="Cambria" w:hAnsi="Cambria"/>
          <w:sz w:val="20"/>
          <w:szCs w:val="20"/>
          <w:lang w:val="es-VE"/>
        </w:rPr>
        <w:t xml:space="preserve"> neg</w:t>
      </w:r>
      <w:r w:rsidR="008D247D" w:rsidRPr="00CD49F1">
        <w:rPr>
          <w:rFonts w:ascii="Cambria" w:hAnsi="Cambria"/>
          <w:sz w:val="20"/>
          <w:szCs w:val="20"/>
          <w:lang w:val="es-VE"/>
        </w:rPr>
        <w:t>aron</w:t>
      </w:r>
      <w:r w:rsidR="00E71067" w:rsidRPr="00CD49F1">
        <w:rPr>
          <w:rFonts w:ascii="Cambria" w:hAnsi="Cambria"/>
          <w:sz w:val="20"/>
          <w:szCs w:val="20"/>
          <w:lang w:val="es-VE"/>
        </w:rPr>
        <w:t xml:space="preserve"> el acceso a la zona de El Chorrillo, como en otras zonas, por tres días incluso a la Cruz Roja panameña</w:t>
      </w:r>
      <w:r>
        <w:rPr>
          <w:rFonts w:ascii="Cambria" w:hAnsi="Cambria"/>
          <w:sz w:val="20"/>
          <w:szCs w:val="20"/>
          <w:lang w:val="es-VE"/>
        </w:rPr>
        <w:t>,</w:t>
      </w:r>
      <w:r w:rsidR="00E71067" w:rsidRPr="00CD49F1">
        <w:rPr>
          <w:rFonts w:ascii="Cambria" w:hAnsi="Cambria"/>
          <w:sz w:val="20"/>
          <w:szCs w:val="20"/>
          <w:lang w:val="es-VE"/>
        </w:rPr>
        <w:t xml:space="preserve"> y en días sucesivos comenzaron operaciones de limpieza ordenadas por </w:t>
      </w:r>
      <w:r>
        <w:rPr>
          <w:rFonts w:ascii="Cambria" w:hAnsi="Cambria"/>
          <w:sz w:val="20"/>
          <w:szCs w:val="20"/>
          <w:lang w:val="es-VE"/>
        </w:rPr>
        <w:t>las autoridades estadounidenses</w:t>
      </w:r>
      <w:r w:rsidR="00E71067" w:rsidRPr="00CD49F1">
        <w:rPr>
          <w:rFonts w:ascii="Cambria" w:hAnsi="Cambria"/>
          <w:sz w:val="20"/>
          <w:szCs w:val="20"/>
          <w:lang w:val="es-VE"/>
        </w:rPr>
        <w:t>, en los que edificios fueron demolidos y los escombros fueron arrogados al mar. Sostiene</w:t>
      </w:r>
      <w:r>
        <w:rPr>
          <w:rFonts w:ascii="Cambria" w:hAnsi="Cambria"/>
          <w:sz w:val="20"/>
          <w:szCs w:val="20"/>
          <w:lang w:val="es-VE"/>
        </w:rPr>
        <w:t>n</w:t>
      </w:r>
      <w:r w:rsidR="00E71067" w:rsidRPr="00CD49F1">
        <w:rPr>
          <w:rFonts w:ascii="Cambria" w:hAnsi="Cambria"/>
          <w:sz w:val="20"/>
          <w:szCs w:val="20"/>
          <w:lang w:val="es-VE"/>
        </w:rPr>
        <w:t xml:space="preserve"> que </w:t>
      </w:r>
      <w:r w:rsidR="002F7A96" w:rsidRPr="00CD49F1">
        <w:rPr>
          <w:rFonts w:ascii="Cambria" w:hAnsi="Cambria"/>
          <w:sz w:val="20"/>
          <w:szCs w:val="20"/>
          <w:lang w:val="es-VE"/>
        </w:rPr>
        <w:t xml:space="preserve">con </w:t>
      </w:r>
      <w:r w:rsidR="00E71067" w:rsidRPr="00CD49F1">
        <w:rPr>
          <w:rFonts w:ascii="Cambria" w:hAnsi="Cambria"/>
          <w:sz w:val="20"/>
          <w:szCs w:val="20"/>
          <w:lang w:val="es-VE"/>
        </w:rPr>
        <w:t xml:space="preserve">estas </w:t>
      </w:r>
      <w:r w:rsidR="002F7A96" w:rsidRPr="00CD49F1">
        <w:rPr>
          <w:rFonts w:ascii="Cambria" w:hAnsi="Cambria"/>
          <w:sz w:val="20"/>
          <w:szCs w:val="20"/>
          <w:lang w:val="es-VE"/>
        </w:rPr>
        <w:t>operaciones de</w:t>
      </w:r>
      <w:r w:rsidR="00AC481C" w:rsidRPr="00CD49F1">
        <w:rPr>
          <w:rFonts w:ascii="Cambria" w:hAnsi="Cambria"/>
          <w:sz w:val="20"/>
          <w:szCs w:val="20"/>
          <w:lang w:val="es-VE"/>
        </w:rPr>
        <w:t xml:space="preserve"> limpieza </w:t>
      </w:r>
      <w:r w:rsidR="00E71067" w:rsidRPr="00CD49F1">
        <w:rPr>
          <w:rFonts w:ascii="Cambria" w:hAnsi="Cambria"/>
          <w:sz w:val="20"/>
          <w:szCs w:val="20"/>
          <w:lang w:val="es-VE"/>
        </w:rPr>
        <w:t>destruyeron</w:t>
      </w:r>
      <w:r>
        <w:rPr>
          <w:rFonts w:ascii="Cambria" w:hAnsi="Cambria"/>
          <w:sz w:val="20"/>
          <w:szCs w:val="20"/>
          <w:lang w:val="es-VE"/>
        </w:rPr>
        <w:t xml:space="preserve"> la</w:t>
      </w:r>
      <w:r w:rsidR="00E71067" w:rsidRPr="00CD49F1">
        <w:rPr>
          <w:rFonts w:ascii="Cambria" w:hAnsi="Cambria"/>
          <w:sz w:val="20"/>
          <w:szCs w:val="20"/>
          <w:lang w:val="es-VE"/>
        </w:rPr>
        <w:t xml:space="preserve"> evidencia de bombardeos ilegales, incluyendo con los restos mortales de los civiles. </w:t>
      </w:r>
    </w:p>
    <w:p w:rsidR="00605F3A" w:rsidRPr="00CD49F1" w:rsidRDefault="00605F3A" w:rsidP="009712EB">
      <w:pPr>
        <w:ind w:left="720"/>
        <w:jc w:val="both"/>
        <w:rPr>
          <w:rFonts w:ascii="Cambria" w:hAnsi="Cambria"/>
          <w:sz w:val="20"/>
          <w:szCs w:val="20"/>
          <w:lang w:val="es-VE"/>
        </w:rPr>
      </w:pPr>
    </w:p>
    <w:p w:rsidR="00E71067" w:rsidRPr="00CD49F1" w:rsidRDefault="00E71067" w:rsidP="003B6A9B">
      <w:pPr>
        <w:numPr>
          <w:ilvl w:val="0"/>
          <w:numId w:val="55"/>
        </w:numPr>
        <w:ind w:left="0" w:firstLine="720"/>
        <w:jc w:val="both"/>
        <w:rPr>
          <w:rFonts w:ascii="Cambria" w:hAnsi="Cambria"/>
          <w:sz w:val="20"/>
          <w:szCs w:val="20"/>
          <w:lang w:val="es-VE"/>
        </w:rPr>
      </w:pPr>
      <w:r w:rsidRPr="00CD49F1">
        <w:rPr>
          <w:rFonts w:ascii="Cambria" w:hAnsi="Cambria"/>
          <w:sz w:val="20"/>
          <w:szCs w:val="20"/>
          <w:lang w:val="es-VE"/>
        </w:rPr>
        <w:t xml:space="preserve">Durante la intervención y ocupación, la parte peticionaria afirma que </w:t>
      </w:r>
      <w:r w:rsidR="008D247D" w:rsidRPr="00CD49F1">
        <w:rPr>
          <w:rFonts w:ascii="Cambria" w:hAnsi="Cambria"/>
          <w:sz w:val="20"/>
          <w:szCs w:val="20"/>
          <w:lang w:val="es-VE"/>
        </w:rPr>
        <w:t>las fuerzas de Estados Unidos</w:t>
      </w:r>
      <w:r w:rsidRPr="00CD49F1">
        <w:rPr>
          <w:rFonts w:ascii="Cambria" w:hAnsi="Cambria"/>
          <w:sz w:val="20"/>
          <w:szCs w:val="20"/>
          <w:lang w:val="es-VE"/>
        </w:rPr>
        <w:t xml:space="preserve"> tom</w:t>
      </w:r>
      <w:r w:rsidR="008D247D" w:rsidRPr="00CD49F1">
        <w:rPr>
          <w:rFonts w:ascii="Cambria" w:hAnsi="Cambria"/>
          <w:sz w:val="20"/>
          <w:szCs w:val="20"/>
          <w:lang w:val="es-VE"/>
        </w:rPr>
        <w:t>aron</w:t>
      </w:r>
      <w:r w:rsidRPr="00CD49F1">
        <w:rPr>
          <w:rFonts w:ascii="Cambria" w:hAnsi="Cambria"/>
          <w:sz w:val="20"/>
          <w:szCs w:val="20"/>
          <w:lang w:val="es-VE"/>
        </w:rPr>
        <w:t xml:space="preserve"> posesión y control sobre los ministerios, la universidad nacional, las estaciones de radios y las oficinas de los periódicos. Afirma que “capturaron documentos, bienes, licores y hasta obras de artes del Instituto Nacional de la Cultura” y participaron en saqueos de “edificios, tiendas, museos e instituciones gubernamentales”. Argumenta que las fuerzas </w:t>
      </w:r>
      <w:r w:rsidR="008D247D" w:rsidRPr="00CD49F1">
        <w:rPr>
          <w:rFonts w:ascii="Cambria" w:hAnsi="Cambria"/>
          <w:sz w:val="20"/>
          <w:szCs w:val="20"/>
          <w:lang w:val="es-VE"/>
        </w:rPr>
        <w:t>de Estados Unidos</w:t>
      </w:r>
      <w:r w:rsidRPr="00CD49F1">
        <w:rPr>
          <w:rFonts w:ascii="Cambria" w:hAnsi="Cambria"/>
          <w:sz w:val="20"/>
          <w:szCs w:val="20"/>
          <w:lang w:val="es-VE"/>
        </w:rPr>
        <w:t xml:space="preserve"> permitieron la destrucción desenfrenada de negocios y hogares. </w:t>
      </w:r>
    </w:p>
    <w:p w:rsidR="00605F3A" w:rsidRPr="00CD49F1" w:rsidRDefault="00605F3A" w:rsidP="009712EB">
      <w:pPr>
        <w:ind w:left="720"/>
        <w:jc w:val="both"/>
        <w:rPr>
          <w:rFonts w:ascii="Cambria" w:hAnsi="Cambria"/>
          <w:sz w:val="20"/>
          <w:szCs w:val="20"/>
          <w:lang w:val="es-VE"/>
        </w:rPr>
      </w:pPr>
    </w:p>
    <w:p w:rsidR="00E71067" w:rsidRPr="00CD49F1" w:rsidRDefault="00E71067" w:rsidP="003B6A9B">
      <w:pPr>
        <w:numPr>
          <w:ilvl w:val="0"/>
          <w:numId w:val="55"/>
        </w:numPr>
        <w:ind w:left="0" w:firstLine="720"/>
        <w:jc w:val="both"/>
        <w:rPr>
          <w:rFonts w:ascii="Cambria" w:hAnsi="Cambria"/>
          <w:sz w:val="20"/>
          <w:szCs w:val="20"/>
          <w:lang w:val="es-VE"/>
        </w:rPr>
      </w:pPr>
      <w:r w:rsidRPr="00CD49F1">
        <w:rPr>
          <w:rFonts w:ascii="Cambria" w:hAnsi="Cambria"/>
          <w:sz w:val="20"/>
          <w:szCs w:val="20"/>
          <w:lang w:val="es-VE"/>
        </w:rPr>
        <w:lastRenderedPageBreak/>
        <w:t>Sostiene que los Estados Unidos creó un equipo para “vender el gobierno de Endara al pueblo panameño” mientas instalaba un entorno de persecución en contra de aquellos señalados como pro-Noriega y de aquellos que no mostr</w:t>
      </w:r>
      <w:r w:rsidR="00686E7B">
        <w:rPr>
          <w:rFonts w:ascii="Cambria" w:hAnsi="Cambria"/>
          <w:sz w:val="20"/>
          <w:szCs w:val="20"/>
          <w:lang w:val="es-VE"/>
        </w:rPr>
        <w:t>aran un apoyo por la invasión. La parte peticionaria a</w:t>
      </w:r>
      <w:r w:rsidRPr="00CD49F1">
        <w:rPr>
          <w:rFonts w:ascii="Cambria" w:hAnsi="Cambria"/>
          <w:sz w:val="20"/>
          <w:szCs w:val="20"/>
          <w:lang w:val="es-VE"/>
        </w:rPr>
        <w:t xml:space="preserve">rgumenta que </w:t>
      </w:r>
      <w:r w:rsidR="00686E7B">
        <w:rPr>
          <w:rFonts w:ascii="Cambria" w:hAnsi="Cambria"/>
          <w:sz w:val="20"/>
          <w:szCs w:val="20"/>
          <w:lang w:val="es-VE"/>
        </w:rPr>
        <w:t xml:space="preserve">la </w:t>
      </w:r>
      <w:r w:rsidRPr="00CD49F1">
        <w:rPr>
          <w:rFonts w:ascii="Cambria" w:hAnsi="Cambria"/>
          <w:sz w:val="20"/>
          <w:szCs w:val="20"/>
          <w:lang w:val="es-VE"/>
        </w:rPr>
        <w:t xml:space="preserve">“Operación promover la Libertad” </w:t>
      </w:r>
      <w:r w:rsidR="00816B42">
        <w:rPr>
          <w:rFonts w:ascii="Cambria" w:hAnsi="Cambria"/>
          <w:sz w:val="20"/>
          <w:szCs w:val="20"/>
          <w:lang w:val="es-VE"/>
        </w:rPr>
        <w:t xml:space="preserve">fue creada y </w:t>
      </w:r>
      <w:r w:rsidRPr="00CD49F1">
        <w:rPr>
          <w:rFonts w:ascii="Cambria" w:hAnsi="Cambria"/>
          <w:sz w:val="20"/>
          <w:szCs w:val="20"/>
          <w:lang w:val="es-VE"/>
        </w:rPr>
        <w:t xml:space="preserve">dirigida a promover la falsa idea de que las intenciones de </w:t>
      </w:r>
      <w:r w:rsidR="00816B42">
        <w:rPr>
          <w:rFonts w:ascii="Cambria" w:hAnsi="Cambria"/>
          <w:sz w:val="20"/>
          <w:szCs w:val="20"/>
          <w:lang w:val="es-VE"/>
        </w:rPr>
        <w:t xml:space="preserve">los Estados Unidos eran </w:t>
      </w:r>
      <w:r w:rsidRPr="00CD49F1">
        <w:rPr>
          <w:rFonts w:ascii="Cambria" w:hAnsi="Cambria"/>
          <w:sz w:val="20"/>
          <w:szCs w:val="20"/>
          <w:lang w:val="es-VE"/>
        </w:rPr>
        <w:t>apoyar y ayudar al gobierno de E</w:t>
      </w:r>
      <w:r w:rsidR="00816B42">
        <w:rPr>
          <w:rFonts w:ascii="Cambria" w:hAnsi="Cambria"/>
          <w:sz w:val="20"/>
          <w:szCs w:val="20"/>
          <w:lang w:val="es-VE"/>
        </w:rPr>
        <w:t xml:space="preserve">ndara a </w:t>
      </w:r>
      <w:r w:rsidRPr="00CD49F1">
        <w:rPr>
          <w:rFonts w:ascii="Cambria" w:hAnsi="Cambria"/>
          <w:sz w:val="20"/>
          <w:szCs w:val="20"/>
          <w:lang w:val="es-VE"/>
        </w:rPr>
        <w:t>convertirse</w:t>
      </w:r>
      <w:r w:rsidR="00816B42">
        <w:rPr>
          <w:rFonts w:ascii="Cambria" w:hAnsi="Cambria"/>
          <w:sz w:val="20"/>
          <w:szCs w:val="20"/>
          <w:lang w:val="es-VE"/>
        </w:rPr>
        <w:t xml:space="preserve"> </w:t>
      </w:r>
      <w:r w:rsidRPr="00CD49F1">
        <w:rPr>
          <w:rFonts w:ascii="Cambria" w:hAnsi="Cambria"/>
          <w:sz w:val="20"/>
          <w:szCs w:val="20"/>
          <w:lang w:val="es-VE"/>
        </w:rPr>
        <w:t>en un gobierno democrático que respondiera a las necesidades del pueblo.</w:t>
      </w:r>
    </w:p>
    <w:p w:rsidR="00605F3A" w:rsidRPr="00CD49F1" w:rsidRDefault="00605F3A" w:rsidP="009712EB">
      <w:pPr>
        <w:ind w:left="720"/>
        <w:jc w:val="both"/>
        <w:rPr>
          <w:rFonts w:ascii="Cambria" w:hAnsi="Cambria"/>
          <w:sz w:val="20"/>
          <w:szCs w:val="20"/>
          <w:lang w:val="es-VE"/>
        </w:rPr>
      </w:pPr>
    </w:p>
    <w:p w:rsidR="00E71067" w:rsidRPr="00CD49F1" w:rsidRDefault="00E71067" w:rsidP="003B6A9B">
      <w:pPr>
        <w:numPr>
          <w:ilvl w:val="0"/>
          <w:numId w:val="55"/>
        </w:numPr>
        <w:ind w:left="0" w:firstLine="720"/>
        <w:jc w:val="both"/>
        <w:rPr>
          <w:rFonts w:ascii="Cambria" w:hAnsi="Cambria"/>
          <w:sz w:val="20"/>
          <w:szCs w:val="20"/>
          <w:lang w:val="es-VE"/>
        </w:rPr>
      </w:pPr>
      <w:r w:rsidRPr="00CD49F1">
        <w:rPr>
          <w:rFonts w:ascii="Cambria" w:hAnsi="Cambria"/>
          <w:sz w:val="20"/>
          <w:szCs w:val="20"/>
          <w:lang w:val="es-VE"/>
        </w:rPr>
        <w:t>Sostiene que las fuerzas militares estadounidense</w:t>
      </w:r>
      <w:r w:rsidR="008D247D" w:rsidRPr="00CD49F1">
        <w:rPr>
          <w:rFonts w:ascii="Cambria" w:hAnsi="Cambria"/>
          <w:sz w:val="20"/>
          <w:szCs w:val="20"/>
          <w:lang w:val="es-VE"/>
        </w:rPr>
        <w:t>s</w:t>
      </w:r>
      <w:r w:rsidRPr="00CD49F1">
        <w:rPr>
          <w:rFonts w:ascii="Cambria" w:hAnsi="Cambria"/>
          <w:sz w:val="20"/>
          <w:szCs w:val="20"/>
          <w:lang w:val="es-VE"/>
        </w:rPr>
        <w:t xml:space="preserve"> le requirieron a la población civil instalar “grupos de protección vecinales” e hicieron llamados a divulgar información sobre la ubicación del General Noriega, y sus aliados políticos. Consecuentemente, según la parte pe</w:t>
      </w:r>
      <w:r w:rsidR="00816B42">
        <w:rPr>
          <w:rFonts w:ascii="Cambria" w:hAnsi="Cambria"/>
          <w:sz w:val="20"/>
          <w:szCs w:val="20"/>
          <w:lang w:val="es-VE"/>
        </w:rPr>
        <w:t>ticionaria, las fuerzas de los Estados Unidos</w:t>
      </w:r>
      <w:r w:rsidRPr="00CD49F1">
        <w:rPr>
          <w:rFonts w:ascii="Cambria" w:hAnsi="Cambria"/>
          <w:sz w:val="20"/>
          <w:szCs w:val="20"/>
          <w:lang w:val="es-VE"/>
        </w:rPr>
        <w:t xml:space="preserve"> continuaron una persecución sistemática de opositores al nuevo gobierno realizando allanamientos ilegales casa por casa en los cuales generaron daños adicionales, en búsqueda de seguidores de Noriega. </w:t>
      </w:r>
    </w:p>
    <w:p w:rsidR="00605F3A" w:rsidRPr="00CD49F1" w:rsidRDefault="00605F3A" w:rsidP="009712EB">
      <w:pPr>
        <w:ind w:left="720"/>
        <w:jc w:val="both"/>
        <w:rPr>
          <w:rFonts w:ascii="Cambria" w:hAnsi="Cambria"/>
          <w:sz w:val="20"/>
          <w:szCs w:val="20"/>
          <w:lang w:val="es-VE"/>
        </w:rPr>
      </w:pPr>
    </w:p>
    <w:p w:rsidR="00E71067" w:rsidRPr="00CD49F1" w:rsidRDefault="00E71067" w:rsidP="003B6A9B">
      <w:pPr>
        <w:numPr>
          <w:ilvl w:val="0"/>
          <w:numId w:val="55"/>
        </w:numPr>
        <w:ind w:left="0" w:firstLine="720"/>
        <w:jc w:val="both"/>
        <w:rPr>
          <w:rFonts w:ascii="Cambria" w:hAnsi="Cambria"/>
          <w:sz w:val="20"/>
          <w:szCs w:val="20"/>
          <w:lang w:val="es-VE"/>
        </w:rPr>
      </w:pPr>
      <w:r w:rsidRPr="00CD49F1">
        <w:rPr>
          <w:rFonts w:ascii="Cambria" w:hAnsi="Cambria"/>
          <w:sz w:val="20"/>
          <w:szCs w:val="20"/>
          <w:lang w:val="es-VE"/>
        </w:rPr>
        <w:t xml:space="preserve">En este contexto, la parte peticionaria argumenta que más de 5.000 hombres fueron detenidos arbitrariamente e interrogados en campamentos para prisioneros de guerra, sin notificar a sus familias. En estos campamentos eran sometidos a permanecer por horas bajo el sol y la lluvia con las manos atadas en sus espaldas sin ningún tipo de protección. </w:t>
      </w:r>
    </w:p>
    <w:p w:rsidR="00605F3A" w:rsidRPr="00CD49F1" w:rsidRDefault="00605F3A" w:rsidP="009712EB">
      <w:pPr>
        <w:ind w:left="720"/>
        <w:jc w:val="both"/>
        <w:rPr>
          <w:rFonts w:ascii="Cambria" w:hAnsi="Cambria"/>
          <w:sz w:val="20"/>
          <w:szCs w:val="20"/>
          <w:lang w:val="es-VE"/>
        </w:rPr>
      </w:pPr>
    </w:p>
    <w:p w:rsidR="00E71067" w:rsidRPr="00CD49F1" w:rsidRDefault="00E71067" w:rsidP="003B6A9B">
      <w:pPr>
        <w:numPr>
          <w:ilvl w:val="0"/>
          <w:numId w:val="55"/>
        </w:numPr>
        <w:ind w:left="0" w:firstLine="720"/>
        <w:jc w:val="both"/>
        <w:rPr>
          <w:rFonts w:ascii="Cambria" w:hAnsi="Cambria"/>
          <w:sz w:val="20"/>
          <w:szCs w:val="20"/>
          <w:lang w:val="es-VE"/>
        </w:rPr>
      </w:pPr>
      <w:r w:rsidRPr="00CD49F1">
        <w:rPr>
          <w:rFonts w:ascii="Cambria" w:hAnsi="Cambria"/>
          <w:sz w:val="20"/>
          <w:szCs w:val="20"/>
          <w:lang w:val="es-VE"/>
        </w:rPr>
        <w:t xml:space="preserve">La parte peticionaria, fundamentándose en las Convenciones de la Haya de 1907, argumenta que la potencia ocupante tiene el deber de tomar todas las medidas dentro de su poder para restaurar y garantizar el orden público y la seguridad. En este sentido </w:t>
      </w:r>
      <w:r w:rsidR="00816B42">
        <w:rPr>
          <w:rFonts w:ascii="Cambria" w:hAnsi="Cambria"/>
          <w:sz w:val="20"/>
          <w:szCs w:val="20"/>
          <w:lang w:val="es-VE"/>
        </w:rPr>
        <w:t xml:space="preserve">la parte peticionaria sostiene que, </w:t>
      </w:r>
      <w:r w:rsidRPr="00CD49F1">
        <w:rPr>
          <w:rFonts w:ascii="Cambria" w:hAnsi="Cambria"/>
          <w:sz w:val="20"/>
          <w:szCs w:val="20"/>
          <w:lang w:val="es-VE"/>
        </w:rPr>
        <w:t xml:space="preserve">además de permitir daños adicionales a la propiedad de las víctimas por no prevenir los saqueos, </w:t>
      </w:r>
      <w:r w:rsidR="00816B42">
        <w:rPr>
          <w:rFonts w:ascii="Cambria" w:hAnsi="Cambria"/>
          <w:sz w:val="20"/>
          <w:szCs w:val="20"/>
          <w:lang w:val="es-VE"/>
        </w:rPr>
        <w:t xml:space="preserve">los Estados Unidos </w:t>
      </w:r>
      <w:r w:rsidRPr="00CD49F1">
        <w:rPr>
          <w:rFonts w:ascii="Cambria" w:hAnsi="Cambria"/>
          <w:sz w:val="20"/>
          <w:szCs w:val="20"/>
          <w:lang w:val="es-VE"/>
        </w:rPr>
        <w:t xml:space="preserve">impuso puestos de control </w:t>
      </w:r>
      <w:r w:rsidR="00553970">
        <w:rPr>
          <w:rFonts w:ascii="Cambria" w:hAnsi="Cambria"/>
          <w:sz w:val="20"/>
          <w:szCs w:val="20"/>
          <w:lang w:val="es-VE"/>
        </w:rPr>
        <w:t xml:space="preserve">vehicular </w:t>
      </w:r>
      <w:r w:rsidRPr="00CD49F1">
        <w:rPr>
          <w:rFonts w:ascii="Cambria" w:hAnsi="Cambria"/>
          <w:sz w:val="20"/>
          <w:szCs w:val="20"/>
          <w:lang w:val="es-VE"/>
        </w:rPr>
        <w:t>y el cierre de zonas como San Miguelito, El Chorrillo y R</w:t>
      </w:r>
      <w:r w:rsidR="002704BE" w:rsidRPr="00CD49F1">
        <w:rPr>
          <w:rFonts w:ascii="Cambria" w:hAnsi="Cambria"/>
          <w:sz w:val="20"/>
          <w:szCs w:val="20"/>
          <w:lang w:val="es-VE"/>
        </w:rPr>
        <w:t>í</w:t>
      </w:r>
      <w:r w:rsidRPr="00CD49F1">
        <w:rPr>
          <w:rFonts w:ascii="Cambria" w:hAnsi="Cambria"/>
          <w:sz w:val="20"/>
          <w:szCs w:val="20"/>
          <w:lang w:val="es-VE"/>
        </w:rPr>
        <w:t>o Hato</w:t>
      </w:r>
      <w:r w:rsidR="00553970">
        <w:rPr>
          <w:rFonts w:ascii="Cambria" w:hAnsi="Cambria"/>
          <w:sz w:val="20"/>
          <w:szCs w:val="20"/>
          <w:lang w:val="es-VE"/>
        </w:rPr>
        <w:t>, y que la invasión dejó a varias personas desplazadas afuera de Panamá</w:t>
      </w:r>
      <w:r w:rsidRPr="00CD49F1">
        <w:rPr>
          <w:rFonts w:ascii="Cambria" w:hAnsi="Cambria"/>
          <w:sz w:val="20"/>
          <w:szCs w:val="20"/>
          <w:lang w:val="es-VE"/>
        </w:rPr>
        <w:t>. El Estado mantenía la transmisión de información contradict</w:t>
      </w:r>
      <w:r w:rsidR="00553970">
        <w:rPr>
          <w:rFonts w:ascii="Cambria" w:hAnsi="Cambria"/>
          <w:sz w:val="20"/>
          <w:szCs w:val="20"/>
          <w:lang w:val="es-VE"/>
        </w:rPr>
        <w:t xml:space="preserve">oria, por un lado pidiéndole a los miembros de la </w:t>
      </w:r>
      <w:r w:rsidRPr="00CD49F1">
        <w:rPr>
          <w:rFonts w:ascii="Cambria" w:hAnsi="Cambria"/>
          <w:sz w:val="20"/>
          <w:szCs w:val="20"/>
          <w:lang w:val="es-VE"/>
        </w:rPr>
        <w:t>comunidad volver a actividades diarias, mientras</w:t>
      </w:r>
      <w:r w:rsidR="00553970">
        <w:rPr>
          <w:rFonts w:ascii="Cambria" w:hAnsi="Cambria"/>
          <w:sz w:val="20"/>
          <w:szCs w:val="20"/>
          <w:lang w:val="es-VE"/>
        </w:rPr>
        <w:t xml:space="preserve"> que civiles estaban siendo sometidos a ser</w:t>
      </w:r>
      <w:r w:rsidRPr="00CD49F1">
        <w:rPr>
          <w:rFonts w:ascii="Cambria" w:hAnsi="Cambria"/>
          <w:sz w:val="20"/>
          <w:szCs w:val="20"/>
          <w:lang w:val="es-VE"/>
        </w:rPr>
        <w:t xml:space="preserve"> víctimas de asaltos y homicidios en los puntos de control.</w:t>
      </w:r>
    </w:p>
    <w:p w:rsidR="00605F3A" w:rsidRPr="00CD49F1" w:rsidRDefault="00605F3A" w:rsidP="009712EB">
      <w:pPr>
        <w:ind w:left="720"/>
        <w:jc w:val="both"/>
        <w:rPr>
          <w:rFonts w:ascii="Cambria" w:hAnsi="Cambria"/>
          <w:sz w:val="20"/>
          <w:szCs w:val="20"/>
          <w:lang w:val="es-VE"/>
        </w:rPr>
      </w:pPr>
    </w:p>
    <w:p w:rsidR="00E71067" w:rsidRPr="00CD49F1" w:rsidRDefault="00E71067" w:rsidP="003B6A9B">
      <w:pPr>
        <w:numPr>
          <w:ilvl w:val="0"/>
          <w:numId w:val="55"/>
        </w:numPr>
        <w:ind w:left="0" w:firstLine="720"/>
        <w:jc w:val="both"/>
        <w:rPr>
          <w:rFonts w:ascii="Cambria" w:hAnsi="Cambria"/>
          <w:sz w:val="20"/>
          <w:szCs w:val="20"/>
          <w:lang w:val="es-VE"/>
        </w:rPr>
      </w:pPr>
      <w:r w:rsidRPr="00CD49F1">
        <w:rPr>
          <w:rFonts w:ascii="Cambria" w:hAnsi="Cambria"/>
          <w:sz w:val="20"/>
          <w:szCs w:val="20"/>
          <w:lang w:val="es-VE"/>
        </w:rPr>
        <w:t>La parte peticionaria argumenta fundamentándose en el artículo 50 del I Convenio de Ginebra, la responsabilidad del Estado por “infracciones graves” al derecho humanitario. Alega el homicidio intencional y deliberado de varias víctimas del prese</w:t>
      </w:r>
      <w:r w:rsidR="00553970">
        <w:rPr>
          <w:rFonts w:ascii="Cambria" w:hAnsi="Cambria"/>
          <w:sz w:val="20"/>
          <w:szCs w:val="20"/>
          <w:lang w:val="es-VE"/>
        </w:rPr>
        <w:t>nte caso como consecuencia de la acción y la</w:t>
      </w:r>
      <w:r w:rsidRPr="00CD49F1">
        <w:rPr>
          <w:rFonts w:ascii="Cambria" w:hAnsi="Cambria"/>
          <w:sz w:val="20"/>
          <w:szCs w:val="20"/>
          <w:lang w:val="es-VE"/>
        </w:rPr>
        <w:t xml:space="preserve"> omisión de</w:t>
      </w:r>
      <w:r w:rsidR="00582FE2" w:rsidRPr="00CD49F1">
        <w:rPr>
          <w:rFonts w:ascii="Cambria" w:hAnsi="Cambria"/>
          <w:sz w:val="20"/>
          <w:szCs w:val="20"/>
          <w:lang w:val="es-VE"/>
        </w:rPr>
        <w:t xml:space="preserve"> Estados Unidos</w:t>
      </w:r>
      <w:r w:rsidRPr="00CD49F1">
        <w:rPr>
          <w:rFonts w:ascii="Cambria" w:hAnsi="Cambria"/>
          <w:sz w:val="20"/>
          <w:szCs w:val="20"/>
          <w:lang w:val="es-VE"/>
        </w:rPr>
        <w:t xml:space="preserve"> lo que resultó en el “sufrimiento y dolor innecesario infligido en la población civil”. </w:t>
      </w:r>
    </w:p>
    <w:p w:rsidR="00605F3A" w:rsidRPr="00CD49F1" w:rsidRDefault="00605F3A" w:rsidP="009712EB">
      <w:pPr>
        <w:ind w:left="720"/>
        <w:jc w:val="both"/>
        <w:rPr>
          <w:rFonts w:ascii="Cambria" w:hAnsi="Cambria"/>
          <w:sz w:val="20"/>
          <w:szCs w:val="20"/>
          <w:lang w:val="es-VE"/>
        </w:rPr>
      </w:pPr>
    </w:p>
    <w:p w:rsidR="00E71067" w:rsidRPr="00CD49F1" w:rsidRDefault="00E71067" w:rsidP="003B6A9B">
      <w:pPr>
        <w:numPr>
          <w:ilvl w:val="0"/>
          <w:numId w:val="55"/>
        </w:numPr>
        <w:ind w:left="0" w:firstLine="720"/>
        <w:jc w:val="both"/>
        <w:rPr>
          <w:rFonts w:ascii="Cambria" w:hAnsi="Cambria"/>
          <w:sz w:val="20"/>
          <w:szCs w:val="20"/>
          <w:lang w:val="es-VE"/>
        </w:rPr>
      </w:pPr>
      <w:r w:rsidRPr="00CD49F1">
        <w:rPr>
          <w:rFonts w:ascii="Cambria" w:hAnsi="Cambria"/>
          <w:sz w:val="20"/>
          <w:szCs w:val="20"/>
          <w:lang w:val="es-VE"/>
        </w:rPr>
        <w:t xml:space="preserve">La parte peticionaria propone en cuanto a las reparaciones, la instalación de una Comisión para la compensación de civiles panameños. En este sentido plantea que sea establecida en base al modelo de la Comisión de Compensación de las Naciones Unidas, con un fondo administrado por la OEA o las Naciones Unidas dotado de fondos por </w:t>
      </w:r>
      <w:r w:rsidR="00582FE2" w:rsidRPr="00CD49F1">
        <w:rPr>
          <w:rFonts w:ascii="Cambria" w:hAnsi="Cambria"/>
          <w:sz w:val="20"/>
          <w:szCs w:val="20"/>
          <w:lang w:val="es-VE"/>
        </w:rPr>
        <w:t>los</w:t>
      </w:r>
      <w:r w:rsidRPr="00CD49F1">
        <w:rPr>
          <w:rFonts w:ascii="Cambria" w:hAnsi="Cambria"/>
          <w:sz w:val="20"/>
          <w:szCs w:val="20"/>
          <w:lang w:val="es-VE"/>
        </w:rPr>
        <w:t xml:space="preserve"> Estado</w:t>
      </w:r>
      <w:r w:rsidR="00582FE2" w:rsidRPr="00CD49F1">
        <w:rPr>
          <w:rFonts w:ascii="Cambria" w:hAnsi="Cambria"/>
          <w:sz w:val="20"/>
          <w:szCs w:val="20"/>
          <w:lang w:val="es-VE"/>
        </w:rPr>
        <w:t>s Unidos</w:t>
      </w:r>
      <w:r w:rsidRPr="00CD49F1">
        <w:rPr>
          <w:rFonts w:ascii="Cambria" w:hAnsi="Cambria"/>
          <w:sz w:val="20"/>
          <w:szCs w:val="20"/>
          <w:lang w:val="es-VE"/>
        </w:rPr>
        <w:t>, en particular de las ganancias que recib</w:t>
      </w:r>
      <w:r w:rsidR="00582FE2" w:rsidRPr="00CD49F1">
        <w:rPr>
          <w:rFonts w:ascii="Cambria" w:hAnsi="Cambria"/>
          <w:sz w:val="20"/>
          <w:szCs w:val="20"/>
          <w:lang w:val="es-VE"/>
        </w:rPr>
        <w:t>ió</w:t>
      </w:r>
      <w:r w:rsidRPr="00CD49F1">
        <w:rPr>
          <w:rFonts w:ascii="Cambria" w:hAnsi="Cambria"/>
          <w:sz w:val="20"/>
          <w:szCs w:val="20"/>
          <w:lang w:val="es-VE"/>
        </w:rPr>
        <w:t xml:space="preserve"> por las operaciones del Canal de Panamá con la posibilidad de buscar otras fuentes estatales para los fondos. En la opinión de la parte peticionaria, la Comisión propuesta deberá tener un procedimiento de reclamación y uno para clasificar los daños. </w:t>
      </w:r>
    </w:p>
    <w:p w:rsidR="00605F3A" w:rsidRPr="00CD49F1" w:rsidRDefault="00605F3A" w:rsidP="009712EB">
      <w:pPr>
        <w:ind w:left="720"/>
        <w:jc w:val="both"/>
        <w:rPr>
          <w:rFonts w:ascii="Cambria" w:hAnsi="Cambria"/>
          <w:sz w:val="20"/>
          <w:szCs w:val="20"/>
          <w:lang w:val="es-VE"/>
        </w:rPr>
      </w:pPr>
    </w:p>
    <w:p w:rsidR="00E71067" w:rsidRPr="00CD49F1" w:rsidRDefault="00E71067" w:rsidP="003B6A9B">
      <w:pPr>
        <w:numPr>
          <w:ilvl w:val="0"/>
          <w:numId w:val="55"/>
        </w:numPr>
        <w:ind w:left="0" w:firstLine="720"/>
        <w:jc w:val="both"/>
        <w:rPr>
          <w:rFonts w:ascii="Cambria" w:hAnsi="Cambria"/>
          <w:sz w:val="20"/>
          <w:szCs w:val="20"/>
          <w:lang w:val="es-VE"/>
        </w:rPr>
      </w:pPr>
      <w:r w:rsidRPr="00CD49F1">
        <w:rPr>
          <w:rFonts w:ascii="Cambria" w:hAnsi="Cambria"/>
          <w:sz w:val="20"/>
          <w:szCs w:val="20"/>
          <w:lang w:val="es-VE"/>
        </w:rPr>
        <w:t xml:space="preserve"> La parte peticionaria </w:t>
      </w:r>
      <w:r w:rsidRPr="00CD49F1">
        <w:rPr>
          <w:rFonts w:ascii="Cambria" w:hAnsi="Cambria"/>
          <w:sz w:val="20"/>
          <w:szCs w:val="20"/>
          <w:lang w:val="es-CO"/>
        </w:rPr>
        <w:t xml:space="preserve">insiste que, </w:t>
      </w:r>
      <w:r w:rsidRPr="00CD49F1">
        <w:rPr>
          <w:rFonts w:ascii="Cambria" w:hAnsi="Cambria"/>
          <w:sz w:val="20"/>
          <w:szCs w:val="20"/>
          <w:lang w:val="es-VE"/>
        </w:rPr>
        <w:t>como consecuencia de la “intervención ilegal en violación de la Carta de la OEA”, los Estados Unidos debe ser considerado responsable de indemnizar a todos los civiles panameños que sufrieron pérdidas de vidas, lesiones personales y destrucción de viviendas y bienes.</w:t>
      </w:r>
    </w:p>
    <w:p w:rsidR="00605F3A" w:rsidRPr="00CD49F1" w:rsidRDefault="00605F3A" w:rsidP="009712EB">
      <w:pPr>
        <w:ind w:left="720"/>
        <w:jc w:val="both"/>
        <w:rPr>
          <w:rFonts w:ascii="Cambria" w:hAnsi="Cambria"/>
          <w:sz w:val="20"/>
          <w:szCs w:val="20"/>
          <w:lang w:val="es-VE"/>
        </w:rPr>
      </w:pPr>
    </w:p>
    <w:p w:rsidR="00361415" w:rsidRPr="00CD49F1" w:rsidRDefault="00E71067" w:rsidP="003B6A9B">
      <w:pPr>
        <w:numPr>
          <w:ilvl w:val="0"/>
          <w:numId w:val="55"/>
        </w:numPr>
        <w:ind w:left="0" w:firstLine="720"/>
        <w:jc w:val="both"/>
        <w:rPr>
          <w:rFonts w:ascii="Cambria" w:hAnsi="Cambria"/>
          <w:sz w:val="20"/>
          <w:szCs w:val="20"/>
          <w:lang w:val="es-VE"/>
        </w:rPr>
      </w:pPr>
      <w:r w:rsidRPr="00CD49F1">
        <w:rPr>
          <w:rFonts w:ascii="Cambria" w:hAnsi="Cambria"/>
          <w:sz w:val="20"/>
          <w:szCs w:val="20"/>
          <w:lang w:val="es-VE"/>
        </w:rPr>
        <w:t>En este sentido</w:t>
      </w:r>
      <w:r w:rsidR="003472C0">
        <w:rPr>
          <w:rFonts w:ascii="Cambria" w:hAnsi="Cambria"/>
          <w:sz w:val="20"/>
          <w:szCs w:val="20"/>
          <w:lang w:val="es-VE"/>
        </w:rPr>
        <w:t>, la parte peticionaria</w:t>
      </w:r>
      <w:r w:rsidRPr="00CD49F1">
        <w:rPr>
          <w:rFonts w:ascii="Cambria" w:hAnsi="Cambria"/>
          <w:sz w:val="20"/>
          <w:szCs w:val="20"/>
          <w:lang w:val="es-VE"/>
        </w:rPr>
        <w:t xml:space="preserve"> solicita que la Comisión Interamericana declare que la invasión militar del Estado en Panamá fue ilegal y violatoria de la Carta de la OEA, de los principios de no intervención, de inviolabilidad de la soberanía y </w:t>
      </w:r>
      <w:r w:rsidR="003472C0">
        <w:rPr>
          <w:rFonts w:ascii="Cambria" w:hAnsi="Cambria"/>
          <w:sz w:val="20"/>
          <w:szCs w:val="20"/>
          <w:lang w:val="es-VE"/>
        </w:rPr>
        <w:t xml:space="preserve">del respeto a </w:t>
      </w:r>
      <w:r w:rsidRPr="00CD49F1">
        <w:rPr>
          <w:rFonts w:ascii="Cambria" w:hAnsi="Cambria"/>
          <w:sz w:val="20"/>
          <w:szCs w:val="20"/>
          <w:lang w:val="es-VE"/>
        </w:rPr>
        <w:t>los derechos humanos establecidos en la Carta de las Naciones Unidas, en el Convenio de Ginebra y sus protocolos, en el Tratado del Canal de Panamá de 1977, y en el Tratado</w:t>
      </w:r>
      <w:r w:rsidRPr="00CD49F1">
        <w:rPr>
          <w:rFonts w:ascii="Cambria" w:hAnsi="Cambria"/>
          <w:bCs/>
          <w:sz w:val="20"/>
          <w:szCs w:val="20"/>
          <w:lang w:val="es-CO"/>
        </w:rPr>
        <w:t xml:space="preserve"> Concerniente a la Neutralidad Permanente y Funcionamiento del Canal de Panamá, de conformidad con el artículo 3 de la Carta de la OEA. Asimismo solicita que la CIDH declare que como consecuencia de estas violaciones del derecho internacional y de los daños causados a las víctimas, el Estado debe compensar a los peticionarios y a “todos aquellos que</w:t>
      </w:r>
      <w:r w:rsidRPr="00CD49F1">
        <w:rPr>
          <w:rFonts w:ascii="Cambria" w:hAnsi="Cambria"/>
          <w:bCs/>
          <w:sz w:val="20"/>
          <w:szCs w:val="20"/>
          <w:lang w:val="es-VE"/>
        </w:rPr>
        <w:t xml:space="preserve"> hayan sido similarmente perjudicados”. </w:t>
      </w:r>
    </w:p>
    <w:p w:rsidR="00605F3A" w:rsidRPr="00CD49F1" w:rsidRDefault="00605F3A" w:rsidP="009712EB">
      <w:pPr>
        <w:ind w:left="720"/>
        <w:jc w:val="both"/>
        <w:rPr>
          <w:rFonts w:ascii="Cambria" w:hAnsi="Cambria"/>
          <w:sz w:val="20"/>
          <w:szCs w:val="20"/>
          <w:lang w:val="es-VE"/>
        </w:rPr>
      </w:pPr>
    </w:p>
    <w:p w:rsidR="00D12193" w:rsidRPr="00A95746" w:rsidRDefault="005177AF" w:rsidP="00D529F8">
      <w:pPr>
        <w:pStyle w:val="Heading2"/>
        <w:numPr>
          <w:ilvl w:val="0"/>
          <w:numId w:val="65"/>
        </w:numPr>
        <w:spacing w:before="0" w:after="0"/>
        <w:ind w:firstLine="0"/>
        <w:jc w:val="both"/>
        <w:rPr>
          <w:rFonts w:ascii="Cambria" w:hAnsi="Cambria"/>
          <w:b w:val="0"/>
          <w:i w:val="0"/>
          <w:sz w:val="20"/>
          <w:szCs w:val="20"/>
          <w:lang w:val="es-ES_tradnl"/>
        </w:rPr>
      </w:pPr>
      <w:bookmarkStart w:id="4" w:name="_Toc525294029"/>
      <w:r w:rsidRPr="00A95746">
        <w:rPr>
          <w:rFonts w:ascii="Cambria" w:hAnsi="Cambria"/>
          <w:i w:val="0"/>
          <w:sz w:val="20"/>
          <w:szCs w:val="20"/>
          <w:lang w:val="es-ES_tradnl"/>
        </w:rPr>
        <w:lastRenderedPageBreak/>
        <w:t>Estado</w:t>
      </w:r>
      <w:bookmarkEnd w:id="4"/>
      <w:r w:rsidR="00CC63CF" w:rsidRPr="00A95746">
        <w:rPr>
          <w:rFonts w:ascii="Cambria" w:hAnsi="Cambria"/>
          <w:i w:val="0"/>
          <w:sz w:val="20"/>
          <w:szCs w:val="20"/>
          <w:lang w:val="es-ES_tradnl"/>
        </w:rPr>
        <w:t xml:space="preserve"> </w:t>
      </w:r>
    </w:p>
    <w:p w:rsidR="00605F3A" w:rsidRPr="00CD49F1" w:rsidRDefault="00605F3A" w:rsidP="009712EB">
      <w:pPr>
        <w:ind w:left="720"/>
        <w:jc w:val="both"/>
        <w:rPr>
          <w:rFonts w:ascii="Cambria" w:hAnsi="Cambria"/>
          <w:sz w:val="20"/>
          <w:szCs w:val="20"/>
          <w:lang w:val="es-AR"/>
        </w:rPr>
      </w:pPr>
    </w:p>
    <w:p w:rsidR="00E71067" w:rsidRPr="00CD49F1" w:rsidRDefault="00B41B10" w:rsidP="003B6A9B">
      <w:pPr>
        <w:numPr>
          <w:ilvl w:val="0"/>
          <w:numId w:val="55"/>
        </w:numPr>
        <w:ind w:left="0" w:firstLine="720"/>
        <w:jc w:val="both"/>
        <w:rPr>
          <w:rFonts w:ascii="Cambria" w:hAnsi="Cambria"/>
          <w:sz w:val="20"/>
          <w:szCs w:val="20"/>
          <w:lang w:val="es-AR"/>
        </w:rPr>
      </w:pPr>
      <w:r>
        <w:rPr>
          <w:rFonts w:ascii="Cambria" w:hAnsi="Cambria"/>
          <w:sz w:val="20"/>
          <w:szCs w:val="20"/>
          <w:lang w:val="es-AR"/>
        </w:rPr>
        <w:t>En respuesta</w:t>
      </w:r>
      <w:r w:rsidR="00E71067" w:rsidRPr="00CD49F1">
        <w:rPr>
          <w:rFonts w:ascii="Cambria" w:hAnsi="Cambria"/>
          <w:sz w:val="20"/>
          <w:szCs w:val="20"/>
          <w:lang w:val="es-AR"/>
        </w:rPr>
        <w:t xml:space="preserve">, </w:t>
      </w:r>
      <w:r>
        <w:rPr>
          <w:rFonts w:ascii="Cambria" w:hAnsi="Cambria"/>
          <w:sz w:val="20"/>
          <w:szCs w:val="20"/>
          <w:lang w:val="es-AR"/>
        </w:rPr>
        <w:t xml:space="preserve">los Estados Unidos </w:t>
      </w:r>
      <w:r w:rsidR="00E71067" w:rsidRPr="00CD49F1">
        <w:rPr>
          <w:rFonts w:ascii="Cambria" w:hAnsi="Cambria"/>
          <w:sz w:val="20"/>
          <w:szCs w:val="20"/>
          <w:lang w:val="es-AR"/>
        </w:rPr>
        <w:t>rechaza categóricamente</w:t>
      </w:r>
      <w:r w:rsidR="00582FE2" w:rsidRPr="00CD49F1">
        <w:rPr>
          <w:rFonts w:ascii="Cambria" w:hAnsi="Cambria"/>
          <w:sz w:val="20"/>
          <w:szCs w:val="20"/>
          <w:lang w:val="es-AR"/>
        </w:rPr>
        <w:t xml:space="preserve"> que la petición presenta denuncias que caracterizan violaciones a derechos humanos</w:t>
      </w:r>
      <w:r w:rsidR="00E71067" w:rsidRPr="00CD49F1">
        <w:rPr>
          <w:rFonts w:ascii="Cambria" w:hAnsi="Cambria"/>
          <w:sz w:val="20"/>
          <w:szCs w:val="20"/>
          <w:lang w:val="es-AR"/>
        </w:rPr>
        <w:t>. Afirma que este caso se relaciona con la operación militar de Estados Unidos en Panamá en diciembre de 1989, luego que el General panameño Manuel Noriega declarara estar en guerra con los Estados Unidos e incentivara provocaciones armadas por los Fuerzas de Defensa panameñas en contra de militares estadounidense presentes legalmente en Panamá encargados de la defensa del Canal de Panamá.</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En</w:t>
      </w:r>
      <w:r w:rsidRPr="00CD49F1">
        <w:rPr>
          <w:rFonts w:ascii="Cambria" w:hAnsi="Cambria"/>
          <w:sz w:val="20"/>
          <w:szCs w:val="20"/>
          <w:lang w:val="es-CR"/>
        </w:rPr>
        <w:t xml:space="preserve"> la presente etapa el Estado continuó presentando </w:t>
      </w:r>
      <w:r w:rsidR="00B41B10">
        <w:rPr>
          <w:rFonts w:ascii="Cambria" w:hAnsi="Cambria"/>
          <w:sz w:val="20"/>
          <w:szCs w:val="20"/>
          <w:lang w:val="es-CR"/>
        </w:rPr>
        <w:t>argumento</w:t>
      </w:r>
      <w:r w:rsidRPr="00CD49F1">
        <w:rPr>
          <w:rFonts w:ascii="Cambria" w:hAnsi="Cambria"/>
          <w:sz w:val="20"/>
          <w:szCs w:val="20"/>
          <w:lang w:val="es-CR"/>
        </w:rPr>
        <w:t xml:space="preserve">s relativos a la admisibilidad de la petición en particular sobre </w:t>
      </w:r>
      <w:r w:rsidR="00B41B10">
        <w:rPr>
          <w:rFonts w:ascii="Cambria" w:hAnsi="Cambria"/>
          <w:sz w:val="20"/>
          <w:szCs w:val="20"/>
          <w:lang w:val="es-CR"/>
        </w:rPr>
        <w:t xml:space="preserve">lo que considera como </w:t>
      </w:r>
      <w:r w:rsidRPr="00CD49F1">
        <w:rPr>
          <w:rFonts w:ascii="Cambria" w:hAnsi="Cambria"/>
          <w:sz w:val="20"/>
          <w:szCs w:val="20"/>
          <w:lang w:val="es-CR"/>
        </w:rPr>
        <w:t>la falta de agotamiento de recursos internos, la incompetencia de la CIDH</w:t>
      </w:r>
      <w:r w:rsidR="00B41B10">
        <w:rPr>
          <w:rFonts w:ascii="Cambria" w:hAnsi="Cambria"/>
          <w:sz w:val="20"/>
          <w:szCs w:val="20"/>
          <w:lang w:val="es-CR"/>
        </w:rPr>
        <w:t xml:space="preserve"> en la materia</w:t>
      </w:r>
      <w:r w:rsidRPr="00CD49F1">
        <w:rPr>
          <w:rFonts w:ascii="Cambria" w:hAnsi="Cambria"/>
          <w:sz w:val="20"/>
          <w:szCs w:val="20"/>
          <w:lang w:val="es-CR"/>
        </w:rPr>
        <w:t xml:space="preserve">, la falta de detalle y especificidad de las peticiones y la inadmisibilidad en cuanto a las </w:t>
      </w:r>
      <w:r w:rsidR="00B41B10">
        <w:rPr>
          <w:rFonts w:ascii="Cambria" w:hAnsi="Cambria"/>
          <w:sz w:val="20"/>
          <w:szCs w:val="20"/>
          <w:lang w:val="es-CR"/>
        </w:rPr>
        <w:t xml:space="preserve">numerosas </w:t>
      </w:r>
      <w:r w:rsidRPr="00CD49F1">
        <w:rPr>
          <w:rFonts w:ascii="Cambria" w:hAnsi="Cambria"/>
          <w:sz w:val="20"/>
          <w:szCs w:val="20"/>
          <w:lang w:val="es-CR"/>
        </w:rPr>
        <w:t xml:space="preserve">víctimas </w:t>
      </w:r>
      <w:r w:rsidR="00B41B10">
        <w:rPr>
          <w:rFonts w:ascii="Cambria" w:hAnsi="Cambria"/>
          <w:sz w:val="20"/>
          <w:szCs w:val="20"/>
          <w:lang w:val="es-CR"/>
        </w:rPr>
        <w:t xml:space="preserve">adicionales </w:t>
      </w:r>
      <w:r w:rsidRPr="00CD49F1">
        <w:rPr>
          <w:rFonts w:ascii="Cambria" w:hAnsi="Cambria"/>
          <w:sz w:val="20"/>
          <w:szCs w:val="20"/>
          <w:lang w:val="es-CR"/>
        </w:rPr>
        <w:t xml:space="preserve">no identificadas. Si bien estos argumentos no serán referidos en su totalidad en la presente sección, </w:t>
      </w:r>
      <w:r w:rsidR="00B41B10">
        <w:rPr>
          <w:rFonts w:ascii="Cambria" w:hAnsi="Cambria"/>
          <w:sz w:val="20"/>
          <w:szCs w:val="20"/>
          <w:lang w:val="es-CR"/>
        </w:rPr>
        <w:t xml:space="preserve">dado que los aspectos relativos a la admisibilidad </w:t>
      </w:r>
      <w:r w:rsidRPr="00CD49F1">
        <w:rPr>
          <w:rFonts w:ascii="Cambria" w:hAnsi="Cambria"/>
          <w:sz w:val="20"/>
          <w:szCs w:val="20"/>
          <w:lang w:val="es-CR"/>
        </w:rPr>
        <w:t xml:space="preserve">fueron decididos por la Comisión en su Informe de Admisibilidad No. 31/93, se presentarán aquellos de </w:t>
      </w:r>
      <w:r w:rsidR="00233879">
        <w:rPr>
          <w:rFonts w:ascii="Cambria" w:hAnsi="Cambria"/>
          <w:sz w:val="20"/>
          <w:szCs w:val="20"/>
          <w:lang w:val="es-CR"/>
        </w:rPr>
        <w:t>relevancia</w:t>
      </w:r>
      <w:r w:rsidRPr="00CD49F1">
        <w:rPr>
          <w:rFonts w:ascii="Cambria" w:hAnsi="Cambria"/>
          <w:sz w:val="20"/>
          <w:szCs w:val="20"/>
          <w:lang w:val="es-CR"/>
        </w:rPr>
        <w:t xml:space="preserve"> para el análisis del fondo.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El Estado </w:t>
      </w:r>
      <w:r w:rsidR="00233879">
        <w:rPr>
          <w:rFonts w:ascii="Cambria" w:hAnsi="Cambria"/>
          <w:sz w:val="20"/>
          <w:szCs w:val="20"/>
          <w:lang w:val="es-AR"/>
        </w:rPr>
        <w:t>sostiene</w:t>
      </w:r>
      <w:r w:rsidRPr="00CD49F1">
        <w:rPr>
          <w:rFonts w:ascii="Cambria" w:hAnsi="Cambria"/>
          <w:sz w:val="20"/>
          <w:szCs w:val="20"/>
          <w:lang w:val="es-AR"/>
        </w:rPr>
        <w:t xml:space="preserve"> que la parte peticionaria busca llevar a la Comisión a áreas que exceden de la esfera de su competencia establecida en el artículo 111 de la Carta de la Organización de los Estados Americanos. </w:t>
      </w:r>
      <w:r w:rsidR="00F550FD">
        <w:rPr>
          <w:rFonts w:ascii="Cambria" w:hAnsi="Cambria"/>
          <w:sz w:val="20"/>
          <w:szCs w:val="20"/>
          <w:lang w:val="es-AR"/>
        </w:rPr>
        <w:t xml:space="preserve"> </w:t>
      </w:r>
      <w:r w:rsidRPr="00CD49F1">
        <w:rPr>
          <w:rFonts w:ascii="Cambria" w:hAnsi="Cambria"/>
          <w:sz w:val="20"/>
          <w:szCs w:val="20"/>
          <w:lang w:val="es-AR"/>
        </w:rPr>
        <w:t xml:space="preserve">Agrega que un análisis cuidadoso de las pretensiones de la parte peticionaria deja claro que ellas están fundadas y dependen en su totalidad en la prueba de presuntas violaciones al IV Convenio de Ginebra y de otros instrumentos internacionales que regulan el uso de la fuerza y el derecho humanitario. Señala que la Comisión no es el foro apropiado para denuncias de crímenes de guerra u otras violaciones de derecho internacional humanitario, ya que esta no fue creada con dicho propósito y no tiene la experticia para examinar y opinar sobre </w:t>
      </w:r>
      <w:r w:rsidR="00233879">
        <w:rPr>
          <w:rFonts w:ascii="Cambria" w:hAnsi="Cambria"/>
          <w:sz w:val="20"/>
          <w:szCs w:val="20"/>
          <w:lang w:val="es-AR"/>
        </w:rPr>
        <w:t xml:space="preserve">tal </w:t>
      </w:r>
      <w:r w:rsidRPr="00CD49F1">
        <w:rPr>
          <w:rFonts w:ascii="Cambria" w:hAnsi="Cambria"/>
          <w:sz w:val="20"/>
          <w:szCs w:val="20"/>
          <w:lang w:val="es-AR"/>
        </w:rPr>
        <w:t xml:space="preserve">materia. Finalmente el Estado sostiene que las peticiones son demasiado vagas con una carencia de suficiente detalle como para justificar la revisión, incluso en el supuesto que la Comisión tuviese la autoridad para considerarlas.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El Estado afirma que las únicas obligaciones de derechos humanos legalmente aplicables a los Estados Unidos, </w:t>
      </w:r>
      <w:r w:rsidR="00582FE2" w:rsidRPr="00CD49F1">
        <w:rPr>
          <w:rFonts w:ascii="Cambria" w:hAnsi="Cambria"/>
          <w:sz w:val="20"/>
          <w:szCs w:val="20"/>
          <w:lang w:val="es-AR"/>
        </w:rPr>
        <w:t xml:space="preserve">como cuestión general </w:t>
      </w:r>
      <w:r w:rsidRPr="00CD49F1">
        <w:rPr>
          <w:rFonts w:ascii="Cambria" w:hAnsi="Cambria"/>
          <w:sz w:val="20"/>
          <w:szCs w:val="20"/>
          <w:lang w:val="es-AR"/>
        </w:rPr>
        <w:t xml:space="preserve">y sobre los cuales la CIDH tiene competencia, son aquellas </w:t>
      </w:r>
      <w:r w:rsidR="00233879">
        <w:rPr>
          <w:rFonts w:ascii="Cambria" w:hAnsi="Cambria"/>
          <w:sz w:val="20"/>
          <w:szCs w:val="20"/>
          <w:lang w:val="es-AR"/>
        </w:rPr>
        <w:t>establecid</w:t>
      </w:r>
      <w:r w:rsidRPr="00CD49F1">
        <w:rPr>
          <w:rFonts w:ascii="Cambria" w:hAnsi="Cambria"/>
          <w:sz w:val="20"/>
          <w:szCs w:val="20"/>
          <w:lang w:val="es-AR"/>
        </w:rPr>
        <w:t xml:space="preserve">as en la Declaración Americana, visto que los Estados Unidos solo ha firmado y no es todavía un estado parte de Convención Americana sobre Derechos Humanos.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En este sentido el Estado sostiene que la pronunciada dependencia de los peticionarios en </w:t>
      </w:r>
      <w:r w:rsidR="00233879">
        <w:rPr>
          <w:rFonts w:ascii="Cambria" w:hAnsi="Cambria"/>
          <w:sz w:val="20"/>
          <w:szCs w:val="20"/>
          <w:lang w:val="es-AR"/>
        </w:rPr>
        <w:t>los</w:t>
      </w:r>
      <w:r w:rsidRPr="00CD49F1">
        <w:rPr>
          <w:rFonts w:ascii="Cambria" w:hAnsi="Cambria"/>
          <w:sz w:val="20"/>
          <w:szCs w:val="20"/>
          <w:lang w:val="es-AR"/>
        </w:rPr>
        <w:t xml:space="preserve"> Convenio</w:t>
      </w:r>
      <w:r w:rsidR="00233879">
        <w:rPr>
          <w:rFonts w:ascii="Cambria" w:hAnsi="Cambria"/>
          <w:sz w:val="20"/>
          <w:szCs w:val="20"/>
          <w:lang w:val="es-AR"/>
        </w:rPr>
        <w:t>s</w:t>
      </w:r>
      <w:r w:rsidRPr="00CD49F1">
        <w:rPr>
          <w:rFonts w:ascii="Cambria" w:hAnsi="Cambria"/>
          <w:sz w:val="20"/>
          <w:szCs w:val="20"/>
          <w:lang w:val="es-AR"/>
        </w:rPr>
        <w:t xml:space="preserve"> de Ginebra es inapropiada ya que las obligaciones contenidas en </w:t>
      </w:r>
      <w:r w:rsidR="00233879">
        <w:rPr>
          <w:rFonts w:ascii="Cambria" w:hAnsi="Cambria"/>
          <w:sz w:val="20"/>
          <w:szCs w:val="20"/>
          <w:lang w:val="es-AR"/>
        </w:rPr>
        <w:t>aquellos</w:t>
      </w:r>
      <w:r w:rsidRPr="00CD49F1">
        <w:rPr>
          <w:rFonts w:ascii="Cambria" w:hAnsi="Cambria"/>
          <w:sz w:val="20"/>
          <w:szCs w:val="20"/>
          <w:lang w:val="es-AR"/>
        </w:rPr>
        <w:t xml:space="preserve"> Convenios no están incorporadas expresa ni implícitamente en la Declaración Americana y por lo tanto no pueden servir como base para establecer la </w:t>
      </w:r>
      <w:r w:rsidR="00582FE2" w:rsidRPr="00CD49F1">
        <w:rPr>
          <w:rFonts w:ascii="Cambria" w:hAnsi="Cambria"/>
          <w:sz w:val="20"/>
          <w:szCs w:val="20"/>
          <w:lang w:val="es-AR"/>
        </w:rPr>
        <w:t xml:space="preserve">competencia </w:t>
      </w:r>
      <w:r w:rsidRPr="00CD49F1">
        <w:rPr>
          <w:rFonts w:ascii="Cambria" w:hAnsi="Cambria"/>
          <w:sz w:val="20"/>
          <w:szCs w:val="20"/>
          <w:lang w:val="es-AR"/>
        </w:rPr>
        <w:t>de la CIDH. Asimismo, en la opinión del Estado, la Comisión no tiene el poder, bajo la Declaración Americana, d</w:t>
      </w:r>
      <w:r w:rsidR="00233879">
        <w:rPr>
          <w:rFonts w:ascii="Cambria" w:hAnsi="Cambria"/>
          <w:sz w:val="20"/>
          <w:szCs w:val="20"/>
          <w:lang w:val="es-AR"/>
        </w:rPr>
        <w:t>e interpretar y hacer cumplir los</w:t>
      </w:r>
      <w:r w:rsidRPr="00CD49F1">
        <w:rPr>
          <w:rFonts w:ascii="Cambria" w:hAnsi="Cambria"/>
          <w:sz w:val="20"/>
          <w:szCs w:val="20"/>
          <w:lang w:val="es-AR"/>
        </w:rPr>
        <w:t xml:space="preserve"> Convenio</w:t>
      </w:r>
      <w:r w:rsidR="00233879">
        <w:rPr>
          <w:rFonts w:ascii="Cambria" w:hAnsi="Cambria"/>
          <w:sz w:val="20"/>
          <w:szCs w:val="20"/>
          <w:lang w:val="es-AR"/>
        </w:rPr>
        <w:t>s</w:t>
      </w:r>
      <w:r w:rsidRPr="00CD49F1">
        <w:rPr>
          <w:rFonts w:ascii="Cambria" w:hAnsi="Cambria"/>
          <w:sz w:val="20"/>
          <w:szCs w:val="20"/>
          <w:lang w:val="es-AR"/>
        </w:rPr>
        <w:t xml:space="preserve"> de Ginebra y el Protocolo I como una extensión tácita de su autoridad para promover la observancia y protección de los derechos humanos.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E</w:t>
      </w:r>
      <w:r w:rsidR="00233879">
        <w:rPr>
          <w:rFonts w:ascii="Cambria" w:hAnsi="Cambria"/>
          <w:sz w:val="20"/>
          <w:szCs w:val="20"/>
          <w:lang w:val="es-AR"/>
        </w:rPr>
        <w:t>l Estado argumenta</w:t>
      </w:r>
      <w:r w:rsidRPr="00CD49F1">
        <w:rPr>
          <w:rFonts w:ascii="Cambria" w:hAnsi="Cambria"/>
          <w:sz w:val="20"/>
          <w:szCs w:val="20"/>
          <w:lang w:val="es-AR"/>
        </w:rPr>
        <w:t xml:space="preserve"> la vertiente académica que considera que las normas de derechos humanos generalmente aplicables en tiempos de paz, no son ni pueden tener preeminencia a las normas del derecho internacional aplicable durante conflictos armados. En este sentido afirma que la Declaración Americana no eclipsa nunca el derecho al uso de la fuerza militar ni crea nuevos derechos individuales para recibir una indemnización por daños relacionados con el combate contra los Estados miembros de la OEA como resultado de hostilidades armadas que de otro modo pueden justificarse con arreglo al derecho internacional.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El Estado indica que la operación militar fue llevada siguiendo las </w:t>
      </w:r>
      <w:r w:rsidRPr="00CD49F1">
        <w:rPr>
          <w:rFonts w:ascii="Cambria" w:hAnsi="Cambria"/>
          <w:sz w:val="20"/>
          <w:szCs w:val="20"/>
          <w:lang w:val="es-CO"/>
        </w:rPr>
        <w:t xml:space="preserve">normas procedentes para entablar combate y siguiendo todos los esfuerzos para minimizar el número de víctimas civiles. Enfatiza </w:t>
      </w:r>
      <w:r w:rsidR="009E6A03" w:rsidRPr="00CD49F1">
        <w:rPr>
          <w:rFonts w:ascii="Cambria" w:hAnsi="Cambria"/>
          <w:sz w:val="20"/>
          <w:szCs w:val="20"/>
          <w:lang w:val="es-CO"/>
        </w:rPr>
        <w:t xml:space="preserve">que </w:t>
      </w:r>
      <w:r w:rsidRPr="00CD49F1">
        <w:rPr>
          <w:rFonts w:ascii="Cambria" w:hAnsi="Cambria"/>
          <w:sz w:val="20"/>
          <w:szCs w:val="20"/>
          <w:lang w:val="es-CO"/>
        </w:rPr>
        <w:t>todas las pérdidas de vida y los daños ocurridos</w:t>
      </w:r>
      <w:r w:rsidR="009E6A03" w:rsidRPr="00CD49F1">
        <w:rPr>
          <w:rFonts w:ascii="Cambria" w:hAnsi="Cambria"/>
          <w:sz w:val="20"/>
          <w:szCs w:val="20"/>
          <w:lang w:val="es-CO"/>
        </w:rPr>
        <w:t xml:space="preserve"> son desafortunadas</w:t>
      </w:r>
      <w:r w:rsidRPr="00CD49F1">
        <w:rPr>
          <w:rFonts w:ascii="Cambria" w:hAnsi="Cambria"/>
          <w:sz w:val="20"/>
          <w:szCs w:val="20"/>
          <w:lang w:val="es-CO"/>
        </w:rPr>
        <w:t xml:space="preserve">, pero sostiene que </w:t>
      </w:r>
      <w:r w:rsidR="00233879">
        <w:rPr>
          <w:rFonts w:ascii="Cambria" w:hAnsi="Cambria"/>
          <w:sz w:val="20"/>
          <w:szCs w:val="20"/>
          <w:lang w:val="es-CO"/>
        </w:rPr>
        <w:t>tales</w:t>
      </w:r>
      <w:r w:rsidRPr="00CD49F1">
        <w:rPr>
          <w:rFonts w:ascii="Cambria" w:hAnsi="Cambria"/>
          <w:sz w:val="20"/>
          <w:szCs w:val="20"/>
          <w:lang w:val="es-CO"/>
        </w:rPr>
        <w:t xml:space="preserve"> pérdidas fueron resultado de distintas causas incluyendo las acciones de las </w:t>
      </w:r>
      <w:r w:rsidR="00C16CB8" w:rsidRPr="00CD49F1">
        <w:rPr>
          <w:rFonts w:ascii="Cambria" w:hAnsi="Cambria"/>
          <w:sz w:val="20"/>
          <w:szCs w:val="20"/>
          <w:lang w:val="es-CO"/>
        </w:rPr>
        <w:t>F</w:t>
      </w:r>
      <w:r w:rsidRPr="00CD49F1">
        <w:rPr>
          <w:rFonts w:ascii="Cambria" w:hAnsi="Cambria"/>
          <w:sz w:val="20"/>
          <w:szCs w:val="20"/>
          <w:lang w:val="es-CO"/>
        </w:rPr>
        <w:t xml:space="preserve">uerzas de </w:t>
      </w:r>
      <w:r w:rsidR="00C16CB8" w:rsidRPr="00CD49F1">
        <w:rPr>
          <w:rFonts w:ascii="Cambria" w:hAnsi="Cambria"/>
          <w:sz w:val="20"/>
          <w:szCs w:val="20"/>
          <w:lang w:val="es-CO"/>
        </w:rPr>
        <w:t>D</w:t>
      </w:r>
      <w:r w:rsidRPr="00CD49F1">
        <w:rPr>
          <w:rFonts w:ascii="Cambria" w:hAnsi="Cambria"/>
          <w:sz w:val="20"/>
          <w:szCs w:val="20"/>
          <w:lang w:val="es-CO"/>
        </w:rPr>
        <w:t>efensa panameñas y de los Batallones de Dignidad, violencia aleatoria y de fuego estadounidense</w:t>
      </w:r>
      <w:r w:rsidR="00CA1A26" w:rsidRPr="00CD49F1">
        <w:rPr>
          <w:rFonts w:ascii="Cambria" w:hAnsi="Cambria"/>
          <w:sz w:val="20"/>
          <w:szCs w:val="20"/>
          <w:lang w:val="es-CO"/>
        </w:rPr>
        <w:t xml:space="preserve"> ajustado a </w:t>
      </w:r>
      <w:r w:rsidR="00C925A4" w:rsidRPr="00CD49F1">
        <w:rPr>
          <w:rFonts w:ascii="Cambria" w:hAnsi="Cambria"/>
          <w:sz w:val="20"/>
          <w:szCs w:val="20"/>
          <w:lang w:val="es-CO"/>
        </w:rPr>
        <w:t>las normas aplicables</w:t>
      </w:r>
      <w:r w:rsidRPr="00CD49F1">
        <w:rPr>
          <w:rFonts w:ascii="Cambria" w:hAnsi="Cambria"/>
          <w:sz w:val="20"/>
          <w:szCs w:val="20"/>
          <w:lang w:val="es-CO"/>
        </w:rPr>
        <w:t>.</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El Estado sostiene que los hechos que preceden la operación militar tienen su origen en la inconstitucional, incesante y cada vez más despiadada usurpación y ejercicio del poder por parte del General </w:t>
      </w:r>
      <w:r w:rsidRPr="00CD49F1">
        <w:rPr>
          <w:rFonts w:ascii="Cambria" w:hAnsi="Cambria"/>
          <w:sz w:val="20"/>
          <w:szCs w:val="20"/>
          <w:lang w:val="es-AR"/>
        </w:rPr>
        <w:lastRenderedPageBreak/>
        <w:t xml:space="preserve">Manuel Noriega a expensas de las autoridades </w:t>
      </w:r>
      <w:r w:rsidR="00CA1A26" w:rsidRPr="00CD49F1">
        <w:rPr>
          <w:rFonts w:ascii="Cambria" w:hAnsi="Cambria"/>
          <w:sz w:val="20"/>
          <w:szCs w:val="20"/>
          <w:lang w:val="es-AR"/>
        </w:rPr>
        <w:t xml:space="preserve">legítimas </w:t>
      </w:r>
      <w:r w:rsidRPr="00CD49F1">
        <w:rPr>
          <w:rFonts w:ascii="Cambria" w:hAnsi="Cambria"/>
          <w:sz w:val="20"/>
          <w:szCs w:val="20"/>
          <w:lang w:val="es-AR"/>
        </w:rPr>
        <w:t xml:space="preserve">del gobierno panameño. En ese sentido menciona que durante los años de dominio de la vida política del país por parte del General Noriega y de las fuerzas militares aliadas a él, los Estados Unidos intentó de diversas formas pacíficas </w:t>
      </w:r>
      <w:r w:rsidR="00B71F45">
        <w:rPr>
          <w:rFonts w:ascii="Cambria" w:hAnsi="Cambria"/>
          <w:sz w:val="20"/>
          <w:szCs w:val="20"/>
          <w:lang w:val="es-AR"/>
        </w:rPr>
        <w:t>atender</w:t>
      </w:r>
      <w:r w:rsidRPr="00CD49F1">
        <w:rPr>
          <w:rFonts w:ascii="Cambria" w:hAnsi="Cambria"/>
          <w:sz w:val="20"/>
          <w:szCs w:val="20"/>
          <w:lang w:val="es-AR"/>
        </w:rPr>
        <w:t xml:space="preserve"> la situación política en Panamá para evitar efectos adversos en la implementación del Tratado del Canal de Panamá. Sin embargo, el 6 de febrero de 1988 el General Noriega fue acusado por un gran jurado de Estados Unidos por el delito de tráfico de drogas. </w:t>
      </w:r>
      <w:r w:rsidR="00B71F45">
        <w:rPr>
          <w:rFonts w:ascii="Cambria" w:hAnsi="Cambria"/>
          <w:sz w:val="20"/>
          <w:szCs w:val="20"/>
          <w:lang w:val="es-AR"/>
        </w:rPr>
        <w:t>E</w:t>
      </w:r>
      <w:r w:rsidRPr="00CD49F1">
        <w:rPr>
          <w:rFonts w:ascii="Cambria" w:hAnsi="Cambria"/>
          <w:sz w:val="20"/>
          <w:szCs w:val="20"/>
          <w:lang w:val="es-AR"/>
        </w:rPr>
        <w:t>l Estado afirma que se mantuvieron distintas súplicas domésticas y externas a Noriega para renunciar, sobre todo después de su acusación, pero estas fueron rechazadas repetidamente, y él permaneció en poder.</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El Estado indica</w:t>
      </w:r>
      <w:r w:rsidR="00B71F45">
        <w:rPr>
          <w:rFonts w:ascii="Cambria" w:hAnsi="Cambria"/>
          <w:sz w:val="20"/>
          <w:szCs w:val="20"/>
          <w:lang w:val="es-AR"/>
        </w:rPr>
        <w:t xml:space="preserve"> los eventos del 7 de mayo de 1989</w:t>
      </w:r>
      <w:r w:rsidRPr="00CD49F1">
        <w:rPr>
          <w:rFonts w:ascii="Cambria" w:hAnsi="Cambria"/>
          <w:sz w:val="20"/>
          <w:szCs w:val="20"/>
          <w:lang w:val="es-AR"/>
        </w:rPr>
        <w:t xml:space="preserve"> como hecho</w:t>
      </w:r>
      <w:r w:rsidR="00D01836">
        <w:rPr>
          <w:rFonts w:ascii="Cambria" w:hAnsi="Cambria"/>
          <w:sz w:val="20"/>
          <w:szCs w:val="20"/>
          <w:lang w:val="es-AR"/>
        </w:rPr>
        <w:t>s</w:t>
      </w:r>
      <w:r w:rsidRPr="00CD49F1">
        <w:rPr>
          <w:rFonts w:ascii="Cambria" w:hAnsi="Cambria"/>
          <w:sz w:val="20"/>
          <w:szCs w:val="20"/>
          <w:lang w:val="es-AR"/>
        </w:rPr>
        <w:t xml:space="preserve"> de particular relevancia, </w:t>
      </w:r>
      <w:r w:rsidR="00B71F45">
        <w:rPr>
          <w:rFonts w:ascii="Cambria" w:hAnsi="Cambria"/>
          <w:sz w:val="20"/>
          <w:szCs w:val="20"/>
          <w:lang w:val="es-AR"/>
        </w:rPr>
        <w:t xml:space="preserve">en tanto fue la fecha en la cual </w:t>
      </w:r>
      <w:r w:rsidRPr="00CD49F1">
        <w:rPr>
          <w:rFonts w:ascii="Cambria" w:hAnsi="Cambria"/>
          <w:sz w:val="20"/>
          <w:szCs w:val="20"/>
          <w:lang w:val="es-AR"/>
        </w:rPr>
        <w:t xml:space="preserve">Noriega anuló las elecciones nacionales celebradas luego que la oposición, liderada por Guillermo Endara, obtuviera una victoria decisiva. A lo largo de estos eventos, los Estados Unidos recuerda que mantuvo un rechazo sistemático al régimen de Noriega como uno ilegítimo y mantuvo un constate contacto y cooperación con el </w:t>
      </w:r>
      <w:r w:rsidR="00D01836">
        <w:rPr>
          <w:rFonts w:ascii="Cambria" w:hAnsi="Cambria"/>
          <w:sz w:val="20"/>
          <w:szCs w:val="20"/>
          <w:lang w:val="es-AR"/>
        </w:rPr>
        <w:t>P</w:t>
      </w:r>
      <w:r w:rsidR="009E6A03" w:rsidRPr="00CD49F1">
        <w:rPr>
          <w:rFonts w:ascii="Cambria" w:hAnsi="Cambria"/>
          <w:sz w:val="20"/>
          <w:szCs w:val="20"/>
          <w:lang w:val="es-AR"/>
        </w:rPr>
        <w:t>residente</w:t>
      </w:r>
      <w:r w:rsidRPr="00CD49F1">
        <w:rPr>
          <w:rFonts w:ascii="Cambria" w:hAnsi="Cambria"/>
          <w:sz w:val="20"/>
          <w:szCs w:val="20"/>
          <w:lang w:val="es-AR"/>
        </w:rPr>
        <w:t xml:space="preserve"> Delvalle y luego con el Presidente electo Endara.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Asimismo recuerda que el 15 de diciembre de 1989, por instigación de Manuel Noriega, la Asamblea Nacional declaró, sin provocación, que un estado de guerra existía entre la República de Panamá y los Estados Unidos. En consecuencia, argumenta que</w:t>
      </w:r>
      <w:r w:rsidR="00B71F45">
        <w:rPr>
          <w:rFonts w:ascii="Cambria" w:hAnsi="Cambria"/>
          <w:sz w:val="20"/>
          <w:szCs w:val="20"/>
          <w:lang w:val="es-AR"/>
        </w:rPr>
        <w:t xml:space="preserve"> poco después</w:t>
      </w:r>
      <w:r w:rsidRPr="00CD49F1">
        <w:rPr>
          <w:rFonts w:ascii="Cambria" w:hAnsi="Cambria"/>
          <w:sz w:val="20"/>
          <w:szCs w:val="20"/>
          <w:lang w:val="es-AR"/>
        </w:rPr>
        <w:t xml:space="preserve"> una serie de ataques atroces y crueles se llevaron en contra de personal estadounidense y sus dependientes. </w:t>
      </w:r>
      <w:r w:rsidR="00B71F45">
        <w:rPr>
          <w:rFonts w:ascii="Cambria" w:hAnsi="Cambria"/>
          <w:sz w:val="20"/>
          <w:szCs w:val="20"/>
          <w:lang w:val="es-AR"/>
        </w:rPr>
        <w:t>El Estado sostiene que e</w:t>
      </w:r>
      <w:r w:rsidRPr="00CD49F1">
        <w:rPr>
          <w:rFonts w:ascii="Cambria" w:hAnsi="Cambria"/>
          <w:sz w:val="20"/>
          <w:szCs w:val="20"/>
          <w:lang w:val="es-AR"/>
        </w:rPr>
        <w:t>stas y otras provocaciones por parte del régimen de Noriega en un contexto volátil dej</w:t>
      </w:r>
      <w:r w:rsidR="009E6A03" w:rsidRPr="00CD49F1">
        <w:rPr>
          <w:rFonts w:ascii="Cambria" w:hAnsi="Cambria"/>
          <w:sz w:val="20"/>
          <w:szCs w:val="20"/>
          <w:lang w:val="es-AR"/>
        </w:rPr>
        <w:t>aron</w:t>
      </w:r>
      <w:r w:rsidRPr="00CD49F1">
        <w:rPr>
          <w:rFonts w:ascii="Cambria" w:hAnsi="Cambria"/>
          <w:sz w:val="20"/>
          <w:szCs w:val="20"/>
          <w:lang w:val="es-AR"/>
        </w:rPr>
        <w:t xml:space="preserve"> en evidencia el riesgo en el cual se encontraban las vidas y el bienestar de ciudadanos estadounidenses en Panamá, las operaciones del Canal y la integridad de los Tratados del Canal.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Bajo estas circunstancias, </w:t>
      </w:r>
      <w:r w:rsidR="00B71F45">
        <w:rPr>
          <w:rFonts w:ascii="Cambria" w:hAnsi="Cambria"/>
          <w:sz w:val="20"/>
          <w:szCs w:val="20"/>
          <w:lang w:val="es-AR"/>
        </w:rPr>
        <w:t xml:space="preserve">indica </w:t>
      </w:r>
      <w:r w:rsidRPr="00CD49F1">
        <w:rPr>
          <w:rFonts w:ascii="Cambria" w:hAnsi="Cambria"/>
          <w:sz w:val="20"/>
          <w:szCs w:val="20"/>
          <w:lang w:val="es-AR"/>
        </w:rPr>
        <w:t>que el entonces Presidente George Bush ordenó el despliegue de aproximadamente 11.000 soldados adicionales a los 13.000 ya presentes legalmente en Panamá</w:t>
      </w:r>
      <w:r w:rsidR="00B71F45">
        <w:rPr>
          <w:rFonts w:ascii="Cambria" w:hAnsi="Cambria"/>
          <w:sz w:val="20"/>
          <w:szCs w:val="20"/>
          <w:lang w:val="es-AR"/>
        </w:rPr>
        <w:t xml:space="preserve">, </w:t>
      </w:r>
      <w:r w:rsidR="00834F7A">
        <w:rPr>
          <w:rFonts w:ascii="Cambria" w:hAnsi="Cambria"/>
          <w:sz w:val="20"/>
          <w:szCs w:val="20"/>
          <w:lang w:val="es-AR"/>
        </w:rPr>
        <w:t>con el objeto de</w:t>
      </w:r>
      <w:r w:rsidRPr="00CD49F1">
        <w:rPr>
          <w:rFonts w:ascii="Cambria" w:hAnsi="Cambria"/>
          <w:sz w:val="20"/>
          <w:szCs w:val="20"/>
          <w:lang w:val="es-AR"/>
        </w:rPr>
        <w:t xml:space="preserve"> proteger las vidas de los ciudadanos estadounidenses, restaurar la democracia en Panamá, y reivindicar los derechos del Estado acordados en el Tratado del Canal y sus documentos posteriores. Sostiene que antes de que las fuerzas adicionales estatales llegaran a Panamá, la Misión a cargo “informó al presidente electo Endara de los planes militares inminentes de los Estados Unidos”. En respuesta, Endara y sus dos vicepresidentes acogieron dichos planes y comenzaron a cooperar plenamente con su implementación. Así </w:t>
      </w:r>
      <w:r w:rsidR="00834F7A">
        <w:rPr>
          <w:rFonts w:ascii="Cambria" w:hAnsi="Cambria"/>
          <w:sz w:val="20"/>
          <w:szCs w:val="20"/>
          <w:lang w:val="es-AR"/>
        </w:rPr>
        <w:t xml:space="preserve">los Estados Unidos afirma </w:t>
      </w:r>
      <w:r w:rsidRPr="00CD49F1">
        <w:rPr>
          <w:rFonts w:ascii="Cambria" w:hAnsi="Cambria"/>
          <w:sz w:val="20"/>
          <w:szCs w:val="20"/>
          <w:lang w:val="es-AR"/>
        </w:rPr>
        <w:t xml:space="preserve">que en la mañana del 20 de diciembre de 1989, los oficiales del gobierno electo democráticamente anunciaron la formación del nuevo gobierno y asumieron el poder en una ceremonia formal de juramentación.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El Estado narra que el 24 de diciembre de 1989 Noriega pidió refugio en la residencia del nuncio papal. En los siguientes días la resistencia armada había prácticamente cesado y el nuevo gobierno consolidó el control y comenzó el restablecimiento de las funciones y servicios institucionales. Según lo descrito por el Estado, el 28 de diciembre de 1989 el primer contingente de tropas estadounidenses fueron retiradas de Panamá, el 4 de enero de 1990 Noriega se entregó a autoridades de Estados Unidos y para el 31 de enero del mismo año los enfrentamientos activos habían cesado. Indica que el 13 de febrero de 1990 se retiró el último contingente de las tropas adicionales enviadas a Panamá.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El Estado argumenta que las acciones que tuvieron lugar el 20 de diciembre de 1989 y los días siguientes estuvieron limitadas a lo que era necesario y proporcionado, y estuvieron específicamente diseñadas para minimizar, en la medida de lo posible, las lesiones y pérdidas de vidas civiles y de bienes.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El Estado argumenta que la operación militar fue un ejercicio legítimo del derecho a la </w:t>
      </w:r>
      <w:r w:rsidR="00834F7A">
        <w:rPr>
          <w:rFonts w:ascii="Cambria" w:hAnsi="Cambria"/>
          <w:sz w:val="20"/>
          <w:szCs w:val="20"/>
          <w:lang w:val="es-AR"/>
        </w:rPr>
        <w:t>legítima defensa establecido</w:t>
      </w:r>
      <w:r w:rsidRPr="00CD49F1">
        <w:rPr>
          <w:rFonts w:ascii="Cambria" w:hAnsi="Cambria"/>
          <w:sz w:val="20"/>
          <w:szCs w:val="20"/>
          <w:lang w:val="es-AR"/>
        </w:rPr>
        <w:t xml:space="preserve"> en costumbre internacional y reconocido explícitamente en el artículo 51 de la Carta de las Naciones Unidas. En este sentido, expresa que este derecho inherente comprende medidas a las cuales un Estado tiene el derecho de usar para tratar con la amenaza o uso de la fuerza en contra de sus nacionales o fuerzas armadas por otro Estado.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El Estado afirma que las acciones no constituyeron una intervención en los asuntos de Panamá en violación al derecho internacional. En las circunstancias estuvo claro para el Estado que las operaciones </w:t>
      </w:r>
      <w:r w:rsidRPr="00CD49F1">
        <w:rPr>
          <w:rFonts w:ascii="Cambria" w:hAnsi="Cambria"/>
          <w:sz w:val="20"/>
          <w:szCs w:val="20"/>
          <w:lang w:val="es-AR"/>
        </w:rPr>
        <w:lastRenderedPageBreak/>
        <w:t xml:space="preserve">militares fueron llevadas bajo la clara </w:t>
      </w:r>
      <w:r w:rsidRPr="00F550FD">
        <w:rPr>
          <w:rFonts w:ascii="Cambria" w:hAnsi="Cambria"/>
          <w:sz w:val="20"/>
          <w:szCs w:val="20"/>
          <w:lang w:val="es-AR"/>
        </w:rPr>
        <w:t>cooperación del presidente Endara y el legítimo gobierno de Panamá por lo cual fueron llevadas de manera coherente con la</w:t>
      </w:r>
      <w:r w:rsidR="009F2933" w:rsidRPr="00F550FD">
        <w:rPr>
          <w:rFonts w:ascii="Cambria" w:hAnsi="Cambria"/>
          <w:sz w:val="20"/>
          <w:szCs w:val="20"/>
          <w:lang w:val="es-AR"/>
        </w:rPr>
        <w:t>s</w:t>
      </w:r>
      <w:r w:rsidRPr="00F550FD">
        <w:rPr>
          <w:rFonts w:ascii="Cambria" w:hAnsi="Cambria"/>
          <w:sz w:val="20"/>
          <w:szCs w:val="20"/>
          <w:lang w:val="es-AR"/>
        </w:rPr>
        <w:t xml:space="preserve"> </w:t>
      </w:r>
      <w:r w:rsidR="009F2933" w:rsidRPr="00F550FD">
        <w:rPr>
          <w:rFonts w:ascii="Cambria" w:hAnsi="Cambria"/>
          <w:sz w:val="20"/>
          <w:szCs w:val="20"/>
          <w:lang w:val="es-AR"/>
        </w:rPr>
        <w:t>C</w:t>
      </w:r>
      <w:r w:rsidRPr="00F550FD">
        <w:rPr>
          <w:rFonts w:ascii="Cambria" w:hAnsi="Cambria"/>
          <w:sz w:val="20"/>
          <w:szCs w:val="20"/>
          <w:lang w:val="es-AR"/>
        </w:rPr>
        <w:t>arta</w:t>
      </w:r>
      <w:r w:rsidR="00D717CE" w:rsidRPr="00F550FD">
        <w:rPr>
          <w:rFonts w:ascii="Cambria" w:hAnsi="Cambria"/>
          <w:sz w:val="20"/>
          <w:szCs w:val="20"/>
          <w:lang w:val="es-AR"/>
        </w:rPr>
        <w:t>s</w:t>
      </w:r>
      <w:r w:rsidRPr="00F550FD">
        <w:rPr>
          <w:rFonts w:ascii="Cambria" w:hAnsi="Cambria"/>
          <w:sz w:val="20"/>
          <w:szCs w:val="20"/>
          <w:lang w:val="es-AR"/>
        </w:rPr>
        <w:t xml:space="preserve"> de </w:t>
      </w:r>
      <w:r w:rsidRPr="00CD49F1">
        <w:rPr>
          <w:rFonts w:ascii="Cambria" w:hAnsi="Cambria"/>
          <w:sz w:val="20"/>
          <w:szCs w:val="20"/>
          <w:lang w:val="es-AR"/>
        </w:rPr>
        <w:t xml:space="preserve">la OEA y de la ONU.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El Estado sostiene que la operación militar fue en ejercicio de derechos otorgados voluntariamente por Panamá bajo el Tratado del Canal de Panamá. El mencionado Tratado de 1977 constituye, </w:t>
      </w:r>
      <w:r w:rsidR="00834F7A">
        <w:rPr>
          <w:rFonts w:ascii="Cambria" w:hAnsi="Cambria"/>
          <w:sz w:val="20"/>
          <w:szCs w:val="20"/>
          <w:lang w:val="es-AR"/>
        </w:rPr>
        <w:t xml:space="preserve">desde </w:t>
      </w:r>
      <w:r w:rsidRPr="00CD49F1">
        <w:rPr>
          <w:rFonts w:ascii="Cambria" w:hAnsi="Cambria"/>
          <w:sz w:val="20"/>
          <w:szCs w:val="20"/>
          <w:lang w:val="es-AR"/>
        </w:rPr>
        <w:t xml:space="preserve">la perspectiva del Estado, una fuente legal adicional </w:t>
      </w:r>
      <w:r w:rsidR="00834F7A">
        <w:rPr>
          <w:rFonts w:ascii="Cambria" w:hAnsi="Cambria"/>
          <w:sz w:val="20"/>
          <w:szCs w:val="20"/>
          <w:lang w:val="es-AR"/>
        </w:rPr>
        <w:t>justificando</w:t>
      </w:r>
      <w:r w:rsidRPr="00CD49F1">
        <w:rPr>
          <w:rFonts w:ascii="Cambria" w:hAnsi="Cambria"/>
          <w:sz w:val="20"/>
          <w:szCs w:val="20"/>
          <w:lang w:val="es-AR"/>
        </w:rPr>
        <w:t xml:space="preserve"> las acciones de los Estados Unidos. De esta manera </w:t>
      </w:r>
      <w:r w:rsidR="00D717CE" w:rsidRPr="00CD49F1">
        <w:rPr>
          <w:rFonts w:ascii="Cambria" w:hAnsi="Cambria"/>
          <w:sz w:val="20"/>
          <w:szCs w:val="20"/>
          <w:lang w:val="es-AR"/>
        </w:rPr>
        <w:t>continúa</w:t>
      </w:r>
      <w:r w:rsidRPr="00CD49F1">
        <w:rPr>
          <w:rFonts w:ascii="Cambria" w:hAnsi="Cambria"/>
          <w:sz w:val="20"/>
          <w:szCs w:val="20"/>
          <w:lang w:val="es-AR"/>
        </w:rPr>
        <w:t xml:space="preserve"> explicando que en virtud del artículo 3 del mencionado Tratado, los Estados Unidos obtuvo el derecho de administrar, operar y conservar el Canal y bajo el artículo IV.2 del mismo instrumento, asumió la labor principal de protección y defensa del Canal por lo cual se le otorgaba el derecho de posicionar fuerzas armadas en Panamá.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En el recuento del Estado, el ejercicio de estos derechos se veía gravemente comprometido por la creciente hostilidad generada por el General Noriega hacia el personal del Canal y sus intereses. Así el Estado considera que tenía el derecho de, a través del uso de la fuerza con fines defensivos, tomar medidas efectivas y proporcionales para ejercer la protección de los 35.000 ciudadanos estadounidenses en </w:t>
      </w:r>
      <w:r w:rsidR="009F2933" w:rsidRPr="00CD49F1">
        <w:rPr>
          <w:rFonts w:ascii="Cambria" w:hAnsi="Cambria"/>
          <w:sz w:val="20"/>
          <w:szCs w:val="20"/>
          <w:lang w:val="es-AR"/>
        </w:rPr>
        <w:t>P</w:t>
      </w:r>
      <w:r w:rsidRPr="00CD49F1">
        <w:rPr>
          <w:rFonts w:ascii="Cambria" w:hAnsi="Cambria"/>
          <w:sz w:val="20"/>
          <w:szCs w:val="20"/>
          <w:lang w:val="es-AR"/>
        </w:rPr>
        <w:t xml:space="preserve">anamá y la defensa de sus intereses estratégicos y económicos, como el asegurar las operaciones continuas, eficientes, seguras e ininterrumpidas del Canal. </w:t>
      </w:r>
    </w:p>
    <w:p w:rsidR="00605F3A" w:rsidRPr="00CD49F1" w:rsidRDefault="00605F3A" w:rsidP="009712EB">
      <w:pPr>
        <w:ind w:left="720"/>
        <w:jc w:val="both"/>
        <w:rPr>
          <w:rFonts w:ascii="Cambria" w:hAnsi="Cambria"/>
          <w:b/>
          <w:bCs/>
          <w:sz w:val="20"/>
          <w:szCs w:val="20"/>
          <w:lang w:val="es-CO"/>
        </w:rPr>
      </w:pPr>
    </w:p>
    <w:p w:rsidR="00E71067" w:rsidRPr="00CD49F1" w:rsidRDefault="00E71067" w:rsidP="003B6A9B">
      <w:pPr>
        <w:numPr>
          <w:ilvl w:val="0"/>
          <w:numId w:val="55"/>
        </w:numPr>
        <w:ind w:left="0" w:firstLine="720"/>
        <w:jc w:val="both"/>
        <w:rPr>
          <w:rFonts w:ascii="Cambria" w:hAnsi="Cambria"/>
          <w:b/>
          <w:bCs/>
          <w:sz w:val="20"/>
          <w:szCs w:val="20"/>
          <w:lang w:val="es-CO"/>
        </w:rPr>
      </w:pPr>
      <w:r w:rsidRPr="00CD49F1">
        <w:rPr>
          <w:rFonts w:ascii="Cambria" w:hAnsi="Cambria"/>
          <w:sz w:val="20"/>
          <w:szCs w:val="20"/>
          <w:lang w:val="es-AR"/>
        </w:rPr>
        <w:t xml:space="preserve">El Estado afirma que como resultado de una política nacional tradicional, los Estados Unidos aplica las normas correspondientes de costumbre internacional y de derecho internacional humanitario en todo momento en los que se involucra en enfrentamientos armados. De esta manera sostiene que la conducta de </w:t>
      </w:r>
      <w:r w:rsidR="00834F7A">
        <w:rPr>
          <w:rFonts w:ascii="Cambria" w:hAnsi="Cambria"/>
          <w:sz w:val="20"/>
          <w:szCs w:val="20"/>
          <w:lang w:val="es-AR"/>
        </w:rPr>
        <w:t xml:space="preserve">las fuerzas </w:t>
      </w:r>
      <w:r w:rsidRPr="00CD49F1">
        <w:rPr>
          <w:rFonts w:ascii="Cambria" w:hAnsi="Cambria"/>
          <w:sz w:val="20"/>
          <w:szCs w:val="20"/>
          <w:lang w:val="es-AR"/>
        </w:rPr>
        <w:t xml:space="preserve">militares durante los enfrentamientos fue de conformidad con las normas aplicables incluyendo las provisiones humanitarias del IV Convenio de Ginebra </w:t>
      </w:r>
      <w:r w:rsidRPr="00CD49F1">
        <w:rPr>
          <w:rFonts w:ascii="Cambria" w:hAnsi="Cambria"/>
          <w:bCs/>
          <w:sz w:val="20"/>
          <w:szCs w:val="20"/>
          <w:lang w:val="es-CO"/>
        </w:rPr>
        <w:t>relativo a la protección debida a las personas civiles en tiempo de guerra</w:t>
      </w:r>
      <w:r w:rsidRPr="00CD49F1">
        <w:rPr>
          <w:rFonts w:ascii="Cambria" w:hAnsi="Cambria"/>
          <w:b/>
          <w:bCs/>
          <w:sz w:val="20"/>
          <w:szCs w:val="20"/>
          <w:lang w:val="es-CO"/>
        </w:rPr>
        <w:t xml:space="preserve">.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Afirma que el derecho internacional no prohíbe el uso de la fuerza militar incluso cuando lesiones colaterales de inocentes civiles puedan ser inevitables luego de cumplir todos los esfuerzos razonables por prevenir y minimizar cualquier lesión.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El Estado argumenta que en ocasiones el estricto cumplimiento de las reglas de combate y el derecho humanitario aplicable, fue impedido por varias situaciones a cuenta de la práctica inhumana de las fuerzas bajo el mando de Noriega de localizar sus posiciones militares en una cercana proximidad a zonas residenciales de civiles. El Estado mantiene su posición de que no existe, bajo el derecho internacional y la practica internacional actual, una obligación de pagar compensación a civiles panameños que sufrieron lesiones, muerte o pérdidas materiales, cuando estas fueren no intencionales y como resultado del recurso legítimo, no indiscriminado del uso y ejercicio del combate armado.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El Estado insiste que el material presentado por la parte peticionaria en su mayoría no tiene un valor real de prueba por su vaguedad y falta de información específica sobre actos cometidos por funcionarios estadounidenses identificables. Rechaza la presunción de la parte peticionaria que todos los fallecidos, lesiones y los daños y destrucción a bienes, son atribuibles solamente a los Estados Unidos, ignorando las acciones de las Fuerzas de Defensas panameñas, los Batallones de Dignidad y otros civiles panameños.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El Estado sostiene que continúa siendo la carga de la parte peticionaria de probar que cualquier muerte, lesión o daño por el que se busque compensación haya sido causada por los Estados Unidos. Mantiene que incluso </w:t>
      </w:r>
      <w:r w:rsidR="00407F81">
        <w:rPr>
          <w:rFonts w:ascii="Cambria" w:hAnsi="Cambria"/>
          <w:sz w:val="20"/>
          <w:szCs w:val="20"/>
          <w:lang w:val="es-AR"/>
        </w:rPr>
        <w:t xml:space="preserve">aunque ese vínculo causal pudiese </w:t>
      </w:r>
      <w:r w:rsidRPr="00CD49F1">
        <w:rPr>
          <w:rFonts w:ascii="Cambria" w:hAnsi="Cambria"/>
          <w:sz w:val="20"/>
          <w:szCs w:val="20"/>
          <w:lang w:val="es-AR"/>
        </w:rPr>
        <w:t xml:space="preserve">ser demostrado, no existe una teoría aplicable </w:t>
      </w:r>
      <w:r w:rsidR="00407F81">
        <w:rPr>
          <w:rFonts w:ascii="Cambria" w:hAnsi="Cambria"/>
          <w:sz w:val="20"/>
          <w:szCs w:val="20"/>
          <w:lang w:val="es-AR"/>
        </w:rPr>
        <w:t xml:space="preserve">bajo </w:t>
      </w:r>
      <w:r w:rsidRPr="00CD49F1">
        <w:rPr>
          <w:rFonts w:ascii="Cambria" w:hAnsi="Cambria"/>
          <w:sz w:val="20"/>
          <w:szCs w:val="20"/>
          <w:lang w:val="es-AR"/>
        </w:rPr>
        <w:t xml:space="preserve">el derecho internacional que </w:t>
      </w:r>
      <w:r w:rsidR="00407F81">
        <w:rPr>
          <w:rFonts w:ascii="Cambria" w:hAnsi="Cambria"/>
          <w:sz w:val="20"/>
          <w:szCs w:val="20"/>
          <w:lang w:val="es-AR"/>
        </w:rPr>
        <w:t xml:space="preserve">pudiese atribuir </w:t>
      </w:r>
      <w:r w:rsidRPr="00CD49F1">
        <w:rPr>
          <w:rFonts w:ascii="Cambria" w:hAnsi="Cambria"/>
          <w:sz w:val="20"/>
          <w:szCs w:val="20"/>
          <w:lang w:val="es-AR"/>
        </w:rPr>
        <w:t xml:space="preserve">la responsabilidad al Estado por muertes incidentales de civiles en una zona de combate. </w:t>
      </w:r>
    </w:p>
    <w:p w:rsidR="00605F3A" w:rsidRPr="00CD49F1" w:rsidRDefault="00605F3A" w:rsidP="009712EB">
      <w:pPr>
        <w:ind w:left="720"/>
        <w:jc w:val="both"/>
        <w:rPr>
          <w:rFonts w:ascii="Cambria" w:hAnsi="Cambria"/>
          <w:b/>
          <w:bCs/>
          <w:sz w:val="20"/>
          <w:szCs w:val="20"/>
          <w:lang w:val="es-CO"/>
        </w:rPr>
      </w:pPr>
    </w:p>
    <w:p w:rsidR="00E71067" w:rsidRPr="00CD49F1" w:rsidRDefault="00E71067" w:rsidP="003B6A9B">
      <w:pPr>
        <w:numPr>
          <w:ilvl w:val="0"/>
          <w:numId w:val="55"/>
        </w:numPr>
        <w:ind w:left="0" w:firstLine="720"/>
        <w:jc w:val="both"/>
        <w:rPr>
          <w:rFonts w:ascii="Cambria" w:hAnsi="Cambria"/>
          <w:b/>
          <w:bCs/>
          <w:sz w:val="20"/>
          <w:szCs w:val="20"/>
          <w:lang w:val="es-CO"/>
        </w:rPr>
      </w:pPr>
      <w:r w:rsidRPr="00CD49F1">
        <w:rPr>
          <w:rFonts w:ascii="Cambria" w:hAnsi="Cambria"/>
          <w:bCs/>
          <w:sz w:val="20"/>
          <w:szCs w:val="20"/>
          <w:lang w:val="es-CO"/>
        </w:rPr>
        <w:t xml:space="preserve">A pesar de las alegaciones de la parte peticionaria, el Estado sostiene que no existe evidencia ni </w:t>
      </w:r>
      <w:r w:rsidR="009E6A03" w:rsidRPr="00CD49F1">
        <w:rPr>
          <w:rFonts w:ascii="Cambria" w:hAnsi="Cambria"/>
          <w:bCs/>
          <w:sz w:val="20"/>
          <w:szCs w:val="20"/>
          <w:lang w:val="es-CO"/>
        </w:rPr>
        <w:t>récord</w:t>
      </w:r>
      <w:r w:rsidRPr="00CD49F1">
        <w:rPr>
          <w:rFonts w:ascii="Cambria" w:hAnsi="Cambria"/>
          <w:bCs/>
          <w:sz w:val="20"/>
          <w:szCs w:val="20"/>
          <w:lang w:val="es-CO"/>
        </w:rPr>
        <w:t xml:space="preserve"> de denuncias en este proceso que las fuerzas armadas cometieron actos de homicidios, mutilación, tratos crueles o tortura en perjuicio de civiles inocentes o alguna otra persona. Asimismo sostiene que no hay evidencia de que los Estados Unidos </w:t>
      </w:r>
      <w:r w:rsidR="00407F81">
        <w:rPr>
          <w:rFonts w:ascii="Cambria" w:hAnsi="Cambria"/>
          <w:bCs/>
          <w:sz w:val="20"/>
          <w:szCs w:val="20"/>
          <w:lang w:val="es-CO"/>
        </w:rPr>
        <w:t xml:space="preserve">cometió </w:t>
      </w:r>
      <w:r w:rsidRPr="00CD49F1">
        <w:rPr>
          <w:rFonts w:ascii="Cambria" w:hAnsi="Cambria"/>
          <w:bCs/>
          <w:sz w:val="20"/>
          <w:szCs w:val="20"/>
          <w:lang w:val="es-CO"/>
        </w:rPr>
        <w:t xml:space="preserve">alguna otra de las conductas prohibidas enumeradas en el artículo 3.1 del Convenio de Ginebra. </w:t>
      </w:r>
    </w:p>
    <w:p w:rsidR="00605F3A" w:rsidRPr="00CD49F1" w:rsidRDefault="00605F3A" w:rsidP="009712EB">
      <w:pPr>
        <w:ind w:left="720"/>
        <w:jc w:val="both"/>
        <w:rPr>
          <w:rFonts w:ascii="Cambria" w:hAnsi="Cambria"/>
          <w:b/>
          <w:bCs/>
          <w:sz w:val="20"/>
          <w:szCs w:val="20"/>
          <w:lang w:val="es-CO"/>
        </w:rPr>
      </w:pPr>
    </w:p>
    <w:p w:rsidR="00E71067" w:rsidRPr="00CD49F1" w:rsidRDefault="00E71067" w:rsidP="003B6A9B">
      <w:pPr>
        <w:numPr>
          <w:ilvl w:val="0"/>
          <w:numId w:val="55"/>
        </w:numPr>
        <w:ind w:left="0" w:firstLine="720"/>
        <w:jc w:val="both"/>
        <w:rPr>
          <w:rFonts w:ascii="Cambria" w:hAnsi="Cambria"/>
          <w:b/>
          <w:bCs/>
          <w:sz w:val="20"/>
          <w:szCs w:val="20"/>
          <w:lang w:val="es-CO"/>
        </w:rPr>
      </w:pPr>
      <w:r w:rsidRPr="00CD49F1">
        <w:rPr>
          <w:rFonts w:ascii="Cambria" w:hAnsi="Cambria"/>
          <w:bCs/>
          <w:sz w:val="20"/>
          <w:szCs w:val="20"/>
          <w:lang w:val="es-CO"/>
        </w:rPr>
        <w:t>En relación a la denuncia de uso de bombas de forma indiscriminada, el Estado afirma que incluso si fuese estado parte del Protocolo I, la conducta de los militares durante la Operación “Justa Causa” no los hubiese puesto en violación de dicho Protocolo. Afirma que cada soldado del 48vo Cuerpo Militar fue enviado con una copia de las normas de combate. Esas reglas especificaban que los soldados debían tratar a todos los civiles y sus propiedades con respeto y dignidad, así como que debían restringir el tipo de armas que podrían utilizarse si civiles estuviesen presentes en el área de un objetivo militar. Esas reglas proporcionaron una orientación clara en cuanto al nivel de mando que tenía la autoridad para aprobar el uso de tales armas.</w:t>
      </w:r>
    </w:p>
    <w:p w:rsidR="00605F3A" w:rsidRPr="00CD49F1" w:rsidRDefault="00605F3A" w:rsidP="009712EB">
      <w:pPr>
        <w:ind w:left="720"/>
        <w:jc w:val="both"/>
        <w:rPr>
          <w:rFonts w:ascii="Cambria" w:hAnsi="Cambria"/>
          <w:b/>
          <w:bCs/>
          <w:sz w:val="20"/>
          <w:szCs w:val="20"/>
          <w:lang w:val="es-CO"/>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En respuesta al argumento de la parte peticionaria sobre la participación de las fuerzas armadas en infracciones graves dentro de la definición del artículo 147 del IV Convenio de Ginebra, el Estado argumenta que no existe</w:t>
      </w:r>
      <w:r w:rsidR="009E6A03" w:rsidRPr="00CD49F1">
        <w:rPr>
          <w:rFonts w:ascii="Cambria" w:hAnsi="Cambria"/>
          <w:sz w:val="20"/>
          <w:szCs w:val="20"/>
          <w:lang w:val="es-AR"/>
        </w:rPr>
        <w:t>n</w:t>
      </w:r>
      <w:r w:rsidRPr="00CD49F1">
        <w:rPr>
          <w:rFonts w:ascii="Cambria" w:hAnsi="Cambria"/>
          <w:sz w:val="20"/>
          <w:szCs w:val="20"/>
          <w:lang w:val="es-AR"/>
        </w:rPr>
        <w:t xml:space="preserve"> en el expediente pruebas presentadas que podrían sustentar acusación alguna al respecto. Entonces afirma que en el ejercicio del derecho de Estados Unidos de desplegar su</w:t>
      </w:r>
      <w:r w:rsidR="00407F81">
        <w:rPr>
          <w:rFonts w:ascii="Cambria" w:hAnsi="Cambria"/>
          <w:sz w:val="20"/>
          <w:szCs w:val="20"/>
          <w:lang w:val="es-AR"/>
        </w:rPr>
        <w:t>s</w:t>
      </w:r>
      <w:r w:rsidRPr="00CD49F1">
        <w:rPr>
          <w:rFonts w:ascii="Cambria" w:hAnsi="Cambria"/>
          <w:sz w:val="20"/>
          <w:szCs w:val="20"/>
          <w:lang w:val="es-AR"/>
        </w:rPr>
        <w:t xml:space="preserve"> fuerza</w:t>
      </w:r>
      <w:r w:rsidR="00407F81">
        <w:rPr>
          <w:rFonts w:ascii="Cambria" w:hAnsi="Cambria"/>
          <w:sz w:val="20"/>
          <w:szCs w:val="20"/>
          <w:lang w:val="es-AR"/>
        </w:rPr>
        <w:t>s</w:t>
      </w:r>
      <w:r w:rsidRPr="00CD49F1">
        <w:rPr>
          <w:rFonts w:ascii="Cambria" w:hAnsi="Cambria"/>
          <w:sz w:val="20"/>
          <w:szCs w:val="20"/>
          <w:lang w:val="es-AR"/>
        </w:rPr>
        <w:t xml:space="preserve"> militar</w:t>
      </w:r>
      <w:r w:rsidR="00407F81">
        <w:rPr>
          <w:rFonts w:ascii="Cambria" w:hAnsi="Cambria"/>
          <w:sz w:val="20"/>
          <w:szCs w:val="20"/>
          <w:lang w:val="es-AR"/>
        </w:rPr>
        <w:t>es</w:t>
      </w:r>
      <w:r w:rsidRPr="00CD49F1">
        <w:rPr>
          <w:rFonts w:ascii="Cambria" w:hAnsi="Cambria"/>
          <w:sz w:val="20"/>
          <w:szCs w:val="20"/>
          <w:lang w:val="es-AR"/>
        </w:rPr>
        <w:t xml:space="preserve"> para llevar a cabo la Operación “Justa Causa”, está el derecho de usar una fuerza proporcional para doblegar la amenaza por fuerzas hostiles. Asimismo considera absurdo las acusaciones sobre la participación de funcionarios del Estado en infracciones graves incluyendo fosas comunes, destrucción de zonas completas, saqueos, </w:t>
      </w:r>
      <w:r w:rsidR="00407F81">
        <w:rPr>
          <w:rFonts w:ascii="Cambria" w:hAnsi="Cambria"/>
          <w:sz w:val="20"/>
          <w:szCs w:val="20"/>
          <w:lang w:val="es-AR"/>
        </w:rPr>
        <w:t xml:space="preserve">y el </w:t>
      </w:r>
      <w:r w:rsidRPr="00CD49F1">
        <w:rPr>
          <w:rFonts w:ascii="Cambria" w:hAnsi="Cambria"/>
          <w:sz w:val="20"/>
          <w:szCs w:val="20"/>
          <w:lang w:val="es-AR"/>
        </w:rPr>
        <w:t>uso de traumas psicológicos de civiles como forma de tortura, entre otras.</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El Estado insiste que no enterró a ningún civil panameño en fosas comunes. Afirma que la única ocasión en la cual fuerzas estadounidenses se vieron involucradas en el entierro de panameños fallecidos </w:t>
      </w:r>
      <w:r w:rsidR="00AF68A7">
        <w:rPr>
          <w:rFonts w:ascii="Cambria" w:hAnsi="Cambria"/>
          <w:sz w:val="20"/>
          <w:szCs w:val="20"/>
          <w:lang w:val="es-AR"/>
        </w:rPr>
        <w:t>en conexión con</w:t>
      </w:r>
      <w:r w:rsidRPr="00CD49F1">
        <w:rPr>
          <w:rFonts w:ascii="Cambria" w:hAnsi="Cambria"/>
          <w:sz w:val="20"/>
          <w:szCs w:val="20"/>
          <w:lang w:val="es-AR"/>
        </w:rPr>
        <w:t xml:space="preserve"> la Operación Justa Causa, fue el 21 de diciembre de 1989 cuando </w:t>
      </w:r>
      <w:r w:rsidR="00AF68A7">
        <w:rPr>
          <w:rFonts w:ascii="Cambria" w:hAnsi="Cambria"/>
          <w:sz w:val="20"/>
          <w:szCs w:val="20"/>
          <w:lang w:val="es-AR"/>
        </w:rPr>
        <w:t xml:space="preserve">los restos de </w:t>
      </w:r>
      <w:r w:rsidRPr="00CD49F1">
        <w:rPr>
          <w:rFonts w:ascii="Cambria" w:hAnsi="Cambria"/>
          <w:sz w:val="20"/>
          <w:szCs w:val="20"/>
          <w:lang w:val="es-AR"/>
        </w:rPr>
        <w:t xml:space="preserve">28 panameños fueron temporalmente enterrados, por razones de salud </w:t>
      </w:r>
      <w:r w:rsidR="00AF68A7">
        <w:rPr>
          <w:rFonts w:ascii="Cambria" w:hAnsi="Cambria"/>
          <w:sz w:val="20"/>
          <w:szCs w:val="20"/>
          <w:lang w:val="es-AR"/>
        </w:rPr>
        <w:t xml:space="preserve">pública </w:t>
      </w:r>
      <w:r w:rsidRPr="00CD49F1">
        <w:rPr>
          <w:rFonts w:ascii="Cambria" w:hAnsi="Cambria"/>
          <w:sz w:val="20"/>
          <w:szCs w:val="20"/>
          <w:lang w:val="es-AR"/>
        </w:rPr>
        <w:t>y saneamiento, en tumbas individuales en el Cementerio Corozal en un sector</w:t>
      </w:r>
      <w:r w:rsidR="00AF68A7">
        <w:rPr>
          <w:rFonts w:ascii="Cambria" w:hAnsi="Cambria"/>
          <w:sz w:val="20"/>
          <w:szCs w:val="20"/>
          <w:lang w:val="es-AR"/>
        </w:rPr>
        <w:t xml:space="preserve"> de Panamá bajo su control. Los restos en estas</w:t>
      </w:r>
      <w:r w:rsidRPr="00CD49F1">
        <w:rPr>
          <w:rFonts w:ascii="Cambria" w:hAnsi="Cambria"/>
          <w:sz w:val="20"/>
          <w:szCs w:val="20"/>
          <w:lang w:val="es-AR"/>
        </w:rPr>
        <w:t xml:space="preserve"> tumbas fueron desenterradas una semana después y entregadas a representantes del gobierno de Panamá para su identificación y entierro final.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El Estado </w:t>
      </w:r>
      <w:r w:rsidR="00AF68A7">
        <w:rPr>
          <w:rFonts w:ascii="Cambria" w:hAnsi="Cambria"/>
          <w:sz w:val="20"/>
          <w:szCs w:val="20"/>
          <w:lang w:val="es-AR"/>
        </w:rPr>
        <w:t>indica</w:t>
      </w:r>
      <w:r w:rsidRPr="00CD49F1">
        <w:rPr>
          <w:rFonts w:ascii="Cambria" w:hAnsi="Cambria"/>
          <w:sz w:val="20"/>
          <w:szCs w:val="20"/>
          <w:lang w:val="es-AR"/>
        </w:rPr>
        <w:t xml:space="preserve"> que tiene conocimiento de dos instancias en las cuales panameños fueron enterrados en fosas comunes por autoridades </w:t>
      </w:r>
      <w:r w:rsidR="009E6A03" w:rsidRPr="00CD49F1">
        <w:rPr>
          <w:rFonts w:ascii="Cambria" w:hAnsi="Cambria"/>
          <w:sz w:val="20"/>
          <w:szCs w:val="20"/>
          <w:lang w:val="es-AR"/>
        </w:rPr>
        <w:t>panameñas</w:t>
      </w:r>
      <w:r w:rsidRPr="00CD49F1">
        <w:rPr>
          <w:rFonts w:ascii="Cambria" w:hAnsi="Cambria"/>
          <w:sz w:val="20"/>
          <w:szCs w:val="20"/>
          <w:lang w:val="es-AR"/>
        </w:rPr>
        <w:t xml:space="preserve">. La primera en el cementerio Jardín de Paz, en la ciudad de Panamá, en donde </w:t>
      </w:r>
      <w:r w:rsidR="00AF68A7">
        <w:rPr>
          <w:rFonts w:ascii="Cambria" w:hAnsi="Cambria"/>
          <w:sz w:val="20"/>
          <w:szCs w:val="20"/>
          <w:lang w:val="es-AR"/>
        </w:rPr>
        <w:t xml:space="preserve">los restos de </w:t>
      </w:r>
      <w:r w:rsidRPr="00CD49F1">
        <w:rPr>
          <w:rFonts w:ascii="Cambria" w:hAnsi="Cambria"/>
          <w:sz w:val="20"/>
          <w:szCs w:val="20"/>
          <w:lang w:val="es-AR"/>
        </w:rPr>
        <w:t>123 panameños fueron enterrados por razones de salud</w:t>
      </w:r>
      <w:r w:rsidR="00AF68A7">
        <w:rPr>
          <w:rFonts w:ascii="Cambria" w:hAnsi="Cambria"/>
          <w:sz w:val="20"/>
          <w:szCs w:val="20"/>
          <w:lang w:val="es-AR"/>
        </w:rPr>
        <w:t xml:space="preserve"> pública</w:t>
      </w:r>
      <w:r w:rsidRPr="00CD49F1">
        <w:rPr>
          <w:rFonts w:ascii="Cambria" w:hAnsi="Cambria"/>
          <w:sz w:val="20"/>
          <w:szCs w:val="20"/>
          <w:lang w:val="es-AR"/>
        </w:rPr>
        <w:t xml:space="preserve"> y luego exhumados el 28 de abril y el 5 de mayo de 1990 por la oficina forense de Panamá; y la segunda en el cementerio Mount Hope, en Colón, en donde fueron enterrados </w:t>
      </w:r>
      <w:r w:rsidR="00AF68A7">
        <w:rPr>
          <w:rFonts w:ascii="Cambria" w:hAnsi="Cambria"/>
          <w:sz w:val="20"/>
          <w:szCs w:val="20"/>
          <w:lang w:val="es-AR"/>
        </w:rPr>
        <w:t xml:space="preserve">los restos de </w:t>
      </w:r>
      <w:r w:rsidRPr="00CD49F1">
        <w:rPr>
          <w:rFonts w:ascii="Cambria" w:hAnsi="Cambria"/>
          <w:sz w:val="20"/>
          <w:szCs w:val="20"/>
          <w:lang w:val="es-AR"/>
        </w:rPr>
        <w:t xml:space="preserve">18 individuos por autoridades panameñas y luego exhumados por la misma oficina forense el 28 de julio de 1990.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En cuanto a la destrucción de una gran parte de El Chorrillo y el vertido de escombros, el Estado sostiene que la parte peticionaria </w:t>
      </w:r>
      <w:r w:rsidR="00AF68A7">
        <w:rPr>
          <w:rFonts w:ascii="Cambria" w:hAnsi="Cambria"/>
          <w:sz w:val="20"/>
          <w:szCs w:val="20"/>
          <w:lang w:val="es-AR"/>
        </w:rPr>
        <w:t>no reconoce</w:t>
      </w:r>
      <w:r w:rsidRPr="00CD49F1">
        <w:rPr>
          <w:rFonts w:ascii="Cambria" w:hAnsi="Cambria"/>
          <w:sz w:val="20"/>
          <w:szCs w:val="20"/>
          <w:lang w:val="es-AR"/>
        </w:rPr>
        <w:t xml:space="preserve"> que esto se dio como consecuencia directa del hecho que las Fuerzas de Defensa panameñas eligiera colocar su comandancia en la zona. El Estado sostiene que estaba autorizado por el derecho internacional de devolver el fuego incluso aunque este proviniese de grupos ofensivos esparcidos entre construcciones civiles. La inevitable y desafortunada consecuencia de la estrategia de las fuerzas militares panameñas fue el daño irreparable de edificios civiles los cuales tenían que ser derrumbados y vertidos los escombros bajo el interés de proteger funcionarios militares y civiles que se mantenían en el área. </w:t>
      </w:r>
    </w:p>
    <w:p w:rsidR="00605F3A" w:rsidRPr="00CD49F1" w:rsidRDefault="00605F3A" w:rsidP="009712EB">
      <w:pPr>
        <w:ind w:left="720"/>
        <w:jc w:val="both"/>
        <w:rPr>
          <w:rFonts w:ascii="Cambria" w:hAnsi="Cambria"/>
          <w:sz w:val="20"/>
          <w:szCs w:val="20"/>
          <w:lang w:val="es-AR"/>
        </w:rPr>
      </w:pPr>
    </w:p>
    <w:p w:rsidR="00605F3A"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El Estado niega la participación o el consentimiento a los saqueos</w:t>
      </w:r>
      <w:r w:rsidR="00AF68A7">
        <w:rPr>
          <w:rFonts w:ascii="Cambria" w:hAnsi="Cambria"/>
          <w:sz w:val="20"/>
          <w:szCs w:val="20"/>
          <w:lang w:val="es-AR"/>
        </w:rPr>
        <w:t xml:space="preserve"> que tuvieron lugar en el contexto de la Operación</w:t>
      </w:r>
      <w:r w:rsidRPr="00CD49F1">
        <w:rPr>
          <w:rFonts w:ascii="Cambria" w:hAnsi="Cambria"/>
          <w:sz w:val="20"/>
          <w:szCs w:val="20"/>
          <w:lang w:val="es-AR"/>
        </w:rPr>
        <w:t xml:space="preserve">. Por el contrario afirma que cuando fue observada dicha conducta, </w:t>
      </w:r>
      <w:r w:rsidR="00F90E25">
        <w:rPr>
          <w:rFonts w:ascii="Cambria" w:hAnsi="Cambria"/>
          <w:sz w:val="20"/>
          <w:szCs w:val="20"/>
          <w:lang w:val="es-AR"/>
        </w:rPr>
        <w:t xml:space="preserve">sus fuerzas tomaron </w:t>
      </w:r>
      <w:r w:rsidRPr="00CD49F1">
        <w:rPr>
          <w:rFonts w:ascii="Cambria" w:hAnsi="Cambria"/>
          <w:sz w:val="20"/>
          <w:szCs w:val="20"/>
          <w:lang w:val="es-AR"/>
        </w:rPr>
        <w:t xml:space="preserve">acciones para detenerla. El Estado </w:t>
      </w:r>
      <w:r w:rsidR="00F90E25">
        <w:rPr>
          <w:rFonts w:ascii="Cambria" w:hAnsi="Cambria"/>
          <w:sz w:val="20"/>
          <w:szCs w:val="20"/>
          <w:lang w:val="es-AR"/>
        </w:rPr>
        <w:t xml:space="preserve">sostiene que </w:t>
      </w:r>
      <w:r w:rsidRPr="00CD49F1">
        <w:rPr>
          <w:rFonts w:ascii="Cambria" w:hAnsi="Cambria"/>
          <w:sz w:val="20"/>
          <w:szCs w:val="20"/>
          <w:lang w:val="es-AR"/>
        </w:rPr>
        <w:t xml:space="preserve">no puede ser visto como responsable por la conducta de panameños en violación de normativa panameña. De manera importante, el Estado afirma que en el número limitado de casos donde </w:t>
      </w:r>
      <w:r w:rsidR="00F90E25">
        <w:rPr>
          <w:rFonts w:ascii="Cambria" w:hAnsi="Cambria"/>
          <w:sz w:val="20"/>
          <w:szCs w:val="20"/>
          <w:lang w:val="es-AR"/>
        </w:rPr>
        <w:t xml:space="preserve">esta conducta fue denunciada estar siendo llevada a cabo </w:t>
      </w:r>
      <w:r w:rsidRPr="00CD49F1">
        <w:rPr>
          <w:rFonts w:ascii="Cambria" w:hAnsi="Cambria"/>
          <w:sz w:val="20"/>
          <w:szCs w:val="20"/>
          <w:lang w:val="es-AR"/>
        </w:rPr>
        <w:t xml:space="preserve">por </w:t>
      </w:r>
      <w:r w:rsidR="00F90E25">
        <w:rPr>
          <w:rFonts w:ascii="Cambria" w:hAnsi="Cambria"/>
          <w:sz w:val="20"/>
          <w:szCs w:val="20"/>
          <w:lang w:val="es-AR"/>
        </w:rPr>
        <w:t xml:space="preserve">miembros de las fuerzas </w:t>
      </w:r>
      <w:r w:rsidRPr="00CD49F1">
        <w:rPr>
          <w:rFonts w:ascii="Cambria" w:hAnsi="Cambria"/>
          <w:sz w:val="20"/>
          <w:szCs w:val="20"/>
          <w:lang w:val="es-AR"/>
        </w:rPr>
        <w:t>de</w:t>
      </w:r>
      <w:r w:rsidR="009E6A03" w:rsidRPr="00CD49F1">
        <w:rPr>
          <w:rFonts w:ascii="Cambria" w:hAnsi="Cambria"/>
          <w:sz w:val="20"/>
          <w:szCs w:val="20"/>
          <w:lang w:val="es-AR"/>
        </w:rPr>
        <w:t xml:space="preserve"> Estados Unidos</w:t>
      </w:r>
      <w:r w:rsidRPr="00CD49F1">
        <w:rPr>
          <w:rFonts w:ascii="Cambria" w:hAnsi="Cambria"/>
          <w:sz w:val="20"/>
          <w:szCs w:val="20"/>
          <w:lang w:val="es-AR"/>
        </w:rPr>
        <w:t xml:space="preserve">, </w:t>
      </w:r>
      <w:r w:rsidR="00F90E25">
        <w:rPr>
          <w:rFonts w:ascii="Cambria" w:hAnsi="Cambria"/>
          <w:sz w:val="20"/>
          <w:szCs w:val="20"/>
          <w:lang w:val="es-AR"/>
        </w:rPr>
        <w:t xml:space="preserve">estos fueron procesados, sancionados </w:t>
      </w:r>
      <w:r w:rsidR="009E6A03" w:rsidRPr="00CD49F1">
        <w:rPr>
          <w:rFonts w:ascii="Cambria" w:hAnsi="Cambria"/>
          <w:sz w:val="20"/>
          <w:szCs w:val="20"/>
          <w:lang w:val="es-AR"/>
        </w:rPr>
        <w:t>por autoridades estadounidenses</w:t>
      </w:r>
      <w:r w:rsidRPr="00CD49F1">
        <w:rPr>
          <w:rFonts w:ascii="Cambria" w:hAnsi="Cambria"/>
          <w:sz w:val="20"/>
          <w:szCs w:val="20"/>
          <w:lang w:val="es-AR"/>
        </w:rPr>
        <w:t xml:space="preserve"> y en un caso en particular un soldado fue destituido.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El Estado al</w:t>
      </w:r>
      <w:r w:rsidR="00F90E25">
        <w:rPr>
          <w:rFonts w:ascii="Cambria" w:hAnsi="Cambria"/>
          <w:sz w:val="20"/>
          <w:szCs w:val="20"/>
          <w:lang w:val="es-AR"/>
        </w:rPr>
        <w:t xml:space="preserve">ega que no infligió intencionalmente ningún tipo </w:t>
      </w:r>
      <w:r w:rsidRPr="00CD49F1">
        <w:rPr>
          <w:rFonts w:ascii="Cambria" w:hAnsi="Cambria"/>
          <w:sz w:val="20"/>
          <w:szCs w:val="20"/>
          <w:lang w:val="es-AR"/>
        </w:rPr>
        <w:t xml:space="preserve">de </w:t>
      </w:r>
      <w:r w:rsidR="00F90E25">
        <w:rPr>
          <w:rFonts w:ascii="Cambria" w:hAnsi="Cambria"/>
          <w:sz w:val="20"/>
          <w:szCs w:val="20"/>
          <w:lang w:val="es-AR"/>
        </w:rPr>
        <w:t>trauma psicológico</w:t>
      </w:r>
      <w:r w:rsidRPr="00CD49F1">
        <w:rPr>
          <w:rFonts w:ascii="Cambria" w:hAnsi="Cambria"/>
          <w:sz w:val="20"/>
          <w:szCs w:val="20"/>
          <w:lang w:val="es-AR"/>
        </w:rPr>
        <w:t xml:space="preserve"> como</w:t>
      </w:r>
      <w:r w:rsidR="00F90E25">
        <w:rPr>
          <w:rFonts w:ascii="Cambria" w:hAnsi="Cambria"/>
          <w:sz w:val="20"/>
          <w:szCs w:val="20"/>
          <w:lang w:val="es-AR"/>
        </w:rPr>
        <w:t xml:space="preserve"> forma de</w:t>
      </w:r>
      <w:r w:rsidRPr="00CD49F1">
        <w:rPr>
          <w:rFonts w:ascii="Cambria" w:hAnsi="Cambria"/>
          <w:sz w:val="20"/>
          <w:szCs w:val="20"/>
          <w:lang w:val="es-AR"/>
        </w:rPr>
        <w:t xml:space="preserve"> tortura. </w:t>
      </w:r>
      <w:r w:rsidR="00F90E25">
        <w:rPr>
          <w:rFonts w:ascii="Cambria" w:hAnsi="Cambria"/>
          <w:sz w:val="20"/>
          <w:szCs w:val="20"/>
          <w:lang w:val="es-AR"/>
        </w:rPr>
        <w:t xml:space="preserve">Indica que sin lugar a duda </w:t>
      </w:r>
      <w:r w:rsidRPr="00CD49F1">
        <w:rPr>
          <w:rFonts w:ascii="Cambria" w:hAnsi="Cambria"/>
          <w:sz w:val="20"/>
          <w:szCs w:val="20"/>
          <w:lang w:val="es-AR"/>
        </w:rPr>
        <w:t xml:space="preserve">en el marco de la Operación Justa Causa, </w:t>
      </w:r>
      <w:r w:rsidR="009079A5">
        <w:rPr>
          <w:rFonts w:ascii="Cambria" w:hAnsi="Cambria"/>
          <w:sz w:val="20"/>
          <w:szCs w:val="20"/>
          <w:lang w:val="es-AR"/>
        </w:rPr>
        <w:t xml:space="preserve">civiles resultaron traumatizados </w:t>
      </w:r>
      <w:r w:rsidRPr="00CD49F1">
        <w:rPr>
          <w:rFonts w:ascii="Cambria" w:hAnsi="Cambria"/>
          <w:sz w:val="20"/>
          <w:szCs w:val="20"/>
          <w:lang w:val="es-AR"/>
        </w:rPr>
        <w:t xml:space="preserve">como </w:t>
      </w:r>
      <w:r w:rsidR="009079A5">
        <w:rPr>
          <w:rFonts w:ascii="Cambria" w:hAnsi="Cambria"/>
          <w:sz w:val="20"/>
          <w:szCs w:val="20"/>
          <w:lang w:val="es-AR"/>
        </w:rPr>
        <w:t xml:space="preserve">una </w:t>
      </w:r>
      <w:r w:rsidRPr="00CD49F1">
        <w:rPr>
          <w:rFonts w:ascii="Cambria" w:hAnsi="Cambria"/>
          <w:sz w:val="20"/>
          <w:szCs w:val="20"/>
          <w:lang w:val="es-AR"/>
        </w:rPr>
        <w:t xml:space="preserve">consecuencia común </w:t>
      </w:r>
      <w:r w:rsidR="009079A5">
        <w:rPr>
          <w:rFonts w:ascii="Cambria" w:hAnsi="Cambria"/>
          <w:sz w:val="20"/>
          <w:szCs w:val="20"/>
          <w:lang w:val="es-AR"/>
        </w:rPr>
        <w:t xml:space="preserve">que de lo que los civiles sufren </w:t>
      </w:r>
      <w:r w:rsidRPr="00CD49F1">
        <w:rPr>
          <w:rFonts w:ascii="Cambria" w:hAnsi="Cambria"/>
          <w:sz w:val="20"/>
          <w:szCs w:val="20"/>
          <w:lang w:val="es-AR"/>
        </w:rPr>
        <w:t>durante operaciones militares. Sin embargo</w:t>
      </w:r>
      <w:r w:rsidR="009079A5">
        <w:rPr>
          <w:rFonts w:ascii="Cambria" w:hAnsi="Cambria"/>
          <w:sz w:val="20"/>
          <w:szCs w:val="20"/>
          <w:lang w:val="es-AR"/>
        </w:rPr>
        <w:t xml:space="preserve"> esto</w:t>
      </w:r>
      <w:r w:rsidRPr="00CD49F1">
        <w:rPr>
          <w:rFonts w:ascii="Cambria" w:hAnsi="Cambria"/>
          <w:sz w:val="20"/>
          <w:szCs w:val="20"/>
          <w:lang w:val="es-AR"/>
        </w:rPr>
        <w:t xml:space="preserve"> no significa que el trauma incidental haya sido utilizado como instrumento de tortura.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lastRenderedPageBreak/>
        <w:t xml:space="preserve">En cuanto a los acontecimientos en los puntos de control de tránsito, </w:t>
      </w:r>
      <w:r w:rsidR="009079A5">
        <w:rPr>
          <w:rFonts w:ascii="Cambria" w:hAnsi="Cambria"/>
          <w:sz w:val="20"/>
          <w:szCs w:val="20"/>
          <w:lang w:val="es-AR"/>
        </w:rPr>
        <w:t xml:space="preserve">por un lado </w:t>
      </w:r>
      <w:r w:rsidRPr="00CD49F1">
        <w:rPr>
          <w:rFonts w:ascii="Cambria" w:hAnsi="Cambria"/>
          <w:sz w:val="20"/>
          <w:szCs w:val="20"/>
          <w:lang w:val="es-AR"/>
        </w:rPr>
        <w:t xml:space="preserve">el Estado afirma </w:t>
      </w:r>
      <w:r w:rsidR="009079A5">
        <w:rPr>
          <w:rFonts w:ascii="Cambria" w:hAnsi="Cambria"/>
          <w:sz w:val="20"/>
          <w:szCs w:val="20"/>
          <w:lang w:val="es-AR"/>
        </w:rPr>
        <w:t>que es extremadamente difícil investigar instancias específicas de presuntas faltas graves</w:t>
      </w:r>
      <w:r w:rsidR="006B1999">
        <w:rPr>
          <w:rFonts w:ascii="Cambria" w:hAnsi="Cambria"/>
          <w:sz w:val="20"/>
          <w:szCs w:val="20"/>
          <w:lang w:val="es-AR"/>
        </w:rPr>
        <w:t xml:space="preserve"> </w:t>
      </w:r>
      <w:r w:rsidRPr="00CD49F1">
        <w:rPr>
          <w:rFonts w:ascii="Cambria" w:hAnsi="Cambria"/>
          <w:sz w:val="20"/>
          <w:szCs w:val="20"/>
          <w:lang w:val="es-AR"/>
        </w:rPr>
        <w:t xml:space="preserve">debido a la posibilidad que se le dio a la parte peticionaria de presentar casos con un alto </w:t>
      </w:r>
      <w:r w:rsidR="006B1999">
        <w:rPr>
          <w:rFonts w:ascii="Cambria" w:hAnsi="Cambria"/>
          <w:sz w:val="20"/>
          <w:szCs w:val="20"/>
          <w:lang w:val="es-AR"/>
        </w:rPr>
        <w:t>grado</w:t>
      </w:r>
      <w:r w:rsidRPr="00CD49F1">
        <w:rPr>
          <w:rFonts w:ascii="Cambria" w:hAnsi="Cambria"/>
          <w:sz w:val="20"/>
          <w:szCs w:val="20"/>
          <w:lang w:val="es-AR"/>
        </w:rPr>
        <w:t xml:space="preserve"> de generalidad. </w:t>
      </w:r>
      <w:r w:rsidR="006B1999">
        <w:rPr>
          <w:rFonts w:ascii="Cambria" w:hAnsi="Cambria"/>
          <w:sz w:val="20"/>
          <w:szCs w:val="20"/>
          <w:lang w:val="es-AR"/>
        </w:rPr>
        <w:t xml:space="preserve">Por otro lado, los </w:t>
      </w:r>
      <w:r w:rsidR="009E6A03" w:rsidRPr="00CD49F1">
        <w:rPr>
          <w:rFonts w:ascii="Cambria" w:hAnsi="Cambria"/>
          <w:sz w:val="20"/>
          <w:szCs w:val="20"/>
          <w:lang w:val="es-AR"/>
        </w:rPr>
        <w:t xml:space="preserve">EE.UU </w:t>
      </w:r>
      <w:r w:rsidR="00381CC9">
        <w:rPr>
          <w:rFonts w:ascii="Cambria" w:hAnsi="Cambria"/>
          <w:sz w:val="20"/>
          <w:szCs w:val="20"/>
          <w:lang w:val="es-AR"/>
        </w:rPr>
        <w:t>asevera</w:t>
      </w:r>
      <w:r w:rsidR="006B1999">
        <w:rPr>
          <w:rFonts w:ascii="Cambria" w:hAnsi="Cambria"/>
          <w:sz w:val="20"/>
          <w:szCs w:val="20"/>
          <w:lang w:val="es-AR"/>
        </w:rPr>
        <w:t xml:space="preserve"> que</w:t>
      </w:r>
      <w:r w:rsidR="00381CC9">
        <w:rPr>
          <w:rFonts w:ascii="Cambria" w:hAnsi="Cambria"/>
          <w:sz w:val="20"/>
          <w:szCs w:val="20"/>
          <w:lang w:val="es-AR"/>
        </w:rPr>
        <w:t xml:space="preserve"> en la medida</w:t>
      </w:r>
      <w:r w:rsidR="006B1999">
        <w:rPr>
          <w:rFonts w:ascii="Cambria" w:hAnsi="Cambria"/>
          <w:sz w:val="20"/>
          <w:szCs w:val="20"/>
          <w:lang w:val="es-AR"/>
        </w:rPr>
        <w:t xml:space="preserve"> que varios de los casos presentados </w:t>
      </w:r>
      <w:r w:rsidR="00381CC9">
        <w:rPr>
          <w:rFonts w:ascii="Cambria" w:hAnsi="Cambria"/>
          <w:sz w:val="20"/>
          <w:szCs w:val="20"/>
          <w:lang w:val="es-AR"/>
        </w:rPr>
        <w:t xml:space="preserve">por </w:t>
      </w:r>
      <w:r w:rsidRPr="00CD49F1">
        <w:rPr>
          <w:rFonts w:ascii="Cambria" w:hAnsi="Cambria"/>
          <w:sz w:val="20"/>
          <w:szCs w:val="20"/>
          <w:lang w:val="es-AR"/>
        </w:rPr>
        <w:t xml:space="preserve">la parte peticionaria son de </w:t>
      </w:r>
      <w:r w:rsidR="00381CC9">
        <w:rPr>
          <w:rFonts w:ascii="Cambria" w:hAnsi="Cambria"/>
          <w:sz w:val="20"/>
          <w:szCs w:val="20"/>
          <w:lang w:val="es-AR"/>
        </w:rPr>
        <w:t xml:space="preserve">dominio </w:t>
      </w:r>
      <w:r w:rsidRPr="00CD49F1">
        <w:rPr>
          <w:rFonts w:ascii="Cambria" w:hAnsi="Cambria"/>
          <w:sz w:val="20"/>
          <w:szCs w:val="20"/>
          <w:lang w:val="es-AR"/>
        </w:rPr>
        <w:t>público</w:t>
      </w:r>
      <w:r w:rsidR="00381CC9">
        <w:rPr>
          <w:rFonts w:ascii="Cambria" w:hAnsi="Cambria"/>
          <w:sz w:val="20"/>
          <w:szCs w:val="20"/>
          <w:lang w:val="es-AR"/>
        </w:rPr>
        <w:t>, es precisamente</w:t>
      </w:r>
      <w:r w:rsidRPr="00CD49F1">
        <w:rPr>
          <w:rFonts w:ascii="Cambria" w:hAnsi="Cambria"/>
          <w:sz w:val="20"/>
          <w:szCs w:val="20"/>
          <w:lang w:val="es-AR"/>
        </w:rPr>
        <w:t xml:space="preserve"> gracias a las investigaciones oficiales </w:t>
      </w:r>
      <w:r w:rsidR="009E6A03" w:rsidRPr="00CD49F1">
        <w:rPr>
          <w:rFonts w:ascii="Cambria" w:hAnsi="Cambria"/>
          <w:sz w:val="20"/>
          <w:szCs w:val="20"/>
          <w:lang w:val="es-AR"/>
        </w:rPr>
        <w:t xml:space="preserve">que </w:t>
      </w:r>
      <w:r w:rsidR="00381CC9">
        <w:rPr>
          <w:rFonts w:ascii="Cambria" w:hAnsi="Cambria"/>
          <w:sz w:val="20"/>
          <w:szCs w:val="20"/>
          <w:lang w:val="es-AR"/>
        </w:rPr>
        <w:t>llevaron a cabo sus autoridades</w:t>
      </w:r>
      <w:r w:rsidRPr="00CD49F1">
        <w:rPr>
          <w:rFonts w:ascii="Cambria" w:hAnsi="Cambria"/>
          <w:sz w:val="20"/>
          <w:szCs w:val="20"/>
          <w:lang w:val="es-AR"/>
        </w:rPr>
        <w:t xml:space="preserve">.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El Estado presenta oposición a la solicitud de la parte peticionaria de establecer una Comisión de compensación al no existir un fundamento legal. En este sentido afirma que ni la Declaración Americana ni la costumbre internacional crea un derecho individual de acción que garantice a los individuos que son víctimas colaterales de un conflicto armado, una compensación monetaria o de otra </w:t>
      </w:r>
      <w:r w:rsidR="00381CC9">
        <w:rPr>
          <w:rFonts w:ascii="Cambria" w:hAnsi="Cambria"/>
          <w:sz w:val="20"/>
          <w:szCs w:val="20"/>
          <w:lang w:val="es-AR"/>
        </w:rPr>
        <w:t xml:space="preserve">índole como consecuencia de un </w:t>
      </w:r>
      <w:r w:rsidRPr="00CD49F1">
        <w:rPr>
          <w:rFonts w:ascii="Cambria" w:hAnsi="Cambria"/>
          <w:sz w:val="20"/>
          <w:szCs w:val="20"/>
          <w:lang w:val="es-AR"/>
        </w:rPr>
        <w:t>conflicto armado.</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En este sentido recuerda los considerables beneficios económicos que ya se han aportado a Panamá en el marco de los programas de asistencia de los Estados Unidos. El Estado afirma que dichos programas de asistencia superan con creces cualquier alivio material que la Comisión pudiera recomendar.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En la pers</w:t>
      </w:r>
      <w:r w:rsidR="00D01836">
        <w:rPr>
          <w:rFonts w:ascii="Cambria" w:hAnsi="Cambria"/>
          <w:sz w:val="20"/>
          <w:szCs w:val="20"/>
          <w:lang w:val="es-AR"/>
        </w:rPr>
        <w:t>pectiva de los Estados Unidos, é</w:t>
      </w:r>
      <w:r w:rsidRPr="00CD49F1">
        <w:rPr>
          <w:rFonts w:ascii="Cambria" w:hAnsi="Cambria"/>
          <w:sz w:val="20"/>
          <w:szCs w:val="20"/>
          <w:lang w:val="es-AR"/>
        </w:rPr>
        <w:t xml:space="preserve">ste no tiene ninguna obligación legal de brindar estos programas de asistencia, pero el hecho que se otorgaran demuestra la preocupación humanitaria del Gobierno y de los ciudadanos de los Estados Unidos hacia el pueblo de </w:t>
      </w:r>
      <w:r w:rsidR="00781C9E" w:rsidRPr="00CD49F1">
        <w:rPr>
          <w:rFonts w:ascii="Cambria" w:hAnsi="Cambria"/>
          <w:sz w:val="20"/>
          <w:szCs w:val="20"/>
          <w:lang w:val="es-AR"/>
        </w:rPr>
        <w:t>Panamá</w:t>
      </w:r>
      <w:r w:rsidRPr="00CD49F1">
        <w:rPr>
          <w:rFonts w:ascii="Cambria" w:hAnsi="Cambria"/>
          <w:sz w:val="20"/>
          <w:szCs w:val="20"/>
          <w:lang w:val="es-AR"/>
        </w:rPr>
        <w:t xml:space="preserve">. En la opinión del Estado, las considerables sumas otorgadas bajo </w:t>
      </w:r>
      <w:r w:rsidR="00381CC9">
        <w:rPr>
          <w:rFonts w:ascii="Cambria" w:hAnsi="Cambria"/>
          <w:sz w:val="20"/>
          <w:szCs w:val="20"/>
          <w:lang w:val="es-AR"/>
        </w:rPr>
        <w:t>dichos</w:t>
      </w:r>
      <w:r w:rsidRPr="00CD49F1">
        <w:rPr>
          <w:rFonts w:ascii="Cambria" w:hAnsi="Cambria"/>
          <w:sz w:val="20"/>
          <w:szCs w:val="20"/>
          <w:lang w:val="es-AR"/>
        </w:rPr>
        <w:t xml:space="preserve"> </w:t>
      </w:r>
      <w:r w:rsidR="00381CC9">
        <w:rPr>
          <w:rFonts w:ascii="Cambria" w:hAnsi="Cambria"/>
          <w:sz w:val="20"/>
          <w:szCs w:val="20"/>
          <w:lang w:val="es-AR"/>
        </w:rPr>
        <w:t xml:space="preserve">programas </w:t>
      </w:r>
      <w:r w:rsidRPr="00CD49F1">
        <w:rPr>
          <w:rFonts w:ascii="Cambria" w:hAnsi="Cambria"/>
          <w:sz w:val="20"/>
          <w:szCs w:val="20"/>
          <w:lang w:val="es-AR"/>
        </w:rPr>
        <w:t xml:space="preserve">de asistencia han tenido un efecto tangible significativo en la economía de las áreas donde ocurrieron las hostilidades más fuertes. </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El E</w:t>
      </w:r>
      <w:r w:rsidR="00381CC9">
        <w:rPr>
          <w:rFonts w:ascii="Cambria" w:hAnsi="Cambria"/>
          <w:sz w:val="20"/>
          <w:szCs w:val="20"/>
          <w:lang w:val="es-AR"/>
        </w:rPr>
        <w:t>stado explica que el Congreso adjudicó</w:t>
      </w:r>
      <w:r w:rsidRPr="00CD49F1">
        <w:rPr>
          <w:rFonts w:ascii="Cambria" w:hAnsi="Cambria"/>
          <w:sz w:val="20"/>
          <w:szCs w:val="20"/>
          <w:lang w:val="es-AR"/>
        </w:rPr>
        <w:t xml:space="preserve"> 461 millones de dólares como parte de los paquetes de asistencia a Panamá</w:t>
      </w:r>
      <w:r w:rsidR="00381CC9">
        <w:rPr>
          <w:rFonts w:ascii="Cambria" w:hAnsi="Cambria"/>
          <w:sz w:val="20"/>
          <w:szCs w:val="20"/>
          <w:lang w:val="es-AR"/>
        </w:rPr>
        <w:t>, y</w:t>
      </w:r>
      <w:r w:rsidR="00183ECC">
        <w:rPr>
          <w:rFonts w:ascii="Cambria" w:hAnsi="Cambria"/>
          <w:sz w:val="20"/>
          <w:szCs w:val="20"/>
          <w:lang w:val="es-AR"/>
        </w:rPr>
        <w:t xml:space="preserve"> que con estos fondos </w:t>
      </w:r>
      <w:r w:rsidRPr="00CD49F1">
        <w:rPr>
          <w:rFonts w:ascii="Cambria" w:hAnsi="Cambria"/>
          <w:sz w:val="20"/>
          <w:szCs w:val="20"/>
          <w:lang w:val="es-AR"/>
        </w:rPr>
        <w:t xml:space="preserve">se habrían construido hogares para casi 3.000 familias desplazadas. Estas familias recibieron refugio temporal y alimentos. Asimismo afirma que fondos adicionales fueron puestos a disposición para la compra de muebles básicos y electrodomésticos. Más de 3.500 personas recibieron empleos temporales y </w:t>
      </w:r>
      <w:r w:rsidR="00183ECC">
        <w:rPr>
          <w:rFonts w:ascii="Cambria" w:hAnsi="Cambria"/>
          <w:sz w:val="20"/>
          <w:szCs w:val="20"/>
          <w:lang w:val="es-AR"/>
        </w:rPr>
        <w:t xml:space="preserve">hubo </w:t>
      </w:r>
      <w:r w:rsidRPr="00CD49F1">
        <w:rPr>
          <w:rFonts w:ascii="Cambria" w:hAnsi="Cambria"/>
          <w:sz w:val="20"/>
          <w:szCs w:val="20"/>
          <w:lang w:val="es-AR"/>
        </w:rPr>
        <w:t xml:space="preserve">un aumento de ingresos durante </w:t>
      </w:r>
      <w:r w:rsidR="00183ECC">
        <w:rPr>
          <w:rFonts w:ascii="Cambria" w:hAnsi="Cambria"/>
          <w:sz w:val="20"/>
          <w:szCs w:val="20"/>
          <w:lang w:val="es-AR"/>
        </w:rPr>
        <w:t>el periodo requerido para reparar</w:t>
      </w:r>
      <w:r w:rsidRPr="00CD49F1">
        <w:rPr>
          <w:rFonts w:ascii="Cambria" w:hAnsi="Cambria"/>
          <w:sz w:val="20"/>
          <w:szCs w:val="20"/>
          <w:lang w:val="es-AR"/>
        </w:rPr>
        <w:t xml:space="preserve"> escuelas, carreteras, calles y alcantarillado. </w:t>
      </w:r>
    </w:p>
    <w:p w:rsidR="00605F3A" w:rsidRPr="00CD49F1" w:rsidRDefault="00E71067" w:rsidP="009712EB">
      <w:pPr>
        <w:ind w:left="720"/>
        <w:jc w:val="both"/>
        <w:rPr>
          <w:rFonts w:ascii="Cambria" w:hAnsi="Cambria"/>
          <w:sz w:val="20"/>
          <w:szCs w:val="20"/>
          <w:lang w:val="es-AR"/>
        </w:rPr>
      </w:pPr>
      <w:r w:rsidRPr="00CD49F1">
        <w:rPr>
          <w:rFonts w:ascii="Cambria" w:hAnsi="Cambria"/>
          <w:sz w:val="20"/>
          <w:szCs w:val="20"/>
          <w:lang w:val="es-AR"/>
        </w:rPr>
        <w:t xml:space="preserve"> </w:t>
      </w: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El Estado reafirma que, visto que no ha violado ninguno de los derechos humanos de los peticionarios, no</w:t>
      </w:r>
      <w:r w:rsidR="00183ECC">
        <w:rPr>
          <w:rFonts w:ascii="Cambria" w:hAnsi="Cambria"/>
          <w:sz w:val="20"/>
          <w:szCs w:val="20"/>
          <w:lang w:val="es-AR"/>
        </w:rPr>
        <w:t xml:space="preserve"> existe un fundamento para plantear</w:t>
      </w:r>
      <w:r w:rsidRPr="00CD49F1">
        <w:rPr>
          <w:rFonts w:ascii="Cambria" w:hAnsi="Cambria"/>
          <w:sz w:val="20"/>
          <w:szCs w:val="20"/>
          <w:lang w:val="es-AR"/>
        </w:rPr>
        <w:t xml:space="preserve"> la cuestión de la indemnización. Sin embargo, afirma que por compasión por las difíciles circunstancias económicas que el país y sus ciudadanos habían enfrentado desde el final de la era Noriega, Panamá ha sido beneficiario de uno de los programas de ayuda económica más grandes y exit</w:t>
      </w:r>
      <w:r w:rsidR="00183ECC">
        <w:rPr>
          <w:rFonts w:ascii="Cambria" w:hAnsi="Cambria"/>
          <w:sz w:val="20"/>
          <w:szCs w:val="20"/>
          <w:lang w:val="es-AR"/>
        </w:rPr>
        <w:t>osos de los Estados Unidos en este</w:t>
      </w:r>
      <w:r w:rsidRPr="00CD49F1">
        <w:rPr>
          <w:rFonts w:ascii="Cambria" w:hAnsi="Cambria"/>
          <w:sz w:val="20"/>
          <w:szCs w:val="20"/>
          <w:lang w:val="es-AR"/>
        </w:rPr>
        <w:t xml:space="preserve"> hemisferio. En este sentido menciona que </w:t>
      </w:r>
      <w:r w:rsidR="00183ECC">
        <w:rPr>
          <w:rFonts w:ascii="Cambria" w:hAnsi="Cambria"/>
          <w:sz w:val="20"/>
          <w:szCs w:val="20"/>
          <w:lang w:val="es-AR"/>
        </w:rPr>
        <w:t xml:space="preserve">los </w:t>
      </w:r>
      <w:r w:rsidRPr="00CD49F1">
        <w:rPr>
          <w:rFonts w:ascii="Cambria" w:hAnsi="Cambria"/>
          <w:sz w:val="20"/>
          <w:szCs w:val="20"/>
          <w:lang w:val="es-AR"/>
        </w:rPr>
        <w:t xml:space="preserve">peticionarios </w:t>
      </w:r>
      <w:r w:rsidR="00183ECC">
        <w:rPr>
          <w:rFonts w:ascii="Cambria" w:hAnsi="Cambria"/>
          <w:sz w:val="20"/>
          <w:szCs w:val="20"/>
          <w:lang w:val="es-AR"/>
        </w:rPr>
        <w:t xml:space="preserve">del presente caso </w:t>
      </w:r>
      <w:r w:rsidRPr="00CD49F1">
        <w:rPr>
          <w:rFonts w:ascii="Cambria" w:hAnsi="Cambria"/>
          <w:sz w:val="20"/>
          <w:szCs w:val="20"/>
          <w:lang w:val="es-AR"/>
        </w:rPr>
        <w:t xml:space="preserve">se encuentran plenamente </w:t>
      </w:r>
      <w:r w:rsidR="00183ECC">
        <w:rPr>
          <w:rFonts w:ascii="Cambria" w:hAnsi="Cambria"/>
          <w:sz w:val="20"/>
          <w:szCs w:val="20"/>
          <w:lang w:val="es-AR"/>
        </w:rPr>
        <w:t xml:space="preserve">incluidos en el grupo de </w:t>
      </w:r>
      <w:r w:rsidRPr="00CD49F1">
        <w:rPr>
          <w:rFonts w:ascii="Cambria" w:hAnsi="Cambria"/>
          <w:sz w:val="20"/>
          <w:szCs w:val="20"/>
          <w:lang w:val="es-AR"/>
        </w:rPr>
        <w:t xml:space="preserve">panameños que </w:t>
      </w:r>
      <w:r w:rsidR="00FB5FDD">
        <w:rPr>
          <w:rFonts w:ascii="Cambria" w:hAnsi="Cambria"/>
          <w:sz w:val="20"/>
          <w:szCs w:val="20"/>
          <w:lang w:val="es-AR"/>
        </w:rPr>
        <w:t xml:space="preserve">serían los beneficiarios de estos </w:t>
      </w:r>
      <w:r w:rsidRPr="00CD49F1">
        <w:rPr>
          <w:rFonts w:ascii="Cambria" w:hAnsi="Cambria"/>
          <w:sz w:val="20"/>
          <w:szCs w:val="20"/>
          <w:lang w:val="es-AR"/>
        </w:rPr>
        <w:t>programa</w:t>
      </w:r>
      <w:r w:rsidR="00FB5FDD">
        <w:rPr>
          <w:rFonts w:ascii="Cambria" w:hAnsi="Cambria"/>
          <w:sz w:val="20"/>
          <w:szCs w:val="20"/>
          <w:lang w:val="es-AR"/>
        </w:rPr>
        <w:t>s</w:t>
      </w:r>
      <w:r w:rsidRPr="00CD49F1">
        <w:rPr>
          <w:rFonts w:ascii="Cambria" w:hAnsi="Cambria"/>
          <w:sz w:val="20"/>
          <w:szCs w:val="20"/>
          <w:lang w:val="es-AR"/>
        </w:rPr>
        <w:t>.</w:t>
      </w:r>
    </w:p>
    <w:p w:rsidR="00605F3A" w:rsidRPr="00CD49F1" w:rsidRDefault="00605F3A" w:rsidP="009712EB">
      <w:pPr>
        <w:ind w:left="720"/>
        <w:jc w:val="both"/>
        <w:rPr>
          <w:rFonts w:ascii="Cambria" w:hAnsi="Cambria"/>
          <w:sz w:val="20"/>
          <w:szCs w:val="20"/>
          <w:lang w:val="es-AR"/>
        </w:rPr>
      </w:pPr>
    </w:p>
    <w:p w:rsidR="00E71067"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 xml:space="preserve">De manera concreta el Estado sostiene que el proceso frente a la CIDH ha sido defectuoso. En este sentido, argumenta que la </w:t>
      </w:r>
      <w:r w:rsidR="009E6A03" w:rsidRPr="00CD49F1">
        <w:rPr>
          <w:rFonts w:ascii="Cambria" w:hAnsi="Cambria"/>
          <w:sz w:val="20"/>
          <w:szCs w:val="20"/>
          <w:lang w:val="es-AR"/>
        </w:rPr>
        <w:t xml:space="preserve">tramitación </w:t>
      </w:r>
      <w:r w:rsidRPr="00CD49F1">
        <w:rPr>
          <w:rFonts w:ascii="Cambria" w:hAnsi="Cambria"/>
          <w:sz w:val="20"/>
          <w:szCs w:val="20"/>
          <w:lang w:val="es-AR"/>
        </w:rPr>
        <w:t xml:space="preserve">y audiencias tanto en relación a la admisibilidad como al fondo del presente caso han sido caóticas. Recuerda que la parte peticionaria se le permitió presentar varios escritos </w:t>
      </w:r>
      <w:r w:rsidR="009E6A03" w:rsidRPr="00CD49F1">
        <w:rPr>
          <w:rFonts w:ascii="Cambria" w:hAnsi="Cambria"/>
          <w:sz w:val="20"/>
          <w:szCs w:val="20"/>
          <w:lang w:val="es-AR"/>
        </w:rPr>
        <w:t xml:space="preserve">de </w:t>
      </w:r>
      <w:r w:rsidRPr="00CD49F1">
        <w:rPr>
          <w:rFonts w:ascii="Cambria" w:hAnsi="Cambria"/>
          <w:sz w:val="20"/>
          <w:szCs w:val="20"/>
          <w:lang w:val="es-AR"/>
        </w:rPr>
        <w:t>observaciones a cada escrito del Estado. Asimismo menciona que la CIDH solicitó los argumentos de fondo incluso antes de que s</w:t>
      </w:r>
      <w:r w:rsidR="00FB5FDD">
        <w:rPr>
          <w:rFonts w:ascii="Cambria" w:hAnsi="Cambria"/>
          <w:sz w:val="20"/>
          <w:szCs w:val="20"/>
          <w:lang w:val="es-AR"/>
        </w:rPr>
        <w:t xml:space="preserve">u objeción </w:t>
      </w:r>
      <w:r w:rsidRPr="00CD49F1">
        <w:rPr>
          <w:rFonts w:ascii="Cambria" w:hAnsi="Cambria"/>
          <w:sz w:val="20"/>
          <w:szCs w:val="20"/>
          <w:lang w:val="es-AR"/>
        </w:rPr>
        <w:t>a la jurisdicción de la CIDH</w:t>
      </w:r>
      <w:r w:rsidR="00FB5FDD">
        <w:rPr>
          <w:rFonts w:ascii="Cambria" w:hAnsi="Cambria"/>
          <w:sz w:val="20"/>
          <w:szCs w:val="20"/>
          <w:lang w:val="es-AR"/>
        </w:rPr>
        <w:t xml:space="preserve"> se hubiese resuelto</w:t>
      </w:r>
      <w:r w:rsidRPr="00CD49F1">
        <w:rPr>
          <w:rFonts w:ascii="Cambria" w:hAnsi="Cambria"/>
          <w:sz w:val="20"/>
          <w:szCs w:val="20"/>
          <w:lang w:val="es-AR"/>
        </w:rPr>
        <w:t xml:space="preserve">. </w:t>
      </w:r>
    </w:p>
    <w:p w:rsidR="00605F3A" w:rsidRPr="00CD49F1" w:rsidRDefault="00605F3A" w:rsidP="009712EB">
      <w:pPr>
        <w:ind w:left="720"/>
        <w:jc w:val="both"/>
        <w:rPr>
          <w:rFonts w:ascii="Cambria" w:hAnsi="Cambria"/>
          <w:sz w:val="20"/>
          <w:szCs w:val="20"/>
          <w:lang w:val="es-AR"/>
        </w:rPr>
      </w:pPr>
    </w:p>
    <w:p w:rsidR="00605F3A" w:rsidRPr="00CD49F1" w:rsidRDefault="00E71067" w:rsidP="003B6A9B">
      <w:pPr>
        <w:numPr>
          <w:ilvl w:val="0"/>
          <w:numId w:val="55"/>
        </w:numPr>
        <w:ind w:left="0" w:firstLine="720"/>
        <w:jc w:val="both"/>
        <w:rPr>
          <w:rFonts w:ascii="Cambria" w:hAnsi="Cambria"/>
          <w:sz w:val="20"/>
          <w:szCs w:val="20"/>
          <w:lang w:val="es-AR"/>
        </w:rPr>
      </w:pPr>
      <w:r w:rsidRPr="00CD49F1">
        <w:rPr>
          <w:rFonts w:ascii="Cambria" w:hAnsi="Cambria"/>
          <w:sz w:val="20"/>
          <w:szCs w:val="20"/>
          <w:lang w:val="es-AR"/>
        </w:rPr>
        <w:t>En conclusión</w:t>
      </w:r>
      <w:r w:rsidR="00AB1C02" w:rsidRPr="00CD49F1">
        <w:rPr>
          <w:rFonts w:ascii="Cambria" w:hAnsi="Cambria"/>
          <w:sz w:val="20"/>
          <w:szCs w:val="20"/>
          <w:lang w:val="es-AR"/>
        </w:rPr>
        <w:t>,</w:t>
      </w:r>
      <w:r w:rsidRPr="00CD49F1">
        <w:rPr>
          <w:rFonts w:ascii="Cambria" w:hAnsi="Cambria"/>
          <w:sz w:val="20"/>
          <w:szCs w:val="20"/>
          <w:lang w:val="es-AR"/>
        </w:rPr>
        <w:t xml:space="preserve"> </w:t>
      </w:r>
      <w:r w:rsidR="00FB5FDD">
        <w:rPr>
          <w:rFonts w:ascii="Cambria" w:hAnsi="Cambria"/>
          <w:sz w:val="20"/>
          <w:szCs w:val="20"/>
          <w:lang w:val="es-AR"/>
        </w:rPr>
        <w:t xml:space="preserve">los Estados Unidos afirma que los estados </w:t>
      </w:r>
      <w:r w:rsidRPr="00CD49F1">
        <w:rPr>
          <w:rFonts w:ascii="Cambria" w:hAnsi="Cambria"/>
          <w:sz w:val="20"/>
          <w:szCs w:val="20"/>
          <w:lang w:val="es-AR"/>
        </w:rPr>
        <w:t>se encuentran en desventaja con la parte peticionaria cuando a ésta se le permite presentar y agregar peticionarios y argumentos de hecho en cualquier oportunidad</w:t>
      </w:r>
      <w:r w:rsidR="00FB5FDD">
        <w:rPr>
          <w:rFonts w:ascii="Cambria" w:hAnsi="Cambria"/>
          <w:sz w:val="20"/>
          <w:szCs w:val="20"/>
          <w:lang w:val="es-AR"/>
        </w:rPr>
        <w:t xml:space="preserve"> durante la tramitación</w:t>
      </w:r>
      <w:r w:rsidRPr="00CD49F1">
        <w:rPr>
          <w:rFonts w:ascii="Cambria" w:hAnsi="Cambria"/>
          <w:sz w:val="20"/>
          <w:szCs w:val="20"/>
          <w:lang w:val="es-AR"/>
        </w:rPr>
        <w:t xml:space="preserve">, incluso en </w:t>
      </w:r>
      <w:r w:rsidR="00FB5FDD">
        <w:rPr>
          <w:rFonts w:ascii="Cambria" w:hAnsi="Cambria"/>
          <w:sz w:val="20"/>
          <w:szCs w:val="20"/>
          <w:lang w:val="es-AR"/>
        </w:rPr>
        <w:t xml:space="preserve">sus </w:t>
      </w:r>
      <w:r w:rsidRPr="00CD49F1">
        <w:rPr>
          <w:rFonts w:ascii="Cambria" w:hAnsi="Cambria"/>
          <w:sz w:val="20"/>
          <w:szCs w:val="20"/>
          <w:lang w:val="es-AR"/>
        </w:rPr>
        <w:t xml:space="preserve">escritos finales. En particular afirma que en el presente caso los peticionarios y las denuncias </w:t>
      </w:r>
      <w:r w:rsidR="00FB5FDD">
        <w:rPr>
          <w:rFonts w:ascii="Cambria" w:hAnsi="Cambria"/>
          <w:sz w:val="20"/>
          <w:szCs w:val="20"/>
          <w:lang w:val="es-AR"/>
        </w:rPr>
        <w:t xml:space="preserve">presentadas </w:t>
      </w:r>
      <w:r w:rsidRPr="00CD49F1">
        <w:rPr>
          <w:rFonts w:ascii="Cambria" w:hAnsi="Cambria"/>
          <w:sz w:val="20"/>
          <w:szCs w:val="20"/>
          <w:lang w:val="es-AR"/>
        </w:rPr>
        <w:t xml:space="preserve">por violaciones se han multiplicado exponencialmente y </w:t>
      </w:r>
      <w:r w:rsidR="009E6A03" w:rsidRPr="00CD49F1">
        <w:rPr>
          <w:rFonts w:ascii="Cambria" w:hAnsi="Cambria"/>
          <w:sz w:val="20"/>
          <w:szCs w:val="20"/>
          <w:lang w:val="es-AR"/>
        </w:rPr>
        <w:t xml:space="preserve">en general </w:t>
      </w:r>
      <w:r w:rsidRPr="00CD49F1">
        <w:rPr>
          <w:rFonts w:ascii="Cambria" w:hAnsi="Cambria"/>
          <w:sz w:val="20"/>
          <w:szCs w:val="20"/>
          <w:lang w:val="es-AR"/>
        </w:rPr>
        <w:t xml:space="preserve">no están atadas de manera específica a individuos, lugares o fechas específicas lo cual ha </w:t>
      </w:r>
      <w:r w:rsidR="00FB5FDD">
        <w:rPr>
          <w:rFonts w:ascii="Cambria" w:hAnsi="Cambria"/>
          <w:sz w:val="20"/>
          <w:szCs w:val="20"/>
          <w:lang w:val="es-AR"/>
        </w:rPr>
        <w:t xml:space="preserve">hecho imposible para </w:t>
      </w:r>
      <w:r w:rsidRPr="00CD49F1">
        <w:rPr>
          <w:rFonts w:ascii="Cambria" w:hAnsi="Cambria"/>
          <w:sz w:val="20"/>
          <w:szCs w:val="20"/>
          <w:lang w:val="es-AR"/>
        </w:rPr>
        <w:t xml:space="preserve">el Estado </w:t>
      </w:r>
      <w:r w:rsidR="00FB5FDD">
        <w:rPr>
          <w:rFonts w:ascii="Cambria" w:hAnsi="Cambria"/>
          <w:sz w:val="20"/>
          <w:szCs w:val="20"/>
          <w:lang w:val="es-AR"/>
        </w:rPr>
        <w:t xml:space="preserve">el investigar los </w:t>
      </w:r>
      <w:r w:rsidRPr="00CD49F1">
        <w:rPr>
          <w:rFonts w:ascii="Cambria" w:hAnsi="Cambria"/>
          <w:sz w:val="20"/>
          <w:szCs w:val="20"/>
          <w:lang w:val="es-AR"/>
        </w:rPr>
        <w:t xml:space="preserve">argumentos. </w:t>
      </w:r>
      <w:r w:rsidR="00FB5FDD">
        <w:rPr>
          <w:rFonts w:ascii="Cambria" w:hAnsi="Cambria"/>
          <w:sz w:val="20"/>
          <w:szCs w:val="20"/>
          <w:lang w:val="es-AR"/>
        </w:rPr>
        <w:t xml:space="preserve">Desde el punto de vista </w:t>
      </w:r>
      <w:r w:rsidRPr="00CD49F1">
        <w:rPr>
          <w:rFonts w:ascii="Cambria" w:hAnsi="Cambria"/>
          <w:sz w:val="20"/>
          <w:szCs w:val="20"/>
          <w:lang w:val="es-AR"/>
        </w:rPr>
        <w:t>del Estado</w:t>
      </w:r>
      <w:r w:rsidR="00FB5FDD">
        <w:rPr>
          <w:rFonts w:ascii="Cambria" w:hAnsi="Cambria"/>
          <w:sz w:val="20"/>
          <w:szCs w:val="20"/>
          <w:lang w:val="es-AR"/>
        </w:rPr>
        <w:t>, los peticionarios han intentado</w:t>
      </w:r>
      <w:r w:rsidRPr="00CD49F1">
        <w:rPr>
          <w:rFonts w:ascii="Cambria" w:hAnsi="Cambria"/>
          <w:sz w:val="20"/>
          <w:szCs w:val="20"/>
          <w:lang w:val="es-AR"/>
        </w:rPr>
        <w:t xml:space="preserve"> convertir el presente caso en una demanda colectiva en nombre del pueblo panameño.</w:t>
      </w:r>
    </w:p>
    <w:p w:rsidR="008266A7" w:rsidRPr="00CD49F1" w:rsidRDefault="00E71067" w:rsidP="009712EB">
      <w:pPr>
        <w:ind w:left="720"/>
        <w:jc w:val="both"/>
        <w:rPr>
          <w:rFonts w:ascii="Cambria" w:hAnsi="Cambria"/>
          <w:sz w:val="20"/>
          <w:szCs w:val="20"/>
          <w:lang w:val="es-AR"/>
        </w:rPr>
      </w:pPr>
      <w:r w:rsidRPr="00CD49F1">
        <w:rPr>
          <w:rFonts w:ascii="Cambria" w:hAnsi="Cambria"/>
          <w:sz w:val="20"/>
          <w:szCs w:val="20"/>
          <w:lang w:val="es-AR"/>
        </w:rPr>
        <w:t xml:space="preserve"> </w:t>
      </w:r>
    </w:p>
    <w:p w:rsidR="00181974" w:rsidRPr="009712EB" w:rsidRDefault="00B565AB" w:rsidP="00D529F8">
      <w:pPr>
        <w:pStyle w:val="Heading1"/>
        <w:spacing w:before="0"/>
        <w:ind w:firstLine="0"/>
        <w:jc w:val="both"/>
        <w:rPr>
          <w:b w:val="0"/>
          <w:sz w:val="20"/>
          <w:szCs w:val="20"/>
          <w:lang w:val="es-ES_tradnl"/>
        </w:rPr>
      </w:pPr>
      <w:bookmarkStart w:id="5" w:name="_Toc525294030"/>
      <w:r w:rsidRPr="006643C6">
        <w:rPr>
          <w:color w:val="auto"/>
          <w:sz w:val="20"/>
          <w:szCs w:val="20"/>
          <w:lang w:val="es-ES_tradnl"/>
        </w:rPr>
        <w:t>DETERMINACIONES FACTICAS</w:t>
      </w:r>
      <w:bookmarkEnd w:id="5"/>
      <w:r w:rsidRPr="009712EB">
        <w:rPr>
          <w:sz w:val="20"/>
          <w:szCs w:val="20"/>
          <w:lang w:val="es-ES_tradnl"/>
        </w:rPr>
        <w:t xml:space="preserve"> </w:t>
      </w:r>
    </w:p>
    <w:p w:rsidR="00181974" w:rsidRPr="009712EB" w:rsidRDefault="00181974" w:rsidP="00D529F8">
      <w:pPr>
        <w:pStyle w:val="ListParagraph"/>
        <w:suppressAutoHyphens/>
        <w:ind w:left="1080"/>
        <w:rPr>
          <w:b/>
          <w:sz w:val="20"/>
          <w:szCs w:val="20"/>
          <w:lang w:val="es-ES_tradnl"/>
        </w:rPr>
      </w:pPr>
    </w:p>
    <w:p w:rsidR="00D12193" w:rsidRPr="00821E26" w:rsidRDefault="005177AF" w:rsidP="00D529F8">
      <w:pPr>
        <w:pStyle w:val="Heading2"/>
        <w:numPr>
          <w:ilvl w:val="0"/>
          <w:numId w:val="66"/>
        </w:numPr>
        <w:spacing w:before="0" w:after="0"/>
        <w:ind w:firstLine="0"/>
        <w:rPr>
          <w:rFonts w:ascii="Cambria" w:hAnsi="Cambria"/>
          <w:i w:val="0"/>
          <w:lang w:val="es-ES_tradnl"/>
        </w:rPr>
      </w:pPr>
      <w:bookmarkStart w:id="6" w:name="_Toc525294031"/>
      <w:r w:rsidRPr="00821E26">
        <w:rPr>
          <w:rFonts w:ascii="Cambria" w:hAnsi="Cambria"/>
          <w:i w:val="0"/>
          <w:sz w:val="20"/>
          <w:lang w:val="es-ES_tradnl"/>
        </w:rPr>
        <w:lastRenderedPageBreak/>
        <w:t>Antecedentes y contexto</w:t>
      </w:r>
      <w:bookmarkEnd w:id="6"/>
      <w:r w:rsidR="00181974" w:rsidRPr="00821E26">
        <w:rPr>
          <w:rFonts w:ascii="Cambria" w:hAnsi="Cambria"/>
          <w:i w:val="0"/>
          <w:sz w:val="20"/>
          <w:lang w:val="es-ES_tradnl"/>
        </w:rPr>
        <w:t xml:space="preserve"> </w:t>
      </w:r>
    </w:p>
    <w:p w:rsidR="00605F3A" w:rsidRPr="009712EB" w:rsidRDefault="00605F3A" w:rsidP="00D529F8">
      <w:pPr>
        <w:pStyle w:val="ListParagraph"/>
        <w:suppressAutoHyphens/>
        <w:ind w:left="1080"/>
        <w:rPr>
          <w:b/>
          <w:sz w:val="20"/>
          <w:szCs w:val="20"/>
          <w:lang w:val="es-ES_tradnl"/>
        </w:rPr>
      </w:pPr>
    </w:p>
    <w:p w:rsidR="00E71067" w:rsidRPr="00821E26" w:rsidRDefault="00B565AB" w:rsidP="00D529F8">
      <w:pPr>
        <w:pStyle w:val="Heading3"/>
        <w:numPr>
          <w:ilvl w:val="0"/>
          <w:numId w:val="67"/>
        </w:numPr>
        <w:spacing w:before="0" w:after="0"/>
        <w:ind w:firstLine="0"/>
        <w:jc w:val="both"/>
        <w:rPr>
          <w:rFonts w:ascii="Cambria" w:hAnsi="Cambria"/>
          <w:lang w:val="es-ES_tradnl"/>
        </w:rPr>
      </w:pPr>
      <w:bookmarkStart w:id="7" w:name="_Toc525294032"/>
      <w:r w:rsidRPr="00821E26">
        <w:rPr>
          <w:rFonts w:ascii="Cambria" w:hAnsi="Cambria"/>
          <w:sz w:val="20"/>
          <w:lang w:val="es-ES_tradnl"/>
        </w:rPr>
        <w:t>Antecedentes históricos</w:t>
      </w:r>
      <w:bookmarkEnd w:id="7"/>
      <w:r w:rsidRPr="00821E26">
        <w:rPr>
          <w:rFonts w:ascii="Cambria" w:hAnsi="Cambria"/>
          <w:lang w:val="es-ES_tradnl"/>
        </w:rPr>
        <w:t xml:space="preserve"> </w:t>
      </w:r>
    </w:p>
    <w:p w:rsidR="00605F3A" w:rsidRPr="009712EB" w:rsidRDefault="00605F3A" w:rsidP="009712EB">
      <w:pPr>
        <w:ind w:left="1440"/>
        <w:rPr>
          <w:rFonts w:ascii="Cambria" w:eastAsia="Cambria" w:hAnsi="Cambria" w:cs="Cambria"/>
          <w:b/>
          <w:sz w:val="20"/>
          <w:szCs w:val="20"/>
          <w:u w:color="000000"/>
          <w:lang w:val="es-ES_tradnl" w:eastAsia="es-ES"/>
        </w:rPr>
      </w:pPr>
    </w:p>
    <w:p w:rsidR="00E71067" w:rsidRPr="009712EB" w:rsidRDefault="00E71067" w:rsidP="003B6A9B">
      <w:pPr>
        <w:pStyle w:val="ListParagraph"/>
        <w:numPr>
          <w:ilvl w:val="0"/>
          <w:numId w:val="55"/>
        </w:numPr>
        <w:ind w:left="0" w:firstLine="720"/>
        <w:jc w:val="both"/>
        <w:rPr>
          <w:sz w:val="20"/>
          <w:szCs w:val="20"/>
          <w:lang w:val="es-ES_tradnl"/>
        </w:rPr>
      </w:pPr>
      <w:r w:rsidRPr="009712EB">
        <w:rPr>
          <w:sz w:val="20"/>
          <w:szCs w:val="20"/>
          <w:lang w:val="es-ES_tradnl"/>
        </w:rPr>
        <w:t>El período entre 1968 y 1981 en Panamá se caracterizó por el ejercicio arbitrario del poder bajo el liderazgo militar de General Omar Torrijos Herrera</w:t>
      </w:r>
      <w:r w:rsidRPr="009712EB">
        <w:rPr>
          <w:rStyle w:val="FootnoteReference"/>
          <w:sz w:val="20"/>
          <w:szCs w:val="20"/>
          <w:lang w:val="es-ES_tradnl"/>
        </w:rPr>
        <w:footnoteReference w:id="8"/>
      </w:r>
      <w:r w:rsidRPr="009712EB">
        <w:rPr>
          <w:sz w:val="20"/>
          <w:szCs w:val="20"/>
          <w:lang w:val="es-ES_tradnl"/>
        </w:rPr>
        <w:t xml:space="preserve">. Bajo la vigencia de la Constitución de 1972, el General Torrijos, como </w:t>
      </w:r>
      <w:r w:rsidR="00A71C15">
        <w:rPr>
          <w:sz w:val="20"/>
          <w:szCs w:val="20"/>
          <w:lang w:val="es-ES_tradnl"/>
        </w:rPr>
        <w:t>“</w:t>
      </w:r>
      <w:r w:rsidRPr="009712EB">
        <w:rPr>
          <w:sz w:val="20"/>
          <w:szCs w:val="20"/>
          <w:lang w:val="es-ES_tradnl"/>
        </w:rPr>
        <w:t>Líder Máximo de la Revolución Panameña</w:t>
      </w:r>
      <w:r w:rsidR="00A71C15">
        <w:rPr>
          <w:sz w:val="20"/>
          <w:szCs w:val="20"/>
          <w:lang w:val="es-ES_tradnl"/>
        </w:rPr>
        <w:t>”</w:t>
      </w:r>
      <w:r w:rsidRPr="009712EB">
        <w:rPr>
          <w:sz w:val="20"/>
          <w:szCs w:val="20"/>
          <w:lang w:val="es-ES_tradnl"/>
        </w:rPr>
        <w:t xml:space="preserve"> y </w:t>
      </w:r>
      <w:r w:rsidR="00A71C15">
        <w:rPr>
          <w:sz w:val="20"/>
          <w:szCs w:val="20"/>
          <w:lang w:val="es-ES_tradnl"/>
        </w:rPr>
        <w:t>“</w:t>
      </w:r>
      <w:r w:rsidRPr="009712EB">
        <w:rPr>
          <w:sz w:val="20"/>
          <w:szCs w:val="20"/>
          <w:lang w:val="es-ES_tradnl"/>
        </w:rPr>
        <w:t>Jefe de Gobierno</w:t>
      </w:r>
      <w:r w:rsidR="00A71C15">
        <w:rPr>
          <w:sz w:val="20"/>
          <w:szCs w:val="20"/>
          <w:lang w:val="es-ES_tradnl"/>
        </w:rPr>
        <w:t>”</w:t>
      </w:r>
      <w:r w:rsidRPr="009712EB">
        <w:rPr>
          <w:sz w:val="20"/>
          <w:szCs w:val="20"/>
          <w:lang w:val="es-ES_tradnl"/>
        </w:rPr>
        <w:t>, gozó de potestades constitucionales numerosas, amplias e importantes, las cuales le otorgaban un poder sin contrapesos significativos, que por su misma naturaleza resultaron en la supresión de la actividad política, y en graves violaciones a derechos humanos y a garantías fundamentales</w:t>
      </w:r>
      <w:r w:rsidRPr="009712EB">
        <w:rPr>
          <w:rStyle w:val="FootnoteReference"/>
          <w:sz w:val="20"/>
          <w:szCs w:val="20"/>
          <w:lang w:val="es-ES_tradnl"/>
        </w:rPr>
        <w:footnoteReference w:id="9"/>
      </w:r>
      <w:r w:rsidRPr="009712EB">
        <w:rPr>
          <w:sz w:val="20"/>
          <w:szCs w:val="20"/>
          <w:lang w:val="es-ES_tradnl"/>
        </w:rPr>
        <w:t>.</w:t>
      </w:r>
    </w:p>
    <w:p w:rsidR="00605F3A" w:rsidRPr="009712EB" w:rsidRDefault="00605F3A" w:rsidP="009712EB">
      <w:pPr>
        <w:pStyle w:val="ListParagraph"/>
        <w:jc w:val="both"/>
        <w:rPr>
          <w:sz w:val="20"/>
          <w:szCs w:val="20"/>
          <w:lang w:val="es-ES_tradnl"/>
        </w:rPr>
      </w:pPr>
    </w:p>
    <w:p w:rsidR="00E71067" w:rsidRPr="00CD49F1" w:rsidRDefault="00E71067" w:rsidP="003B6A9B">
      <w:pPr>
        <w:pStyle w:val="ListParagraph"/>
        <w:numPr>
          <w:ilvl w:val="0"/>
          <w:numId w:val="55"/>
        </w:numPr>
        <w:ind w:left="0" w:firstLine="720"/>
        <w:jc w:val="both"/>
        <w:rPr>
          <w:color w:val="auto"/>
          <w:sz w:val="20"/>
          <w:szCs w:val="20"/>
          <w:lang w:val="es-ES_tradnl"/>
        </w:rPr>
      </w:pPr>
      <w:r w:rsidRPr="009712EB">
        <w:rPr>
          <w:sz w:val="20"/>
          <w:szCs w:val="20"/>
          <w:lang w:val="es-ES_tradnl"/>
        </w:rPr>
        <w:t>Luego de la muerte del General Torrijos el 31 de julio de 1981 comenzó un período de marcada inestabilidad en la Gua</w:t>
      </w:r>
      <w:r w:rsidR="00A71C15">
        <w:rPr>
          <w:sz w:val="20"/>
          <w:szCs w:val="20"/>
          <w:lang w:val="es-ES_tradnl"/>
        </w:rPr>
        <w:t>rdia Nacional y en el Gobierno N</w:t>
      </w:r>
      <w:r w:rsidRPr="009712EB">
        <w:rPr>
          <w:sz w:val="20"/>
          <w:szCs w:val="20"/>
          <w:lang w:val="es-ES_tradnl"/>
        </w:rPr>
        <w:t>acional de Panamá, el cual concluyó el 12 de agosto de 1983 cuando el General Manuel Antonio Noriega asumió el comando de la Guardia Nacional de Panamá</w:t>
      </w:r>
      <w:r w:rsidRPr="009712EB">
        <w:rPr>
          <w:rStyle w:val="FootnoteReference"/>
          <w:sz w:val="20"/>
          <w:szCs w:val="20"/>
          <w:lang w:val="es-ES_tradnl"/>
        </w:rPr>
        <w:footnoteReference w:id="10"/>
      </w:r>
      <w:r w:rsidRPr="009712EB">
        <w:rPr>
          <w:sz w:val="20"/>
          <w:szCs w:val="20"/>
          <w:lang w:val="es-ES_tradnl"/>
        </w:rPr>
        <w:t>. Bajo la comandancia de éste, la Guardia Nacional, la Policía y lo</w:t>
      </w:r>
      <w:r w:rsidRPr="00CD49F1">
        <w:rPr>
          <w:color w:val="auto"/>
          <w:sz w:val="20"/>
          <w:szCs w:val="20"/>
          <w:lang w:val="es-ES_tradnl"/>
        </w:rPr>
        <w:t>s Servicios de Investigación se unificaron para constituir las Fuerzas de Defensa de Panamá (en adelante “FF.DD”</w:t>
      </w:r>
      <w:r w:rsidR="00E6407E" w:rsidRPr="00CD49F1">
        <w:rPr>
          <w:color w:val="auto"/>
          <w:sz w:val="20"/>
          <w:szCs w:val="20"/>
          <w:lang w:val="es-ES_tradnl"/>
        </w:rPr>
        <w:t>, “Fuerzas de Defensa panameñas”</w:t>
      </w:r>
      <w:r w:rsidRPr="00CD49F1">
        <w:rPr>
          <w:color w:val="auto"/>
          <w:sz w:val="20"/>
          <w:szCs w:val="20"/>
          <w:lang w:val="es-ES_tradnl"/>
        </w:rPr>
        <w:t xml:space="preserve"> o “Fuerzas de Defensa”)</w:t>
      </w:r>
      <w:r w:rsidRPr="00CD49F1">
        <w:rPr>
          <w:rStyle w:val="FootnoteReference"/>
          <w:color w:val="auto"/>
          <w:sz w:val="20"/>
          <w:szCs w:val="20"/>
          <w:lang w:val="es-ES_tradnl"/>
        </w:rPr>
        <w:footnoteReference w:id="11"/>
      </w:r>
      <w:r w:rsidRPr="00CD49F1">
        <w:rPr>
          <w:color w:val="auto"/>
          <w:sz w:val="20"/>
          <w:szCs w:val="20"/>
          <w:lang w:val="es-ES_tradnl"/>
        </w:rPr>
        <w:t>.</w:t>
      </w:r>
    </w:p>
    <w:p w:rsidR="00605F3A" w:rsidRPr="00CD49F1" w:rsidRDefault="00605F3A" w:rsidP="009712EB">
      <w:pPr>
        <w:pStyle w:val="ListParagraph"/>
        <w:jc w:val="both"/>
        <w:rPr>
          <w:color w:val="auto"/>
          <w:sz w:val="20"/>
          <w:szCs w:val="20"/>
          <w:lang w:val="es-ES_tradnl"/>
        </w:rPr>
      </w:pPr>
    </w:p>
    <w:p w:rsidR="00E71067" w:rsidRPr="009712EB" w:rsidRDefault="00E71067" w:rsidP="003B6A9B">
      <w:pPr>
        <w:pStyle w:val="ListParagraph"/>
        <w:numPr>
          <w:ilvl w:val="0"/>
          <w:numId w:val="55"/>
        </w:numPr>
        <w:ind w:left="0" w:firstLine="720"/>
        <w:jc w:val="both"/>
        <w:rPr>
          <w:sz w:val="20"/>
          <w:szCs w:val="20"/>
          <w:lang w:val="es-ES_tradnl"/>
        </w:rPr>
      </w:pPr>
      <w:r w:rsidRPr="00CD49F1">
        <w:rPr>
          <w:color w:val="auto"/>
          <w:sz w:val="20"/>
          <w:szCs w:val="20"/>
          <w:lang w:val="es-ES_tradnl"/>
        </w:rPr>
        <w:t xml:space="preserve">El 16 de mayo de 1984 como resultado de las elecciones presidenciales y legislativas celebradas el 6 de mayo anterior, el Tribunal Electoral proclamó triunfador al candidato oficialista, Nicolás </w:t>
      </w:r>
      <w:r w:rsidRPr="009712EB">
        <w:rPr>
          <w:sz w:val="20"/>
          <w:szCs w:val="20"/>
          <w:lang w:val="es-ES_tradnl"/>
        </w:rPr>
        <w:t>Ardito Barletta, bajo denuncias de un masivo fraude electoral</w:t>
      </w:r>
      <w:r w:rsidRPr="009712EB">
        <w:rPr>
          <w:rStyle w:val="FootnoteReference"/>
          <w:sz w:val="20"/>
          <w:szCs w:val="20"/>
          <w:lang w:val="es-ES_tradnl"/>
        </w:rPr>
        <w:footnoteReference w:id="12"/>
      </w:r>
      <w:r w:rsidR="00F550FD">
        <w:rPr>
          <w:sz w:val="20"/>
          <w:szCs w:val="20"/>
          <w:lang w:val="es-ES_tradnl"/>
        </w:rPr>
        <w:t>.</w:t>
      </w:r>
      <w:r w:rsidRPr="009712EB">
        <w:rPr>
          <w:sz w:val="20"/>
          <w:szCs w:val="20"/>
          <w:lang w:val="es-ES_tradnl"/>
        </w:rPr>
        <w:t xml:space="preserve"> Casi un año más tarde, el 28 de septiembre de 1985</w:t>
      </w:r>
      <w:r w:rsidR="00A71C15">
        <w:rPr>
          <w:sz w:val="20"/>
          <w:szCs w:val="20"/>
          <w:lang w:val="es-ES_tradnl"/>
        </w:rPr>
        <w:t>,</w:t>
      </w:r>
      <w:r w:rsidRPr="009712EB">
        <w:rPr>
          <w:sz w:val="20"/>
          <w:szCs w:val="20"/>
          <w:lang w:val="es-ES_tradnl"/>
        </w:rPr>
        <w:t xml:space="preserve"> luego de la renuncia del Presidente Ardito Barletta, el vicepresidente Eric Delvalle asumió la Presidencia de Panamá</w:t>
      </w:r>
      <w:r w:rsidRPr="009712EB">
        <w:rPr>
          <w:rStyle w:val="FootnoteReference"/>
          <w:sz w:val="20"/>
          <w:szCs w:val="20"/>
          <w:lang w:val="es-ES_tradnl"/>
        </w:rPr>
        <w:footnoteReference w:id="13"/>
      </w:r>
      <w:r w:rsidRPr="009712EB">
        <w:rPr>
          <w:sz w:val="20"/>
          <w:szCs w:val="20"/>
          <w:lang w:val="es-ES_tradnl"/>
        </w:rPr>
        <w:t xml:space="preserve">.  </w:t>
      </w:r>
    </w:p>
    <w:p w:rsidR="00605F3A" w:rsidRPr="009712EB" w:rsidRDefault="00605F3A" w:rsidP="009712EB">
      <w:pPr>
        <w:pStyle w:val="ListParagraph"/>
        <w:jc w:val="both"/>
        <w:rPr>
          <w:sz w:val="20"/>
          <w:szCs w:val="20"/>
          <w:lang w:val="es-ES_tradnl"/>
        </w:rPr>
      </w:pPr>
    </w:p>
    <w:p w:rsidR="00E71067" w:rsidRPr="009712EB" w:rsidRDefault="00E71067" w:rsidP="003B6A9B">
      <w:pPr>
        <w:pStyle w:val="ListParagraph"/>
        <w:numPr>
          <w:ilvl w:val="0"/>
          <w:numId w:val="55"/>
        </w:numPr>
        <w:ind w:left="0" w:firstLine="720"/>
        <w:jc w:val="both"/>
        <w:rPr>
          <w:sz w:val="20"/>
          <w:szCs w:val="20"/>
          <w:lang w:val="es-ES_tradnl"/>
        </w:rPr>
      </w:pPr>
      <w:r w:rsidRPr="009712EB">
        <w:rPr>
          <w:sz w:val="20"/>
          <w:szCs w:val="20"/>
          <w:lang w:val="es-ES_tradnl"/>
        </w:rPr>
        <w:t>En junio de 1987 iniciaron en la Ciudad de Panamá unas jornadas de protestas en oposición al General Noriega y a sus colaboradores. E</w:t>
      </w:r>
      <w:r w:rsidRPr="009712EB">
        <w:rPr>
          <w:sz w:val="20"/>
          <w:szCs w:val="20"/>
          <w:lang w:val="es-CO"/>
        </w:rPr>
        <w:t xml:space="preserve">n el marco de tensiones sociales y políticas, y de </w:t>
      </w:r>
      <w:r w:rsidRPr="009712EB">
        <w:rPr>
          <w:sz w:val="20"/>
          <w:szCs w:val="20"/>
          <w:lang w:val="es-ES_tradnl"/>
        </w:rPr>
        <w:t>una fuerte represión</w:t>
      </w:r>
      <w:r w:rsidRPr="009712EB">
        <w:rPr>
          <w:sz w:val="20"/>
          <w:szCs w:val="20"/>
          <w:lang w:val="es-CO"/>
        </w:rPr>
        <w:t xml:space="preserve">, </w:t>
      </w:r>
      <w:r w:rsidRPr="009712EB">
        <w:rPr>
          <w:sz w:val="20"/>
          <w:szCs w:val="20"/>
          <w:lang w:val="es-ES_tradnl"/>
        </w:rPr>
        <w:t>e</w:t>
      </w:r>
      <w:r w:rsidRPr="009712EB">
        <w:rPr>
          <w:sz w:val="20"/>
          <w:szCs w:val="20"/>
          <w:lang w:val="es-CO"/>
        </w:rPr>
        <w:t>l 10 de junio de 1987 el Consejo de Gabinete declaró mediante Decreto ejecutivo un estado de urgencia nacional a través del cual fueron suspendidas garantías y derechos constitucionales</w:t>
      </w:r>
      <w:r w:rsidRPr="009712EB">
        <w:rPr>
          <w:rStyle w:val="FootnoteReference"/>
          <w:sz w:val="20"/>
          <w:szCs w:val="20"/>
        </w:rPr>
        <w:footnoteReference w:id="14"/>
      </w:r>
      <w:r w:rsidRPr="009712EB">
        <w:rPr>
          <w:sz w:val="20"/>
          <w:szCs w:val="20"/>
          <w:lang w:val="es-CO"/>
        </w:rPr>
        <w:t>. Resulta importante señalar que entre los considerandos, el Consejo incluyó la “situación de permanente alteración al orden público por las incitaciones constantes a la violencia de personas y grupos políticos interesados en la toma d</w:t>
      </w:r>
      <w:r w:rsidR="00F550FD">
        <w:rPr>
          <w:sz w:val="20"/>
          <w:szCs w:val="20"/>
          <w:lang w:val="es-CO"/>
        </w:rPr>
        <w:t>el poder por las vías de hecho”</w:t>
      </w:r>
      <w:r w:rsidRPr="009712EB">
        <w:rPr>
          <w:rStyle w:val="FootnoteReference"/>
          <w:sz w:val="20"/>
          <w:szCs w:val="20"/>
        </w:rPr>
        <w:footnoteReference w:id="15"/>
      </w:r>
      <w:r w:rsidR="00F550FD" w:rsidRPr="00713E68">
        <w:rPr>
          <w:sz w:val="20"/>
          <w:szCs w:val="20"/>
          <w:lang w:val="es-ES"/>
        </w:rPr>
        <w:t>.</w:t>
      </w:r>
      <w:r w:rsidRPr="009712EB">
        <w:rPr>
          <w:sz w:val="20"/>
          <w:szCs w:val="20"/>
          <w:lang w:val="es-CO"/>
        </w:rPr>
        <w:t xml:space="preserve"> </w:t>
      </w:r>
    </w:p>
    <w:p w:rsidR="00605F3A" w:rsidRPr="009712EB" w:rsidRDefault="00605F3A" w:rsidP="009712EB">
      <w:pPr>
        <w:pStyle w:val="ListParagraph"/>
        <w:jc w:val="both"/>
        <w:rPr>
          <w:sz w:val="20"/>
          <w:szCs w:val="20"/>
          <w:lang w:val="es-ES_tradnl"/>
        </w:rPr>
      </w:pPr>
    </w:p>
    <w:p w:rsidR="00E71067" w:rsidRPr="009712EB" w:rsidRDefault="00E71067" w:rsidP="003B6A9B">
      <w:pPr>
        <w:pStyle w:val="ListParagraph"/>
        <w:numPr>
          <w:ilvl w:val="0"/>
          <w:numId w:val="55"/>
        </w:numPr>
        <w:ind w:left="0" w:firstLine="720"/>
        <w:jc w:val="both"/>
        <w:rPr>
          <w:sz w:val="20"/>
          <w:szCs w:val="20"/>
          <w:lang w:val="es-ES_tradnl"/>
        </w:rPr>
      </w:pPr>
      <w:r w:rsidRPr="009712EB">
        <w:rPr>
          <w:sz w:val="20"/>
          <w:szCs w:val="20"/>
          <w:lang w:val="es-ES_tradnl"/>
        </w:rPr>
        <w:t>El 1 de julio de 1987 el Consejo Permanente de la Organización de Estados Americanos dictó resolución No. 477 (702/87) mediante la cual instó a las autoridades y a todas las fuerzas políticas abstenerse de tomar cualquier medida que pudiese agravar la crisis en aras de la situación en Panamá</w:t>
      </w:r>
      <w:r w:rsidRPr="009712EB">
        <w:rPr>
          <w:rStyle w:val="FootnoteReference"/>
          <w:sz w:val="20"/>
          <w:szCs w:val="20"/>
          <w:lang w:val="es-ES_tradnl"/>
        </w:rPr>
        <w:footnoteReference w:id="16"/>
      </w:r>
      <w:r w:rsidRPr="009712EB">
        <w:rPr>
          <w:sz w:val="20"/>
          <w:szCs w:val="20"/>
          <w:lang w:val="es-ES_tradnl"/>
        </w:rPr>
        <w:t>.</w:t>
      </w:r>
      <w:r w:rsidR="00A71C15">
        <w:rPr>
          <w:sz w:val="20"/>
          <w:szCs w:val="20"/>
          <w:lang w:val="es-ES_tradnl"/>
        </w:rPr>
        <w:t xml:space="preserve"> En este sentido consideró que </w:t>
      </w:r>
      <w:r w:rsidRPr="009712EB">
        <w:rPr>
          <w:sz w:val="20"/>
          <w:szCs w:val="20"/>
          <w:lang w:val="es-ES_tradnl"/>
        </w:rPr>
        <w:t xml:space="preserve">los graves acontecimientos </w:t>
      </w:r>
      <w:r w:rsidR="00A71C15">
        <w:rPr>
          <w:sz w:val="20"/>
          <w:szCs w:val="20"/>
          <w:lang w:val="es-ES_tradnl"/>
        </w:rPr>
        <w:t>“</w:t>
      </w:r>
      <w:r w:rsidRPr="009712EB">
        <w:rPr>
          <w:sz w:val="20"/>
          <w:szCs w:val="20"/>
          <w:lang w:val="es-ES_tradnl"/>
        </w:rPr>
        <w:t>y abusos del General Manuel Antonio Noriega</w:t>
      </w:r>
      <w:r w:rsidR="00A71C15">
        <w:rPr>
          <w:sz w:val="20"/>
          <w:szCs w:val="20"/>
          <w:lang w:val="es-ES_tradnl"/>
        </w:rPr>
        <w:t>”</w:t>
      </w:r>
      <w:r w:rsidRPr="009712EB">
        <w:rPr>
          <w:sz w:val="20"/>
          <w:szCs w:val="20"/>
          <w:lang w:val="es-ES_tradnl"/>
        </w:rPr>
        <w:t xml:space="preserve"> en la</w:t>
      </w:r>
      <w:r w:rsidR="00A71C15">
        <w:rPr>
          <w:sz w:val="20"/>
          <w:szCs w:val="20"/>
          <w:lang w:val="es-ES_tradnl"/>
        </w:rPr>
        <w:t xml:space="preserve"> situación de</w:t>
      </w:r>
      <w:r w:rsidRPr="009712EB">
        <w:rPr>
          <w:sz w:val="20"/>
          <w:szCs w:val="20"/>
          <w:lang w:val="es-ES_tradnl"/>
        </w:rPr>
        <w:t xml:space="preserve"> crisis de Panamá podrían </w:t>
      </w:r>
      <w:r w:rsidR="00F307AF">
        <w:rPr>
          <w:sz w:val="20"/>
          <w:szCs w:val="20"/>
          <w:lang w:val="es-ES_tradnl"/>
        </w:rPr>
        <w:t>“</w:t>
      </w:r>
      <w:r w:rsidRPr="009712EB">
        <w:rPr>
          <w:sz w:val="20"/>
          <w:szCs w:val="20"/>
          <w:lang w:val="es-ES_tradnl"/>
        </w:rPr>
        <w:t>desatar una escalada de violencia con los consiguientes riesgos para la vida e integridad de las personas”</w:t>
      </w:r>
      <w:r w:rsidRPr="009712EB">
        <w:rPr>
          <w:rStyle w:val="FootnoteReference"/>
          <w:sz w:val="20"/>
          <w:szCs w:val="20"/>
          <w:lang w:val="es-ES_tradnl"/>
        </w:rPr>
        <w:footnoteReference w:id="17"/>
      </w:r>
      <w:r w:rsidRPr="009712EB">
        <w:rPr>
          <w:sz w:val="20"/>
          <w:szCs w:val="20"/>
          <w:lang w:val="es-ES_tradnl"/>
        </w:rPr>
        <w:t>. Vale destacar que el Consejo Permanente remarcó el interés de los Estados de un cabal cumplimiento a los Tratados del Canal de Panamá, a fin de garantizar la paz continental y el libre y seguro tráns</w:t>
      </w:r>
      <w:r w:rsidR="00F550FD">
        <w:rPr>
          <w:sz w:val="20"/>
          <w:szCs w:val="20"/>
          <w:lang w:val="es-ES_tradnl"/>
        </w:rPr>
        <w:t>ito por dicha vía interoceánica</w:t>
      </w:r>
      <w:r w:rsidRPr="009712EB">
        <w:rPr>
          <w:rStyle w:val="FootnoteReference"/>
          <w:sz w:val="20"/>
          <w:szCs w:val="20"/>
          <w:lang w:val="es-ES_tradnl"/>
        </w:rPr>
        <w:footnoteReference w:id="18"/>
      </w:r>
      <w:r w:rsidR="00F550FD">
        <w:rPr>
          <w:sz w:val="20"/>
          <w:szCs w:val="20"/>
          <w:lang w:val="es-ES_tradnl"/>
        </w:rPr>
        <w:t>.</w:t>
      </w:r>
    </w:p>
    <w:p w:rsidR="00605F3A" w:rsidRPr="009712EB" w:rsidRDefault="00605F3A" w:rsidP="009712EB">
      <w:pPr>
        <w:pStyle w:val="ListParagraph"/>
        <w:jc w:val="both"/>
        <w:rPr>
          <w:sz w:val="20"/>
          <w:szCs w:val="20"/>
          <w:lang w:val="es-ES_tradnl"/>
        </w:rPr>
      </w:pPr>
    </w:p>
    <w:p w:rsidR="00605F3A" w:rsidRPr="009712EB" w:rsidRDefault="00E71067" w:rsidP="003B6A9B">
      <w:pPr>
        <w:pStyle w:val="ListParagraph"/>
        <w:numPr>
          <w:ilvl w:val="0"/>
          <w:numId w:val="55"/>
        </w:numPr>
        <w:ind w:left="0" w:firstLine="720"/>
        <w:jc w:val="both"/>
        <w:rPr>
          <w:sz w:val="20"/>
          <w:szCs w:val="20"/>
          <w:lang w:val="es-ES_tradnl"/>
        </w:rPr>
      </w:pPr>
      <w:r w:rsidRPr="009712EB">
        <w:rPr>
          <w:sz w:val="20"/>
          <w:szCs w:val="20"/>
          <w:lang w:val="es-ES_tradnl"/>
        </w:rPr>
        <w:t>El 7 de mayo de 1989 tuvieron lugar las elecciones convocadas para elegir al presidente, vicepresidentes y legisladores según lo establecido en la legislación nacional</w:t>
      </w:r>
      <w:r w:rsidRPr="009712EB">
        <w:rPr>
          <w:rStyle w:val="FootnoteReference"/>
          <w:sz w:val="20"/>
          <w:szCs w:val="20"/>
          <w:lang w:val="es-ES_tradnl"/>
        </w:rPr>
        <w:footnoteReference w:id="19"/>
      </w:r>
      <w:r w:rsidRPr="009712EB">
        <w:rPr>
          <w:sz w:val="20"/>
          <w:szCs w:val="20"/>
          <w:lang w:val="es-ES_tradnl"/>
        </w:rPr>
        <w:t xml:space="preserve">. Entre los candidatos a las presidenciales se encontraban Guillermo Endara, como líder de la oposición, y Carlos Duque como candidato del </w:t>
      </w:r>
      <w:r w:rsidR="00F307AF">
        <w:rPr>
          <w:sz w:val="20"/>
          <w:szCs w:val="20"/>
          <w:lang w:val="es-ES_tradnl"/>
        </w:rPr>
        <w:t xml:space="preserve">entonces </w:t>
      </w:r>
      <w:r w:rsidRPr="009712EB">
        <w:rPr>
          <w:sz w:val="20"/>
          <w:szCs w:val="20"/>
          <w:lang w:val="es-ES_tradnl"/>
        </w:rPr>
        <w:t>gobierno nacional</w:t>
      </w:r>
      <w:r w:rsidRPr="009712EB">
        <w:rPr>
          <w:rStyle w:val="FootnoteReference"/>
          <w:sz w:val="20"/>
          <w:szCs w:val="20"/>
          <w:lang w:val="es-ES_tradnl"/>
        </w:rPr>
        <w:footnoteReference w:id="20"/>
      </w:r>
      <w:r w:rsidRPr="009712EB">
        <w:rPr>
          <w:sz w:val="20"/>
          <w:szCs w:val="20"/>
          <w:lang w:val="es-ES_tradnl"/>
        </w:rPr>
        <w:t xml:space="preserve">. </w:t>
      </w:r>
    </w:p>
    <w:p w:rsidR="00605F3A" w:rsidRPr="009712EB" w:rsidRDefault="00605F3A" w:rsidP="009712EB">
      <w:pPr>
        <w:pStyle w:val="ListParagraph"/>
        <w:jc w:val="both"/>
        <w:rPr>
          <w:sz w:val="20"/>
          <w:szCs w:val="20"/>
          <w:lang w:val="es-ES_tradnl"/>
        </w:rPr>
      </w:pPr>
    </w:p>
    <w:p w:rsidR="00E71067" w:rsidRPr="009712EB" w:rsidRDefault="00E71067" w:rsidP="003B6A9B">
      <w:pPr>
        <w:pStyle w:val="ListParagraph"/>
        <w:numPr>
          <w:ilvl w:val="0"/>
          <w:numId w:val="55"/>
        </w:numPr>
        <w:ind w:left="0" w:firstLine="720"/>
        <w:jc w:val="both"/>
        <w:rPr>
          <w:sz w:val="20"/>
          <w:szCs w:val="20"/>
          <w:lang w:val="es-ES_tradnl"/>
        </w:rPr>
      </w:pPr>
      <w:r w:rsidRPr="009712EB">
        <w:rPr>
          <w:sz w:val="20"/>
          <w:szCs w:val="20"/>
          <w:lang w:val="es-ES_tradnl"/>
        </w:rPr>
        <w:t xml:space="preserve">Entre acusaciones de conductas inapropiadas </w:t>
      </w:r>
      <w:r w:rsidR="00F307AF">
        <w:rPr>
          <w:sz w:val="20"/>
          <w:szCs w:val="20"/>
          <w:lang w:val="es-ES_tradnl"/>
        </w:rPr>
        <w:t>de parte de</w:t>
      </w:r>
      <w:r w:rsidRPr="009712EB">
        <w:rPr>
          <w:sz w:val="20"/>
          <w:szCs w:val="20"/>
          <w:lang w:val="es-ES_tradnl"/>
        </w:rPr>
        <w:t xml:space="preserve"> ambos grupos políticos, graves tensiones sociales y serias limitaciones para la oposición, el gobierno anunció en resultados preliminares una ventaja definitiva al candidato oficialista</w:t>
      </w:r>
      <w:r w:rsidR="00F307AF">
        <w:rPr>
          <w:sz w:val="20"/>
          <w:szCs w:val="20"/>
          <w:lang w:val="es-ES_tradnl"/>
        </w:rPr>
        <w:t>. En consecuencia,</w:t>
      </w:r>
      <w:r w:rsidRPr="009712EB">
        <w:rPr>
          <w:sz w:val="20"/>
          <w:szCs w:val="20"/>
          <w:lang w:val="es-ES_tradnl"/>
        </w:rPr>
        <w:t xml:space="preserve"> la oposición</w:t>
      </w:r>
      <w:r w:rsidR="00F307AF">
        <w:rPr>
          <w:sz w:val="20"/>
          <w:szCs w:val="20"/>
          <w:lang w:val="es-ES_tradnl"/>
        </w:rPr>
        <w:t xml:space="preserve"> y observadores internacionales</w:t>
      </w:r>
      <w:r w:rsidRPr="009712EB">
        <w:rPr>
          <w:sz w:val="20"/>
          <w:szCs w:val="20"/>
          <w:lang w:val="es-ES_tradnl"/>
        </w:rPr>
        <w:t xml:space="preserve"> denunciaro</w:t>
      </w:r>
      <w:r w:rsidR="00424E3A">
        <w:rPr>
          <w:sz w:val="20"/>
          <w:szCs w:val="20"/>
          <w:lang w:val="es-ES_tradnl"/>
        </w:rPr>
        <w:t xml:space="preserve">n irregularidades menores durante la votación en la </w:t>
      </w:r>
      <w:r w:rsidRPr="009712EB">
        <w:rPr>
          <w:sz w:val="20"/>
          <w:szCs w:val="20"/>
          <w:lang w:val="es-ES_tradnl"/>
        </w:rPr>
        <w:t>jornada electoral e irregularidades más graves en el conteo de los votos</w:t>
      </w:r>
      <w:r w:rsidRPr="009712EB">
        <w:rPr>
          <w:rStyle w:val="FootnoteReference"/>
          <w:sz w:val="20"/>
          <w:szCs w:val="20"/>
          <w:lang w:val="es-ES_tradnl"/>
        </w:rPr>
        <w:footnoteReference w:id="21"/>
      </w:r>
      <w:r w:rsidRPr="009712EB">
        <w:rPr>
          <w:sz w:val="20"/>
          <w:szCs w:val="20"/>
          <w:lang w:val="es-ES_tradnl"/>
        </w:rPr>
        <w:t xml:space="preserve">. Días más tarde, el 10 de mayo de 1989, el Tribunal Electoral procedió a anular las elecciones al considerar, entre otras razones, </w:t>
      </w:r>
      <w:r w:rsidR="00F307AF">
        <w:rPr>
          <w:sz w:val="20"/>
          <w:szCs w:val="20"/>
          <w:lang w:val="es-ES_tradnl"/>
        </w:rPr>
        <w:t>como</w:t>
      </w:r>
      <w:r w:rsidR="00424E3A">
        <w:rPr>
          <w:sz w:val="20"/>
          <w:szCs w:val="20"/>
          <w:lang w:val="es-ES_tradnl"/>
        </w:rPr>
        <w:t xml:space="preserve"> cuestión de hecho que habían existido </w:t>
      </w:r>
      <w:r w:rsidRPr="009712EB">
        <w:rPr>
          <w:sz w:val="20"/>
          <w:szCs w:val="20"/>
          <w:lang w:val="es-ES_tradnl"/>
        </w:rPr>
        <w:t>un conjunto de limitaciones derivadas de la alteración del desarrollo normal de las elecciones "por la acción obstruccionista de muchos extranjeros"</w:t>
      </w:r>
      <w:r w:rsidRPr="009712EB">
        <w:rPr>
          <w:rStyle w:val="FootnoteReference"/>
          <w:sz w:val="20"/>
          <w:szCs w:val="20"/>
          <w:lang w:val="es-ES_tradnl"/>
        </w:rPr>
        <w:footnoteReference w:id="22"/>
      </w:r>
      <w:r w:rsidRPr="009712EB">
        <w:rPr>
          <w:sz w:val="20"/>
          <w:szCs w:val="20"/>
          <w:lang w:val="es-ES_tradnl"/>
        </w:rPr>
        <w:t xml:space="preserve">. </w:t>
      </w:r>
    </w:p>
    <w:p w:rsidR="00605F3A" w:rsidRPr="009712EB" w:rsidRDefault="00605F3A" w:rsidP="009712EB">
      <w:pPr>
        <w:pStyle w:val="ListParagraph"/>
        <w:jc w:val="both"/>
        <w:rPr>
          <w:sz w:val="20"/>
          <w:szCs w:val="20"/>
          <w:lang w:val="es-ES_tradnl"/>
        </w:rPr>
      </w:pPr>
    </w:p>
    <w:p w:rsidR="00E71067" w:rsidRPr="009712EB" w:rsidRDefault="00E71067" w:rsidP="003B6A9B">
      <w:pPr>
        <w:pStyle w:val="ListParagraph"/>
        <w:numPr>
          <w:ilvl w:val="0"/>
          <w:numId w:val="55"/>
        </w:numPr>
        <w:ind w:left="0" w:firstLine="720"/>
        <w:jc w:val="both"/>
        <w:rPr>
          <w:sz w:val="20"/>
          <w:szCs w:val="20"/>
          <w:lang w:val="es-ES_tradnl"/>
        </w:rPr>
      </w:pPr>
      <w:r w:rsidRPr="009712EB">
        <w:rPr>
          <w:sz w:val="20"/>
          <w:szCs w:val="20"/>
          <w:lang w:val="es-ES_tradnl"/>
        </w:rPr>
        <w:t>A raíz de la nulidad de las elecciones, el siguiente 1 de septiembre, el Contralor General de la República Francisco Rodríguez asumió la Presidencia de Panamá de manera provisional, tras</w:t>
      </w:r>
      <w:r w:rsidR="009E6A03">
        <w:rPr>
          <w:sz w:val="20"/>
          <w:szCs w:val="20"/>
          <w:lang w:val="es-ES_tradnl"/>
        </w:rPr>
        <w:t xml:space="preserve"> su</w:t>
      </w:r>
      <w:r w:rsidRPr="009712EB">
        <w:rPr>
          <w:sz w:val="20"/>
          <w:szCs w:val="20"/>
          <w:lang w:val="es-ES_tradnl"/>
        </w:rPr>
        <w:t xml:space="preserve"> nombramiento por el Consejo de Estado</w:t>
      </w:r>
      <w:r w:rsidRPr="009712EB">
        <w:rPr>
          <w:rStyle w:val="FootnoteReference"/>
          <w:sz w:val="20"/>
          <w:szCs w:val="20"/>
          <w:lang w:val="es-ES_tradnl"/>
        </w:rPr>
        <w:footnoteReference w:id="23"/>
      </w:r>
      <w:r w:rsidRPr="009712EB">
        <w:rPr>
          <w:sz w:val="20"/>
          <w:szCs w:val="20"/>
          <w:lang w:val="es-ES_tradnl"/>
        </w:rPr>
        <w:t>. El nuevo presidente señaló que se convocaría a elecciones y entregaría el poder “tan pronto se den las condiciones adecuadas para ello", refiriéndose al "cese de la agresión norteamericana" y a la devolución "al Tesoro Nacional de los fondos arbitrariamente retenidos por el Gobierno de Estados Unidos"</w:t>
      </w:r>
      <w:r w:rsidRPr="009712EB">
        <w:rPr>
          <w:rStyle w:val="FootnoteReference"/>
          <w:sz w:val="20"/>
          <w:szCs w:val="20"/>
          <w:lang w:val="es-ES_tradnl"/>
        </w:rPr>
        <w:footnoteReference w:id="24"/>
      </w:r>
      <w:r w:rsidRPr="009712EB">
        <w:rPr>
          <w:sz w:val="20"/>
          <w:szCs w:val="20"/>
          <w:lang w:val="es-ES_tradnl"/>
        </w:rPr>
        <w:t>.</w:t>
      </w:r>
    </w:p>
    <w:p w:rsidR="00605F3A" w:rsidRPr="009712EB" w:rsidRDefault="00605F3A" w:rsidP="009712EB">
      <w:pPr>
        <w:pStyle w:val="ListParagraph"/>
        <w:jc w:val="both"/>
        <w:rPr>
          <w:sz w:val="20"/>
          <w:szCs w:val="20"/>
          <w:lang w:val="es-ES_tradnl"/>
        </w:rPr>
      </w:pPr>
    </w:p>
    <w:p w:rsidR="00E71067" w:rsidRPr="009712EB" w:rsidRDefault="00E71067" w:rsidP="003B6A9B">
      <w:pPr>
        <w:pStyle w:val="ListParagraph"/>
        <w:numPr>
          <w:ilvl w:val="0"/>
          <w:numId w:val="55"/>
        </w:numPr>
        <w:ind w:left="0" w:firstLine="720"/>
        <w:jc w:val="both"/>
        <w:rPr>
          <w:sz w:val="20"/>
          <w:szCs w:val="20"/>
          <w:lang w:val="es-ES_tradnl"/>
        </w:rPr>
      </w:pPr>
      <w:r w:rsidRPr="009712EB">
        <w:rPr>
          <w:sz w:val="20"/>
          <w:szCs w:val="20"/>
          <w:lang w:val="es-ES_tradnl"/>
        </w:rPr>
        <w:t>Por su parte, dos días después de la decisión del Tribunal Electoral, el Consejo Permanente de la OEA decidió convocar la XXI Reunión de Consulta de Ministros de Relaciones Exteriores a fin de considerar "la grave crisis de Panamá en su contexto internacional"</w:t>
      </w:r>
      <w:r w:rsidRPr="009712EB">
        <w:rPr>
          <w:rStyle w:val="FootnoteReference"/>
          <w:sz w:val="20"/>
          <w:szCs w:val="20"/>
          <w:lang w:val="es-ES_tradnl"/>
        </w:rPr>
        <w:footnoteReference w:id="25"/>
      </w:r>
      <w:r w:rsidRPr="009712EB">
        <w:rPr>
          <w:sz w:val="20"/>
          <w:szCs w:val="20"/>
          <w:lang w:val="es-ES_tradnl"/>
        </w:rPr>
        <w:t xml:space="preserve">. En el marco de esta reunión, el 17 de mayo de 1989 se resolvió designar una Misión integrada por los Ministros de Relaciones Exteriores de Ecuador, Guatemala, y Trinidad y Tobago para que, asistidos por el Secretario General de la Organización, colaboraran con las partes en conflicto en Panamá a fin de </w:t>
      </w:r>
      <w:r w:rsidR="00424E3A">
        <w:rPr>
          <w:sz w:val="20"/>
          <w:szCs w:val="20"/>
          <w:lang w:val="es-ES_tradnl"/>
        </w:rPr>
        <w:t xml:space="preserve">buscar </w:t>
      </w:r>
      <w:r w:rsidRPr="009712EB">
        <w:rPr>
          <w:sz w:val="20"/>
          <w:szCs w:val="20"/>
          <w:lang w:val="es-ES_tradnl"/>
        </w:rPr>
        <w:t>fórmulas de avenimiento para superar los problemas existentes</w:t>
      </w:r>
      <w:r w:rsidRPr="009712EB">
        <w:rPr>
          <w:rStyle w:val="FootnoteReference"/>
          <w:sz w:val="20"/>
          <w:szCs w:val="20"/>
          <w:lang w:val="es-ES_tradnl"/>
        </w:rPr>
        <w:footnoteReference w:id="26"/>
      </w:r>
      <w:r w:rsidRPr="009712EB">
        <w:rPr>
          <w:sz w:val="20"/>
          <w:szCs w:val="20"/>
          <w:lang w:val="es-ES_tradnl"/>
        </w:rPr>
        <w:t>.</w:t>
      </w:r>
    </w:p>
    <w:p w:rsidR="00605F3A" w:rsidRPr="009712EB" w:rsidRDefault="00605F3A" w:rsidP="009712EB">
      <w:pPr>
        <w:pStyle w:val="ListParagraph"/>
        <w:jc w:val="both"/>
        <w:rPr>
          <w:sz w:val="20"/>
          <w:szCs w:val="20"/>
          <w:lang w:val="es-ES_tradnl"/>
        </w:rPr>
      </w:pPr>
    </w:p>
    <w:p w:rsidR="00E71067" w:rsidRPr="009712EB" w:rsidRDefault="00E71067" w:rsidP="003B6A9B">
      <w:pPr>
        <w:pStyle w:val="ListParagraph"/>
        <w:numPr>
          <w:ilvl w:val="0"/>
          <w:numId w:val="55"/>
        </w:numPr>
        <w:ind w:left="0" w:firstLine="720"/>
        <w:jc w:val="both"/>
        <w:rPr>
          <w:sz w:val="20"/>
          <w:szCs w:val="20"/>
          <w:lang w:val="es-ES_tradnl"/>
        </w:rPr>
      </w:pPr>
      <w:r w:rsidRPr="009712EB">
        <w:rPr>
          <w:sz w:val="20"/>
          <w:szCs w:val="20"/>
          <w:lang w:val="es-ES_tradnl"/>
        </w:rPr>
        <w:t>Luego de cinco visitas a Panamá, el 24 de agosto de 1989, el Presidente de la XXI Reunión de Consulta emitió declaración mediante la cual solicitaba la visita de la Comisión Interamericana de Derechos Humanos a Panamá con el objeto de "completar y actualizar la información sobre la situación de los derechos humanos en ese país"</w:t>
      </w:r>
      <w:r w:rsidRPr="009712EB">
        <w:rPr>
          <w:rStyle w:val="FootnoteReference"/>
          <w:sz w:val="20"/>
          <w:szCs w:val="20"/>
          <w:lang w:val="es-ES_tradnl"/>
        </w:rPr>
        <w:footnoteReference w:id="27"/>
      </w:r>
      <w:r w:rsidRPr="009712EB">
        <w:rPr>
          <w:sz w:val="20"/>
          <w:szCs w:val="20"/>
          <w:lang w:val="es-ES_tradnl"/>
        </w:rPr>
        <w:t>.</w:t>
      </w:r>
      <w:r w:rsidR="007C2AA2">
        <w:rPr>
          <w:sz w:val="20"/>
          <w:szCs w:val="20"/>
          <w:lang w:val="es-ES_tradnl"/>
        </w:rPr>
        <w:t xml:space="preserve"> </w:t>
      </w:r>
      <w:r w:rsidR="007C2AA2" w:rsidRPr="007C2AA2">
        <w:rPr>
          <w:sz w:val="20"/>
          <w:szCs w:val="20"/>
          <w:lang w:val="es-ES_tradnl"/>
        </w:rPr>
        <w:t>Co</w:t>
      </w:r>
      <w:r w:rsidR="00424E3A">
        <w:rPr>
          <w:sz w:val="20"/>
          <w:szCs w:val="20"/>
          <w:lang w:val="es-ES_tradnl"/>
        </w:rPr>
        <w:t>n el fin de dar cumplimiento a la</w:t>
      </w:r>
      <w:r w:rsidR="007C2AA2" w:rsidRPr="007C2AA2">
        <w:rPr>
          <w:sz w:val="20"/>
          <w:szCs w:val="20"/>
          <w:lang w:val="es-ES_tradnl"/>
        </w:rPr>
        <w:t xml:space="preserve"> declaración del Presidente de la XXI Reunión de Consulta de Ministros de Relaciones Exteriores, la Comisión solicitó la anuencia del Gobierno de Panamá para observar in situ la situación de los derechos humanos en Panamá. El Gobierno panameño concedió la anuencia solicitada, sin embargo dicha visita no llegó a concretarse</w:t>
      </w:r>
      <w:r w:rsidR="007C2AA2">
        <w:rPr>
          <w:rStyle w:val="FootnoteReference"/>
          <w:sz w:val="20"/>
          <w:szCs w:val="20"/>
          <w:lang w:val="es-ES_tradnl"/>
        </w:rPr>
        <w:footnoteReference w:id="28"/>
      </w:r>
      <w:r w:rsidR="007C2AA2">
        <w:rPr>
          <w:sz w:val="20"/>
          <w:szCs w:val="20"/>
          <w:lang w:val="es-ES_tradnl"/>
        </w:rPr>
        <w:t>.</w:t>
      </w:r>
    </w:p>
    <w:p w:rsidR="00605F3A" w:rsidRPr="009712EB" w:rsidRDefault="00605F3A" w:rsidP="009712EB">
      <w:pPr>
        <w:pStyle w:val="ListParagraph"/>
        <w:jc w:val="both"/>
        <w:rPr>
          <w:sz w:val="20"/>
          <w:szCs w:val="20"/>
          <w:lang w:val="es-ES_tradnl"/>
        </w:rPr>
      </w:pPr>
    </w:p>
    <w:p w:rsidR="00D83D73" w:rsidRPr="009712EB" w:rsidRDefault="00E71067" w:rsidP="003B6A9B">
      <w:pPr>
        <w:pStyle w:val="ListParagraph"/>
        <w:numPr>
          <w:ilvl w:val="0"/>
          <w:numId w:val="55"/>
        </w:numPr>
        <w:ind w:left="0" w:firstLine="720"/>
        <w:jc w:val="both"/>
        <w:rPr>
          <w:sz w:val="20"/>
          <w:szCs w:val="20"/>
          <w:lang w:val="es-ES_tradnl"/>
        </w:rPr>
      </w:pPr>
      <w:r w:rsidRPr="009712EB">
        <w:rPr>
          <w:sz w:val="20"/>
          <w:szCs w:val="20"/>
          <w:lang w:val="es-ES_tradnl"/>
        </w:rPr>
        <w:t>El 18 de noviembre del mismo año, la Asamblea General de la OEA adoptó Resolución No. 990 mediante la cual afirmó la urgente necesidad de procesos electorales democráticos en los que el pueblo panameño expres</w:t>
      </w:r>
      <w:r w:rsidR="00D01836">
        <w:rPr>
          <w:sz w:val="20"/>
          <w:szCs w:val="20"/>
          <w:lang w:val="es-ES_tradnl"/>
        </w:rPr>
        <w:t>as</w:t>
      </w:r>
      <w:r w:rsidRPr="009712EB">
        <w:rPr>
          <w:sz w:val="20"/>
          <w:szCs w:val="20"/>
          <w:lang w:val="es-ES_tradnl"/>
        </w:rPr>
        <w:t xml:space="preserve">e su voluntad “con todas las garantías necesarias para el ejercicio pleno del sufragio </w:t>
      </w:r>
      <w:r w:rsidRPr="009712EB">
        <w:rPr>
          <w:sz w:val="20"/>
          <w:szCs w:val="20"/>
          <w:lang w:val="es-ES_tradnl"/>
        </w:rPr>
        <w:lastRenderedPageBreak/>
        <w:t>universal” y que se conduzca al establecimiento de un gobierno electo librem</w:t>
      </w:r>
      <w:r w:rsidR="00F550FD">
        <w:rPr>
          <w:sz w:val="20"/>
          <w:szCs w:val="20"/>
          <w:lang w:val="es-ES_tradnl"/>
        </w:rPr>
        <w:t>ente y sin injerencias externas</w:t>
      </w:r>
      <w:r w:rsidRPr="009712EB">
        <w:rPr>
          <w:rStyle w:val="FootnoteReference"/>
          <w:sz w:val="20"/>
          <w:szCs w:val="20"/>
          <w:lang w:val="es-ES_tradnl"/>
        </w:rPr>
        <w:footnoteReference w:id="29"/>
      </w:r>
      <w:r w:rsidR="00F550FD">
        <w:rPr>
          <w:sz w:val="20"/>
          <w:szCs w:val="20"/>
          <w:lang w:val="es-ES_tradnl"/>
        </w:rPr>
        <w:t>.</w:t>
      </w:r>
      <w:r w:rsidRPr="009712EB">
        <w:rPr>
          <w:sz w:val="20"/>
          <w:szCs w:val="20"/>
          <w:lang w:val="es-ES_tradnl"/>
        </w:rPr>
        <w:t xml:space="preserve"> En particular la Asamblea General manifestó su honda preocupación por las serias violaciones de los derechos y libe</w:t>
      </w:r>
      <w:r w:rsidR="00F550FD">
        <w:rPr>
          <w:sz w:val="20"/>
          <w:szCs w:val="20"/>
          <w:lang w:val="es-ES_tradnl"/>
        </w:rPr>
        <w:t>rtades fundamentales en Panamá</w:t>
      </w:r>
      <w:r w:rsidRPr="009712EB">
        <w:rPr>
          <w:rStyle w:val="FootnoteReference"/>
          <w:sz w:val="20"/>
          <w:szCs w:val="20"/>
          <w:lang w:val="es-ES_tradnl"/>
        </w:rPr>
        <w:footnoteReference w:id="30"/>
      </w:r>
      <w:r w:rsidR="00F550FD">
        <w:rPr>
          <w:sz w:val="20"/>
          <w:szCs w:val="20"/>
          <w:lang w:val="es-ES_tradnl"/>
        </w:rPr>
        <w:t>.</w:t>
      </w:r>
    </w:p>
    <w:p w:rsidR="00605F3A" w:rsidRPr="009712EB" w:rsidRDefault="00605F3A" w:rsidP="009712EB">
      <w:pPr>
        <w:pStyle w:val="ListParagraph"/>
        <w:jc w:val="both"/>
        <w:rPr>
          <w:sz w:val="20"/>
          <w:szCs w:val="20"/>
          <w:lang w:val="es-ES_tradnl"/>
        </w:rPr>
      </w:pPr>
    </w:p>
    <w:p w:rsidR="00E71067" w:rsidRPr="00821E26" w:rsidRDefault="00B565AB" w:rsidP="00D529F8">
      <w:pPr>
        <w:pStyle w:val="Heading3"/>
        <w:numPr>
          <w:ilvl w:val="0"/>
          <w:numId w:val="67"/>
        </w:numPr>
        <w:spacing w:before="0" w:after="0"/>
        <w:ind w:firstLine="0"/>
        <w:jc w:val="both"/>
        <w:rPr>
          <w:rFonts w:ascii="Cambria" w:hAnsi="Cambria"/>
          <w:lang w:val="es-ES_tradnl"/>
        </w:rPr>
      </w:pPr>
      <w:bookmarkStart w:id="9" w:name="_Toc525294033"/>
      <w:r w:rsidRPr="00821E26">
        <w:rPr>
          <w:rFonts w:ascii="Cambria" w:hAnsi="Cambria"/>
          <w:sz w:val="20"/>
          <w:lang w:val="es-ES_tradnl"/>
        </w:rPr>
        <w:t xml:space="preserve">Incremento de las tensiones entre el </w:t>
      </w:r>
      <w:r w:rsidR="005177AF">
        <w:rPr>
          <w:rFonts w:ascii="Cambria" w:hAnsi="Cambria"/>
          <w:sz w:val="20"/>
          <w:lang w:val="es-ES_tradnl"/>
        </w:rPr>
        <w:t>G</w:t>
      </w:r>
      <w:r w:rsidRPr="00821E26">
        <w:rPr>
          <w:rFonts w:ascii="Cambria" w:hAnsi="Cambria"/>
          <w:sz w:val="20"/>
          <w:lang w:val="es-ES_tradnl"/>
        </w:rPr>
        <w:t>obierno de Panamá y el de Estados Unidos</w:t>
      </w:r>
      <w:bookmarkEnd w:id="9"/>
    </w:p>
    <w:p w:rsidR="00605F3A" w:rsidRPr="009712EB" w:rsidRDefault="00605F3A" w:rsidP="009712EB">
      <w:pPr>
        <w:pStyle w:val="ListParagraph"/>
        <w:ind w:left="1440"/>
        <w:jc w:val="both"/>
        <w:rPr>
          <w:b/>
          <w:sz w:val="20"/>
          <w:szCs w:val="20"/>
          <w:lang w:val="es-ES_tradnl"/>
        </w:rPr>
      </w:pPr>
    </w:p>
    <w:p w:rsidR="00E71067" w:rsidRPr="009712EB" w:rsidRDefault="00E71067" w:rsidP="003B6A9B">
      <w:pPr>
        <w:pStyle w:val="ListParagraph"/>
        <w:numPr>
          <w:ilvl w:val="0"/>
          <w:numId w:val="56"/>
        </w:numPr>
        <w:ind w:left="0" w:firstLine="720"/>
        <w:jc w:val="both"/>
        <w:rPr>
          <w:sz w:val="20"/>
          <w:szCs w:val="20"/>
          <w:lang w:val="es-ES_tradnl"/>
        </w:rPr>
      </w:pPr>
      <w:r w:rsidRPr="009712EB">
        <w:rPr>
          <w:sz w:val="20"/>
          <w:szCs w:val="20"/>
          <w:lang w:val="es-ES_tradnl"/>
        </w:rPr>
        <w:t>La relación entre los Gobiernos de Estados Unidos y Panamá ha</w:t>
      </w:r>
      <w:r w:rsidR="00D01836">
        <w:rPr>
          <w:sz w:val="20"/>
          <w:szCs w:val="20"/>
          <w:lang w:val="es-ES_tradnl"/>
        </w:rPr>
        <w:t>bía</w:t>
      </w:r>
      <w:r w:rsidRPr="009712EB">
        <w:rPr>
          <w:sz w:val="20"/>
          <w:szCs w:val="20"/>
          <w:lang w:val="es-ES_tradnl"/>
        </w:rPr>
        <w:t xml:space="preserve"> estado vinculada en gran parte con </w:t>
      </w:r>
      <w:r w:rsidR="00F667B9" w:rsidRPr="009712EB">
        <w:rPr>
          <w:sz w:val="20"/>
          <w:szCs w:val="20"/>
          <w:lang w:val="es-ES_tradnl"/>
        </w:rPr>
        <w:t>la operación y la administración d</w:t>
      </w:r>
      <w:r w:rsidRPr="009712EB">
        <w:rPr>
          <w:sz w:val="20"/>
          <w:szCs w:val="20"/>
          <w:lang w:val="es-ES_tradnl"/>
        </w:rPr>
        <w:t>el Canal de Panamá. Al respecto, es importante recordar que el Gobierno de Estados Unidos desarrolló la construcción del Canal el 4 de mayo de 1904 en virtud de la</w:t>
      </w:r>
      <w:r w:rsidRPr="009712EB">
        <w:rPr>
          <w:sz w:val="20"/>
          <w:szCs w:val="20"/>
          <w:lang w:val="es-CO"/>
        </w:rPr>
        <w:t xml:space="preserve"> firma del Tratado Hay-Bunau-Varilla, el c</w:t>
      </w:r>
      <w:r w:rsidRPr="00CD49F1">
        <w:rPr>
          <w:color w:val="auto"/>
          <w:sz w:val="20"/>
          <w:szCs w:val="20"/>
          <w:lang w:val="es-CO"/>
        </w:rPr>
        <w:t xml:space="preserve">ual otorgaba </w:t>
      </w:r>
      <w:r w:rsidRPr="009712EB">
        <w:rPr>
          <w:sz w:val="20"/>
          <w:szCs w:val="20"/>
          <w:lang w:val="es-CO"/>
        </w:rPr>
        <w:t xml:space="preserve">a los Estados Unidos la concesión del </w:t>
      </w:r>
      <w:r w:rsidR="00476D88" w:rsidRPr="009712EB">
        <w:rPr>
          <w:sz w:val="20"/>
          <w:szCs w:val="20"/>
          <w:lang w:val="es-CO"/>
        </w:rPr>
        <w:t>C</w:t>
      </w:r>
      <w:r w:rsidRPr="009712EB">
        <w:rPr>
          <w:sz w:val="20"/>
          <w:szCs w:val="20"/>
          <w:lang w:val="es-CO"/>
        </w:rPr>
        <w:t xml:space="preserve">anal a perpetuidad sobre la cual ejercería soberanía. </w:t>
      </w:r>
    </w:p>
    <w:p w:rsidR="00605F3A" w:rsidRPr="009712EB" w:rsidRDefault="00605F3A" w:rsidP="009712EB">
      <w:pPr>
        <w:pStyle w:val="ListParagraph"/>
        <w:jc w:val="both"/>
        <w:rPr>
          <w:sz w:val="20"/>
          <w:szCs w:val="20"/>
          <w:lang w:val="es-ES_tradnl"/>
        </w:rPr>
      </w:pPr>
    </w:p>
    <w:p w:rsidR="00E71067" w:rsidRPr="009712EB" w:rsidRDefault="00E71067" w:rsidP="003B6A9B">
      <w:pPr>
        <w:pStyle w:val="ListParagraph"/>
        <w:numPr>
          <w:ilvl w:val="0"/>
          <w:numId w:val="56"/>
        </w:numPr>
        <w:ind w:left="0" w:firstLine="720"/>
        <w:jc w:val="both"/>
        <w:rPr>
          <w:sz w:val="20"/>
          <w:szCs w:val="20"/>
          <w:lang w:val="es-ES_tradnl"/>
        </w:rPr>
      </w:pPr>
      <w:r w:rsidRPr="009712EB">
        <w:rPr>
          <w:sz w:val="20"/>
          <w:szCs w:val="20"/>
          <w:lang w:val="es-CO"/>
        </w:rPr>
        <w:t>Luego de varios episodios de conflicto en el año 1964 en Panamá y de arduas negociaciones lideradas por el General Omar Torrijos para tener un nuevo tratado en base a</w:t>
      </w:r>
      <w:r w:rsidRPr="009712EB">
        <w:rPr>
          <w:sz w:val="20"/>
          <w:szCs w:val="20"/>
          <w:lang w:val="es-ES_tradnl"/>
        </w:rPr>
        <w:t xml:space="preserve">l Acuerdo Tack-Kissinger, se firmó el 7 de septiembre de 1977 el Tratado del Canal de Panamá y el Tratado concerniente a la neutralidad Permanente y Funcionamiento del Canal de Panamá, mejor conocidos como Tratados Torrijos-Carter, los cuales entraron en vigor el 1° de octubre de 1979. </w:t>
      </w:r>
    </w:p>
    <w:p w:rsidR="00605F3A" w:rsidRPr="009712EB" w:rsidRDefault="00605F3A" w:rsidP="009712EB">
      <w:pPr>
        <w:pStyle w:val="ListParagraph"/>
        <w:jc w:val="both"/>
        <w:rPr>
          <w:sz w:val="20"/>
          <w:szCs w:val="20"/>
          <w:lang w:val="es-ES_tradnl"/>
        </w:rPr>
      </w:pPr>
    </w:p>
    <w:p w:rsidR="00E71067" w:rsidRPr="008D61DA" w:rsidRDefault="00E71067" w:rsidP="003B6A9B">
      <w:pPr>
        <w:pStyle w:val="ListParagraph"/>
        <w:numPr>
          <w:ilvl w:val="0"/>
          <w:numId w:val="56"/>
        </w:numPr>
        <w:ind w:left="0" w:firstLine="720"/>
        <w:jc w:val="both"/>
        <w:rPr>
          <w:color w:val="auto"/>
          <w:sz w:val="20"/>
          <w:szCs w:val="20"/>
          <w:lang w:val="es-ES_tradnl"/>
        </w:rPr>
      </w:pPr>
      <w:r w:rsidRPr="009712EB">
        <w:rPr>
          <w:sz w:val="20"/>
          <w:szCs w:val="20"/>
          <w:lang w:val="es-ES_tradnl"/>
        </w:rPr>
        <w:t xml:space="preserve">En virtud de los Tratados Torrijos-Carter, </w:t>
      </w:r>
      <w:r w:rsidRPr="009712EB">
        <w:rPr>
          <w:sz w:val="20"/>
          <w:szCs w:val="20"/>
          <w:lang w:val="es-CO"/>
        </w:rPr>
        <w:t>se reconoció la sobera</w:t>
      </w:r>
      <w:r w:rsidRPr="008D61DA">
        <w:rPr>
          <w:color w:val="auto"/>
          <w:sz w:val="20"/>
          <w:szCs w:val="20"/>
          <w:lang w:val="es-CO"/>
        </w:rPr>
        <w:t xml:space="preserve">nía de Panamá sobre la Zona del Canal, y se le otorgó a Estados Unidos los derechos necesarios para operar el Canal hasta el 31 de diciembre de 1999. </w:t>
      </w:r>
      <w:r w:rsidR="00625585">
        <w:rPr>
          <w:color w:val="auto"/>
          <w:sz w:val="20"/>
          <w:szCs w:val="20"/>
          <w:lang w:val="es-CO"/>
        </w:rPr>
        <w:t>Los</w:t>
      </w:r>
      <w:r w:rsidRPr="008D61DA">
        <w:rPr>
          <w:color w:val="auto"/>
          <w:sz w:val="20"/>
          <w:szCs w:val="20"/>
          <w:lang w:val="es-CO"/>
        </w:rPr>
        <w:t xml:space="preserve"> derechos para operar</w:t>
      </w:r>
      <w:r w:rsidR="00625585">
        <w:rPr>
          <w:color w:val="auto"/>
          <w:sz w:val="20"/>
          <w:szCs w:val="20"/>
          <w:lang w:val="es-CO"/>
        </w:rPr>
        <w:t xml:space="preserve"> incluían </w:t>
      </w:r>
      <w:r w:rsidRPr="008D61DA">
        <w:rPr>
          <w:color w:val="auto"/>
          <w:sz w:val="20"/>
          <w:szCs w:val="20"/>
          <w:lang w:val="es-CO"/>
        </w:rPr>
        <w:t>la responsabilidad primaria de a</w:t>
      </w:r>
      <w:r w:rsidRPr="008D61DA">
        <w:rPr>
          <w:bCs/>
          <w:color w:val="auto"/>
          <w:sz w:val="20"/>
          <w:szCs w:val="20"/>
          <w:lang w:val="es-CO"/>
        </w:rPr>
        <w:t>dministración y defensa del Canal</w:t>
      </w:r>
      <w:r w:rsidRPr="008D61DA">
        <w:rPr>
          <w:color w:val="auto"/>
          <w:sz w:val="20"/>
          <w:szCs w:val="20"/>
          <w:lang w:val="es-CO"/>
        </w:rPr>
        <w:t xml:space="preserve">, </w:t>
      </w:r>
      <w:r w:rsidR="00625585">
        <w:rPr>
          <w:color w:val="auto"/>
          <w:sz w:val="20"/>
          <w:szCs w:val="20"/>
          <w:lang w:val="es-CO"/>
        </w:rPr>
        <w:t xml:space="preserve">y </w:t>
      </w:r>
      <w:r w:rsidRPr="008D61DA">
        <w:rPr>
          <w:color w:val="auto"/>
          <w:sz w:val="20"/>
          <w:szCs w:val="20"/>
          <w:lang w:val="es-CO"/>
        </w:rPr>
        <w:t>p</w:t>
      </w:r>
      <w:r w:rsidR="00625585">
        <w:rPr>
          <w:color w:val="auto"/>
          <w:sz w:val="20"/>
          <w:szCs w:val="20"/>
          <w:lang w:val="es-CO"/>
        </w:rPr>
        <w:t xml:space="preserve">ara ese propósito, </w:t>
      </w:r>
      <w:r w:rsidRPr="008D61DA">
        <w:rPr>
          <w:color w:val="auto"/>
          <w:sz w:val="20"/>
          <w:szCs w:val="20"/>
          <w:lang w:val="es-CO"/>
        </w:rPr>
        <w:t xml:space="preserve">la presencia militar estadounidense </w:t>
      </w:r>
      <w:r w:rsidR="00625585">
        <w:rPr>
          <w:color w:val="auto"/>
          <w:sz w:val="20"/>
          <w:szCs w:val="20"/>
          <w:lang w:val="es-CO"/>
        </w:rPr>
        <w:t xml:space="preserve">era aceptada </w:t>
      </w:r>
      <w:r w:rsidRPr="008D61DA">
        <w:rPr>
          <w:color w:val="auto"/>
          <w:sz w:val="20"/>
          <w:szCs w:val="20"/>
          <w:lang w:val="es-CO"/>
        </w:rPr>
        <w:t xml:space="preserve">en Panamá. </w:t>
      </w:r>
    </w:p>
    <w:p w:rsidR="00605F3A" w:rsidRPr="008D61DA" w:rsidRDefault="00605F3A" w:rsidP="009712EB">
      <w:pPr>
        <w:pStyle w:val="ListParagraph"/>
        <w:jc w:val="both"/>
        <w:rPr>
          <w:color w:val="auto"/>
          <w:sz w:val="20"/>
          <w:szCs w:val="20"/>
          <w:lang w:val="es-ES_tradnl"/>
        </w:rPr>
      </w:pPr>
    </w:p>
    <w:p w:rsidR="00E71067" w:rsidRPr="009712EB" w:rsidRDefault="00E71067" w:rsidP="003B6A9B">
      <w:pPr>
        <w:pStyle w:val="ListParagraph"/>
        <w:numPr>
          <w:ilvl w:val="0"/>
          <w:numId w:val="56"/>
        </w:numPr>
        <w:ind w:left="0" w:firstLine="720"/>
        <w:jc w:val="both"/>
        <w:rPr>
          <w:sz w:val="20"/>
          <w:szCs w:val="20"/>
          <w:lang w:val="es-ES_tradnl"/>
        </w:rPr>
      </w:pPr>
      <w:r w:rsidRPr="008D61DA">
        <w:rPr>
          <w:color w:val="auto"/>
          <w:sz w:val="20"/>
          <w:szCs w:val="20"/>
          <w:lang w:val="es-ES_tradnl"/>
        </w:rPr>
        <w:t>En los años subsiguientes</w:t>
      </w:r>
      <w:r w:rsidR="00625585">
        <w:rPr>
          <w:color w:val="auto"/>
          <w:sz w:val="20"/>
          <w:szCs w:val="20"/>
          <w:lang w:val="es-ES_tradnl"/>
        </w:rPr>
        <w:t>,</w:t>
      </w:r>
      <w:r w:rsidRPr="008D61DA">
        <w:rPr>
          <w:color w:val="auto"/>
          <w:sz w:val="20"/>
          <w:szCs w:val="20"/>
          <w:lang w:val="es-ES_tradnl"/>
        </w:rPr>
        <w:t xml:space="preserve"> y en particular desde 1988</w:t>
      </w:r>
      <w:r w:rsidR="00625585">
        <w:rPr>
          <w:color w:val="auto"/>
          <w:sz w:val="20"/>
          <w:szCs w:val="20"/>
          <w:lang w:val="es-ES_tradnl"/>
        </w:rPr>
        <w:t>,</w:t>
      </w:r>
      <w:r w:rsidRPr="008D61DA">
        <w:rPr>
          <w:color w:val="auto"/>
          <w:sz w:val="20"/>
          <w:szCs w:val="20"/>
          <w:lang w:val="es-ES_tradnl"/>
        </w:rPr>
        <w:t xml:space="preserve"> un </w:t>
      </w:r>
      <w:r w:rsidRPr="008D61DA">
        <w:rPr>
          <w:color w:val="auto"/>
          <w:sz w:val="20"/>
          <w:szCs w:val="20"/>
          <w:lang w:val="es-VE"/>
        </w:rPr>
        <w:t>agudo incremento de tensiones entre el Gobierno de Panamá y el de Estados Unidos</w:t>
      </w:r>
      <w:r w:rsidR="00625585">
        <w:rPr>
          <w:color w:val="auto"/>
          <w:sz w:val="20"/>
          <w:szCs w:val="20"/>
          <w:lang w:val="es-VE"/>
        </w:rPr>
        <w:t xml:space="preserve"> se hizo evidente</w:t>
      </w:r>
      <w:r w:rsidRPr="008D61DA">
        <w:rPr>
          <w:color w:val="auto"/>
          <w:sz w:val="20"/>
          <w:szCs w:val="20"/>
          <w:lang w:val="es-VE"/>
        </w:rPr>
        <w:t>, así como un fuerte deterioro d</w:t>
      </w:r>
      <w:r w:rsidRPr="009712EB">
        <w:rPr>
          <w:sz w:val="20"/>
          <w:szCs w:val="20"/>
          <w:lang w:val="es-VE"/>
        </w:rPr>
        <w:t>e</w:t>
      </w:r>
      <w:r w:rsidR="00566236">
        <w:rPr>
          <w:sz w:val="20"/>
          <w:szCs w:val="20"/>
          <w:lang w:val="es-VE"/>
        </w:rPr>
        <w:t>l nivel de vida de</w:t>
      </w:r>
      <w:r w:rsidRPr="009712EB">
        <w:rPr>
          <w:sz w:val="20"/>
          <w:szCs w:val="20"/>
          <w:lang w:val="es-VE"/>
        </w:rPr>
        <w:t xml:space="preserve"> la sociedad panameña y de la situación de los derechos h</w:t>
      </w:r>
      <w:r w:rsidR="007C39F0">
        <w:rPr>
          <w:sz w:val="20"/>
          <w:szCs w:val="20"/>
          <w:lang w:val="es-VE"/>
        </w:rPr>
        <w:t>umanos</w:t>
      </w:r>
      <w:r w:rsidRPr="009712EB">
        <w:rPr>
          <w:rStyle w:val="FootnoteReference"/>
          <w:sz w:val="20"/>
          <w:szCs w:val="20"/>
          <w:lang w:val="es-VE"/>
        </w:rPr>
        <w:footnoteReference w:id="31"/>
      </w:r>
      <w:r w:rsidR="007C39F0">
        <w:rPr>
          <w:sz w:val="20"/>
          <w:szCs w:val="20"/>
          <w:lang w:val="es-VE"/>
        </w:rPr>
        <w:t>.</w:t>
      </w:r>
      <w:r w:rsidRPr="009712EB">
        <w:rPr>
          <w:sz w:val="20"/>
          <w:szCs w:val="20"/>
          <w:lang w:val="es-ES_tradnl"/>
        </w:rPr>
        <w:t xml:space="preserve"> </w:t>
      </w:r>
    </w:p>
    <w:p w:rsidR="00605F3A" w:rsidRPr="009712EB" w:rsidRDefault="00605F3A" w:rsidP="009712EB">
      <w:pPr>
        <w:pStyle w:val="ListParagraph"/>
        <w:jc w:val="both"/>
        <w:rPr>
          <w:sz w:val="20"/>
          <w:szCs w:val="20"/>
          <w:lang w:val="es-ES_tradnl"/>
        </w:rPr>
      </w:pPr>
    </w:p>
    <w:p w:rsidR="00605F3A" w:rsidRPr="009712EB" w:rsidRDefault="00E71067" w:rsidP="003B6A9B">
      <w:pPr>
        <w:pStyle w:val="ListParagraph"/>
        <w:numPr>
          <w:ilvl w:val="0"/>
          <w:numId w:val="56"/>
        </w:numPr>
        <w:ind w:left="0" w:firstLine="720"/>
        <w:jc w:val="both"/>
        <w:rPr>
          <w:sz w:val="20"/>
          <w:szCs w:val="20"/>
          <w:lang w:val="es-ES_tradnl"/>
        </w:rPr>
      </w:pPr>
      <w:r w:rsidRPr="009712EB">
        <w:rPr>
          <w:sz w:val="20"/>
          <w:szCs w:val="20"/>
          <w:lang w:val="es-CO"/>
        </w:rPr>
        <w:t xml:space="preserve">En atención a esto, tuvieron lugar algunos incidentes entre elementos de las Fuerzas de Defensa Panameña y las tropas de los Estados Unidos estacionadas en la Zona del Canal, a raíz de los cuales varios </w:t>
      </w:r>
      <w:r w:rsidR="00625585">
        <w:rPr>
          <w:sz w:val="20"/>
          <w:szCs w:val="20"/>
          <w:lang w:val="es-CO"/>
        </w:rPr>
        <w:t>personas resultaron herida</w:t>
      </w:r>
      <w:r w:rsidRPr="009712EB">
        <w:rPr>
          <w:sz w:val="20"/>
          <w:szCs w:val="20"/>
          <w:lang w:val="es-CO"/>
        </w:rPr>
        <w:t>s y</w:t>
      </w:r>
      <w:r w:rsidR="00625585">
        <w:rPr>
          <w:sz w:val="20"/>
          <w:szCs w:val="20"/>
          <w:lang w:val="es-CO"/>
        </w:rPr>
        <w:t xml:space="preserve"> hubo también </w:t>
      </w:r>
      <w:r w:rsidRPr="009712EB">
        <w:rPr>
          <w:sz w:val="20"/>
          <w:szCs w:val="20"/>
          <w:lang w:val="es-CO"/>
        </w:rPr>
        <w:t>víctimas mortales</w:t>
      </w:r>
      <w:r w:rsidRPr="009712EB">
        <w:rPr>
          <w:rStyle w:val="FootnoteReference"/>
          <w:sz w:val="20"/>
          <w:szCs w:val="20"/>
        </w:rPr>
        <w:footnoteReference w:id="32"/>
      </w:r>
      <w:r w:rsidRPr="009712EB">
        <w:rPr>
          <w:sz w:val="20"/>
          <w:szCs w:val="20"/>
          <w:lang w:val="es-CO"/>
        </w:rPr>
        <w:t>.  El Presidente Bush acusó al gobierno de Noriega de establecer un patrón de acoso contra ciudadanos estadounidenses en Panamá luego de que un teniente de la marina fue víctima mortal de disparos, otro teniente resultó herido y otros ciudadanos e</w:t>
      </w:r>
      <w:r w:rsidR="00605F3A" w:rsidRPr="009712EB">
        <w:rPr>
          <w:sz w:val="20"/>
          <w:szCs w:val="20"/>
          <w:lang w:val="es-CO"/>
        </w:rPr>
        <w:t>stadounidenses fuesen detenidos</w:t>
      </w:r>
      <w:r w:rsidR="00605F3A" w:rsidRPr="009712EB">
        <w:rPr>
          <w:sz w:val="20"/>
          <w:szCs w:val="20"/>
          <w:lang w:val="es-ES_tradnl"/>
        </w:rPr>
        <w:t xml:space="preserve">. </w:t>
      </w:r>
    </w:p>
    <w:p w:rsidR="00605F3A" w:rsidRPr="009712EB" w:rsidRDefault="00605F3A" w:rsidP="009712EB">
      <w:pPr>
        <w:pStyle w:val="ListParagraph"/>
        <w:jc w:val="both"/>
        <w:rPr>
          <w:sz w:val="20"/>
          <w:szCs w:val="20"/>
          <w:lang w:val="es-ES_tradnl"/>
        </w:rPr>
      </w:pPr>
    </w:p>
    <w:p w:rsidR="00566236" w:rsidRDefault="00E71067" w:rsidP="003B6A9B">
      <w:pPr>
        <w:pStyle w:val="ListParagraph"/>
        <w:numPr>
          <w:ilvl w:val="0"/>
          <w:numId w:val="56"/>
        </w:numPr>
        <w:ind w:left="0" w:firstLine="720"/>
        <w:jc w:val="both"/>
        <w:rPr>
          <w:sz w:val="20"/>
          <w:szCs w:val="20"/>
          <w:lang w:val="es-ES_tradnl"/>
        </w:rPr>
      </w:pPr>
      <w:r w:rsidRPr="00566236">
        <w:rPr>
          <w:sz w:val="20"/>
          <w:szCs w:val="20"/>
          <w:lang w:val="es-CO"/>
        </w:rPr>
        <w:t>El 6 de febrero de 1988 en el marco de este contexto de crecientes tensiones entre los gobiernos, el Gran Jurado de Miami y su homónimo de Tampa, ambos del estado de Florida, acusaron al General Manuel Noriega de delitos vinculados al tráf</w:t>
      </w:r>
      <w:r w:rsidR="007C39F0">
        <w:rPr>
          <w:sz w:val="20"/>
          <w:szCs w:val="20"/>
          <w:lang w:val="es-CO"/>
        </w:rPr>
        <w:t>ico de drogas</w:t>
      </w:r>
      <w:r w:rsidRPr="00566236">
        <w:rPr>
          <w:rStyle w:val="FootnoteReference"/>
          <w:sz w:val="20"/>
          <w:szCs w:val="20"/>
          <w:lang w:val="es-ES_tradnl"/>
        </w:rPr>
        <w:footnoteReference w:id="33"/>
      </w:r>
      <w:r w:rsidR="007C39F0">
        <w:rPr>
          <w:sz w:val="20"/>
          <w:szCs w:val="20"/>
          <w:lang w:val="es-ES_tradnl"/>
        </w:rPr>
        <w:t>.</w:t>
      </w:r>
      <w:r w:rsidRPr="00566236">
        <w:rPr>
          <w:sz w:val="20"/>
          <w:szCs w:val="20"/>
          <w:lang w:val="es-CO"/>
        </w:rPr>
        <w:t xml:space="preserve"> En razón de esto, el 25 de febrero de 1988 durante la transmisión de un discurso televisado, el Presidente panameño</w:t>
      </w:r>
      <w:r w:rsidRPr="008D61DA">
        <w:rPr>
          <w:sz w:val="20"/>
          <w:szCs w:val="20"/>
          <w:lang w:val="es-CO"/>
        </w:rPr>
        <w:t xml:space="preserve"> Delvalle anunció la destitución del General Noriega de su cargo en la Comandancia de las Fuerzas de Defensas</w:t>
      </w:r>
      <w:r w:rsidRPr="008D61DA">
        <w:rPr>
          <w:sz w:val="20"/>
          <w:szCs w:val="20"/>
          <w:vertAlign w:val="superscript"/>
          <w:lang w:val="es-CO"/>
        </w:rPr>
        <w:footnoteReference w:id="34"/>
      </w:r>
      <w:r w:rsidRPr="008D61DA">
        <w:rPr>
          <w:sz w:val="20"/>
          <w:szCs w:val="20"/>
          <w:vertAlign w:val="superscript"/>
          <w:lang w:val="es-ES_tradnl"/>
        </w:rPr>
        <w:t>.</w:t>
      </w:r>
      <w:r w:rsidR="007C39F0">
        <w:rPr>
          <w:sz w:val="20"/>
          <w:szCs w:val="20"/>
          <w:lang w:val="es-ES_tradnl"/>
        </w:rPr>
        <w:t>.</w:t>
      </w:r>
    </w:p>
    <w:p w:rsidR="00CF5A71" w:rsidRPr="00566236" w:rsidRDefault="00CF5A71" w:rsidP="00CF5A71">
      <w:pPr>
        <w:pStyle w:val="ListParagraph"/>
        <w:jc w:val="both"/>
        <w:rPr>
          <w:sz w:val="20"/>
          <w:szCs w:val="20"/>
          <w:lang w:val="es-ES_tradnl"/>
        </w:rPr>
      </w:pPr>
    </w:p>
    <w:p w:rsidR="00605F3A" w:rsidRPr="00CF5A71" w:rsidRDefault="00E71067" w:rsidP="003B6A9B">
      <w:pPr>
        <w:pStyle w:val="ListParagraph"/>
        <w:numPr>
          <w:ilvl w:val="0"/>
          <w:numId w:val="56"/>
        </w:numPr>
        <w:ind w:left="0" w:firstLine="720"/>
        <w:jc w:val="both"/>
        <w:rPr>
          <w:sz w:val="20"/>
          <w:szCs w:val="20"/>
          <w:lang w:val="es-ES_tradnl"/>
        </w:rPr>
      </w:pPr>
      <w:r w:rsidRPr="00CF5A71">
        <w:rPr>
          <w:sz w:val="20"/>
          <w:szCs w:val="20"/>
          <w:lang w:val="es-ES_tradnl"/>
        </w:rPr>
        <w:t xml:space="preserve">Al día siguiente, la Asamblea Nacional procedió a destituir al Presidente Delvalle y al primer Vicepresidente, Roderik Esquivel, designando a Manuel Solís Palma como Ministro Encargado de la </w:t>
      </w:r>
      <w:r w:rsidRPr="00CF5A71">
        <w:rPr>
          <w:sz w:val="20"/>
          <w:szCs w:val="20"/>
          <w:lang w:val="es-ES_tradnl"/>
        </w:rPr>
        <w:lastRenderedPageBreak/>
        <w:t>Presidencia</w:t>
      </w:r>
      <w:r w:rsidRPr="00CF5A71">
        <w:rPr>
          <w:sz w:val="20"/>
          <w:szCs w:val="20"/>
          <w:vertAlign w:val="superscript"/>
          <w:lang w:val="es-CO"/>
        </w:rPr>
        <w:footnoteReference w:id="35"/>
      </w:r>
      <w:r w:rsidRPr="00CF5A71">
        <w:rPr>
          <w:sz w:val="20"/>
          <w:szCs w:val="20"/>
          <w:lang w:val="es-CO"/>
        </w:rPr>
        <w:t>.</w:t>
      </w:r>
      <w:r w:rsidR="00566236" w:rsidRPr="00CF5A71">
        <w:rPr>
          <w:sz w:val="20"/>
          <w:szCs w:val="20"/>
          <w:lang w:val="es-CO"/>
        </w:rPr>
        <w:t xml:space="preserve"> </w:t>
      </w:r>
      <w:r w:rsidRPr="00CF5A71">
        <w:rPr>
          <w:sz w:val="20"/>
          <w:szCs w:val="20"/>
          <w:lang w:val="es-CO"/>
        </w:rPr>
        <w:t>En el transcurso del mismo día, el Presidente de los Estados Unidos, Ronald Reagan, procedió a condenar la destitución del Presidente Delvalle, y los esfuerzos de perpetuar un régimen militar en Panamá</w:t>
      </w:r>
      <w:r w:rsidRPr="00CF5A71">
        <w:rPr>
          <w:rStyle w:val="FootnoteReference"/>
          <w:sz w:val="20"/>
          <w:szCs w:val="20"/>
          <w:lang w:val="es-ES_tradnl"/>
        </w:rPr>
        <w:footnoteReference w:id="36"/>
      </w:r>
      <w:r w:rsidR="00605F3A" w:rsidRPr="00CF5A71">
        <w:rPr>
          <w:sz w:val="20"/>
          <w:szCs w:val="20"/>
          <w:lang w:val="es-ES_tradnl"/>
        </w:rPr>
        <w:t>.</w:t>
      </w:r>
    </w:p>
    <w:p w:rsidR="00605F3A" w:rsidRPr="009712EB" w:rsidRDefault="00605F3A" w:rsidP="009712EB">
      <w:pPr>
        <w:pStyle w:val="ListParagraph"/>
        <w:jc w:val="both"/>
        <w:rPr>
          <w:sz w:val="20"/>
          <w:szCs w:val="20"/>
          <w:lang w:val="es-ES_tradnl"/>
        </w:rPr>
      </w:pPr>
    </w:p>
    <w:p w:rsidR="00E71067" w:rsidRPr="009712EB" w:rsidRDefault="00E71067" w:rsidP="003B6A9B">
      <w:pPr>
        <w:pStyle w:val="ListParagraph"/>
        <w:numPr>
          <w:ilvl w:val="0"/>
          <w:numId w:val="56"/>
        </w:numPr>
        <w:ind w:left="0" w:firstLine="720"/>
        <w:jc w:val="both"/>
        <w:rPr>
          <w:sz w:val="20"/>
          <w:szCs w:val="20"/>
          <w:lang w:val="es-ES_tradnl"/>
        </w:rPr>
      </w:pPr>
      <w:r w:rsidRPr="009712EB">
        <w:rPr>
          <w:sz w:val="20"/>
          <w:szCs w:val="20"/>
          <w:lang w:val="es-ES_tradnl"/>
        </w:rPr>
        <w:t xml:space="preserve">El 11 de marzo de 1988, el Gobierno de los Estados Unidos adoptó sanciones diplomáticas y económicas dentro del marco de sus relaciones con Panamá con el objetivo </w:t>
      </w:r>
      <w:r w:rsidR="00625585">
        <w:rPr>
          <w:sz w:val="20"/>
          <w:szCs w:val="20"/>
          <w:lang w:val="es-ES_tradnl"/>
        </w:rPr>
        <w:t xml:space="preserve">expreso </w:t>
      </w:r>
      <w:r w:rsidRPr="009712EB">
        <w:rPr>
          <w:sz w:val="20"/>
          <w:szCs w:val="20"/>
          <w:lang w:val="es-ES_tradnl"/>
        </w:rPr>
        <w:t>de contribuir a la instalación de un gobierno democrático y en oposición al régimen “ilegitimo” de Noriega</w:t>
      </w:r>
      <w:r w:rsidRPr="009712EB">
        <w:rPr>
          <w:rStyle w:val="FootnoteReference"/>
          <w:sz w:val="20"/>
          <w:szCs w:val="20"/>
          <w:lang w:val="es-ES_tradnl"/>
        </w:rPr>
        <w:footnoteReference w:id="37"/>
      </w:r>
      <w:r w:rsidRPr="009712EB">
        <w:rPr>
          <w:sz w:val="20"/>
          <w:szCs w:val="20"/>
          <w:lang w:val="es-ES_tradnl"/>
        </w:rPr>
        <w:t>. Entre las medidas ordenadas, el Presidente Reagan incluyó la retención en depósito de pagos sobre los derechos del Canal de Panamá a un nuevo gobierno</w:t>
      </w:r>
      <w:r w:rsidRPr="009712EB">
        <w:rPr>
          <w:rStyle w:val="FootnoteReference"/>
          <w:sz w:val="20"/>
          <w:szCs w:val="20"/>
          <w:lang w:val="es-ES_tradnl"/>
        </w:rPr>
        <w:footnoteReference w:id="38"/>
      </w:r>
      <w:r w:rsidRPr="009712EB">
        <w:rPr>
          <w:sz w:val="20"/>
          <w:szCs w:val="20"/>
          <w:lang w:val="es-ES_tradnl"/>
        </w:rPr>
        <w:t xml:space="preserve">. </w:t>
      </w:r>
    </w:p>
    <w:p w:rsidR="004A5155" w:rsidRPr="009712EB" w:rsidRDefault="004A5155" w:rsidP="009712EB">
      <w:pPr>
        <w:pStyle w:val="ListParagraph"/>
        <w:jc w:val="both"/>
        <w:rPr>
          <w:sz w:val="20"/>
          <w:szCs w:val="20"/>
          <w:lang w:val="es-ES_tradnl"/>
        </w:rPr>
      </w:pPr>
    </w:p>
    <w:p w:rsidR="00E71067" w:rsidRPr="009712EB" w:rsidRDefault="00E71067" w:rsidP="003B6A9B">
      <w:pPr>
        <w:pStyle w:val="ListParagraph"/>
        <w:numPr>
          <w:ilvl w:val="0"/>
          <w:numId w:val="56"/>
        </w:numPr>
        <w:ind w:left="0" w:firstLine="720"/>
        <w:jc w:val="both"/>
        <w:rPr>
          <w:sz w:val="20"/>
          <w:szCs w:val="20"/>
          <w:lang w:val="es-ES_tradnl"/>
        </w:rPr>
      </w:pPr>
      <w:r w:rsidRPr="009712EB">
        <w:rPr>
          <w:sz w:val="20"/>
          <w:szCs w:val="20"/>
          <w:lang w:val="es-ES_tradnl"/>
        </w:rPr>
        <w:t xml:space="preserve">En respuesta </w:t>
      </w:r>
      <w:r w:rsidRPr="009712EB">
        <w:rPr>
          <w:sz w:val="20"/>
          <w:szCs w:val="20"/>
          <w:lang w:val="es-CO"/>
        </w:rPr>
        <w:t>el Consejo de Gabinete de Panamá declaró el 18 de marzo de 1988 mediante Decreto No. 11 un estado de urgencia en toda la República al considerar la existencia de “una real situación de guerra no declarada” contra Panamá con “un gravísimo impacto en las actividades económicas, en finanzas públicas, y en todas las e</w:t>
      </w:r>
      <w:r w:rsidR="007C39F0">
        <w:rPr>
          <w:sz w:val="20"/>
          <w:szCs w:val="20"/>
          <w:lang w:val="es-CO"/>
        </w:rPr>
        <w:t>structuras de la vida nacional”</w:t>
      </w:r>
      <w:r w:rsidRPr="009712EB">
        <w:rPr>
          <w:rStyle w:val="FootnoteReference"/>
          <w:sz w:val="20"/>
          <w:szCs w:val="20"/>
        </w:rPr>
        <w:footnoteReference w:id="39"/>
      </w:r>
      <w:r w:rsidR="007C39F0" w:rsidRPr="00713E68">
        <w:rPr>
          <w:sz w:val="20"/>
          <w:szCs w:val="20"/>
          <w:lang w:val="es-ES"/>
        </w:rPr>
        <w:t>.</w:t>
      </w:r>
      <w:r w:rsidR="00561F99">
        <w:rPr>
          <w:sz w:val="20"/>
          <w:szCs w:val="20"/>
          <w:lang w:val="es-CO"/>
        </w:rPr>
        <w:t xml:space="preserve"> </w:t>
      </w:r>
      <w:r w:rsidRPr="009712EB">
        <w:rPr>
          <w:sz w:val="20"/>
          <w:szCs w:val="20"/>
          <w:lang w:val="es-CO"/>
        </w:rPr>
        <w:t xml:space="preserve">En este sentido advirtió que se tomarían medidas desde el Ejecutivo “para repeler los ataques internos y externos a la economía nacional, y para hacer frente al estado de urgencia </w:t>
      </w:r>
      <w:r w:rsidR="00625585">
        <w:rPr>
          <w:sz w:val="20"/>
          <w:szCs w:val="20"/>
          <w:lang w:val="es-CO"/>
        </w:rPr>
        <w:t xml:space="preserve">en el que </w:t>
      </w:r>
      <w:r w:rsidRPr="009712EB">
        <w:rPr>
          <w:sz w:val="20"/>
          <w:szCs w:val="20"/>
          <w:lang w:val="es-CO"/>
        </w:rPr>
        <w:t>vive el país”</w:t>
      </w:r>
      <w:r w:rsidRPr="009712EB">
        <w:rPr>
          <w:rStyle w:val="FootnoteReference"/>
          <w:sz w:val="20"/>
          <w:szCs w:val="20"/>
        </w:rPr>
        <w:footnoteReference w:id="40"/>
      </w:r>
      <w:r w:rsidR="007C39F0">
        <w:rPr>
          <w:sz w:val="20"/>
          <w:szCs w:val="20"/>
          <w:lang w:val="es-CO"/>
        </w:rPr>
        <w:t>.</w:t>
      </w:r>
    </w:p>
    <w:p w:rsidR="004A5155" w:rsidRPr="009712EB" w:rsidRDefault="004A5155" w:rsidP="009712EB">
      <w:pPr>
        <w:jc w:val="both"/>
        <w:rPr>
          <w:sz w:val="20"/>
          <w:szCs w:val="20"/>
          <w:lang w:val="es-ES_tradnl"/>
        </w:rPr>
      </w:pPr>
    </w:p>
    <w:p w:rsidR="00E71067" w:rsidRPr="009712EB" w:rsidRDefault="00E71067" w:rsidP="003B6A9B">
      <w:pPr>
        <w:pStyle w:val="ListParagraph"/>
        <w:numPr>
          <w:ilvl w:val="0"/>
          <w:numId w:val="56"/>
        </w:numPr>
        <w:ind w:left="0" w:firstLine="720"/>
        <w:jc w:val="both"/>
        <w:rPr>
          <w:sz w:val="20"/>
          <w:szCs w:val="20"/>
          <w:lang w:val="es-ES_tradnl"/>
        </w:rPr>
      </w:pPr>
      <w:r w:rsidRPr="009712EB">
        <w:rPr>
          <w:sz w:val="20"/>
          <w:szCs w:val="20"/>
          <w:lang w:val="es-ES_tradnl"/>
        </w:rPr>
        <w:t>El 8 de abril de 1988, el Presidente Reagan emitió</w:t>
      </w:r>
      <w:r w:rsidR="00613F83" w:rsidRPr="009712EB">
        <w:rPr>
          <w:sz w:val="20"/>
          <w:szCs w:val="20"/>
          <w:lang w:val="es-ES_tradnl"/>
        </w:rPr>
        <w:t xml:space="preserve"> la</w:t>
      </w:r>
      <w:r w:rsidRPr="009712EB">
        <w:rPr>
          <w:sz w:val="20"/>
          <w:szCs w:val="20"/>
          <w:lang w:val="es-ES_tradnl"/>
        </w:rPr>
        <w:t xml:space="preserve"> Orden Ejecutiva No. 12.635 en virtud de la cual se adoptaron medidas adicionales en contra de las acciones y políticas de Manuel Noriega y Manuel Solís Palma al considerarlas “una inusual y extraordinaria amenaza a la seguridad nacional, política exterior y a la economía de Estados Unidos”</w:t>
      </w:r>
      <w:r w:rsidRPr="009712EB">
        <w:rPr>
          <w:rStyle w:val="FootnoteReference"/>
          <w:sz w:val="20"/>
          <w:szCs w:val="20"/>
          <w:lang w:val="es-ES_tradnl"/>
        </w:rPr>
        <w:footnoteReference w:id="41"/>
      </w:r>
      <w:r w:rsidRPr="009712EB">
        <w:rPr>
          <w:sz w:val="20"/>
          <w:szCs w:val="20"/>
          <w:lang w:val="es-ES_tradnl"/>
        </w:rPr>
        <w:t xml:space="preserve">. </w:t>
      </w:r>
    </w:p>
    <w:p w:rsidR="004A5155" w:rsidRPr="009712EB" w:rsidRDefault="004A5155" w:rsidP="009712EB">
      <w:pPr>
        <w:jc w:val="both"/>
        <w:rPr>
          <w:sz w:val="20"/>
          <w:szCs w:val="20"/>
          <w:lang w:val="es-ES_tradnl"/>
        </w:rPr>
      </w:pPr>
    </w:p>
    <w:p w:rsidR="00E71067" w:rsidRPr="009712EB" w:rsidRDefault="00E71067" w:rsidP="003B6A9B">
      <w:pPr>
        <w:pStyle w:val="ListParagraph"/>
        <w:numPr>
          <w:ilvl w:val="0"/>
          <w:numId w:val="56"/>
        </w:numPr>
        <w:ind w:left="0" w:firstLine="720"/>
        <w:jc w:val="both"/>
        <w:rPr>
          <w:sz w:val="20"/>
          <w:szCs w:val="20"/>
          <w:lang w:val="es-ES_tradnl"/>
        </w:rPr>
      </w:pPr>
      <w:r w:rsidRPr="009712EB">
        <w:rPr>
          <w:sz w:val="20"/>
          <w:szCs w:val="20"/>
          <w:lang w:val="es-ES_tradnl"/>
        </w:rPr>
        <w:t xml:space="preserve">Entre las sanciones adoptadas y a solicitud de los representantes diplomáticos nombrados por el gobierno panameño anterior, el gobierno estadounidense bloqueó toda propiedad e intereses en propiedades del Gobierno de Panamá que se encontraran en los Estados Unidos de América, incluyendo cuentas creadas en el </w:t>
      </w:r>
      <w:r w:rsidRPr="009712EB">
        <w:rPr>
          <w:sz w:val="20"/>
          <w:szCs w:val="20"/>
          <w:lang w:val="es-VE"/>
        </w:rPr>
        <w:t>Banco de la Reserva Federal de Nueva York, y prohibió cualquier pago directo o indirecto al régimen de Noriega por los Estados Unidos o cualquier persona natural o jurídica del mismo</w:t>
      </w:r>
      <w:r w:rsidRPr="009712EB">
        <w:rPr>
          <w:rStyle w:val="FootnoteReference"/>
          <w:sz w:val="20"/>
          <w:szCs w:val="20"/>
          <w:lang w:val="es-ES_tradnl"/>
        </w:rPr>
        <w:footnoteReference w:id="42"/>
      </w:r>
      <w:r w:rsidR="007C39F0">
        <w:rPr>
          <w:sz w:val="20"/>
          <w:szCs w:val="20"/>
          <w:lang w:val="es-VE"/>
        </w:rPr>
        <w:t>.</w:t>
      </w:r>
      <w:r w:rsidRPr="009712EB">
        <w:rPr>
          <w:sz w:val="20"/>
          <w:szCs w:val="20"/>
          <w:lang w:val="es-ES_tradnl"/>
        </w:rPr>
        <w:t xml:space="preserve"> En el texto, el gobierno estadounidense reiteró el objeto de las medidas tomadas para ampliar la eficacia de las acciones iniciadas en cooperación con el Gobierno de Panamá y su p</w:t>
      </w:r>
      <w:r w:rsidR="007C39F0">
        <w:rPr>
          <w:sz w:val="20"/>
          <w:szCs w:val="20"/>
          <w:lang w:val="es-ES_tradnl"/>
        </w:rPr>
        <w:t>residente, Eric Arturo Delvalle</w:t>
      </w:r>
      <w:r w:rsidRPr="009712EB">
        <w:rPr>
          <w:rStyle w:val="FootnoteReference"/>
          <w:sz w:val="20"/>
          <w:szCs w:val="20"/>
          <w:lang w:val="es-ES_tradnl"/>
        </w:rPr>
        <w:footnoteReference w:id="43"/>
      </w:r>
      <w:r w:rsidR="007C39F0">
        <w:rPr>
          <w:sz w:val="20"/>
          <w:szCs w:val="20"/>
          <w:lang w:val="es-ES_tradnl"/>
        </w:rPr>
        <w:t>.</w:t>
      </w:r>
    </w:p>
    <w:p w:rsidR="004A5155" w:rsidRPr="009712EB" w:rsidRDefault="004A5155" w:rsidP="009712EB">
      <w:pPr>
        <w:pStyle w:val="ListParagraph"/>
        <w:jc w:val="both"/>
        <w:rPr>
          <w:sz w:val="20"/>
          <w:szCs w:val="20"/>
          <w:lang w:val="es-ES_tradnl"/>
        </w:rPr>
      </w:pPr>
    </w:p>
    <w:p w:rsidR="00E71067" w:rsidRPr="009712EB" w:rsidRDefault="00E71067" w:rsidP="003B6A9B">
      <w:pPr>
        <w:pStyle w:val="ListParagraph"/>
        <w:numPr>
          <w:ilvl w:val="0"/>
          <w:numId w:val="56"/>
        </w:numPr>
        <w:ind w:left="0" w:firstLine="720"/>
        <w:jc w:val="both"/>
        <w:rPr>
          <w:sz w:val="20"/>
          <w:szCs w:val="20"/>
          <w:lang w:val="es-ES_tradnl"/>
        </w:rPr>
      </w:pPr>
      <w:r w:rsidRPr="009712EB">
        <w:rPr>
          <w:sz w:val="20"/>
          <w:szCs w:val="20"/>
          <w:lang w:val="es-ES_tradnl"/>
        </w:rPr>
        <w:t xml:space="preserve">Meses más tarde y en respuesta a las medidas adoptadas por el Gobierno de los Estados Unidos, el 25 de abril y el 7 de agosto de 1989 el representante de Panamá envió solicitudes de reunión al Consejo de Seguridad de las Naciones Unidas con el objeto </w:t>
      </w:r>
      <w:r w:rsidR="007C39F0">
        <w:rPr>
          <w:sz w:val="20"/>
          <w:szCs w:val="20"/>
          <w:lang w:val="es-ES_tradnl"/>
        </w:rPr>
        <w:t>de presentar sus preocupaciones</w:t>
      </w:r>
      <w:r w:rsidRPr="009712EB">
        <w:rPr>
          <w:rStyle w:val="FootnoteReference"/>
          <w:sz w:val="20"/>
          <w:szCs w:val="20"/>
          <w:lang w:val="es-ES_tradnl"/>
        </w:rPr>
        <w:footnoteReference w:id="44"/>
      </w:r>
      <w:r w:rsidR="007C39F0">
        <w:rPr>
          <w:sz w:val="20"/>
          <w:szCs w:val="20"/>
          <w:lang w:val="es-ES_tradnl"/>
        </w:rPr>
        <w:t>.</w:t>
      </w:r>
      <w:r w:rsidRPr="009712EB">
        <w:rPr>
          <w:sz w:val="20"/>
          <w:szCs w:val="20"/>
          <w:lang w:val="es-ES_tradnl"/>
        </w:rPr>
        <w:t xml:space="preserve"> En virtud a las mencionadas solicitudes, el Consejo de Seguridad se reunió el 28 de abril y el 11 de agosto de 1989, con el objeto de discutir la situación de Panamá</w:t>
      </w:r>
      <w:r w:rsidRPr="009712EB">
        <w:rPr>
          <w:rStyle w:val="FootnoteReference"/>
          <w:sz w:val="20"/>
          <w:szCs w:val="20"/>
          <w:lang w:val="es-ES_tradnl"/>
        </w:rPr>
        <w:footnoteReference w:id="45"/>
      </w:r>
      <w:r w:rsidR="008D61DA">
        <w:rPr>
          <w:sz w:val="20"/>
          <w:szCs w:val="20"/>
          <w:lang w:val="es-ES_tradnl"/>
        </w:rPr>
        <w:t xml:space="preserve">. </w:t>
      </w:r>
    </w:p>
    <w:p w:rsidR="004A5155" w:rsidRPr="009712EB" w:rsidRDefault="004A5155" w:rsidP="009712EB">
      <w:pPr>
        <w:pStyle w:val="ListParagraph"/>
        <w:jc w:val="both"/>
        <w:rPr>
          <w:sz w:val="20"/>
          <w:szCs w:val="20"/>
          <w:lang w:val="es-ES_tradnl"/>
        </w:rPr>
      </w:pPr>
    </w:p>
    <w:p w:rsidR="00E71067" w:rsidRPr="009712EB" w:rsidRDefault="00E71067" w:rsidP="003B6A9B">
      <w:pPr>
        <w:pStyle w:val="ListParagraph"/>
        <w:numPr>
          <w:ilvl w:val="0"/>
          <w:numId w:val="56"/>
        </w:numPr>
        <w:ind w:left="0" w:firstLine="720"/>
        <w:jc w:val="both"/>
        <w:rPr>
          <w:sz w:val="20"/>
          <w:szCs w:val="20"/>
          <w:lang w:val="es-ES_tradnl"/>
        </w:rPr>
      </w:pPr>
      <w:r w:rsidRPr="009712EB">
        <w:rPr>
          <w:sz w:val="20"/>
          <w:szCs w:val="20"/>
          <w:lang w:val="es-ES_tradnl"/>
        </w:rPr>
        <w:t xml:space="preserve">En la primera reunión, el representante de Panamá solicitó considerar la grave situación provocada por la cadena de acciones tomadas por parte de los Estados Unidos en contra su país en violación del derecho internacional. Entre los argumentos presentados, el representante hizo énfasis en la amenaza </w:t>
      </w:r>
      <w:r w:rsidRPr="009712EB">
        <w:rPr>
          <w:sz w:val="20"/>
          <w:szCs w:val="20"/>
          <w:lang w:val="es-ES_tradnl"/>
        </w:rPr>
        <w:lastRenderedPageBreak/>
        <w:t>creciente del uso de la fuerza militar en Panamá y la posibilidad de que el despliegue de tal fuerza pudiera llevar a accio</w:t>
      </w:r>
      <w:r w:rsidR="007C39F0">
        <w:rPr>
          <w:sz w:val="20"/>
          <w:szCs w:val="20"/>
          <w:lang w:val="es-ES_tradnl"/>
        </w:rPr>
        <w:t>nes violentas</w:t>
      </w:r>
      <w:r w:rsidRPr="009712EB">
        <w:rPr>
          <w:rStyle w:val="FootnoteReference"/>
          <w:sz w:val="20"/>
          <w:szCs w:val="20"/>
          <w:lang w:val="es-ES_tradnl"/>
        </w:rPr>
        <w:footnoteReference w:id="46"/>
      </w:r>
      <w:r w:rsidR="007C39F0">
        <w:rPr>
          <w:sz w:val="20"/>
          <w:szCs w:val="20"/>
          <w:lang w:val="es-ES_tradnl"/>
        </w:rPr>
        <w:t>.</w:t>
      </w:r>
    </w:p>
    <w:p w:rsidR="004A5155" w:rsidRPr="009712EB" w:rsidRDefault="004A5155" w:rsidP="009712EB">
      <w:pPr>
        <w:pStyle w:val="ListParagraph"/>
        <w:jc w:val="both"/>
        <w:rPr>
          <w:sz w:val="20"/>
          <w:szCs w:val="20"/>
          <w:lang w:val="es-ES_tradnl"/>
        </w:rPr>
      </w:pPr>
    </w:p>
    <w:p w:rsidR="00E71067" w:rsidRPr="009712EB" w:rsidRDefault="00E71067" w:rsidP="003B6A9B">
      <w:pPr>
        <w:pStyle w:val="ListParagraph"/>
        <w:numPr>
          <w:ilvl w:val="0"/>
          <w:numId w:val="56"/>
        </w:numPr>
        <w:ind w:left="0" w:firstLine="720"/>
        <w:jc w:val="both"/>
        <w:rPr>
          <w:sz w:val="20"/>
          <w:szCs w:val="20"/>
          <w:lang w:val="es-ES_tradnl"/>
        </w:rPr>
      </w:pPr>
      <w:r w:rsidRPr="009712EB">
        <w:rPr>
          <w:sz w:val="20"/>
          <w:szCs w:val="20"/>
          <w:lang w:val="es-ES_tradnl"/>
        </w:rPr>
        <w:t xml:space="preserve">Por su parte, el representante de Estados Unidos </w:t>
      </w:r>
      <w:r w:rsidRPr="009712EB">
        <w:rPr>
          <w:sz w:val="20"/>
          <w:szCs w:val="20"/>
          <w:lang w:val="es-CO"/>
        </w:rPr>
        <w:t>afirmó que el régimen militar seguía subvirtiendo la expresión de la voluntad popular mediante el fraude</w:t>
      </w:r>
      <w:r w:rsidR="007C39F0">
        <w:rPr>
          <w:sz w:val="20"/>
          <w:szCs w:val="20"/>
          <w:lang w:val="es-CO"/>
        </w:rPr>
        <w:t>, la coerción y la intimidación</w:t>
      </w:r>
      <w:r w:rsidRPr="009712EB">
        <w:rPr>
          <w:rStyle w:val="FootnoteReference"/>
          <w:sz w:val="20"/>
          <w:szCs w:val="20"/>
        </w:rPr>
        <w:footnoteReference w:id="47"/>
      </w:r>
      <w:r w:rsidR="007C39F0" w:rsidRPr="00713E68">
        <w:rPr>
          <w:sz w:val="20"/>
          <w:szCs w:val="20"/>
          <w:lang w:val="es-ES"/>
        </w:rPr>
        <w:t>.</w:t>
      </w:r>
      <w:r w:rsidRPr="009712EB">
        <w:rPr>
          <w:sz w:val="20"/>
          <w:szCs w:val="20"/>
          <w:lang w:val="es-CO"/>
        </w:rPr>
        <w:t xml:space="preserve"> Insistió que la crisis de Panamá no es el resultado de la injerencia de su país en sus asuntos internos, sino de la</w:t>
      </w:r>
      <w:r w:rsidR="007C39F0">
        <w:rPr>
          <w:sz w:val="20"/>
          <w:szCs w:val="20"/>
          <w:lang w:val="es-CO"/>
        </w:rPr>
        <w:t>s políticas del General Noriega</w:t>
      </w:r>
      <w:r w:rsidRPr="009712EB">
        <w:rPr>
          <w:rStyle w:val="FootnoteReference"/>
          <w:sz w:val="20"/>
          <w:szCs w:val="20"/>
        </w:rPr>
        <w:footnoteReference w:id="48"/>
      </w:r>
      <w:r w:rsidR="007C39F0" w:rsidRPr="00713E68">
        <w:rPr>
          <w:sz w:val="20"/>
          <w:szCs w:val="20"/>
          <w:lang w:val="es-ES"/>
        </w:rPr>
        <w:t>.</w:t>
      </w:r>
    </w:p>
    <w:p w:rsidR="004A5155" w:rsidRPr="009712EB" w:rsidRDefault="004A5155" w:rsidP="009712EB">
      <w:pPr>
        <w:pStyle w:val="ListParagraph"/>
        <w:jc w:val="both"/>
        <w:rPr>
          <w:sz w:val="20"/>
          <w:szCs w:val="20"/>
          <w:lang w:val="es-ES_tradnl"/>
        </w:rPr>
      </w:pPr>
    </w:p>
    <w:p w:rsidR="00E71067" w:rsidRPr="009712EB" w:rsidRDefault="00E71067" w:rsidP="003B6A9B">
      <w:pPr>
        <w:pStyle w:val="ListParagraph"/>
        <w:numPr>
          <w:ilvl w:val="0"/>
          <w:numId w:val="56"/>
        </w:numPr>
        <w:ind w:left="0" w:firstLine="720"/>
        <w:jc w:val="both"/>
        <w:rPr>
          <w:sz w:val="20"/>
          <w:szCs w:val="20"/>
          <w:lang w:val="es-ES_tradnl"/>
        </w:rPr>
      </w:pPr>
      <w:r w:rsidRPr="009712EB">
        <w:rPr>
          <w:sz w:val="20"/>
          <w:szCs w:val="20"/>
          <w:lang w:val="es-ES_tradnl"/>
        </w:rPr>
        <w:t>En la segunda reunión celebrada, el representante de Panamá manifestó la necesidad de tomar medidas específicas para evitar un conflicto armado dado el aumento de las actividades de las fuerzas armadas estadounidenses en territorio panameño en violación de la soberanía e integridad territorial de Panamá, los Tratados del Canal de Panamá y la Carta de las Naciones Unidas</w:t>
      </w:r>
      <w:r w:rsidRPr="009712EB">
        <w:rPr>
          <w:rStyle w:val="FootnoteReference"/>
          <w:sz w:val="20"/>
          <w:szCs w:val="20"/>
          <w:lang w:val="es-ES_tradnl"/>
        </w:rPr>
        <w:footnoteReference w:id="49"/>
      </w:r>
      <w:r w:rsidR="00D01836">
        <w:rPr>
          <w:sz w:val="20"/>
          <w:szCs w:val="20"/>
          <w:lang w:val="es-ES_tradnl"/>
        </w:rPr>
        <w:t>.</w:t>
      </w:r>
      <w:r w:rsidRPr="009712EB">
        <w:rPr>
          <w:sz w:val="20"/>
          <w:szCs w:val="20"/>
          <w:lang w:val="es-ES_tradnl"/>
        </w:rPr>
        <w:t xml:space="preserve"> En este sentido y por la grave amenaza para el funcionamiento mismo del Canal y para la paz en Centroamérica, Panamá expresó su decisión de someter al Consejo la estricta implementación del Tratado del Canal de Panamá y así garantizar el fun</w:t>
      </w:r>
      <w:r w:rsidR="00D01836">
        <w:rPr>
          <w:sz w:val="20"/>
          <w:szCs w:val="20"/>
          <w:lang w:val="es-ES_tradnl"/>
        </w:rPr>
        <w:t>cionamiento normal y eficiente</w:t>
      </w:r>
      <w:r w:rsidRPr="009712EB">
        <w:rPr>
          <w:rStyle w:val="FootnoteReference"/>
          <w:sz w:val="20"/>
          <w:szCs w:val="20"/>
          <w:lang w:val="es-ES_tradnl"/>
        </w:rPr>
        <w:footnoteReference w:id="50"/>
      </w:r>
      <w:r w:rsidR="00D01836">
        <w:rPr>
          <w:sz w:val="20"/>
          <w:szCs w:val="20"/>
          <w:lang w:val="es-ES_tradnl"/>
        </w:rPr>
        <w:t>.</w:t>
      </w:r>
    </w:p>
    <w:p w:rsidR="004A5155" w:rsidRPr="009712EB" w:rsidRDefault="004A5155" w:rsidP="009712EB">
      <w:pPr>
        <w:pStyle w:val="ListParagraph"/>
        <w:jc w:val="both"/>
        <w:rPr>
          <w:sz w:val="20"/>
          <w:szCs w:val="20"/>
          <w:lang w:val="es-ES_tradnl"/>
        </w:rPr>
      </w:pPr>
    </w:p>
    <w:p w:rsidR="004A5155" w:rsidRPr="009712EB" w:rsidRDefault="00473B79" w:rsidP="003B6A9B">
      <w:pPr>
        <w:pStyle w:val="ListParagraph"/>
        <w:numPr>
          <w:ilvl w:val="0"/>
          <w:numId w:val="56"/>
        </w:numPr>
        <w:ind w:left="0" w:firstLine="720"/>
        <w:jc w:val="both"/>
        <w:rPr>
          <w:sz w:val="20"/>
          <w:szCs w:val="20"/>
          <w:lang w:val="es-ES_tradnl"/>
        </w:rPr>
      </w:pPr>
      <w:r>
        <w:rPr>
          <w:sz w:val="20"/>
          <w:szCs w:val="20"/>
          <w:lang w:val="es-ES_tradnl"/>
        </w:rPr>
        <w:t>El</w:t>
      </w:r>
      <w:r w:rsidR="00E71067" w:rsidRPr="009712EB">
        <w:rPr>
          <w:sz w:val="20"/>
          <w:szCs w:val="20"/>
          <w:lang w:val="es-ES_tradnl"/>
        </w:rPr>
        <w:t xml:space="preserve"> representante de Estados Unidos argumentó el cabal cumplimiento de los Tratados del Canal de Panamá en las actividades militares de los Estados Unidos en Panamá y explicó el aumento de la presencia y actividad militar en Panamá en respuesta directa a las acciones hostiles del régimen de Noriega</w:t>
      </w:r>
      <w:r w:rsidR="00E71067" w:rsidRPr="009712EB">
        <w:rPr>
          <w:rStyle w:val="FootnoteReference"/>
          <w:sz w:val="20"/>
          <w:szCs w:val="20"/>
          <w:lang w:val="es-ES_tradnl"/>
        </w:rPr>
        <w:footnoteReference w:id="51"/>
      </w:r>
      <w:r w:rsidR="00E71067" w:rsidRPr="009712EB">
        <w:rPr>
          <w:sz w:val="20"/>
          <w:szCs w:val="20"/>
          <w:lang w:val="es-ES_tradnl"/>
        </w:rPr>
        <w:t>.</w:t>
      </w:r>
      <w:r w:rsidR="00266573">
        <w:rPr>
          <w:sz w:val="20"/>
          <w:szCs w:val="20"/>
          <w:lang w:val="es-ES_tradnl"/>
        </w:rPr>
        <w:t xml:space="preserve"> Vale destacar que al concluir la segunda reunión, el Presidente del Consejo acordó fijar la siguiente reunión </w:t>
      </w:r>
      <w:r w:rsidR="00A87043">
        <w:rPr>
          <w:sz w:val="20"/>
          <w:szCs w:val="20"/>
          <w:lang w:val="es-ES_tradnl"/>
        </w:rPr>
        <w:t xml:space="preserve">sobre esta discusión </w:t>
      </w:r>
      <w:r w:rsidR="00266573">
        <w:rPr>
          <w:sz w:val="20"/>
          <w:szCs w:val="20"/>
          <w:lang w:val="es-ES_tradnl"/>
        </w:rPr>
        <w:t>en consulta con los miembros del Consejo de Seguridad.</w:t>
      </w:r>
    </w:p>
    <w:p w:rsidR="004A5155" w:rsidRPr="009712EB" w:rsidRDefault="004A5155" w:rsidP="009712EB">
      <w:pPr>
        <w:pStyle w:val="ListParagraph"/>
        <w:rPr>
          <w:sz w:val="20"/>
          <w:szCs w:val="20"/>
          <w:lang w:val="es-ES_tradnl"/>
        </w:rPr>
      </w:pPr>
    </w:p>
    <w:p w:rsidR="004A5155" w:rsidRPr="009712EB" w:rsidRDefault="00CF5A71" w:rsidP="003B6A9B">
      <w:pPr>
        <w:pStyle w:val="ListParagraph"/>
        <w:numPr>
          <w:ilvl w:val="0"/>
          <w:numId w:val="56"/>
        </w:numPr>
        <w:ind w:left="0" w:firstLine="720"/>
        <w:jc w:val="both"/>
        <w:rPr>
          <w:sz w:val="20"/>
          <w:szCs w:val="20"/>
          <w:lang w:val="es-ES_tradnl"/>
        </w:rPr>
      </w:pPr>
      <w:r>
        <w:rPr>
          <w:sz w:val="20"/>
          <w:szCs w:val="20"/>
          <w:lang w:val="es-ES_tradnl"/>
        </w:rPr>
        <w:t>E</w:t>
      </w:r>
      <w:r w:rsidR="00E71067" w:rsidRPr="009712EB">
        <w:rPr>
          <w:sz w:val="20"/>
          <w:szCs w:val="20"/>
          <w:lang w:val="es-ES_tradnl"/>
        </w:rPr>
        <w:t xml:space="preserve">l 15 de diciembre de 1989 la Asamblea General de Representantes de Corregimientos dictó la resolución No. 10 mediante la cual, luego de describir la “situación de constante acoso e intervención”, </w:t>
      </w:r>
      <w:r w:rsidR="00473B79">
        <w:rPr>
          <w:sz w:val="20"/>
          <w:szCs w:val="20"/>
          <w:lang w:val="es-ES_tradnl"/>
        </w:rPr>
        <w:t xml:space="preserve">dicho órgano </w:t>
      </w:r>
      <w:r w:rsidR="00E71067" w:rsidRPr="009712EB">
        <w:rPr>
          <w:sz w:val="20"/>
          <w:szCs w:val="20"/>
          <w:lang w:val="es-ES_tradnl"/>
        </w:rPr>
        <w:t xml:space="preserve">declaró un </w:t>
      </w:r>
      <w:r w:rsidR="00E71067" w:rsidRPr="009712EB">
        <w:rPr>
          <w:sz w:val="20"/>
          <w:szCs w:val="20"/>
          <w:lang w:val="es-CO"/>
        </w:rPr>
        <w:t>“estado de guerra</w:t>
      </w:r>
      <w:r w:rsidR="00E71067" w:rsidRPr="009712EB">
        <w:rPr>
          <w:sz w:val="20"/>
          <w:szCs w:val="20"/>
          <w:lang w:val="es-ES_tradnl"/>
        </w:rPr>
        <w:t xml:space="preserve"> en la República de Panamá</w:t>
      </w:r>
      <w:r w:rsidR="00D01836">
        <w:rPr>
          <w:sz w:val="20"/>
          <w:szCs w:val="20"/>
          <w:lang w:val="es-CO"/>
        </w:rPr>
        <w:t xml:space="preserve"> </w:t>
      </w:r>
      <w:r w:rsidR="00E71067" w:rsidRPr="009712EB">
        <w:rPr>
          <w:sz w:val="20"/>
          <w:szCs w:val="20"/>
          <w:lang w:val="es-CO"/>
        </w:rPr>
        <w:t xml:space="preserve">mientras dure la agresión desatada […] por el Gobierno de </w:t>
      </w:r>
      <w:r w:rsidR="00D01836">
        <w:rPr>
          <w:sz w:val="20"/>
          <w:szCs w:val="20"/>
          <w:lang w:val="es-CO"/>
        </w:rPr>
        <w:t>los Estados Unidos de América”</w:t>
      </w:r>
      <w:r w:rsidR="00E71067" w:rsidRPr="009712EB">
        <w:rPr>
          <w:rStyle w:val="FootnoteReference"/>
          <w:sz w:val="20"/>
          <w:szCs w:val="20"/>
        </w:rPr>
        <w:footnoteReference w:id="52"/>
      </w:r>
      <w:r w:rsidR="00D01836" w:rsidRPr="00713E68">
        <w:rPr>
          <w:sz w:val="20"/>
          <w:szCs w:val="20"/>
          <w:lang w:val="es-ES"/>
        </w:rPr>
        <w:t>.</w:t>
      </w:r>
    </w:p>
    <w:p w:rsidR="004A5155" w:rsidRPr="009712EB" w:rsidRDefault="004A5155" w:rsidP="009712EB">
      <w:pPr>
        <w:pStyle w:val="ListParagraph"/>
        <w:rPr>
          <w:sz w:val="20"/>
          <w:szCs w:val="20"/>
          <w:lang w:val="es-ES_tradnl"/>
        </w:rPr>
      </w:pPr>
    </w:p>
    <w:p w:rsidR="00E71067" w:rsidRPr="009712EB" w:rsidRDefault="00E71067" w:rsidP="003B6A9B">
      <w:pPr>
        <w:pStyle w:val="ListParagraph"/>
        <w:numPr>
          <w:ilvl w:val="0"/>
          <w:numId w:val="56"/>
        </w:numPr>
        <w:ind w:left="0" w:firstLine="720"/>
        <w:jc w:val="both"/>
        <w:rPr>
          <w:sz w:val="20"/>
          <w:szCs w:val="20"/>
          <w:lang w:val="es-ES_tradnl"/>
        </w:rPr>
      </w:pPr>
      <w:r w:rsidRPr="009712EB">
        <w:rPr>
          <w:sz w:val="20"/>
          <w:szCs w:val="20"/>
          <w:lang w:val="es-ES_tradnl"/>
        </w:rPr>
        <w:t xml:space="preserve">Entre las medidas para hacer frente a la agresión, </w:t>
      </w:r>
      <w:r w:rsidRPr="009712EB">
        <w:rPr>
          <w:sz w:val="20"/>
          <w:szCs w:val="20"/>
          <w:lang w:val="es-CO"/>
        </w:rPr>
        <w:t>la Asamblea General designó al General Manuel Noriega para desempeñar el cargo de Jefe de Gobierno como “Líder Máximo de la Lucha de Liberación Nacional” otorgándole poderes extraordinarios de urgencia mientras persistie</w:t>
      </w:r>
      <w:r w:rsidR="00D01836">
        <w:rPr>
          <w:sz w:val="20"/>
          <w:szCs w:val="20"/>
          <w:lang w:val="es-CO"/>
        </w:rPr>
        <w:t>ra “la agresión contra el país”</w:t>
      </w:r>
      <w:r w:rsidRPr="009712EB">
        <w:rPr>
          <w:rStyle w:val="FootnoteReference"/>
          <w:sz w:val="20"/>
          <w:szCs w:val="20"/>
        </w:rPr>
        <w:footnoteReference w:id="53"/>
      </w:r>
      <w:r w:rsidR="00D01836">
        <w:rPr>
          <w:sz w:val="20"/>
          <w:szCs w:val="20"/>
          <w:lang w:val="es-CO"/>
        </w:rPr>
        <w:t>.</w:t>
      </w:r>
    </w:p>
    <w:p w:rsidR="004A5155" w:rsidRPr="009712EB" w:rsidRDefault="004A5155" w:rsidP="009712EB">
      <w:pPr>
        <w:pStyle w:val="ListParagraph"/>
        <w:jc w:val="both"/>
        <w:rPr>
          <w:sz w:val="20"/>
          <w:szCs w:val="20"/>
          <w:lang w:val="es-ES_tradnl"/>
        </w:rPr>
      </w:pPr>
    </w:p>
    <w:p w:rsidR="004A5155" w:rsidRPr="00821E26" w:rsidRDefault="00B565AB" w:rsidP="00D529F8">
      <w:pPr>
        <w:pStyle w:val="Heading3"/>
        <w:numPr>
          <w:ilvl w:val="0"/>
          <w:numId w:val="67"/>
        </w:numPr>
        <w:spacing w:before="0" w:after="0"/>
        <w:ind w:firstLine="0"/>
        <w:jc w:val="both"/>
        <w:rPr>
          <w:rFonts w:ascii="Cambria" w:hAnsi="Cambria"/>
          <w:sz w:val="20"/>
          <w:szCs w:val="20"/>
          <w:lang w:val="es-ES_tradnl"/>
        </w:rPr>
      </w:pPr>
      <w:bookmarkStart w:id="10" w:name="_Toc525294034"/>
      <w:r w:rsidRPr="00821E26">
        <w:rPr>
          <w:rFonts w:ascii="Cambria" w:hAnsi="Cambria"/>
          <w:sz w:val="20"/>
          <w:szCs w:val="20"/>
          <w:lang w:val="es-ES_tradnl"/>
        </w:rPr>
        <w:t>Operación Justa Causa</w:t>
      </w:r>
      <w:bookmarkEnd w:id="10"/>
    </w:p>
    <w:p w:rsidR="004A5155" w:rsidRPr="009712EB" w:rsidRDefault="004A5155" w:rsidP="009712EB">
      <w:pPr>
        <w:pStyle w:val="ListParagraph"/>
        <w:ind w:left="1440"/>
        <w:jc w:val="both"/>
        <w:rPr>
          <w:b/>
          <w:color w:val="auto"/>
          <w:sz w:val="20"/>
          <w:szCs w:val="20"/>
          <w:lang w:val="es-ES_tradnl"/>
        </w:rPr>
      </w:pPr>
    </w:p>
    <w:p w:rsidR="004A5155" w:rsidRPr="009712EB" w:rsidRDefault="00E71067" w:rsidP="003B6A9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val="es-ES_tradnl" w:eastAsia="es-ES"/>
        </w:rPr>
      </w:pPr>
      <w:r w:rsidRPr="009712EB">
        <w:rPr>
          <w:rFonts w:ascii="Cambria" w:eastAsia="Cambria" w:hAnsi="Cambria" w:cs="Cambria"/>
          <w:sz w:val="20"/>
          <w:szCs w:val="20"/>
          <w:u w:color="000000"/>
          <w:lang w:val="es-ES_tradnl" w:eastAsia="es-ES"/>
        </w:rPr>
        <w:t>En la noche del 19 al 20 de diciembre de 1989, fuerzas militares de los Estados Unidos, bajo órdenes del Presidente George Bush, iniciaron una operación militar en el territorio panameño</w:t>
      </w:r>
      <w:r w:rsidR="00CF5A71">
        <w:rPr>
          <w:rFonts w:ascii="Cambria" w:eastAsia="Cambria" w:hAnsi="Cambria" w:cs="Cambria"/>
          <w:sz w:val="20"/>
          <w:szCs w:val="20"/>
          <w:u w:color="000000"/>
          <w:lang w:val="es-ES_tradnl" w:eastAsia="es-ES"/>
        </w:rPr>
        <w:t xml:space="preserve"> </w:t>
      </w:r>
      <w:r w:rsidR="00473B79">
        <w:rPr>
          <w:rFonts w:ascii="Cambria" w:eastAsia="Cambria" w:hAnsi="Cambria" w:cs="Cambria"/>
          <w:sz w:val="20"/>
          <w:szCs w:val="20"/>
          <w:u w:color="000000"/>
          <w:lang w:val="es-ES_tradnl" w:eastAsia="es-ES"/>
        </w:rPr>
        <w:t xml:space="preserve">con el </w:t>
      </w:r>
      <w:r w:rsidR="00CF5A71">
        <w:rPr>
          <w:rFonts w:ascii="Cambria" w:eastAsia="Cambria" w:hAnsi="Cambria" w:cs="Cambria"/>
          <w:sz w:val="20"/>
          <w:szCs w:val="20"/>
          <w:u w:color="000000"/>
          <w:lang w:val="es-ES_tradnl" w:eastAsia="es-ES"/>
        </w:rPr>
        <w:t xml:space="preserve">objetivo </w:t>
      </w:r>
      <w:r w:rsidR="00473B79">
        <w:rPr>
          <w:rFonts w:ascii="Cambria" w:eastAsia="Cambria" w:hAnsi="Cambria" w:cs="Cambria"/>
          <w:sz w:val="20"/>
          <w:szCs w:val="20"/>
          <w:u w:color="000000"/>
          <w:lang w:val="es-ES_tradnl" w:eastAsia="es-ES"/>
        </w:rPr>
        <w:t xml:space="preserve">expreso de </w:t>
      </w:r>
      <w:r w:rsidRPr="009712EB">
        <w:rPr>
          <w:rFonts w:ascii="Cambria" w:eastAsia="Cambria" w:hAnsi="Cambria" w:cs="Cambria"/>
          <w:sz w:val="20"/>
          <w:szCs w:val="20"/>
          <w:u w:color="000000"/>
          <w:lang w:val="es-ES_tradnl" w:eastAsia="es-ES"/>
        </w:rPr>
        <w:t xml:space="preserve"> “proteger la vida de ciudadanos estadounidenses, restaurar la democracia en Panamá, afirmar los derechos del Estado sobre la implementación del Tratado del Canal de Panamá,</w:t>
      </w:r>
      <w:r w:rsidRPr="009712EB">
        <w:rPr>
          <w:rFonts w:ascii="Cambria" w:eastAsia="MS Mincho" w:hAnsi="Cambria"/>
          <w:sz w:val="20"/>
          <w:szCs w:val="20"/>
          <w:bdr w:val="none" w:sz="0" w:space="0" w:color="auto"/>
          <w:lang w:val="es-CO"/>
        </w:rPr>
        <w:t xml:space="preserve"> </w:t>
      </w:r>
      <w:r w:rsidRPr="009712EB">
        <w:rPr>
          <w:rFonts w:ascii="Cambria" w:eastAsia="Cambria" w:hAnsi="Cambria" w:cs="Cambria"/>
          <w:sz w:val="20"/>
          <w:szCs w:val="20"/>
          <w:u w:color="000000"/>
          <w:lang w:val="es-ES_tradnl" w:eastAsia="es-ES"/>
        </w:rPr>
        <w:t xml:space="preserve">y traer al General Noriega a la </w:t>
      </w:r>
      <w:r w:rsidR="007C39F0">
        <w:rPr>
          <w:rFonts w:ascii="Cambria" w:eastAsia="Cambria" w:hAnsi="Cambria" w:cs="Cambria"/>
          <w:sz w:val="20"/>
          <w:szCs w:val="20"/>
          <w:u w:color="000000"/>
          <w:lang w:val="es-ES_tradnl" w:eastAsia="es-ES"/>
        </w:rPr>
        <w:t>justicia en los Estados Unidos”</w:t>
      </w:r>
      <w:r w:rsidRPr="009712EB">
        <w:rPr>
          <w:rFonts w:ascii="Cambria" w:eastAsia="Cambria" w:hAnsi="Cambria" w:cs="Cambria"/>
          <w:sz w:val="20"/>
          <w:szCs w:val="20"/>
          <w:u w:color="000000"/>
          <w:vertAlign w:val="superscript"/>
          <w:lang w:val="es-ES_tradnl" w:eastAsia="es-ES"/>
        </w:rPr>
        <w:footnoteReference w:id="54"/>
      </w:r>
      <w:r w:rsidR="007C39F0">
        <w:rPr>
          <w:rFonts w:ascii="Cambria" w:eastAsia="Cambria" w:hAnsi="Cambria" w:cs="Cambria"/>
          <w:sz w:val="20"/>
          <w:szCs w:val="20"/>
          <w:u w:color="000000"/>
          <w:lang w:val="es-ES_tradnl" w:eastAsia="es-ES"/>
        </w:rPr>
        <w:t>.</w:t>
      </w:r>
      <w:r w:rsidRPr="009712EB">
        <w:rPr>
          <w:rFonts w:ascii="Cambria" w:eastAsia="Cambria" w:hAnsi="Cambria" w:cs="Cambria"/>
          <w:sz w:val="20"/>
          <w:szCs w:val="20"/>
          <w:u w:color="000000"/>
          <w:lang w:val="es-ES_tradnl" w:eastAsia="es-ES"/>
        </w:rPr>
        <w:t xml:space="preserve"> Como parte de su estrategia, el Estado hizo uso de las tropas estadounidenses que se encontraban en el territorio panameño en virtud del Tratado del Canal de Panamá y </w:t>
      </w:r>
      <w:r w:rsidR="00473B79">
        <w:rPr>
          <w:rFonts w:ascii="Cambria" w:eastAsia="Cambria" w:hAnsi="Cambria" w:cs="Cambria"/>
          <w:sz w:val="20"/>
          <w:szCs w:val="20"/>
          <w:u w:color="000000"/>
          <w:lang w:val="es-ES_tradnl" w:eastAsia="es-ES"/>
        </w:rPr>
        <w:t xml:space="preserve">había ordenado </w:t>
      </w:r>
      <w:r w:rsidRPr="009712EB">
        <w:rPr>
          <w:rFonts w:ascii="Cambria" w:eastAsia="Cambria" w:hAnsi="Cambria" w:cs="Cambria"/>
          <w:sz w:val="20"/>
          <w:szCs w:val="20"/>
          <w:u w:color="000000"/>
          <w:lang w:val="es-ES_tradnl" w:eastAsia="es-ES"/>
        </w:rPr>
        <w:t>previamente el despliegue de tropas adicionales</w:t>
      </w:r>
      <w:r w:rsidRPr="009712EB">
        <w:rPr>
          <w:rFonts w:ascii="Cambria" w:eastAsia="Cambria" w:hAnsi="Cambria" w:cs="Cambria"/>
          <w:sz w:val="20"/>
          <w:szCs w:val="20"/>
          <w:u w:color="000000"/>
          <w:vertAlign w:val="superscript"/>
          <w:lang w:val="es-ES_tradnl" w:eastAsia="es-ES"/>
        </w:rPr>
        <w:footnoteReference w:id="55"/>
      </w:r>
      <w:r w:rsidRPr="009712EB">
        <w:rPr>
          <w:rFonts w:ascii="Cambria" w:eastAsia="Cambria" w:hAnsi="Cambria" w:cs="Cambria"/>
          <w:sz w:val="20"/>
          <w:szCs w:val="20"/>
          <w:u w:color="000000"/>
          <w:lang w:val="es-ES_tradnl" w:eastAsia="es-ES"/>
        </w:rPr>
        <w:t>.</w:t>
      </w:r>
    </w:p>
    <w:p w:rsidR="004A5155" w:rsidRPr="009712EB" w:rsidRDefault="004A5155" w:rsidP="009712E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0"/>
          <w:szCs w:val="20"/>
          <w:u w:color="000000"/>
          <w:lang w:val="es-ES_tradnl" w:eastAsia="es-ES"/>
        </w:rPr>
      </w:pPr>
    </w:p>
    <w:p w:rsidR="00E71067" w:rsidRPr="009712EB" w:rsidRDefault="00E71067" w:rsidP="003B6A9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val="es-ES_tradnl" w:eastAsia="es-ES"/>
        </w:rPr>
      </w:pPr>
      <w:r w:rsidRPr="009712EB">
        <w:rPr>
          <w:rFonts w:ascii="Cambria" w:eastAsia="Cambria" w:hAnsi="Cambria" w:cs="Cambria"/>
          <w:sz w:val="20"/>
          <w:szCs w:val="20"/>
          <w:u w:color="000000"/>
          <w:lang w:val="es-ES_tradnl" w:eastAsia="es-ES"/>
        </w:rPr>
        <w:lastRenderedPageBreak/>
        <w:t xml:space="preserve">Esa misma noche antes de que las tropas adicionales desplegadas por el gobierno de Estados Unidos aterrizaran en territorio panameño, el </w:t>
      </w:r>
      <w:r w:rsidR="00473B79">
        <w:rPr>
          <w:rFonts w:ascii="Cambria" w:eastAsia="Cambria" w:hAnsi="Cambria" w:cs="Cambria"/>
          <w:sz w:val="20"/>
          <w:szCs w:val="20"/>
          <w:u w:color="000000"/>
          <w:lang w:val="es-ES_tradnl" w:eastAsia="es-ES"/>
        </w:rPr>
        <w:t xml:space="preserve">oficial </w:t>
      </w:r>
      <w:r w:rsidRPr="009712EB">
        <w:rPr>
          <w:rFonts w:ascii="Cambria" w:eastAsia="Cambria" w:hAnsi="Cambria" w:cs="Cambria"/>
          <w:sz w:val="20"/>
          <w:szCs w:val="20"/>
          <w:u w:color="000000"/>
          <w:lang w:val="es-ES_tradnl" w:eastAsia="es-ES"/>
        </w:rPr>
        <w:t xml:space="preserve">al mando </w:t>
      </w:r>
      <w:r w:rsidR="00CF5A71">
        <w:rPr>
          <w:rFonts w:ascii="Cambria" w:eastAsia="Cambria" w:hAnsi="Cambria" w:cs="Cambria"/>
          <w:sz w:val="20"/>
          <w:szCs w:val="20"/>
          <w:u w:color="000000"/>
          <w:lang w:val="es-ES_tradnl" w:eastAsia="es-ES"/>
        </w:rPr>
        <w:t>inform</w:t>
      </w:r>
      <w:r w:rsidR="00CF5A71" w:rsidRPr="009712EB">
        <w:rPr>
          <w:rFonts w:ascii="Cambria" w:eastAsia="Cambria" w:hAnsi="Cambria" w:cs="Cambria"/>
          <w:sz w:val="20"/>
          <w:szCs w:val="20"/>
          <w:u w:color="000000"/>
          <w:lang w:val="es-ES_tradnl" w:eastAsia="es-ES"/>
        </w:rPr>
        <w:t xml:space="preserve">ó </w:t>
      </w:r>
      <w:r w:rsidRPr="009712EB">
        <w:rPr>
          <w:rFonts w:ascii="Cambria" w:eastAsia="Cambria" w:hAnsi="Cambria" w:cs="Cambria"/>
          <w:sz w:val="20"/>
          <w:szCs w:val="20"/>
          <w:u w:color="000000"/>
          <w:lang w:val="es-ES_tradnl" w:eastAsia="es-ES"/>
        </w:rPr>
        <w:t xml:space="preserve">a Guillermo Endara y los señores Ricardo Arias Calderón y Guillermo Ford Boyd sobre los planes inminentes de </w:t>
      </w:r>
      <w:r w:rsidR="00D01836">
        <w:rPr>
          <w:rFonts w:ascii="Cambria" w:eastAsia="Cambria" w:hAnsi="Cambria" w:cs="Cambria"/>
          <w:sz w:val="20"/>
          <w:szCs w:val="20"/>
          <w:u w:color="000000"/>
          <w:lang w:val="es-ES_tradnl" w:eastAsia="es-ES"/>
        </w:rPr>
        <w:t xml:space="preserve">la acción militar </w:t>
      </w:r>
      <w:r w:rsidR="008F4EA8">
        <w:rPr>
          <w:rFonts w:ascii="Cambria" w:eastAsia="Cambria" w:hAnsi="Cambria" w:cs="Cambria"/>
          <w:sz w:val="20"/>
          <w:szCs w:val="20"/>
          <w:u w:color="000000"/>
          <w:lang w:val="es-ES_tradnl" w:eastAsia="es-ES"/>
        </w:rPr>
        <w:t>estadouniden</w:t>
      </w:r>
      <w:r w:rsidR="00561F99">
        <w:rPr>
          <w:rFonts w:ascii="Cambria" w:eastAsia="Cambria" w:hAnsi="Cambria" w:cs="Cambria"/>
          <w:sz w:val="20"/>
          <w:szCs w:val="20"/>
          <w:u w:color="000000"/>
          <w:lang w:val="es-ES_tradnl" w:eastAsia="es-ES"/>
        </w:rPr>
        <w:t>se</w:t>
      </w:r>
      <w:r w:rsidRPr="009712EB">
        <w:rPr>
          <w:rFonts w:ascii="Cambria" w:eastAsia="Cambria" w:hAnsi="Cambria" w:cs="Cambria"/>
          <w:sz w:val="20"/>
          <w:szCs w:val="20"/>
          <w:u w:color="000000"/>
          <w:vertAlign w:val="superscript"/>
          <w:lang w:val="es-ES_tradnl" w:eastAsia="es-ES"/>
        </w:rPr>
        <w:footnoteReference w:id="56"/>
      </w:r>
      <w:r w:rsidRPr="009712EB">
        <w:rPr>
          <w:rFonts w:ascii="Cambria" w:eastAsia="Cambria" w:hAnsi="Cambria" w:cs="Cambria"/>
          <w:sz w:val="20"/>
          <w:szCs w:val="20"/>
          <w:u w:color="000000"/>
          <w:lang w:val="es-ES_tradnl" w:eastAsia="es-ES"/>
        </w:rPr>
        <w:t xml:space="preserve">. En la mañana del 20 de diciembre de 1989 </w:t>
      </w:r>
      <w:r w:rsidRPr="009712EB">
        <w:rPr>
          <w:rFonts w:ascii="Cambria" w:eastAsia="Cambria" w:hAnsi="Cambria" w:cs="Cambria"/>
          <w:sz w:val="20"/>
          <w:szCs w:val="20"/>
          <w:u w:color="000000"/>
          <w:lang w:val="es-CO" w:eastAsia="es-ES"/>
        </w:rPr>
        <w:t xml:space="preserve">fueron juramentados como Presidente Constitucional y vicepresidentes de Panamá, respectivamente, en una ceremonia realizada </w:t>
      </w:r>
      <w:r w:rsidR="00473B79">
        <w:rPr>
          <w:rFonts w:ascii="Cambria" w:eastAsia="Cambria" w:hAnsi="Cambria" w:cs="Cambria"/>
          <w:sz w:val="20"/>
          <w:szCs w:val="20"/>
          <w:u w:color="000000"/>
          <w:lang w:val="es-CO" w:eastAsia="es-ES"/>
        </w:rPr>
        <w:t xml:space="preserve">en una </w:t>
      </w:r>
      <w:r w:rsidRPr="009712EB">
        <w:rPr>
          <w:rFonts w:ascii="Cambria" w:eastAsia="Cambria" w:hAnsi="Cambria" w:cs="Cambria"/>
          <w:sz w:val="20"/>
          <w:szCs w:val="20"/>
          <w:u w:color="000000"/>
          <w:lang w:val="es-CO" w:eastAsia="es-ES"/>
        </w:rPr>
        <w:t>base militar de Estados Unidos, ubicada en la Zona del Canal</w:t>
      </w:r>
      <w:r w:rsidRPr="009712EB">
        <w:rPr>
          <w:rFonts w:ascii="Cambria" w:eastAsia="Cambria" w:hAnsi="Cambria" w:cs="Cambria"/>
          <w:sz w:val="20"/>
          <w:szCs w:val="20"/>
          <w:u w:color="000000"/>
          <w:vertAlign w:val="superscript"/>
          <w:lang w:eastAsia="es-ES"/>
        </w:rPr>
        <w:footnoteReference w:id="57"/>
      </w:r>
      <w:r w:rsidRPr="009712EB">
        <w:rPr>
          <w:rFonts w:ascii="Cambria" w:eastAsia="Cambria" w:hAnsi="Cambria" w:cs="Cambria"/>
          <w:sz w:val="20"/>
          <w:szCs w:val="20"/>
          <w:u w:color="000000"/>
          <w:lang w:val="es-CO" w:eastAsia="es-ES"/>
        </w:rPr>
        <w:t xml:space="preserve">. </w:t>
      </w:r>
      <w:r w:rsidRPr="009712EB">
        <w:rPr>
          <w:rFonts w:ascii="Cambria" w:eastAsia="Cambria" w:hAnsi="Cambria" w:cs="Cambria"/>
          <w:sz w:val="20"/>
          <w:szCs w:val="20"/>
          <w:u w:color="000000"/>
          <w:lang w:val="es-ES_tradnl" w:eastAsia="es-ES"/>
        </w:rPr>
        <w:t>En un breve lapso el nuevo Gobierno, con el apoyo de las fuerzas armadas de Estados Unid</w:t>
      </w:r>
      <w:r w:rsidR="00D01836">
        <w:rPr>
          <w:rFonts w:ascii="Cambria" w:eastAsia="Cambria" w:hAnsi="Cambria" w:cs="Cambria"/>
          <w:sz w:val="20"/>
          <w:szCs w:val="20"/>
          <w:u w:color="000000"/>
          <w:lang w:val="es-ES_tradnl" w:eastAsia="es-ES"/>
        </w:rPr>
        <w:t>os, asumió el control del país</w:t>
      </w:r>
      <w:r w:rsidRPr="009712EB">
        <w:rPr>
          <w:rFonts w:ascii="Cambria" w:eastAsia="Cambria" w:hAnsi="Cambria" w:cs="Cambria"/>
          <w:sz w:val="20"/>
          <w:szCs w:val="20"/>
          <w:u w:color="000000"/>
          <w:vertAlign w:val="superscript"/>
          <w:lang w:val="es-ES_tradnl" w:eastAsia="es-ES"/>
        </w:rPr>
        <w:footnoteReference w:id="58"/>
      </w:r>
      <w:r w:rsidR="00D01836">
        <w:rPr>
          <w:rFonts w:ascii="Cambria" w:eastAsia="Cambria" w:hAnsi="Cambria" w:cs="Cambria"/>
          <w:sz w:val="20"/>
          <w:szCs w:val="20"/>
          <w:u w:color="000000"/>
          <w:lang w:val="es-ES_tradnl" w:eastAsia="es-ES"/>
        </w:rPr>
        <w:t>.</w:t>
      </w:r>
    </w:p>
    <w:p w:rsidR="004A5155" w:rsidRPr="009712EB" w:rsidRDefault="004A5155" w:rsidP="009712E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0"/>
          <w:szCs w:val="20"/>
          <w:u w:color="000000"/>
          <w:lang w:val="es-ES_tradnl" w:eastAsia="es-ES"/>
        </w:rPr>
      </w:pPr>
    </w:p>
    <w:p w:rsidR="00E71067" w:rsidRPr="009712EB" w:rsidRDefault="009A4AC8" w:rsidP="003B6A9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val="es-ES_tradnl" w:eastAsia="es-ES"/>
        </w:rPr>
      </w:pPr>
      <w:r>
        <w:rPr>
          <w:rFonts w:ascii="Cambria" w:eastAsia="Cambria" w:hAnsi="Cambria" w:cs="Cambria"/>
          <w:sz w:val="20"/>
          <w:szCs w:val="20"/>
          <w:u w:color="000000"/>
          <w:lang w:val="es-ES_tradnl" w:eastAsia="es-ES"/>
        </w:rPr>
        <w:t>En base al</w:t>
      </w:r>
      <w:r w:rsidR="00E71067" w:rsidRPr="009712EB">
        <w:rPr>
          <w:rFonts w:ascii="Cambria" w:eastAsia="Cambria" w:hAnsi="Cambria" w:cs="Cambria"/>
          <w:sz w:val="20"/>
          <w:szCs w:val="20"/>
          <w:u w:color="000000"/>
          <w:lang w:val="es-ES_tradnl" w:eastAsia="es-ES"/>
        </w:rPr>
        <w:t xml:space="preserve"> relato fáctico de </w:t>
      </w:r>
      <w:r>
        <w:rPr>
          <w:rFonts w:ascii="Cambria" w:eastAsia="Cambria" w:hAnsi="Cambria" w:cs="Cambria"/>
          <w:sz w:val="20"/>
          <w:szCs w:val="20"/>
          <w:u w:color="000000"/>
          <w:lang w:val="es-ES_tradnl" w:eastAsia="es-ES"/>
        </w:rPr>
        <w:t xml:space="preserve">las dos </w:t>
      </w:r>
      <w:r w:rsidR="00E71067" w:rsidRPr="009712EB">
        <w:rPr>
          <w:rFonts w:ascii="Cambria" w:eastAsia="Cambria" w:hAnsi="Cambria" w:cs="Cambria"/>
          <w:sz w:val="20"/>
          <w:szCs w:val="20"/>
          <w:u w:color="000000"/>
          <w:lang w:val="es-ES_tradnl" w:eastAsia="es-ES"/>
        </w:rPr>
        <w:t>partes</w:t>
      </w:r>
      <w:r>
        <w:rPr>
          <w:rFonts w:ascii="Cambria" w:eastAsia="Cambria" w:hAnsi="Cambria" w:cs="Cambria"/>
          <w:sz w:val="20"/>
          <w:szCs w:val="20"/>
          <w:u w:color="000000"/>
          <w:lang w:val="es-ES_tradnl" w:eastAsia="es-ES"/>
        </w:rPr>
        <w:t xml:space="preserve"> de este caso</w:t>
      </w:r>
      <w:r w:rsidR="00E71067" w:rsidRPr="009712EB">
        <w:rPr>
          <w:rFonts w:ascii="Cambria" w:eastAsia="Cambria" w:hAnsi="Cambria" w:cs="Cambria"/>
          <w:sz w:val="20"/>
          <w:szCs w:val="20"/>
          <w:u w:color="000000"/>
          <w:lang w:val="es-ES_tradnl" w:eastAsia="es-ES"/>
        </w:rPr>
        <w:t>, se verifica la participación de alrededor de 24,000 soldados de distintas ramas de las fuerzas armadas de</w:t>
      </w:r>
      <w:r w:rsidR="00CF5A71">
        <w:rPr>
          <w:rFonts w:ascii="Cambria" w:eastAsia="Cambria" w:hAnsi="Cambria" w:cs="Cambria"/>
          <w:sz w:val="20"/>
          <w:szCs w:val="20"/>
          <w:u w:color="000000"/>
          <w:lang w:val="es-ES_tradnl" w:eastAsia="es-ES"/>
        </w:rPr>
        <w:t xml:space="preserve"> </w:t>
      </w:r>
      <w:r w:rsidR="00E71067" w:rsidRPr="009712EB">
        <w:rPr>
          <w:rFonts w:ascii="Cambria" w:eastAsia="Cambria" w:hAnsi="Cambria" w:cs="Cambria"/>
          <w:sz w:val="20"/>
          <w:szCs w:val="20"/>
          <w:u w:color="000000"/>
          <w:lang w:val="es-ES_tradnl" w:eastAsia="es-ES"/>
        </w:rPr>
        <w:t>Estado</w:t>
      </w:r>
      <w:r w:rsidR="00CF5A71">
        <w:rPr>
          <w:rFonts w:ascii="Cambria" w:eastAsia="Cambria" w:hAnsi="Cambria" w:cs="Cambria"/>
          <w:sz w:val="20"/>
          <w:szCs w:val="20"/>
          <w:u w:color="000000"/>
          <w:lang w:val="es-ES_tradnl" w:eastAsia="es-ES"/>
        </w:rPr>
        <w:t>s Unidos</w:t>
      </w:r>
      <w:r w:rsidR="007C39F0">
        <w:rPr>
          <w:rFonts w:ascii="Cambria" w:eastAsia="Cambria" w:hAnsi="Cambria" w:cs="Cambria"/>
          <w:sz w:val="20"/>
          <w:szCs w:val="20"/>
          <w:u w:color="000000"/>
          <w:lang w:val="es-ES_tradnl" w:eastAsia="es-ES"/>
        </w:rPr>
        <w:t xml:space="preserve"> durante la operación militar</w:t>
      </w:r>
      <w:r w:rsidR="00E71067" w:rsidRPr="009712EB">
        <w:rPr>
          <w:rFonts w:ascii="Cambria" w:eastAsia="Cambria" w:hAnsi="Cambria" w:cs="Cambria"/>
          <w:sz w:val="20"/>
          <w:szCs w:val="20"/>
          <w:u w:color="000000"/>
          <w:vertAlign w:val="superscript"/>
          <w:lang w:val="es-ES_tradnl" w:eastAsia="es-ES"/>
        </w:rPr>
        <w:footnoteReference w:id="59"/>
      </w:r>
      <w:r w:rsidR="007C39F0">
        <w:rPr>
          <w:rFonts w:ascii="Cambria" w:eastAsia="Cambria" w:hAnsi="Cambria" w:cs="Cambria"/>
          <w:sz w:val="20"/>
          <w:szCs w:val="20"/>
          <w:u w:color="000000"/>
          <w:lang w:val="es-ES_tradnl" w:eastAsia="es-ES"/>
        </w:rPr>
        <w:t>.</w:t>
      </w:r>
      <w:r w:rsidR="00E71067" w:rsidRPr="009712EB">
        <w:rPr>
          <w:rFonts w:ascii="Cambria" w:eastAsia="Cambria" w:hAnsi="Cambria" w:cs="Cambria"/>
          <w:sz w:val="20"/>
          <w:szCs w:val="20"/>
          <w:u w:color="000000"/>
          <w:lang w:val="es-ES_tradnl" w:eastAsia="es-ES"/>
        </w:rPr>
        <w:t xml:space="preserve"> Durante la intervención militar, los soldados atacaron simultáneamente distintos puntos estratégicos con la intención de debilitar las Fuerzas de Defensas panameñas y evitar la fuga del General Noriega. En este sentido, se conoce de enfrentamientos en la Comandancia, como el Cuartel Central de las Fuerzas de Defensas, y sus zonas aledañas incluyendo El Chorrillo, en distintas zonas de la Ciudad de Panamá, en los aeropuertos de Punta Paitilla y Torrijos-Tocumen, en R</w:t>
      </w:r>
      <w:r w:rsidR="002C280D" w:rsidRPr="009712EB">
        <w:rPr>
          <w:rFonts w:ascii="Cambria" w:eastAsia="Cambria" w:hAnsi="Cambria" w:cs="Cambria"/>
          <w:sz w:val="20"/>
          <w:szCs w:val="20"/>
          <w:u w:color="000000"/>
          <w:lang w:val="es-ES_tradnl" w:eastAsia="es-ES"/>
        </w:rPr>
        <w:t>í</w:t>
      </w:r>
      <w:r w:rsidR="00E71067" w:rsidRPr="009712EB">
        <w:rPr>
          <w:rFonts w:ascii="Cambria" w:eastAsia="Cambria" w:hAnsi="Cambria" w:cs="Cambria"/>
          <w:sz w:val="20"/>
          <w:szCs w:val="20"/>
          <w:u w:color="000000"/>
          <w:lang w:val="es-ES_tradnl" w:eastAsia="es-ES"/>
        </w:rPr>
        <w:t>o Hato, Fuerte Amador, y en la ciudad de Colón, entre otras.</w:t>
      </w:r>
    </w:p>
    <w:p w:rsidR="004A5155" w:rsidRPr="009712EB" w:rsidRDefault="004A5155" w:rsidP="009712E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0"/>
          <w:szCs w:val="20"/>
          <w:u w:color="000000"/>
          <w:lang w:val="es-ES_tradnl" w:eastAsia="es-ES"/>
        </w:rPr>
      </w:pPr>
    </w:p>
    <w:p w:rsidR="00E71067" w:rsidRPr="009712EB" w:rsidRDefault="00E71067" w:rsidP="003B6A9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val="es-ES_tradnl" w:eastAsia="es-ES"/>
        </w:rPr>
      </w:pPr>
      <w:r w:rsidRPr="009712EB">
        <w:rPr>
          <w:rFonts w:ascii="Cambria" w:eastAsia="Cambria" w:hAnsi="Cambria" w:cs="Cambria"/>
          <w:sz w:val="20"/>
          <w:szCs w:val="20"/>
          <w:u w:color="000000"/>
          <w:lang w:val="es-ES_tradnl" w:eastAsia="es-ES"/>
        </w:rPr>
        <w:t xml:space="preserve">La </w:t>
      </w:r>
      <w:r w:rsidR="00CF5A71">
        <w:rPr>
          <w:rFonts w:ascii="Cambria" w:eastAsia="Cambria" w:hAnsi="Cambria" w:cs="Cambria"/>
          <w:sz w:val="20"/>
          <w:szCs w:val="20"/>
          <w:u w:color="000000"/>
          <w:lang w:val="es-ES_tradnl" w:eastAsia="es-ES"/>
        </w:rPr>
        <w:t>intervención militar</w:t>
      </w:r>
      <w:r w:rsidRPr="009712EB">
        <w:rPr>
          <w:rFonts w:ascii="Cambria" w:eastAsia="Cambria" w:hAnsi="Cambria" w:cs="Cambria"/>
          <w:sz w:val="20"/>
          <w:szCs w:val="20"/>
          <w:u w:color="000000"/>
          <w:lang w:val="es-ES_tradnl" w:eastAsia="es-ES"/>
        </w:rPr>
        <w:t xml:space="preserve"> continuó durante el día 20, en </w:t>
      </w:r>
      <w:r w:rsidR="009A4AC8">
        <w:rPr>
          <w:rFonts w:ascii="Cambria" w:eastAsia="Cambria" w:hAnsi="Cambria" w:cs="Cambria"/>
          <w:sz w:val="20"/>
          <w:szCs w:val="20"/>
          <w:u w:color="000000"/>
          <w:lang w:val="es-ES_tradnl" w:eastAsia="es-ES"/>
        </w:rPr>
        <w:t xml:space="preserve">el curso del cual </w:t>
      </w:r>
      <w:r w:rsidRPr="009712EB">
        <w:rPr>
          <w:rFonts w:ascii="Cambria" w:eastAsia="Cambria" w:hAnsi="Cambria" w:cs="Cambria"/>
          <w:sz w:val="20"/>
          <w:szCs w:val="20"/>
          <w:u w:color="000000"/>
          <w:lang w:val="es-ES_tradnl" w:eastAsia="es-ES"/>
        </w:rPr>
        <w:t>las fuerzas estadounidenses destruyeron el Cuartel Central de las Fuerzas de Defensas y dominaron los principales centros de resistencia militar</w:t>
      </w:r>
      <w:r w:rsidRPr="009712EB">
        <w:rPr>
          <w:rFonts w:ascii="Cambria" w:eastAsia="Cambria" w:hAnsi="Cambria" w:cs="Cambria"/>
          <w:sz w:val="20"/>
          <w:szCs w:val="20"/>
          <w:u w:color="000000"/>
          <w:vertAlign w:val="superscript"/>
          <w:lang w:val="es-ES_tradnl" w:eastAsia="es-ES"/>
        </w:rPr>
        <w:footnoteReference w:id="60"/>
      </w:r>
      <w:r w:rsidRPr="009712EB">
        <w:rPr>
          <w:rFonts w:ascii="Cambria" w:eastAsia="Cambria" w:hAnsi="Cambria" w:cs="Cambria"/>
          <w:sz w:val="20"/>
          <w:szCs w:val="20"/>
          <w:u w:color="000000"/>
          <w:lang w:val="es-ES_tradnl" w:eastAsia="es-ES"/>
        </w:rPr>
        <w:t>. En los dos días subsiguientes, enfrentamientos en la Ciudad de Panamá fueron esporádicos en contra de Batallones de Dignidad y las Fuerzas de Defensas en la medida que estos fueron rindiendo los restantes centros militares</w:t>
      </w:r>
      <w:r w:rsidRPr="009712EB">
        <w:rPr>
          <w:rFonts w:ascii="Cambria" w:eastAsia="Cambria" w:hAnsi="Cambria" w:cs="Cambria"/>
          <w:sz w:val="20"/>
          <w:szCs w:val="20"/>
          <w:u w:color="000000"/>
          <w:vertAlign w:val="superscript"/>
          <w:lang w:val="es-ES_tradnl" w:eastAsia="es-ES"/>
        </w:rPr>
        <w:footnoteReference w:id="61"/>
      </w:r>
      <w:r w:rsidRPr="009712EB">
        <w:rPr>
          <w:rFonts w:ascii="Cambria" w:eastAsia="Cambria" w:hAnsi="Cambria" w:cs="Cambria"/>
          <w:sz w:val="20"/>
          <w:szCs w:val="20"/>
          <w:u w:color="000000"/>
          <w:lang w:val="es-ES_tradnl" w:eastAsia="es-ES"/>
        </w:rPr>
        <w:t>.</w:t>
      </w:r>
    </w:p>
    <w:p w:rsidR="004A5155" w:rsidRPr="009712EB" w:rsidRDefault="004A5155" w:rsidP="009712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mbria" w:hAnsi="Cambria" w:cs="Cambria"/>
          <w:sz w:val="20"/>
          <w:szCs w:val="20"/>
          <w:u w:color="000000"/>
          <w:lang w:val="es-ES_tradnl" w:eastAsia="es-ES"/>
        </w:rPr>
      </w:pPr>
    </w:p>
    <w:p w:rsidR="00E71067" w:rsidRPr="009712EB" w:rsidRDefault="00E71067" w:rsidP="003B6A9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val="es-ES_tradnl" w:eastAsia="es-ES"/>
        </w:rPr>
      </w:pPr>
      <w:r w:rsidRPr="009712EB">
        <w:rPr>
          <w:rFonts w:ascii="Cambria" w:eastAsia="Cambria" w:hAnsi="Cambria" w:cs="Cambria"/>
          <w:sz w:val="20"/>
          <w:szCs w:val="20"/>
          <w:u w:color="000000"/>
          <w:lang w:val="es-ES_tradnl" w:eastAsia="es-ES"/>
        </w:rPr>
        <w:t>El 21 de diciembre de 1989 el Presidente Endara dictó el “estatuto de retorno inmediato al orden constitucional” en el cual estableció las directrices para el nombramiento de distintos funcionarios de los poderes públicos de Panamá</w:t>
      </w:r>
      <w:r w:rsidRPr="009712EB">
        <w:rPr>
          <w:rFonts w:ascii="Cambria" w:eastAsia="Cambria" w:hAnsi="Cambria" w:cs="Cambria"/>
          <w:sz w:val="20"/>
          <w:szCs w:val="20"/>
          <w:u w:color="000000"/>
          <w:vertAlign w:val="superscript"/>
          <w:lang w:val="es-ES_tradnl" w:eastAsia="es-ES"/>
        </w:rPr>
        <w:footnoteReference w:id="62"/>
      </w:r>
      <w:r w:rsidRPr="009712EB">
        <w:rPr>
          <w:rFonts w:ascii="Cambria" w:eastAsia="Cambria" w:hAnsi="Cambria" w:cs="Cambria"/>
          <w:sz w:val="20"/>
          <w:szCs w:val="20"/>
          <w:u w:color="000000"/>
          <w:lang w:val="es-ES_tradnl" w:eastAsia="es-ES"/>
        </w:rPr>
        <w:t xml:space="preserve">. En el marco de estos actos, fueron disueltas las FF.DD panameñas y la </w:t>
      </w:r>
      <w:r w:rsidR="009A4AC8">
        <w:rPr>
          <w:rFonts w:ascii="Cambria" w:eastAsia="Cambria" w:hAnsi="Cambria" w:cs="Cambria"/>
          <w:sz w:val="20"/>
          <w:szCs w:val="20"/>
          <w:u w:color="000000"/>
          <w:lang w:val="es-ES_tradnl" w:eastAsia="es-ES"/>
        </w:rPr>
        <w:t xml:space="preserve">vigilancia policial </w:t>
      </w:r>
      <w:r w:rsidRPr="009712EB">
        <w:rPr>
          <w:rFonts w:ascii="Cambria" w:eastAsia="Cambria" w:hAnsi="Cambria" w:cs="Cambria"/>
          <w:sz w:val="20"/>
          <w:szCs w:val="20"/>
          <w:u w:color="000000"/>
          <w:lang w:val="es-ES_tradnl" w:eastAsia="es-ES"/>
        </w:rPr>
        <w:t>de la ciudad fue establecida progresivamente en base a patrullas militares de Estados Unidos en los días subsiguientes</w:t>
      </w:r>
      <w:r w:rsidRPr="009712EB">
        <w:rPr>
          <w:rFonts w:ascii="Cambria" w:eastAsia="Cambria" w:hAnsi="Cambria" w:cs="Cambria"/>
          <w:sz w:val="20"/>
          <w:szCs w:val="20"/>
          <w:u w:color="000000"/>
          <w:vertAlign w:val="superscript"/>
          <w:lang w:val="es-ES_tradnl" w:eastAsia="es-ES"/>
        </w:rPr>
        <w:footnoteReference w:id="63"/>
      </w:r>
      <w:r w:rsidRPr="009712EB">
        <w:rPr>
          <w:rFonts w:ascii="Cambria" w:eastAsia="Cambria" w:hAnsi="Cambria" w:cs="Cambria"/>
          <w:sz w:val="20"/>
          <w:szCs w:val="20"/>
          <w:u w:color="000000"/>
          <w:lang w:val="es-ES_tradnl" w:eastAsia="es-ES"/>
        </w:rPr>
        <w:t>.</w:t>
      </w:r>
    </w:p>
    <w:p w:rsidR="004A5155" w:rsidRPr="009712EB" w:rsidRDefault="004A5155" w:rsidP="009712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mbria" w:hAnsi="Cambria" w:cs="Cambria"/>
          <w:sz w:val="20"/>
          <w:szCs w:val="20"/>
          <w:u w:color="000000"/>
          <w:lang w:val="es-ES_tradnl" w:eastAsia="es-ES"/>
        </w:rPr>
      </w:pPr>
    </w:p>
    <w:p w:rsidR="004A5155" w:rsidRPr="009712EB" w:rsidRDefault="00E71067" w:rsidP="003B6A9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val="es-ES_tradnl" w:eastAsia="es-ES"/>
        </w:rPr>
      </w:pPr>
      <w:r w:rsidRPr="009712EB">
        <w:rPr>
          <w:rFonts w:ascii="Cambria" w:eastAsia="Cambria" w:hAnsi="Cambria" w:cs="Cambria"/>
          <w:sz w:val="20"/>
          <w:szCs w:val="20"/>
          <w:u w:color="000000"/>
          <w:lang w:val="es-ES_tradnl" w:eastAsia="es-ES"/>
        </w:rPr>
        <w:t>El 24 de diciembre el General Manuel Antonio Noriega se refugió en la Nunciatura Apostólica en Panamá y el 4 de enero de 1990 se entregó a las tropas de los Estados Unidos</w:t>
      </w:r>
      <w:r w:rsidRPr="009712EB">
        <w:rPr>
          <w:rFonts w:ascii="Cambria" w:eastAsia="Cambria" w:hAnsi="Cambria" w:cs="Cambria"/>
          <w:sz w:val="20"/>
          <w:szCs w:val="20"/>
          <w:u w:color="000000"/>
          <w:vertAlign w:val="superscript"/>
          <w:lang w:val="es-ES_tradnl" w:eastAsia="es-ES"/>
        </w:rPr>
        <w:footnoteReference w:id="64"/>
      </w:r>
      <w:r w:rsidRPr="009712EB">
        <w:rPr>
          <w:rFonts w:ascii="Cambria" w:eastAsia="Cambria" w:hAnsi="Cambria" w:cs="Cambria"/>
          <w:sz w:val="20"/>
          <w:szCs w:val="20"/>
          <w:u w:color="000000"/>
          <w:lang w:val="es-ES_tradnl" w:eastAsia="es-ES"/>
        </w:rPr>
        <w:t>. Enseguida el General Noriega fue detenido y trasladado a este último país para ser juzgado por presuntos delitos relacionados con el tráfico de drogas</w:t>
      </w:r>
      <w:r w:rsidRPr="009712EB">
        <w:rPr>
          <w:rFonts w:ascii="Cambria" w:eastAsia="Cambria" w:hAnsi="Cambria" w:cs="Cambria"/>
          <w:sz w:val="20"/>
          <w:szCs w:val="20"/>
          <w:u w:color="000000"/>
          <w:vertAlign w:val="superscript"/>
          <w:lang w:val="es-ES_tradnl" w:eastAsia="es-ES"/>
        </w:rPr>
        <w:footnoteReference w:id="65"/>
      </w:r>
      <w:r w:rsidRPr="009712EB">
        <w:rPr>
          <w:rFonts w:ascii="Cambria" w:eastAsia="Cambria" w:hAnsi="Cambria" w:cs="Cambria"/>
          <w:sz w:val="20"/>
          <w:szCs w:val="20"/>
          <w:u w:color="000000"/>
          <w:lang w:val="es-ES_tradnl" w:eastAsia="es-ES"/>
        </w:rPr>
        <w:t>.</w:t>
      </w:r>
    </w:p>
    <w:p w:rsidR="004A5155" w:rsidRPr="009712EB" w:rsidRDefault="004A5155" w:rsidP="009712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mbria" w:hAnsi="Cambria" w:cs="Cambria"/>
          <w:sz w:val="20"/>
          <w:szCs w:val="20"/>
          <w:u w:color="000000"/>
          <w:lang w:val="es-ES_tradnl" w:eastAsia="es-ES"/>
        </w:rPr>
      </w:pPr>
    </w:p>
    <w:p w:rsidR="00E71067" w:rsidRPr="009712EB" w:rsidRDefault="00E71067" w:rsidP="003B6A9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val="es-ES_tradnl" w:eastAsia="es-ES"/>
        </w:rPr>
      </w:pPr>
      <w:r w:rsidRPr="009712EB">
        <w:rPr>
          <w:rFonts w:ascii="Cambria" w:eastAsia="Cambria" w:hAnsi="Cambria" w:cs="Cambria"/>
          <w:sz w:val="20"/>
          <w:szCs w:val="20"/>
          <w:u w:color="000000"/>
          <w:lang w:val="es-ES_tradnl" w:eastAsia="es-ES"/>
        </w:rPr>
        <w:t xml:space="preserve">Para el 31 de enero de 1990, las hostilidades habían cesado y para el 13 de febrero de 1990, </w:t>
      </w:r>
      <w:r w:rsidRPr="009712EB">
        <w:rPr>
          <w:rFonts w:ascii="Cambria" w:eastAsia="Cambria" w:hAnsi="Cambria" w:cs="Cambria"/>
          <w:sz w:val="20"/>
          <w:szCs w:val="20"/>
          <w:u w:color="000000"/>
          <w:lang w:val="es-CO" w:eastAsia="es-ES"/>
        </w:rPr>
        <w:br/>
        <w:t>el último contingente de tropas adicionales estadounidenses introducidas en Panamá había partido de Panamá</w:t>
      </w:r>
      <w:r w:rsidRPr="009712EB">
        <w:rPr>
          <w:rFonts w:ascii="Cambria" w:eastAsia="Cambria" w:hAnsi="Cambria" w:cs="Cambria"/>
          <w:sz w:val="20"/>
          <w:szCs w:val="20"/>
          <w:u w:color="000000"/>
          <w:vertAlign w:val="superscript"/>
          <w:lang w:val="es-ES_tradnl" w:eastAsia="es-ES"/>
        </w:rPr>
        <w:footnoteReference w:id="66"/>
      </w:r>
      <w:r w:rsidRPr="009712EB">
        <w:rPr>
          <w:rFonts w:ascii="Cambria" w:eastAsia="Cambria" w:hAnsi="Cambria" w:cs="Cambria"/>
          <w:sz w:val="20"/>
          <w:szCs w:val="20"/>
          <w:u w:color="000000"/>
          <w:lang w:val="es-ES_tradnl" w:eastAsia="es-ES"/>
        </w:rPr>
        <w:t>.</w:t>
      </w:r>
    </w:p>
    <w:p w:rsidR="004A5155" w:rsidRPr="009712EB" w:rsidRDefault="004A5155" w:rsidP="009712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mbria" w:hAnsi="Cambria" w:cs="Cambria"/>
          <w:sz w:val="20"/>
          <w:szCs w:val="20"/>
          <w:u w:color="000000"/>
          <w:lang w:val="es-ES_tradnl" w:eastAsia="es-ES"/>
        </w:rPr>
      </w:pPr>
    </w:p>
    <w:p w:rsidR="00E71067" w:rsidRPr="009712EB" w:rsidRDefault="00E71067" w:rsidP="003B6A9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val="es-ES_tradnl" w:eastAsia="es-ES"/>
        </w:rPr>
      </w:pPr>
      <w:r w:rsidRPr="009712EB">
        <w:rPr>
          <w:rFonts w:ascii="Cambria" w:eastAsia="Cambria" w:hAnsi="Cambria" w:cs="Cambria"/>
          <w:sz w:val="20"/>
          <w:szCs w:val="20"/>
          <w:u w:color="000000"/>
          <w:lang w:val="es-ES_tradnl" w:eastAsia="es-ES"/>
        </w:rPr>
        <w:lastRenderedPageBreak/>
        <w:t>En el marco de estos hechos, se verificó la pérdida de</w:t>
      </w:r>
      <w:r w:rsidR="00CF5A71">
        <w:rPr>
          <w:rFonts w:ascii="Cambria" w:eastAsia="Cambria" w:hAnsi="Cambria" w:cs="Cambria"/>
          <w:sz w:val="20"/>
          <w:szCs w:val="20"/>
          <w:u w:color="000000"/>
          <w:lang w:val="es-ES_tradnl" w:eastAsia="es-ES"/>
        </w:rPr>
        <w:t xml:space="preserve"> mínimo 202</w:t>
      </w:r>
      <w:r w:rsidRPr="009712EB">
        <w:rPr>
          <w:rFonts w:ascii="Cambria" w:eastAsia="Cambria" w:hAnsi="Cambria" w:cs="Cambria"/>
          <w:sz w:val="20"/>
          <w:szCs w:val="20"/>
          <w:u w:color="000000"/>
          <w:lang w:val="es-ES_tradnl" w:eastAsia="es-ES"/>
        </w:rPr>
        <w:t xml:space="preserve"> vidas civiles así con un alto número de heridos, aun cuando persiste una controversia en cuanto a las cifras exactas. Se constataron daños significativos y destrucción de viviendas y comercios, así como el desplazamiento de más de 15.000 civiles a campos de refugio ubicados en edificaciones públicas</w:t>
      </w:r>
      <w:r w:rsidR="007E76AD" w:rsidRPr="009712EB">
        <w:rPr>
          <w:rFonts w:ascii="Cambria" w:eastAsia="Cambria" w:hAnsi="Cambria" w:cs="Cambria"/>
          <w:sz w:val="20"/>
          <w:szCs w:val="20"/>
          <w:u w:color="000000"/>
          <w:lang w:val="es-ES_tradnl" w:eastAsia="es-ES"/>
        </w:rPr>
        <w:t xml:space="preserve"> </w:t>
      </w:r>
      <w:r w:rsidR="007E76AD" w:rsidRPr="00CD49F1">
        <w:rPr>
          <w:rFonts w:ascii="Cambria" w:eastAsia="Cambria" w:hAnsi="Cambria" w:cs="Cambria"/>
          <w:sz w:val="20"/>
          <w:szCs w:val="20"/>
          <w:u w:color="000000"/>
          <w:lang w:val="es-ES_tradnl" w:eastAsia="es-ES"/>
        </w:rPr>
        <w:t>y privadas</w:t>
      </w:r>
      <w:r w:rsidR="00561F99">
        <w:rPr>
          <w:rFonts w:ascii="Cambria" w:eastAsia="Cambria" w:hAnsi="Cambria" w:cs="Cambria"/>
          <w:sz w:val="20"/>
          <w:szCs w:val="20"/>
          <w:u w:color="000000"/>
          <w:lang w:val="es-ES_tradnl" w:eastAsia="es-ES"/>
        </w:rPr>
        <w:t>.</w:t>
      </w:r>
    </w:p>
    <w:p w:rsidR="004A5155" w:rsidRPr="009712EB" w:rsidRDefault="004A5155" w:rsidP="009712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mbria" w:hAnsi="Cambria" w:cs="Cambria"/>
          <w:sz w:val="20"/>
          <w:szCs w:val="20"/>
          <w:u w:color="000000"/>
          <w:lang w:val="es-ES_tradnl" w:eastAsia="es-ES"/>
        </w:rPr>
      </w:pPr>
    </w:p>
    <w:p w:rsidR="00E71067" w:rsidRPr="009712EB" w:rsidRDefault="00E71067" w:rsidP="003B6A9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val="es-ES_tradnl" w:eastAsia="es-ES"/>
        </w:rPr>
      </w:pPr>
      <w:r w:rsidRPr="009712EB">
        <w:rPr>
          <w:rFonts w:ascii="Cambria" w:eastAsia="Cambria" w:hAnsi="Cambria" w:cs="Cambria"/>
          <w:sz w:val="20"/>
          <w:szCs w:val="20"/>
          <w:u w:color="000000"/>
          <w:lang w:val="es-ES_tradnl" w:eastAsia="es-ES"/>
        </w:rPr>
        <w:t xml:space="preserve">Asimismo en el transcurso de la operación militar, </w:t>
      </w:r>
      <w:r w:rsidR="009A4AC8">
        <w:rPr>
          <w:rFonts w:ascii="Cambria" w:eastAsia="Cambria" w:hAnsi="Cambria" w:cs="Cambria"/>
          <w:sz w:val="20"/>
          <w:szCs w:val="20"/>
          <w:u w:color="000000"/>
          <w:lang w:val="es-ES_tradnl" w:eastAsia="es-ES"/>
        </w:rPr>
        <w:t>tuvieron lugar</w:t>
      </w:r>
      <w:r w:rsidRPr="009712EB">
        <w:rPr>
          <w:rFonts w:ascii="Cambria" w:eastAsia="Cambria" w:hAnsi="Cambria" w:cs="Cambria"/>
          <w:sz w:val="20"/>
          <w:szCs w:val="20"/>
          <w:u w:color="000000"/>
          <w:lang w:val="es-ES_tradnl" w:eastAsia="es-ES"/>
        </w:rPr>
        <w:t xml:space="preserve"> paralelamente saqueos contra los comercios y viviendas</w:t>
      </w:r>
      <w:r w:rsidRPr="009712EB">
        <w:rPr>
          <w:rFonts w:ascii="Cambria" w:eastAsia="Cambria" w:hAnsi="Cambria" w:cs="Cambria"/>
          <w:sz w:val="20"/>
          <w:szCs w:val="20"/>
          <w:u w:color="000000"/>
          <w:vertAlign w:val="superscript"/>
          <w:lang w:val="es-ES_tradnl" w:eastAsia="es-ES"/>
        </w:rPr>
        <w:footnoteReference w:id="67"/>
      </w:r>
      <w:r w:rsidRPr="009712EB">
        <w:rPr>
          <w:rFonts w:ascii="Cambria" w:eastAsia="Cambria" w:hAnsi="Cambria" w:cs="Cambria"/>
          <w:sz w:val="20"/>
          <w:szCs w:val="20"/>
          <w:u w:color="000000"/>
          <w:lang w:val="es-ES_tradnl" w:eastAsia="es-ES"/>
        </w:rPr>
        <w:t>. También durante el día 20 de diciembre y los siguientes se produjo una importante cantidad de arrestos</w:t>
      </w:r>
      <w:r w:rsidR="009D5581">
        <w:rPr>
          <w:rStyle w:val="FootnoteReference"/>
          <w:rFonts w:ascii="Cambria" w:eastAsia="Cambria" w:hAnsi="Cambria" w:cs="Cambria"/>
          <w:sz w:val="20"/>
          <w:szCs w:val="20"/>
          <w:u w:color="000000"/>
          <w:lang w:val="es-ES_tradnl" w:eastAsia="es-ES"/>
        </w:rPr>
        <w:footnoteReference w:id="68"/>
      </w:r>
      <w:r w:rsidRPr="009712EB">
        <w:rPr>
          <w:rFonts w:ascii="Cambria" w:eastAsia="Cambria" w:hAnsi="Cambria" w:cs="Cambria"/>
          <w:sz w:val="20"/>
          <w:szCs w:val="20"/>
          <w:u w:color="000000"/>
          <w:lang w:val="es-ES_tradnl" w:eastAsia="es-ES"/>
        </w:rPr>
        <w:t>. Los prisioneros fueron originalmente ubicados en campos de detención ad hoc bajo la vigilancia de fuerzas norteamericanas</w:t>
      </w:r>
      <w:r w:rsidRPr="009712EB">
        <w:rPr>
          <w:rFonts w:ascii="Cambria" w:eastAsia="Cambria" w:hAnsi="Cambria" w:cs="Cambria"/>
          <w:sz w:val="20"/>
          <w:szCs w:val="20"/>
          <w:u w:color="000000"/>
          <w:vertAlign w:val="superscript"/>
          <w:lang w:val="es-ES_tradnl" w:eastAsia="es-ES"/>
        </w:rPr>
        <w:footnoteReference w:id="69"/>
      </w:r>
      <w:r w:rsidR="00561F99">
        <w:rPr>
          <w:rFonts w:ascii="Cambria" w:eastAsia="Cambria" w:hAnsi="Cambria" w:cs="Cambria"/>
          <w:sz w:val="20"/>
          <w:szCs w:val="20"/>
          <w:u w:color="000000"/>
          <w:lang w:val="es-ES_tradnl" w:eastAsia="es-ES"/>
        </w:rPr>
        <w:t xml:space="preserve">. </w:t>
      </w:r>
      <w:r w:rsidRPr="009712EB">
        <w:rPr>
          <w:rFonts w:ascii="Cambria" w:eastAsia="Cambria" w:hAnsi="Cambria" w:cs="Cambria"/>
          <w:sz w:val="20"/>
          <w:szCs w:val="20"/>
          <w:u w:color="000000"/>
          <w:lang w:val="es-ES_tradnl" w:eastAsia="es-ES"/>
        </w:rPr>
        <w:t>En estos campos llegó a recluirse a más de tres mil personas, que fueron posteriormente liberadas o trasladadas a las cárceles panameñas a disposición del Ministerio Público</w:t>
      </w:r>
      <w:r w:rsidRPr="009712EB">
        <w:rPr>
          <w:rFonts w:ascii="Cambria" w:eastAsia="Cambria" w:hAnsi="Cambria" w:cs="Cambria"/>
          <w:sz w:val="20"/>
          <w:szCs w:val="20"/>
          <w:u w:color="000000"/>
          <w:vertAlign w:val="superscript"/>
          <w:lang w:val="es-ES_tradnl" w:eastAsia="es-ES"/>
        </w:rPr>
        <w:footnoteReference w:id="70"/>
      </w:r>
      <w:r w:rsidRPr="009712EB">
        <w:rPr>
          <w:rFonts w:ascii="Cambria" w:eastAsia="Cambria" w:hAnsi="Cambria" w:cs="Cambria"/>
          <w:sz w:val="20"/>
          <w:szCs w:val="20"/>
          <w:u w:color="000000"/>
          <w:lang w:val="es-ES_tradnl" w:eastAsia="es-ES"/>
        </w:rPr>
        <w:t xml:space="preserve">. </w:t>
      </w:r>
    </w:p>
    <w:p w:rsidR="004A5155" w:rsidRPr="009712EB" w:rsidRDefault="004A5155" w:rsidP="009712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mbria" w:hAnsi="Cambria" w:cs="Cambria"/>
          <w:sz w:val="20"/>
          <w:szCs w:val="20"/>
          <w:u w:color="000000"/>
          <w:lang w:val="es-ES_tradnl" w:eastAsia="es-ES"/>
        </w:rPr>
      </w:pPr>
    </w:p>
    <w:p w:rsidR="00E71067" w:rsidRPr="00821E26" w:rsidRDefault="00E71067" w:rsidP="00D529F8">
      <w:pPr>
        <w:pStyle w:val="Heading3"/>
        <w:numPr>
          <w:ilvl w:val="0"/>
          <w:numId w:val="67"/>
        </w:numPr>
        <w:spacing w:before="0" w:after="0"/>
        <w:ind w:firstLine="0"/>
        <w:jc w:val="both"/>
        <w:rPr>
          <w:rFonts w:ascii="Cambria" w:hAnsi="Cambria"/>
          <w:b w:val="0"/>
          <w:sz w:val="20"/>
          <w:szCs w:val="20"/>
          <w:lang w:val="es-ES_tradnl"/>
        </w:rPr>
      </w:pPr>
      <w:bookmarkStart w:id="12" w:name="_Toc525294035"/>
      <w:r w:rsidRPr="00821E26">
        <w:rPr>
          <w:rStyle w:val="Heading3Char"/>
          <w:rFonts w:ascii="Cambria" w:hAnsi="Cambria"/>
          <w:b/>
          <w:sz w:val="20"/>
          <w:szCs w:val="20"/>
          <w:lang w:val="es-VE"/>
        </w:rPr>
        <w:t>P</w:t>
      </w:r>
      <w:r w:rsidR="00B565AB" w:rsidRPr="00821E26">
        <w:rPr>
          <w:rStyle w:val="Heading3Char"/>
          <w:rFonts w:ascii="Cambria" w:hAnsi="Cambria"/>
          <w:b/>
          <w:sz w:val="20"/>
          <w:szCs w:val="20"/>
          <w:lang w:val="es-VE"/>
        </w:rPr>
        <w:t>ronunciamientos a nivel internacional en el marco de la Operación “</w:t>
      </w:r>
      <w:r w:rsidR="00821E26">
        <w:rPr>
          <w:rStyle w:val="Heading3Char"/>
          <w:rFonts w:ascii="Cambria" w:hAnsi="Cambria"/>
          <w:b/>
          <w:sz w:val="20"/>
          <w:szCs w:val="20"/>
          <w:lang w:val="es-VE"/>
        </w:rPr>
        <w:t>Justa</w:t>
      </w:r>
      <w:r w:rsidR="00B565AB" w:rsidRPr="00821E26">
        <w:rPr>
          <w:rFonts w:ascii="Cambria" w:hAnsi="Cambria"/>
          <w:sz w:val="20"/>
          <w:szCs w:val="20"/>
          <w:lang w:val="es-CO"/>
        </w:rPr>
        <w:t xml:space="preserve"> Causa”</w:t>
      </w:r>
      <w:bookmarkEnd w:id="12"/>
    </w:p>
    <w:p w:rsidR="004A5155" w:rsidRPr="009712EB" w:rsidRDefault="004A5155" w:rsidP="009712EB">
      <w:pPr>
        <w:pStyle w:val="ListParagraph"/>
        <w:ind w:left="1440"/>
        <w:jc w:val="both"/>
        <w:rPr>
          <w:b/>
          <w:sz w:val="20"/>
          <w:szCs w:val="20"/>
          <w:lang w:val="es-ES_tradnl"/>
        </w:rPr>
      </w:pPr>
    </w:p>
    <w:p w:rsidR="00E71067" w:rsidRPr="009712EB" w:rsidRDefault="00E71067" w:rsidP="003B6A9B">
      <w:pPr>
        <w:pStyle w:val="ListParagraph"/>
        <w:numPr>
          <w:ilvl w:val="0"/>
          <w:numId w:val="58"/>
        </w:numPr>
        <w:ind w:left="0" w:firstLine="720"/>
        <w:jc w:val="both"/>
        <w:rPr>
          <w:sz w:val="20"/>
          <w:szCs w:val="20"/>
          <w:lang w:val="es-ES_tradnl"/>
        </w:rPr>
      </w:pPr>
      <w:r w:rsidRPr="009712EB">
        <w:rPr>
          <w:sz w:val="20"/>
          <w:szCs w:val="20"/>
          <w:lang w:val="es-CO"/>
        </w:rPr>
        <w:t xml:space="preserve">Los hechos ocurridos en el marco de la Operación Justa </w:t>
      </w:r>
      <w:r w:rsidR="009B57E3" w:rsidRPr="009712EB">
        <w:rPr>
          <w:sz w:val="20"/>
          <w:szCs w:val="20"/>
          <w:lang w:val="es-CO"/>
        </w:rPr>
        <w:t>Causa,</w:t>
      </w:r>
      <w:r w:rsidRPr="009712EB">
        <w:rPr>
          <w:sz w:val="20"/>
          <w:szCs w:val="20"/>
          <w:lang w:val="es-CO"/>
        </w:rPr>
        <w:t xml:space="preserve"> así como las violaciones de derechos humanos </w:t>
      </w:r>
      <w:r w:rsidR="00A524EB">
        <w:rPr>
          <w:sz w:val="20"/>
          <w:szCs w:val="20"/>
          <w:lang w:val="es-CO"/>
        </w:rPr>
        <w:t xml:space="preserve">denunciadas </w:t>
      </w:r>
      <w:r w:rsidRPr="009712EB">
        <w:rPr>
          <w:sz w:val="20"/>
          <w:szCs w:val="20"/>
          <w:lang w:val="es-CO"/>
        </w:rPr>
        <w:t xml:space="preserve">fueron motivo de preocupación y pronunciamientos de distintos </w:t>
      </w:r>
      <w:r w:rsidRPr="009712EB">
        <w:rPr>
          <w:sz w:val="20"/>
          <w:szCs w:val="20"/>
          <w:lang w:val="es-ES_tradnl"/>
        </w:rPr>
        <w:t>organismos internacionales</w:t>
      </w:r>
      <w:r w:rsidR="009B57E3">
        <w:rPr>
          <w:sz w:val="20"/>
          <w:szCs w:val="20"/>
          <w:lang w:val="es-ES_tradnl"/>
        </w:rPr>
        <w:t xml:space="preserve">, </w:t>
      </w:r>
      <w:r w:rsidRPr="009712EB">
        <w:rPr>
          <w:sz w:val="20"/>
          <w:szCs w:val="20"/>
          <w:lang w:val="es-ES_tradnl"/>
        </w:rPr>
        <w:t>gobiernos nacionales</w:t>
      </w:r>
      <w:r w:rsidR="001A105A">
        <w:rPr>
          <w:sz w:val="20"/>
          <w:szCs w:val="20"/>
          <w:lang w:val="es-ES_tradnl"/>
        </w:rPr>
        <w:t xml:space="preserve"> </w:t>
      </w:r>
      <w:r w:rsidR="001A105A" w:rsidRPr="00CD49F1">
        <w:rPr>
          <w:sz w:val="20"/>
          <w:szCs w:val="20"/>
          <w:lang w:val="es-ES_tradnl"/>
        </w:rPr>
        <w:t>y organizaciones internacionales de derechos humanos</w:t>
      </w:r>
      <w:r w:rsidRPr="00CD49F1">
        <w:rPr>
          <w:sz w:val="20"/>
          <w:szCs w:val="20"/>
          <w:lang w:val="es-ES_tradnl"/>
        </w:rPr>
        <w:t>.</w:t>
      </w:r>
      <w:r w:rsidRPr="009712EB">
        <w:rPr>
          <w:sz w:val="20"/>
          <w:szCs w:val="20"/>
          <w:lang w:val="es-ES_tradnl"/>
        </w:rPr>
        <w:t xml:space="preserve"> De manera contundente, en el marco de las reuniones del Consejo de Seguridad de las Naciones Unidas celebradas el 20 y 21 de diciembre de 1989, el Estado de Nicaragua, la Unión Soviética de Repúblicas Socialistas, China, Nepal, Etiopia, Argelia, Malasia, Cuba y Yugoslavia pronunciaron su rechazo hacia la operación militar implementada por las fuerzas militares estadounidenses en Panamá</w:t>
      </w:r>
      <w:r w:rsidRPr="009712EB">
        <w:rPr>
          <w:rStyle w:val="FootnoteReference"/>
          <w:sz w:val="20"/>
          <w:szCs w:val="20"/>
          <w:lang w:val="es-ES_tradnl"/>
        </w:rPr>
        <w:footnoteReference w:id="71"/>
      </w:r>
      <w:r w:rsidRPr="009712EB">
        <w:rPr>
          <w:sz w:val="20"/>
          <w:szCs w:val="20"/>
          <w:lang w:val="es-ES_tradnl"/>
        </w:rPr>
        <w:t>. El Estado de Finlandia expresó su rechazo al considerar la intervención militar como una respuesta desproporcional y reprochable</w:t>
      </w:r>
      <w:r w:rsidRPr="009712EB">
        <w:rPr>
          <w:rStyle w:val="FootnoteReference"/>
          <w:sz w:val="20"/>
          <w:szCs w:val="20"/>
          <w:lang w:val="es-ES_tradnl"/>
        </w:rPr>
        <w:footnoteReference w:id="72"/>
      </w:r>
      <w:r w:rsidRPr="009712EB">
        <w:rPr>
          <w:sz w:val="20"/>
          <w:szCs w:val="20"/>
          <w:lang w:val="es-ES_tradnl"/>
        </w:rPr>
        <w:t xml:space="preserve">. </w:t>
      </w:r>
    </w:p>
    <w:p w:rsidR="004A5155" w:rsidRPr="009712EB" w:rsidRDefault="004A5155" w:rsidP="009712EB">
      <w:pPr>
        <w:pStyle w:val="ListParagraph"/>
        <w:jc w:val="both"/>
        <w:rPr>
          <w:sz w:val="20"/>
          <w:szCs w:val="20"/>
          <w:lang w:val="es-ES_tradnl"/>
        </w:rPr>
      </w:pPr>
    </w:p>
    <w:p w:rsidR="00E71067" w:rsidRPr="009712EB" w:rsidRDefault="00E71067" w:rsidP="003B6A9B">
      <w:pPr>
        <w:pStyle w:val="ListParagraph"/>
        <w:numPr>
          <w:ilvl w:val="0"/>
          <w:numId w:val="58"/>
        </w:numPr>
        <w:ind w:left="0" w:firstLine="720"/>
        <w:jc w:val="both"/>
        <w:rPr>
          <w:sz w:val="20"/>
          <w:szCs w:val="20"/>
          <w:lang w:val="es-ES_tradnl"/>
        </w:rPr>
      </w:pPr>
      <w:r w:rsidRPr="009712EB">
        <w:rPr>
          <w:sz w:val="20"/>
          <w:szCs w:val="20"/>
          <w:lang w:val="es-ES_tradnl"/>
        </w:rPr>
        <w:t>En el marco de dichas reuniones, los estados de Argelia, Colombia, Etiopia, Malasia, Nepal, Senegal y Yugoslavia presentaron el borrador de resolución a ser sometida a votación en cuyo texto incluían una fuerte condena a la intervención militar en Panamá como una flagrante violación al derecho internacional</w:t>
      </w:r>
      <w:r w:rsidRPr="009712EB">
        <w:rPr>
          <w:rStyle w:val="FootnoteReference"/>
          <w:sz w:val="20"/>
          <w:szCs w:val="20"/>
          <w:lang w:val="es-ES_tradnl"/>
        </w:rPr>
        <w:footnoteReference w:id="73"/>
      </w:r>
      <w:r w:rsidRPr="009712EB">
        <w:rPr>
          <w:sz w:val="20"/>
          <w:szCs w:val="20"/>
          <w:lang w:val="es-ES_tradnl"/>
        </w:rPr>
        <w:t xml:space="preserve">. </w:t>
      </w:r>
      <w:r w:rsidR="00187F9C">
        <w:rPr>
          <w:sz w:val="20"/>
          <w:szCs w:val="20"/>
          <w:lang w:val="es-ES_tradnl"/>
        </w:rPr>
        <w:t>H</w:t>
      </w:r>
      <w:r w:rsidRPr="009712EB">
        <w:rPr>
          <w:sz w:val="20"/>
          <w:szCs w:val="20"/>
          <w:lang w:val="es-ES_tradnl"/>
        </w:rPr>
        <w:t xml:space="preserve">ubo 10 votos a favor de la adopción de dicha resolución, </w:t>
      </w:r>
      <w:r w:rsidR="00187F9C">
        <w:rPr>
          <w:sz w:val="20"/>
          <w:szCs w:val="20"/>
          <w:lang w:val="es-ES_tradnl"/>
        </w:rPr>
        <w:t>y</w:t>
      </w:r>
      <w:r w:rsidRPr="009712EB">
        <w:rPr>
          <w:sz w:val="20"/>
          <w:szCs w:val="20"/>
          <w:lang w:val="es-ES_tradnl"/>
        </w:rPr>
        <w:t xml:space="preserve"> 4 votos en contra por los estados de Francia, Canadá, Reino Unido y los Estados Unidos</w:t>
      </w:r>
      <w:r w:rsidRPr="009712EB">
        <w:rPr>
          <w:rStyle w:val="FootnoteReference"/>
          <w:sz w:val="20"/>
          <w:szCs w:val="20"/>
          <w:lang w:val="es-ES_tradnl"/>
        </w:rPr>
        <w:footnoteReference w:id="74"/>
      </w:r>
      <w:r w:rsidRPr="009712EB">
        <w:rPr>
          <w:sz w:val="20"/>
          <w:szCs w:val="20"/>
          <w:lang w:val="es-ES_tradnl"/>
        </w:rPr>
        <w:t>. Los representantes de Francia y Reino Unido explicaron que su voto había sido en base al lenguaje desbalanceado de la resolución por no mencionar la situación en la que se encontraba Panamá bajo el r</w:t>
      </w:r>
      <w:r w:rsidRPr="009712EB">
        <w:rPr>
          <w:rFonts w:cs="Times New Roman"/>
          <w:sz w:val="20"/>
          <w:szCs w:val="20"/>
          <w:lang w:val="es-ES_tradnl"/>
        </w:rPr>
        <w:t>égimen de Noriega</w:t>
      </w:r>
      <w:r w:rsidRPr="009712EB">
        <w:rPr>
          <w:rStyle w:val="FootnoteReference"/>
          <w:rFonts w:cs="Times New Roman"/>
          <w:sz w:val="20"/>
          <w:szCs w:val="20"/>
          <w:lang w:val="es-ES_tradnl"/>
        </w:rPr>
        <w:footnoteReference w:id="75"/>
      </w:r>
      <w:r w:rsidRPr="009712EB">
        <w:rPr>
          <w:rFonts w:cs="Times New Roman"/>
          <w:sz w:val="20"/>
          <w:szCs w:val="20"/>
          <w:lang w:val="es-ES_tradnl"/>
        </w:rPr>
        <w:t>.</w:t>
      </w:r>
    </w:p>
    <w:p w:rsidR="004A5155" w:rsidRPr="009712EB" w:rsidRDefault="004A5155" w:rsidP="009712EB">
      <w:pPr>
        <w:pStyle w:val="ListParagraph"/>
        <w:jc w:val="both"/>
        <w:rPr>
          <w:sz w:val="20"/>
          <w:szCs w:val="20"/>
          <w:lang w:val="es-ES_tradnl"/>
        </w:rPr>
      </w:pPr>
    </w:p>
    <w:p w:rsidR="00E71067" w:rsidRPr="009712EB" w:rsidRDefault="00E71067" w:rsidP="003B6A9B">
      <w:pPr>
        <w:pStyle w:val="ListParagraph"/>
        <w:numPr>
          <w:ilvl w:val="0"/>
          <w:numId w:val="58"/>
        </w:numPr>
        <w:ind w:left="0" w:firstLine="720"/>
        <w:jc w:val="both"/>
        <w:rPr>
          <w:sz w:val="20"/>
          <w:szCs w:val="20"/>
          <w:lang w:val="es-ES_tradnl"/>
        </w:rPr>
      </w:pPr>
      <w:r w:rsidRPr="009712EB">
        <w:rPr>
          <w:sz w:val="20"/>
          <w:szCs w:val="20"/>
          <w:lang w:val="es-ES_tradnl"/>
        </w:rPr>
        <w:t>Asimismo el 29 de diciembre de 1989, mediante resolución No. 44/240, la Asamblea General de las Naciones Unidas condenó la acción militar al considerar que</w:t>
      </w:r>
      <w:r w:rsidR="00187F9C">
        <w:rPr>
          <w:sz w:val="20"/>
          <w:szCs w:val="20"/>
          <w:lang w:val="es-ES_tradnl"/>
        </w:rPr>
        <w:t xml:space="preserve"> dicha acción</w:t>
      </w:r>
      <w:r w:rsidRPr="009712EB">
        <w:rPr>
          <w:sz w:val="20"/>
          <w:szCs w:val="20"/>
          <w:lang w:val="es-ES_tradnl"/>
        </w:rPr>
        <w:t xml:space="preserve"> constituía una “flagrante violación del derecho internacional y de la independencia, soberanía e integridad territorial”</w:t>
      </w:r>
      <w:r w:rsidR="00187F9C">
        <w:rPr>
          <w:sz w:val="20"/>
          <w:szCs w:val="20"/>
          <w:lang w:val="es-ES_tradnl"/>
        </w:rPr>
        <w:t xml:space="preserve"> de los estados</w:t>
      </w:r>
      <w:r w:rsidRPr="009712EB">
        <w:rPr>
          <w:rStyle w:val="FootnoteReference"/>
          <w:sz w:val="20"/>
          <w:szCs w:val="20"/>
          <w:lang w:val="es-ES_tradnl"/>
        </w:rPr>
        <w:footnoteReference w:id="76"/>
      </w:r>
      <w:r w:rsidRPr="009712EB">
        <w:rPr>
          <w:sz w:val="20"/>
          <w:szCs w:val="20"/>
          <w:lang w:val="es-ES_tradnl"/>
        </w:rPr>
        <w:t>. En este sentido se exigió el cese inmediato de la intervención y la retirada de las “fuerzas armadas i</w:t>
      </w:r>
      <w:r w:rsidR="00D01836">
        <w:rPr>
          <w:sz w:val="20"/>
          <w:szCs w:val="20"/>
          <w:lang w:val="es-ES_tradnl"/>
        </w:rPr>
        <w:t>nvasoras de los Estados Unidos”</w:t>
      </w:r>
      <w:r w:rsidRPr="009712EB">
        <w:rPr>
          <w:rStyle w:val="FootnoteReference"/>
          <w:sz w:val="20"/>
          <w:szCs w:val="20"/>
          <w:lang w:val="es-ES_tradnl"/>
        </w:rPr>
        <w:footnoteReference w:id="77"/>
      </w:r>
      <w:r w:rsidR="00D01836">
        <w:rPr>
          <w:sz w:val="20"/>
          <w:szCs w:val="20"/>
          <w:lang w:val="es-ES_tradnl"/>
        </w:rPr>
        <w:t>.</w:t>
      </w:r>
      <w:r w:rsidRPr="009712EB">
        <w:rPr>
          <w:sz w:val="20"/>
          <w:szCs w:val="20"/>
          <w:lang w:val="es-ES_tradnl"/>
        </w:rPr>
        <w:t xml:space="preserve"> En específico la resolución expresó una profunda preocupación </w:t>
      </w:r>
      <w:r w:rsidR="008656E7">
        <w:rPr>
          <w:sz w:val="20"/>
          <w:szCs w:val="20"/>
          <w:lang w:val="es-ES_tradnl"/>
        </w:rPr>
        <w:t xml:space="preserve">en relación a </w:t>
      </w:r>
      <w:r w:rsidRPr="009712EB">
        <w:rPr>
          <w:sz w:val="20"/>
          <w:szCs w:val="20"/>
          <w:lang w:val="es-ES_tradnl"/>
        </w:rPr>
        <w:t>las graves cons</w:t>
      </w:r>
      <w:r w:rsidR="008656E7">
        <w:rPr>
          <w:sz w:val="20"/>
          <w:szCs w:val="20"/>
          <w:lang w:val="es-ES_tradnl"/>
        </w:rPr>
        <w:t>ecuencias que este hecho puede</w:t>
      </w:r>
      <w:r w:rsidRPr="009712EB">
        <w:rPr>
          <w:sz w:val="20"/>
          <w:szCs w:val="20"/>
          <w:lang w:val="es-ES_tradnl"/>
        </w:rPr>
        <w:t xml:space="preserve"> tener para la paz y seguridad en la región centroamericana</w:t>
      </w:r>
      <w:r w:rsidRPr="009712EB">
        <w:rPr>
          <w:rStyle w:val="FootnoteReference"/>
          <w:sz w:val="20"/>
          <w:szCs w:val="20"/>
          <w:lang w:val="es-ES_tradnl"/>
        </w:rPr>
        <w:footnoteReference w:id="78"/>
      </w:r>
      <w:r w:rsidRPr="009712EB">
        <w:rPr>
          <w:sz w:val="20"/>
          <w:szCs w:val="20"/>
          <w:lang w:val="es-ES_tradnl"/>
        </w:rPr>
        <w:t>.</w:t>
      </w:r>
    </w:p>
    <w:p w:rsidR="004A5155" w:rsidRPr="009712EB" w:rsidRDefault="004A5155" w:rsidP="009712EB">
      <w:pPr>
        <w:pStyle w:val="ListParagraph"/>
        <w:jc w:val="both"/>
        <w:rPr>
          <w:sz w:val="20"/>
          <w:szCs w:val="20"/>
          <w:lang w:val="es-ES_tradnl"/>
        </w:rPr>
      </w:pPr>
    </w:p>
    <w:p w:rsidR="00E71067" w:rsidRPr="009712EB" w:rsidRDefault="00E71067" w:rsidP="003B6A9B">
      <w:pPr>
        <w:pStyle w:val="ListParagraph"/>
        <w:numPr>
          <w:ilvl w:val="0"/>
          <w:numId w:val="58"/>
        </w:numPr>
        <w:ind w:left="0" w:firstLine="720"/>
        <w:jc w:val="both"/>
        <w:rPr>
          <w:sz w:val="20"/>
          <w:szCs w:val="20"/>
          <w:lang w:val="es-ES_tradnl"/>
        </w:rPr>
      </w:pPr>
      <w:r w:rsidRPr="009712EB">
        <w:rPr>
          <w:sz w:val="20"/>
          <w:szCs w:val="20"/>
          <w:lang w:val="es-ES_tradnl"/>
        </w:rPr>
        <w:lastRenderedPageBreak/>
        <w:t xml:space="preserve">Por su parte los </w:t>
      </w:r>
      <w:r w:rsidR="00B565AB" w:rsidRPr="009712EB">
        <w:rPr>
          <w:sz w:val="20"/>
          <w:szCs w:val="20"/>
          <w:lang w:val="es-ES_tradnl"/>
        </w:rPr>
        <w:t>Estados Americanos</w:t>
      </w:r>
      <w:r w:rsidRPr="009712EB">
        <w:rPr>
          <w:sz w:val="20"/>
          <w:szCs w:val="20"/>
          <w:lang w:val="es-ES_tradnl"/>
        </w:rPr>
        <w:t xml:space="preserve"> formalizaron su rechazo el 22 de diciembre de 1989, cuando reunidos en Consejo Permanente de la OEA, expresaron mediante Resolución 534 (800/89) su profundo lamento por la intervención militar en Panamá y urgieron el inmediato cese de hostilidades y el retiro de las tropas extranjeras</w:t>
      </w:r>
      <w:r w:rsidRPr="009712EB">
        <w:rPr>
          <w:rStyle w:val="FootnoteReference"/>
          <w:sz w:val="20"/>
          <w:szCs w:val="20"/>
          <w:lang w:val="es-ES_tradnl"/>
        </w:rPr>
        <w:footnoteReference w:id="79"/>
      </w:r>
      <w:r w:rsidRPr="009712EB">
        <w:rPr>
          <w:sz w:val="20"/>
          <w:szCs w:val="20"/>
          <w:lang w:val="es-ES_tradnl"/>
        </w:rPr>
        <w:t xml:space="preserve">. </w:t>
      </w:r>
      <w:r w:rsidR="008656E7">
        <w:rPr>
          <w:sz w:val="20"/>
          <w:szCs w:val="20"/>
          <w:lang w:val="es-ES_tradnl"/>
        </w:rPr>
        <w:t xml:space="preserve">La resolución, la cual </w:t>
      </w:r>
      <w:r w:rsidRPr="009712EB">
        <w:rPr>
          <w:sz w:val="20"/>
          <w:szCs w:val="20"/>
          <w:lang w:val="es-ES_tradnl"/>
        </w:rPr>
        <w:t>aprobada por todos los estados sal</w:t>
      </w:r>
      <w:r w:rsidR="008656E7">
        <w:rPr>
          <w:sz w:val="20"/>
          <w:szCs w:val="20"/>
          <w:lang w:val="es-ES_tradnl"/>
        </w:rPr>
        <w:t xml:space="preserve">vo Estados Unidos, se refirió en términos enfáticos al </w:t>
      </w:r>
      <w:r w:rsidRPr="009712EB">
        <w:rPr>
          <w:sz w:val="20"/>
          <w:szCs w:val="20"/>
          <w:lang w:val="es-ES_tradnl"/>
        </w:rPr>
        <w:t>principio internacional de no intervención,</w:t>
      </w:r>
      <w:r w:rsidR="008656E7">
        <w:rPr>
          <w:sz w:val="20"/>
          <w:szCs w:val="20"/>
          <w:lang w:val="es-ES_tradnl"/>
        </w:rPr>
        <w:t xml:space="preserve"> y a la</w:t>
      </w:r>
      <w:r w:rsidRPr="009712EB">
        <w:rPr>
          <w:sz w:val="20"/>
          <w:szCs w:val="20"/>
          <w:lang w:val="es-ES_tradnl"/>
        </w:rPr>
        <w:t xml:space="preserve"> “profunda preocupación sobre los serios incidentes y las pérdidas d</w:t>
      </w:r>
      <w:r w:rsidR="007C39F0">
        <w:rPr>
          <w:sz w:val="20"/>
          <w:szCs w:val="20"/>
          <w:lang w:val="es-ES_tradnl"/>
        </w:rPr>
        <w:t>e vida” que habían tenido lugar</w:t>
      </w:r>
      <w:r w:rsidRPr="009712EB">
        <w:rPr>
          <w:rStyle w:val="FootnoteReference"/>
          <w:sz w:val="20"/>
          <w:szCs w:val="20"/>
          <w:lang w:val="es-ES_tradnl"/>
        </w:rPr>
        <w:footnoteReference w:id="80"/>
      </w:r>
      <w:r w:rsidR="007C39F0">
        <w:rPr>
          <w:sz w:val="20"/>
          <w:szCs w:val="20"/>
          <w:lang w:val="es-ES_tradnl"/>
        </w:rPr>
        <w:t>.</w:t>
      </w:r>
      <w:r w:rsidRPr="009712EB">
        <w:rPr>
          <w:sz w:val="20"/>
          <w:szCs w:val="20"/>
          <w:lang w:val="es-ES_tradnl"/>
        </w:rPr>
        <w:t xml:space="preserve"> </w:t>
      </w:r>
    </w:p>
    <w:p w:rsidR="004A5155" w:rsidRPr="00266573" w:rsidRDefault="004A5155" w:rsidP="009712EB">
      <w:pPr>
        <w:pStyle w:val="ListParagraph"/>
        <w:jc w:val="both"/>
        <w:rPr>
          <w:color w:val="auto"/>
          <w:sz w:val="20"/>
          <w:szCs w:val="20"/>
          <w:lang w:val="es-ES_tradnl"/>
        </w:rPr>
      </w:pPr>
    </w:p>
    <w:p w:rsidR="00E71067" w:rsidRDefault="00E71067" w:rsidP="003B6A9B">
      <w:pPr>
        <w:pStyle w:val="ListParagraph"/>
        <w:numPr>
          <w:ilvl w:val="0"/>
          <w:numId w:val="58"/>
        </w:numPr>
        <w:ind w:left="0" w:firstLine="720"/>
        <w:jc w:val="both"/>
        <w:rPr>
          <w:sz w:val="20"/>
          <w:szCs w:val="20"/>
          <w:lang w:val="es-ES_tradnl"/>
        </w:rPr>
      </w:pPr>
      <w:r w:rsidRPr="00266573">
        <w:rPr>
          <w:color w:val="auto"/>
          <w:sz w:val="20"/>
          <w:szCs w:val="20"/>
          <w:lang w:val="es-ES_tradnl"/>
        </w:rPr>
        <w:t>En el ámbito interamericano</w:t>
      </w:r>
      <w:r w:rsidRPr="009712EB">
        <w:rPr>
          <w:sz w:val="20"/>
          <w:szCs w:val="20"/>
          <w:lang w:val="es-ES_tradnl"/>
        </w:rPr>
        <w:t xml:space="preserve">, </w:t>
      </w:r>
      <w:r w:rsidR="008656E7">
        <w:rPr>
          <w:sz w:val="20"/>
          <w:szCs w:val="20"/>
          <w:lang w:val="es-ES_tradnl"/>
        </w:rPr>
        <w:t xml:space="preserve">en el ejercicio de su mandato, </w:t>
      </w:r>
      <w:r w:rsidRPr="009712EB">
        <w:rPr>
          <w:sz w:val="20"/>
          <w:szCs w:val="20"/>
          <w:lang w:val="es-ES_tradnl"/>
        </w:rPr>
        <w:t xml:space="preserve">la Comisión Interamericana </w:t>
      </w:r>
      <w:r w:rsidR="008656E7">
        <w:rPr>
          <w:sz w:val="20"/>
          <w:szCs w:val="20"/>
          <w:lang w:val="es-ES_tradnl"/>
        </w:rPr>
        <w:t xml:space="preserve">de Derechos Humanos </w:t>
      </w:r>
      <w:r w:rsidRPr="009712EB">
        <w:rPr>
          <w:sz w:val="20"/>
          <w:szCs w:val="20"/>
          <w:lang w:val="es-ES_tradnl"/>
        </w:rPr>
        <w:t>expresó su preocupación en particular por i) la situación legal y procesal de todas las personas privadas de su libertad a partir de la intervención militar de Estados Unidos y su tratamiento mientras se encuentran en prisión, ii) la posibilidad de los familiares de los fallecidos en la lucha armada del 20 de diciembre de 1989, de tener acceso a información y entrega de los despojos de las víctimas, y iii) por cualquier posible violaci</w:t>
      </w:r>
      <w:r w:rsidR="008656E7">
        <w:rPr>
          <w:sz w:val="20"/>
          <w:szCs w:val="20"/>
          <w:lang w:val="es-ES_tradnl"/>
        </w:rPr>
        <w:t>ón de derechos humanos que pudo</w:t>
      </w:r>
      <w:r w:rsidRPr="009712EB">
        <w:rPr>
          <w:sz w:val="20"/>
          <w:szCs w:val="20"/>
          <w:lang w:val="es-ES_tradnl"/>
        </w:rPr>
        <w:t xml:space="preserve"> haber ocurrido durante, después y como consecuencia de los hec</w:t>
      </w:r>
      <w:r w:rsidR="007C39F0">
        <w:rPr>
          <w:sz w:val="20"/>
          <w:szCs w:val="20"/>
          <w:lang w:val="es-ES_tradnl"/>
        </w:rPr>
        <w:t>hos del 20 de diciembre de 1989</w:t>
      </w:r>
      <w:r w:rsidRPr="009712EB">
        <w:rPr>
          <w:rStyle w:val="FootnoteReference"/>
          <w:sz w:val="20"/>
          <w:szCs w:val="20"/>
          <w:lang w:val="es-ES_tradnl"/>
        </w:rPr>
        <w:footnoteReference w:id="81"/>
      </w:r>
      <w:r w:rsidR="007C39F0">
        <w:rPr>
          <w:sz w:val="20"/>
          <w:szCs w:val="20"/>
          <w:lang w:val="es-ES_tradnl"/>
        </w:rPr>
        <w:t>.</w:t>
      </w:r>
      <w:r w:rsidRPr="009712EB">
        <w:rPr>
          <w:sz w:val="20"/>
          <w:szCs w:val="20"/>
          <w:lang w:val="es-ES_tradnl"/>
        </w:rPr>
        <w:t xml:space="preserve"> En Informes posteriores la CIDH mantuvo la opinión que aún existían aspectos dignos de ser esclarecidos, con respecto a la situación de los derechos huma</w:t>
      </w:r>
      <w:r w:rsidR="007C39F0">
        <w:rPr>
          <w:sz w:val="20"/>
          <w:szCs w:val="20"/>
          <w:lang w:val="es-ES_tradnl"/>
        </w:rPr>
        <w:t>nos de los habitantes de Panamá</w:t>
      </w:r>
      <w:r w:rsidRPr="009712EB">
        <w:rPr>
          <w:rStyle w:val="FootnoteReference"/>
          <w:sz w:val="20"/>
          <w:szCs w:val="20"/>
          <w:lang w:val="es-ES_tradnl"/>
        </w:rPr>
        <w:footnoteReference w:id="82"/>
      </w:r>
      <w:r w:rsidR="007C39F0">
        <w:rPr>
          <w:sz w:val="20"/>
          <w:szCs w:val="20"/>
          <w:lang w:val="es-ES_tradnl"/>
        </w:rPr>
        <w:t>.</w:t>
      </w:r>
    </w:p>
    <w:p w:rsidR="001A105A" w:rsidRPr="004005C6" w:rsidRDefault="001A105A" w:rsidP="00AE3BF5">
      <w:pPr>
        <w:pStyle w:val="ListParagraph"/>
        <w:ind w:left="0" w:firstLine="720"/>
        <w:jc w:val="both"/>
        <w:rPr>
          <w:sz w:val="20"/>
          <w:szCs w:val="20"/>
          <w:lang w:val="es-ES_tradnl"/>
        </w:rPr>
      </w:pPr>
    </w:p>
    <w:p w:rsidR="009D5581" w:rsidRPr="00B053C8" w:rsidRDefault="001A105A" w:rsidP="003B6A9B">
      <w:pPr>
        <w:pStyle w:val="ListParagraph"/>
        <w:numPr>
          <w:ilvl w:val="0"/>
          <w:numId w:val="58"/>
        </w:numPr>
        <w:ind w:left="0" w:firstLine="720"/>
        <w:jc w:val="both"/>
        <w:rPr>
          <w:sz w:val="20"/>
          <w:szCs w:val="20"/>
          <w:lang w:val="es-ES_tradnl"/>
        </w:rPr>
      </w:pPr>
      <w:r w:rsidRPr="00B053C8">
        <w:rPr>
          <w:sz w:val="20"/>
          <w:szCs w:val="20"/>
          <w:lang w:val="es-ES_tradnl"/>
        </w:rPr>
        <w:t xml:space="preserve">Poco </w:t>
      </w:r>
      <w:r w:rsidR="008656E7">
        <w:rPr>
          <w:sz w:val="20"/>
          <w:szCs w:val="20"/>
          <w:lang w:val="es-ES_tradnl"/>
        </w:rPr>
        <w:t>después de la intervención</w:t>
      </w:r>
      <w:r w:rsidRPr="00B053C8">
        <w:rPr>
          <w:sz w:val="20"/>
          <w:szCs w:val="20"/>
          <w:lang w:val="es-ES_tradnl"/>
        </w:rPr>
        <w:t xml:space="preserve">, organizaciones internacionales de derechos humanos como Americas Watch y Physicians for Human Rights presentaron informes </w:t>
      </w:r>
      <w:r w:rsidR="004005C6" w:rsidRPr="00B053C8">
        <w:rPr>
          <w:sz w:val="20"/>
          <w:szCs w:val="20"/>
          <w:lang w:val="es-ES_tradnl"/>
        </w:rPr>
        <w:t xml:space="preserve">valorando las acciones militares llevadas a cabo por las fuerzas armadas estadounidenses y los daños sufridos por la población civil panameña. </w:t>
      </w:r>
    </w:p>
    <w:p w:rsidR="009D5581" w:rsidRPr="008656E7" w:rsidRDefault="009D5581" w:rsidP="009D5581">
      <w:pPr>
        <w:pStyle w:val="ListParagraph"/>
        <w:jc w:val="both"/>
        <w:rPr>
          <w:sz w:val="20"/>
          <w:szCs w:val="20"/>
          <w:lang w:val="es-ES"/>
        </w:rPr>
      </w:pPr>
    </w:p>
    <w:p w:rsidR="009B57E3" w:rsidRPr="00B053C8" w:rsidRDefault="004005C6" w:rsidP="003B6A9B">
      <w:pPr>
        <w:pStyle w:val="ListParagraph"/>
        <w:numPr>
          <w:ilvl w:val="0"/>
          <w:numId w:val="58"/>
        </w:numPr>
        <w:ind w:left="0" w:firstLine="720"/>
        <w:jc w:val="both"/>
        <w:rPr>
          <w:sz w:val="20"/>
          <w:szCs w:val="20"/>
          <w:lang w:val="es-ES_tradnl"/>
        </w:rPr>
      </w:pPr>
      <w:r w:rsidRPr="008656E7">
        <w:rPr>
          <w:sz w:val="20"/>
          <w:szCs w:val="20"/>
        </w:rPr>
        <w:t xml:space="preserve">Americas </w:t>
      </w:r>
      <w:r w:rsidRPr="00593F9C">
        <w:rPr>
          <w:sz w:val="20"/>
          <w:szCs w:val="20"/>
        </w:rPr>
        <w:t>Wa</w:t>
      </w:r>
      <w:r w:rsidR="00593F9C" w:rsidRPr="00593F9C">
        <w:rPr>
          <w:sz w:val="20"/>
          <w:szCs w:val="20"/>
        </w:rPr>
        <w:t>tch elaboró un</w:t>
      </w:r>
      <w:r w:rsidRPr="00593F9C">
        <w:rPr>
          <w:sz w:val="20"/>
          <w:szCs w:val="20"/>
        </w:rPr>
        <w:t xml:space="preserve"> informe titulado “The </w:t>
      </w:r>
      <w:r w:rsidR="004A11F7" w:rsidRPr="00593F9C">
        <w:rPr>
          <w:sz w:val="20"/>
          <w:szCs w:val="20"/>
        </w:rPr>
        <w:t>l</w:t>
      </w:r>
      <w:r w:rsidRPr="00593F9C">
        <w:rPr>
          <w:sz w:val="20"/>
          <w:szCs w:val="20"/>
        </w:rPr>
        <w:t xml:space="preserve">aws of </w:t>
      </w:r>
      <w:r w:rsidR="004A11F7" w:rsidRPr="00593F9C">
        <w:rPr>
          <w:sz w:val="20"/>
          <w:szCs w:val="20"/>
        </w:rPr>
        <w:t>w</w:t>
      </w:r>
      <w:r w:rsidRPr="00593F9C">
        <w:rPr>
          <w:sz w:val="20"/>
          <w:szCs w:val="20"/>
        </w:rPr>
        <w:t xml:space="preserve">ar and the </w:t>
      </w:r>
      <w:r w:rsidR="004A11F7" w:rsidRPr="00593F9C">
        <w:rPr>
          <w:sz w:val="20"/>
          <w:szCs w:val="20"/>
        </w:rPr>
        <w:t>c</w:t>
      </w:r>
      <w:r w:rsidRPr="00593F9C">
        <w:rPr>
          <w:sz w:val="20"/>
          <w:szCs w:val="20"/>
        </w:rPr>
        <w:t>onduct of the Panama Invasion”</w:t>
      </w:r>
      <w:r w:rsidR="00C96A8A" w:rsidRPr="00593F9C">
        <w:rPr>
          <w:rStyle w:val="FootnoteReference"/>
          <w:sz w:val="20"/>
          <w:szCs w:val="20"/>
          <w:lang w:val="es-ES"/>
        </w:rPr>
        <w:footnoteReference w:id="83"/>
      </w:r>
      <w:r w:rsidRPr="00593F9C">
        <w:rPr>
          <w:sz w:val="20"/>
          <w:szCs w:val="20"/>
        </w:rPr>
        <w:t xml:space="preserve">, </w:t>
      </w:r>
      <w:r w:rsidR="008656E7" w:rsidRPr="00593F9C">
        <w:rPr>
          <w:sz w:val="20"/>
          <w:szCs w:val="20"/>
        </w:rPr>
        <w:t xml:space="preserve">y seguidamente </w:t>
      </w:r>
      <w:r w:rsidRPr="00593F9C">
        <w:rPr>
          <w:sz w:val="20"/>
          <w:szCs w:val="20"/>
        </w:rPr>
        <w:t>presentó otro titulado “</w:t>
      </w:r>
      <w:bookmarkStart w:id="14" w:name="_Hlk499500150"/>
      <w:r w:rsidRPr="00593F9C">
        <w:rPr>
          <w:sz w:val="20"/>
          <w:szCs w:val="20"/>
        </w:rPr>
        <w:t>Human</w:t>
      </w:r>
      <w:r w:rsidRPr="008656E7">
        <w:rPr>
          <w:sz w:val="20"/>
          <w:szCs w:val="20"/>
        </w:rPr>
        <w:t xml:space="preserve"> Rights in Post-Invasion Panama: Justice </w:t>
      </w:r>
      <w:r w:rsidR="004A11F7" w:rsidRPr="008656E7">
        <w:rPr>
          <w:sz w:val="20"/>
          <w:szCs w:val="20"/>
        </w:rPr>
        <w:t>delayed is justice denied</w:t>
      </w:r>
      <w:bookmarkEnd w:id="14"/>
      <w:r w:rsidRPr="008656E7">
        <w:rPr>
          <w:sz w:val="20"/>
          <w:szCs w:val="20"/>
        </w:rPr>
        <w:t>”</w:t>
      </w:r>
      <w:r w:rsidR="00C96A8A" w:rsidRPr="008656E7">
        <w:rPr>
          <w:rStyle w:val="FootnoteReference"/>
          <w:sz w:val="20"/>
          <w:szCs w:val="20"/>
          <w:lang w:val="es-ES"/>
        </w:rPr>
        <w:footnoteReference w:id="84"/>
      </w:r>
      <w:r w:rsidRPr="008656E7">
        <w:rPr>
          <w:sz w:val="20"/>
          <w:szCs w:val="20"/>
        </w:rPr>
        <w:t xml:space="preserve">. </w:t>
      </w:r>
      <w:r w:rsidRPr="008656E7">
        <w:rPr>
          <w:sz w:val="20"/>
          <w:szCs w:val="20"/>
          <w:lang w:val="es-ES"/>
        </w:rPr>
        <w:t>En el primero</w:t>
      </w:r>
      <w:r w:rsidR="00593F9C">
        <w:rPr>
          <w:sz w:val="20"/>
          <w:szCs w:val="20"/>
          <w:lang w:val="es-ES"/>
        </w:rPr>
        <w:t xml:space="preserve">, </w:t>
      </w:r>
      <w:r w:rsidRPr="008656E7">
        <w:rPr>
          <w:sz w:val="20"/>
          <w:szCs w:val="20"/>
          <w:lang w:val="es-ES"/>
        </w:rPr>
        <w:t xml:space="preserve">esta organización analizó </w:t>
      </w:r>
      <w:r w:rsidR="00C96A8A" w:rsidRPr="008656E7">
        <w:rPr>
          <w:sz w:val="20"/>
          <w:szCs w:val="20"/>
          <w:lang w:val="es-ES"/>
        </w:rPr>
        <w:t xml:space="preserve">temas referentes a las muertes de los civiles; </w:t>
      </w:r>
      <w:r w:rsidR="00593F9C">
        <w:rPr>
          <w:sz w:val="20"/>
          <w:szCs w:val="20"/>
          <w:lang w:val="es-ES"/>
        </w:rPr>
        <w:t xml:space="preserve">a las personas detenidas como </w:t>
      </w:r>
      <w:r w:rsidR="00C96A8A" w:rsidRPr="008656E7">
        <w:rPr>
          <w:sz w:val="20"/>
          <w:szCs w:val="20"/>
          <w:lang w:val="es-ES"/>
        </w:rPr>
        <w:t xml:space="preserve">prisioneros de guerra; inspecciones, detenciones y arrestos de civiles; los desplazados; así como las violaciones cometidas por las fuerzas armadas del General Noriega y los derechos humanos bajo el gobierno de Endara. </w:t>
      </w:r>
      <w:r w:rsidR="005E13EC" w:rsidRPr="008656E7">
        <w:rPr>
          <w:sz w:val="20"/>
          <w:szCs w:val="20"/>
          <w:lang w:val="es-ES"/>
        </w:rPr>
        <w:t xml:space="preserve">Entre otras consideraciones, Americas Watch </w:t>
      </w:r>
      <w:r w:rsidR="00AE3BF5" w:rsidRPr="008656E7">
        <w:rPr>
          <w:sz w:val="20"/>
          <w:szCs w:val="20"/>
          <w:lang w:val="es-ES"/>
        </w:rPr>
        <w:t xml:space="preserve">cuestionó la cifra oficial de fallecidos reconocidas por el estado panameño y los Estados Unidos, y </w:t>
      </w:r>
      <w:r w:rsidR="005E13EC" w:rsidRPr="008656E7">
        <w:rPr>
          <w:sz w:val="20"/>
          <w:szCs w:val="20"/>
          <w:lang w:val="es-ES"/>
        </w:rPr>
        <w:t xml:space="preserve">concluyó </w:t>
      </w:r>
      <w:r w:rsidR="00AE3BF5" w:rsidRPr="008656E7">
        <w:rPr>
          <w:sz w:val="20"/>
          <w:szCs w:val="20"/>
          <w:lang w:val="es-ES"/>
        </w:rPr>
        <w:t>que las tácticas y las armas utilizadas por las fuerzas estadounidenses dieron lugar a un número desproporcionado de víctimas civiles, en violación de obligaciones específicas en virtud de los Convenios de Ginebra</w:t>
      </w:r>
      <w:r w:rsidR="00895796" w:rsidRPr="008656E7">
        <w:rPr>
          <w:sz w:val="20"/>
          <w:szCs w:val="20"/>
          <w:lang w:val="es-ES"/>
        </w:rPr>
        <w:t xml:space="preserve">. En relación a los hechos acaecidos </w:t>
      </w:r>
      <w:r w:rsidR="00AE3BF5" w:rsidRPr="008656E7">
        <w:rPr>
          <w:sz w:val="20"/>
          <w:szCs w:val="20"/>
          <w:lang w:val="es-ES"/>
        </w:rPr>
        <w:t xml:space="preserve">en el barrio de El Chorrillo, </w:t>
      </w:r>
      <w:r w:rsidR="00895796" w:rsidRPr="008656E7">
        <w:rPr>
          <w:sz w:val="20"/>
          <w:szCs w:val="20"/>
          <w:lang w:val="es-ES"/>
        </w:rPr>
        <w:t>Americas Watch</w:t>
      </w:r>
      <w:r w:rsidR="00895796" w:rsidRPr="00B053C8">
        <w:rPr>
          <w:sz w:val="20"/>
          <w:szCs w:val="20"/>
          <w:lang w:val="es-ES_tradnl"/>
        </w:rPr>
        <w:t xml:space="preserve"> determinó que </w:t>
      </w:r>
      <w:r w:rsidR="00AE3BF5" w:rsidRPr="00B053C8">
        <w:rPr>
          <w:sz w:val="20"/>
          <w:szCs w:val="20"/>
          <w:lang w:val="es-ES_tradnl"/>
        </w:rPr>
        <w:t>las fuerzas estadounidenses habían violado la regla de la proporcionalidad, que ordena que el riesgo de daño a los objetivos no permitidos se sopese contra la necesidad militar del objetivo perseguido</w:t>
      </w:r>
      <w:r w:rsidR="00AE3BF5" w:rsidRPr="00B053C8">
        <w:rPr>
          <w:rStyle w:val="FootnoteReference"/>
          <w:sz w:val="20"/>
          <w:szCs w:val="20"/>
          <w:lang w:val="es-ES_tradnl"/>
        </w:rPr>
        <w:footnoteReference w:id="85"/>
      </w:r>
      <w:r w:rsidR="00AE3BF5" w:rsidRPr="00B053C8">
        <w:rPr>
          <w:sz w:val="20"/>
          <w:szCs w:val="20"/>
          <w:lang w:val="es-ES_tradnl"/>
        </w:rPr>
        <w:t xml:space="preserve">. Asimismo consideró que el ataque a El Chorrillo y un ataque similar en un área urbana de Colón se llevaron a cabo sin previo aviso a los civiles, </w:t>
      </w:r>
      <w:r w:rsidR="00593F9C">
        <w:rPr>
          <w:sz w:val="20"/>
          <w:szCs w:val="20"/>
          <w:lang w:val="es-ES_tradnl"/>
        </w:rPr>
        <w:t>a pesar que la ausencia del</w:t>
      </w:r>
      <w:r w:rsidR="00AE3BF5" w:rsidRPr="00B053C8">
        <w:rPr>
          <w:sz w:val="20"/>
          <w:szCs w:val="20"/>
          <w:lang w:val="es-ES_tradnl"/>
        </w:rPr>
        <w:t xml:space="preserve"> elemento sorpresa no habría afectado el resultado violentando el deber permanente de las fuerzas atacantes de minimizar daño a los civiles</w:t>
      </w:r>
      <w:r w:rsidR="00AE3BF5" w:rsidRPr="00B053C8">
        <w:rPr>
          <w:rStyle w:val="FootnoteReference"/>
          <w:sz w:val="20"/>
          <w:szCs w:val="20"/>
          <w:lang w:val="es-ES_tradnl"/>
        </w:rPr>
        <w:footnoteReference w:id="86"/>
      </w:r>
      <w:r w:rsidR="00AE3BF5" w:rsidRPr="00B053C8">
        <w:rPr>
          <w:sz w:val="20"/>
          <w:szCs w:val="20"/>
          <w:lang w:val="es-ES_tradnl"/>
        </w:rPr>
        <w:t>.</w:t>
      </w:r>
    </w:p>
    <w:p w:rsidR="004005C6" w:rsidRPr="00B053C8" w:rsidRDefault="004005C6" w:rsidP="004005C6">
      <w:pPr>
        <w:pStyle w:val="ListParagraph"/>
        <w:jc w:val="both"/>
        <w:rPr>
          <w:sz w:val="20"/>
          <w:szCs w:val="20"/>
          <w:lang w:val="es-ES_tradnl"/>
        </w:rPr>
      </w:pPr>
    </w:p>
    <w:p w:rsidR="004005C6" w:rsidRPr="00B053C8" w:rsidRDefault="004005C6" w:rsidP="003B6A9B">
      <w:pPr>
        <w:pStyle w:val="ListParagraph"/>
        <w:numPr>
          <w:ilvl w:val="0"/>
          <w:numId w:val="58"/>
        </w:numPr>
        <w:ind w:left="0" w:firstLine="720"/>
        <w:jc w:val="both"/>
        <w:rPr>
          <w:sz w:val="20"/>
          <w:szCs w:val="20"/>
          <w:lang w:val="es-VE"/>
        </w:rPr>
      </w:pPr>
      <w:r w:rsidRPr="00B053C8">
        <w:rPr>
          <w:sz w:val="20"/>
          <w:szCs w:val="20"/>
        </w:rPr>
        <w:t xml:space="preserve">Por su parte, Physicians for Human Rights publicó su informe titulado “Operation Just Cause: </w:t>
      </w:r>
      <w:r w:rsidR="004A11F7" w:rsidRPr="00B053C8">
        <w:rPr>
          <w:sz w:val="20"/>
          <w:szCs w:val="20"/>
        </w:rPr>
        <w:t>the human cost of military action in Panama</w:t>
      </w:r>
      <w:r w:rsidRPr="00B053C8">
        <w:rPr>
          <w:sz w:val="20"/>
          <w:szCs w:val="20"/>
        </w:rPr>
        <w:t>”</w:t>
      </w:r>
      <w:r w:rsidR="00C96A8A" w:rsidRPr="00B053C8">
        <w:rPr>
          <w:rStyle w:val="FootnoteReference"/>
          <w:sz w:val="20"/>
          <w:szCs w:val="20"/>
          <w:lang w:val="es-ES_tradnl"/>
        </w:rPr>
        <w:footnoteReference w:id="87"/>
      </w:r>
      <w:r w:rsidRPr="00B053C8">
        <w:rPr>
          <w:sz w:val="20"/>
          <w:szCs w:val="20"/>
        </w:rPr>
        <w:t>.</w:t>
      </w:r>
      <w:r w:rsidR="009D5581" w:rsidRPr="00B053C8">
        <w:rPr>
          <w:sz w:val="20"/>
          <w:szCs w:val="20"/>
        </w:rPr>
        <w:t xml:space="preserve"> </w:t>
      </w:r>
      <w:r w:rsidRPr="00B053C8">
        <w:rPr>
          <w:sz w:val="20"/>
          <w:szCs w:val="20"/>
        </w:rPr>
        <w:t xml:space="preserve"> </w:t>
      </w:r>
      <w:r w:rsidR="009D5581" w:rsidRPr="00B053C8">
        <w:rPr>
          <w:sz w:val="20"/>
          <w:szCs w:val="20"/>
          <w:lang w:val="es-VE"/>
        </w:rPr>
        <w:t xml:space="preserve">Entre sus conclusiones, esta organización también cuestionó la cifra oficial de </w:t>
      </w:r>
      <w:r w:rsidR="004A11F7" w:rsidRPr="00B053C8">
        <w:rPr>
          <w:sz w:val="20"/>
          <w:szCs w:val="20"/>
          <w:lang w:val="es-VE"/>
        </w:rPr>
        <w:t xml:space="preserve">los fallecidos y presentó una cifra de por lo menos 300 civiles fallecidos y 3 mil lesionados. </w:t>
      </w:r>
      <w:r w:rsidR="00046A69" w:rsidRPr="00B053C8">
        <w:rPr>
          <w:sz w:val="20"/>
          <w:szCs w:val="20"/>
          <w:lang w:val="es-VE"/>
        </w:rPr>
        <w:t xml:space="preserve">Asimismo destacó el anuncio oficial de 23 militares estadounidenses fallecidos. </w:t>
      </w:r>
      <w:r w:rsidR="004A11F7" w:rsidRPr="00B053C8">
        <w:rPr>
          <w:sz w:val="20"/>
          <w:szCs w:val="20"/>
          <w:lang w:val="es-VE"/>
        </w:rPr>
        <w:t xml:space="preserve">Consideró </w:t>
      </w:r>
      <w:r w:rsidR="00046A69" w:rsidRPr="00B053C8">
        <w:rPr>
          <w:sz w:val="20"/>
          <w:szCs w:val="20"/>
          <w:lang w:val="es-VE"/>
        </w:rPr>
        <w:t xml:space="preserve">que </w:t>
      </w:r>
      <w:r w:rsidR="004A11F7" w:rsidRPr="00B053C8">
        <w:rPr>
          <w:sz w:val="20"/>
          <w:szCs w:val="20"/>
          <w:lang w:val="es-VE"/>
        </w:rPr>
        <w:t>los esfuerzos de socorro</w:t>
      </w:r>
      <w:r w:rsidR="00046A69" w:rsidRPr="00B053C8">
        <w:rPr>
          <w:sz w:val="20"/>
          <w:szCs w:val="20"/>
          <w:lang w:val="es-VE"/>
        </w:rPr>
        <w:t xml:space="preserve"> fueron</w:t>
      </w:r>
      <w:r w:rsidR="004A11F7" w:rsidRPr="00B053C8">
        <w:rPr>
          <w:sz w:val="20"/>
          <w:szCs w:val="20"/>
          <w:lang w:val="es-VE"/>
        </w:rPr>
        <w:t xml:space="preserve"> inadecuados para atender las necesidades básicas de aquellos que perdieron su hogar y </w:t>
      </w:r>
      <w:r w:rsidR="00046A69" w:rsidRPr="00B053C8">
        <w:rPr>
          <w:sz w:val="20"/>
          <w:szCs w:val="20"/>
          <w:lang w:val="es-VE"/>
        </w:rPr>
        <w:t xml:space="preserve">señaló </w:t>
      </w:r>
      <w:r w:rsidR="00046A69" w:rsidRPr="00B053C8">
        <w:rPr>
          <w:sz w:val="20"/>
          <w:szCs w:val="20"/>
          <w:lang w:val="es-VE"/>
        </w:rPr>
        <w:lastRenderedPageBreak/>
        <w:t>que el uso a gran escala de armamento sofisticado por las tropas invasoras tenía como objetivo disuadir a los panameños de la resistencia al presentar una abrumadora superioridad del poder de fuego</w:t>
      </w:r>
      <w:r w:rsidR="00046A69" w:rsidRPr="00B053C8">
        <w:rPr>
          <w:rStyle w:val="FootnoteReference"/>
          <w:sz w:val="20"/>
          <w:szCs w:val="20"/>
          <w:lang w:val="es-VE"/>
        </w:rPr>
        <w:footnoteReference w:id="88"/>
      </w:r>
      <w:r w:rsidR="00046A69" w:rsidRPr="00B053C8">
        <w:rPr>
          <w:sz w:val="20"/>
          <w:szCs w:val="20"/>
          <w:lang w:val="es-VE"/>
        </w:rPr>
        <w:t xml:space="preserve">. </w:t>
      </w:r>
    </w:p>
    <w:p w:rsidR="004A5155" w:rsidRPr="009D5581" w:rsidRDefault="004A5155" w:rsidP="004005C6">
      <w:pPr>
        <w:pStyle w:val="ListParagraph"/>
        <w:jc w:val="both"/>
        <w:rPr>
          <w:sz w:val="20"/>
          <w:szCs w:val="20"/>
          <w:lang w:val="es-VE"/>
        </w:rPr>
      </w:pPr>
    </w:p>
    <w:p w:rsidR="004A5155" w:rsidRPr="00821E26" w:rsidRDefault="00AA346D" w:rsidP="00D529F8">
      <w:pPr>
        <w:pStyle w:val="Heading3"/>
        <w:numPr>
          <w:ilvl w:val="0"/>
          <w:numId w:val="67"/>
        </w:numPr>
        <w:spacing w:before="0" w:after="0"/>
        <w:ind w:firstLine="0"/>
        <w:jc w:val="both"/>
        <w:rPr>
          <w:rFonts w:ascii="Cambria" w:hAnsi="Cambria"/>
          <w:lang w:val="es-ES_tradnl"/>
        </w:rPr>
      </w:pPr>
      <w:bookmarkStart w:id="17" w:name="_Toc525294036"/>
      <w:r w:rsidRPr="00821E26">
        <w:rPr>
          <w:rFonts w:ascii="Cambria" w:hAnsi="Cambria"/>
          <w:sz w:val="20"/>
          <w:lang w:val="es-ES_tradnl"/>
        </w:rPr>
        <w:t>H</w:t>
      </w:r>
      <w:r w:rsidR="00B565AB" w:rsidRPr="00821E26">
        <w:rPr>
          <w:rFonts w:ascii="Cambria" w:hAnsi="Cambria"/>
          <w:sz w:val="20"/>
          <w:lang w:val="es-ES_tradnl"/>
        </w:rPr>
        <w:t>echos posteriores a la invasión militar</w:t>
      </w:r>
      <w:bookmarkEnd w:id="17"/>
      <w:r w:rsidR="00B565AB" w:rsidRPr="00821E26">
        <w:rPr>
          <w:rFonts w:ascii="Cambria" w:hAnsi="Cambria"/>
          <w:lang w:val="es-ES_tradnl"/>
        </w:rPr>
        <w:t xml:space="preserve"> </w:t>
      </w:r>
    </w:p>
    <w:p w:rsidR="004A5155" w:rsidRPr="009712EB" w:rsidRDefault="004A5155" w:rsidP="009712EB">
      <w:pPr>
        <w:pStyle w:val="ListParagraph"/>
        <w:ind w:left="1440"/>
        <w:jc w:val="both"/>
        <w:rPr>
          <w:b/>
          <w:color w:val="auto"/>
          <w:sz w:val="20"/>
          <w:szCs w:val="20"/>
          <w:lang w:val="es-ES_tradnl"/>
        </w:rPr>
      </w:pPr>
    </w:p>
    <w:p w:rsidR="004A5155" w:rsidRPr="009712EB" w:rsidRDefault="00AA346D" w:rsidP="003B6A9B">
      <w:pPr>
        <w:pStyle w:val="ListParagraph"/>
        <w:numPr>
          <w:ilvl w:val="0"/>
          <w:numId w:val="58"/>
        </w:numPr>
        <w:ind w:left="0" w:firstLine="720"/>
        <w:jc w:val="both"/>
        <w:rPr>
          <w:rFonts w:eastAsia="MS Mincho"/>
          <w:sz w:val="20"/>
          <w:szCs w:val="20"/>
          <w:bdr w:val="none" w:sz="0" w:space="0" w:color="auto"/>
          <w:lang w:val="es-CO"/>
        </w:rPr>
      </w:pPr>
      <w:r w:rsidRPr="009712EB">
        <w:rPr>
          <w:sz w:val="20"/>
          <w:szCs w:val="20"/>
          <w:lang w:val="es-ES_tradnl"/>
        </w:rPr>
        <w:t>El 22 de diciembre de 1989 el nuevo Gobierno ordenó un “toque de queda en todo el territorio nacional”</w:t>
      </w:r>
      <w:r w:rsidRPr="009712EB">
        <w:rPr>
          <w:sz w:val="20"/>
          <w:szCs w:val="20"/>
          <w:vertAlign w:val="superscript"/>
          <w:lang w:val="es-ES_tradnl"/>
        </w:rPr>
        <w:footnoteReference w:id="89"/>
      </w:r>
      <w:r w:rsidRPr="009712EB">
        <w:rPr>
          <w:sz w:val="20"/>
          <w:szCs w:val="20"/>
          <w:lang w:val="es-ES_tradnl"/>
        </w:rPr>
        <w:t xml:space="preserve"> al reconocer que los actos del 20 de diciembre habían “alterado sustancialmente la vida ciudadana y la convivencia nacional”</w:t>
      </w:r>
      <w:r w:rsidRPr="009712EB">
        <w:rPr>
          <w:sz w:val="20"/>
          <w:szCs w:val="20"/>
          <w:vertAlign w:val="superscript"/>
          <w:lang w:val="es-ES_tradnl"/>
        </w:rPr>
        <w:footnoteReference w:id="90"/>
      </w:r>
      <w:r w:rsidRPr="009712EB">
        <w:rPr>
          <w:sz w:val="20"/>
          <w:szCs w:val="20"/>
          <w:lang w:val="es-ES_tradnl"/>
        </w:rPr>
        <w:t>.</w:t>
      </w:r>
    </w:p>
    <w:p w:rsidR="004A5155" w:rsidRPr="009712EB" w:rsidRDefault="004A5155" w:rsidP="001B4BC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color w:val="000000"/>
          <w:sz w:val="20"/>
          <w:szCs w:val="20"/>
          <w:bdr w:val="none" w:sz="0" w:space="0" w:color="auto"/>
          <w:lang w:val="es-CO"/>
        </w:rPr>
      </w:pPr>
    </w:p>
    <w:p w:rsidR="00AA346D" w:rsidRPr="009712EB" w:rsidRDefault="00AA346D"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olor w:val="000000"/>
          <w:sz w:val="20"/>
          <w:szCs w:val="20"/>
          <w:bdr w:val="none" w:sz="0" w:space="0" w:color="auto"/>
          <w:lang w:val="es-CO"/>
        </w:rPr>
      </w:pPr>
      <w:r w:rsidRPr="009712EB">
        <w:rPr>
          <w:rFonts w:ascii="Cambria" w:eastAsia="Cambria" w:hAnsi="Cambria" w:cs="Cambria"/>
          <w:sz w:val="20"/>
          <w:szCs w:val="20"/>
          <w:u w:color="000000"/>
          <w:lang w:val="es-ES_tradnl" w:eastAsia="es-ES"/>
        </w:rPr>
        <w:t xml:space="preserve">Por su parte, el </w:t>
      </w:r>
      <w:r w:rsidRPr="009712EB">
        <w:rPr>
          <w:rFonts w:ascii="Cambria" w:eastAsia="MS Mincho" w:hAnsi="Cambria"/>
          <w:color w:val="000000"/>
          <w:sz w:val="20"/>
          <w:szCs w:val="20"/>
          <w:bdr w:val="none" w:sz="0" w:space="0" w:color="auto"/>
          <w:lang w:val="es-CO"/>
        </w:rPr>
        <w:t>Tribunal Electoral de Panamá a posteriori de la asunción del nuevo Gobierno, derogó su propio Decreto No. 58/89, por el cual anulaba las elecciones del 7 de mayo de 1989 y al declararlas válidas, consagró como vencedora a la lista que encabezaba el nuevo Presidente</w:t>
      </w:r>
      <w:r w:rsidRPr="009712EB">
        <w:rPr>
          <w:rFonts w:ascii="Cambria" w:eastAsia="MS Mincho" w:hAnsi="Cambria"/>
          <w:color w:val="000000"/>
          <w:sz w:val="20"/>
          <w:szCs w:val="20"/>
          <w:bdr w:val="none" w:sz="0" w:space="0" w:color="auto"/>
          <w:vertAlign w:val="superscript"/>
        </w:rPr>
        <w:footnoteReference w:id="91"/>
      </w:r>
      <w:r w:rsidRPr="009712EB">
        <w:rPr>
          <w:rFonts w:ascii="Cambria" w:eastAsia="MS Mincho" w:hAnsi="Cambria"/>
          <w:color w:val="000000"/>
          <w:sz w:val="20"/>
          <w:szCs w:val="20"/>
          <w:bdr w:val="none" w:sz="0" w:space="0" w:color="auto"/>
          <w:lang w:val="es-CO"/>
        </w:rPr>
        <w:t xml:space="preserve">. </w:t>
      </w:r>
    </w:p>
    <w:p w:rsidR="004A5155" w:rsidRPr="009712EB" w:rsidRDefault="004A5155" w:rsidP="001B4BC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color w:val="000000"/>
          <w:sz w:val="20"/>
          <w:szCs w:val="20"/>
          <w:bdr w:val="none" w:sz="0" w:space="0" w:color="auto"/>
          <w:lang w:val="es-CO"/>
        </w:rPr>
      </w:pPr>
    </w:p>
    <w:p w:rsidR="00AA346D" w:rsidRPr="009712EB" w:rsidRDefault="00AA346D"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olor w:val="000000"/>
          <w:sz w:val="20"/>
          <w:szCs w:val="20"/>
          <w:bdr w:val="none" w:sz="0" w:space="0" w:color="auto"/>
          <w:lang w:val="es-CO"/>
        </w:rPr>
      </w:pPr>
      <w:r w:rsidRPr="009712EB">
        <w:rPr>
          <w:rFonts w:ascii="Cambria" w:eastAsia="Cambria" w:hAnsi="Cambria" w:cs="Cambria"/>
          <w:sz w:val="20"/>
          <w:szCs w:val="20"/>
          <w:u w:color="000000"/>
          <w:lang w:val="es-ES_tradnl" w:eastAsia="es-ES"/>
        </w:rPr>
        <w:t>En virtud del “estatuto de retorno inmediato al orden constitucional” del 21 de diciembre de 1989, el nuevo Gobierno nombró durante los primeros meses de 1990 a las nuevas autoridades del Poder Ejecutivo, Judicial y Legislativo así como de la Fuerza Pública y Contraloría General</w:t>
      </w:r>
      <w:r w:rsidRPr="009712EB">
        <w:rPr>
          <w:rFonts w:ascii="Cambria" w:eastAsia="Cambria" w:hAnsi="Cambria" w:cs="Cambria"/>
          <w:sz w:val="20"/>
          <w:szCs w:val="20"/>
          <w:u w:color="000000"/>
          <w:vertAlign w:val="superscript"/>
          <w:lang w:val="es-ES_tradnl" w:eastAsia="es-ES"/>
        </w:rPr>
        <w:footnoteReference w:id="92"/>
      </w:r>
      <w:r w:rsidRPr="009712EB">
        <w:rPr>
          <w:rFonts w:ascii="Cambria" w:eastAsia="Cambria" w:hAnsi="Cambria" w:cs="Cambria"/>
          <w:sz w:val="20"/>
          <w:szCs w:val="20"/>
          <w:u w:color="000000"/>
          <w:lang w:val="es-ES_tradnl" w:eastAsia="es-ES"/>
        </w:rPr>
        <w:t>.</w:t>
      </w:r>
    </w:p>
    <w:p w:rsidR="004A5155" w:rsidRPr="009712EB" w:rsidRDefault="004A5155" w:rsidP="001B4BC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color w:val="000000"/>
          <w:sz w:val="20"/>
          <w:szCs w:val="20"/>
          <w:bdr w:val="none" w:sz="0" w:space="0" w:color="auto"/>
          <w:lang w:val="es-CO"/>
        </w:rPr>
      </w:pPr>
    </w:p>
    <w:p w:rsidR="00AA346D" w:rsidRPr="009712EB" w:rsidRDefault="00AA346D"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bdr w:val="none" w:sz="0" w:space="0" w:color="auto"/>
          <w:lang w:val="es-CO"/>
        </w:rPr>
      </w:pPr>
      <w:r w:rsidRPr="009712EB">
        <w:rPr>
          <w:rFonts w:ascii="Cambria" w:eastAsia="Times New Roman" w:hAnsi="Cambria"/>
          <w:color w:val="000000"/>
          <w:sz w:val="20"/>
          <w:szCs w:val="20"/>
          <w:bdr w:val="none" w:sz="0" w:space="0" w:color="auto"/>
          <w:lang w:val="es-CO"/>
        </w:rPr>
        <w:t>En cuanto a las medidas adoptadas por el nuevo gobierno, la CIDH tuvo conocimiento de, entre otras, la reapertura de medios de comunicación clausurados, la devolución de otros a sus legítimos propietarios, la puesta en libertad de ex-militares involucrados en intentos fallidos de golpe militar así como de civiles detenidos bajo cargos de atentar contra la seguridad pública y la desarticulación de las Fuerzas de Defensa</w:t>
      </w:r>
      <w:r w:rsidRPr="009712EB">
        <w:rPr>
          <w:rFonts w:ascii="Cambria" w:eastAsia="Times New Roman" w:hAnsi="Cambria"/>
          <w:color w:val="000000"/>
          <w:sz w:val="20"/>
          <w:szCs w:val="20"/>
          <w:bdr w:val="none" w:sz="0" w:space="0" w:color="auto"/>
          <w:vertAlign w:val="superscript"/>
        </w:rPr>
        <w:footnoteReference w:id="93"/>
      </w:r>
      <w:r w:rsidRPr="009712EB">
        <w:rPr>
          <w:rFonts w:ascii="Cambria" w:eastAsia="Times New Roman" w:hAnsi="Cambria"/>
          <w:color w:val="000000"/>
          <w:sz w:val="20"/>
          <w:szCs w:val="20"/>
          <w:bdr w:val="none" w:sz="0" w:space="0" w:color="auto"/>
          <w:lang w:val="es-CO"/>
        </w:rPr>
        <w:t>.</w:t>
      </w:r>
    </w:p>
    <w:p w:rsidR="004A5155" w:rsidRPr="009712EB" w:rsidRDefault="004A5155" w:rsidP="001B4BC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olor w:val="000000"/>
          <w:sz w:val="20"/>
          <w:szCs w:val="20"/>
          <w:bdr w:val="none" w:sz="0" w:space="0" w:color="auto"/>
          <w:lang w:val="es-CO"/>
        </w:rPr>
      </w:pPr>
    </w:p>
    <w:p w:rsidR="00AA346D" w:rsidRPr="009712EB" w:rsidRDefault="00AA346D"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val="es-ES_tradnl" w:eastAsia="es-ES"/>
        </w:rPr>
      </w:pPr>
      <w:r w:rsidRPr="009712EB">
        <w:rPr>
          <w:rFonts w:ascii="Cambria" w:eastAsia="Cambria" w:hAnsi="Cambria" w:cs="Cambria"/>
          <w:sz w:val="20"/>
          <w:szCs w:val="20"/>
          <w:u w:color="000000"/>
          <w:lang w:val="es-ES_tradnl" w:eastAsia="es-ES"/>
        </w:rPr>
        <w:t xml:space="preserve">En el marco de la desarticulación de las FF.DD, el gobierno declaró la separación definitiva de varios oficiales </w:t>
      </w:r>
      <w:r w:rsidR="00593F9C">
        <w:rPr>
          <w:rFonts w:ascii="Cambria" w:eastAsia="Cambria" w:hAnsi="Cambria" w:cs="Cambria"/>
          <w:sz w:val="20"/>
          <w:szCs w:val="20"/>
          <w:u w:color="000000"/>
          <w:lang w:val="es-ES_tradnl" w:eastAsia="es-ES"/>
        </w:rPr>
        <w:t xml:space="preserve">y </w:t>
      </w:r>
      <w:r w:rsidRPr="009712EB">
        <w:rPr>
          <w:rFonts w:ascii="Cambria" w:eastAsia="Cambria" w:hAnsi="Cambria" w:cs="Cambria"/>
          <w:sz w:val="20"/>
          <w:szCs w:val="20"/>
          <w:u w:color="000000"/>
          <w:lang w:val="es-ES_tradnl" w:eastAsia="es-ES"/>
        </w:rPr>
        <w:t>la degradación y destitución de Manuel Noriega</w:t>
      </w:r>
      <w:r w:rsidRPr="009712EB">
        <w:rPr>
          <w:rFonts w:ascii="Cambria" w:eastAsia="Cambria" w:hAnsi="Cambria" w:cs="Cambria"/>
          <w:sz w:val="20"/>
          <w:szCs w:val="20"/>
          <w:u w:color="000000"/>
          <w:vertAlign w:val="superscript"/>
          <w:lang w:val="es-ES_tradnl" w:eastAsia="es-ES"/>
        </w:rPr>
        <w:footnoteReference w:id="94"/>
      </w:r>
      <w:r w:rsidRPr="009712EB">
        <w:rPr>
          <w:rFonts w:ascii="Cambria" w:eastAsia="Cambria" w:hAnsi="Cambria" w:cs="Cambria"/>
          <w:sz w:val="20"/>
          <w:szCs w:val="20"/>
          <w:u w:color="000000"/>
          <w:lang w:val="es-ES_tradnl" w:eastAsia="es-ES"/>
        </w:rPr>
        <w:t>. Igualmente, derogó la suspensión de porte de armas permitiendo el uso de determinadas pistolas y escopetas</w:t>
      </w:r>
      <w:r w:rsidRPr="009712EB">
        <w:rPr>
          <w:rFonts w:ascii="Cambria" w:eastAsia="Cambria" w:hAnsi="Cambria" w:cs="Cambria"/>
          <w:sz w:val="20"/>
          <w:szCs w:val="20"/>
          <w:u w:color="000000"/>
          <w:vertAlign w:val="superscript"/>
          <w:lang w:val="es-ES_tradnl" w:eastAsia="es-ES"/>
        </w:rPr>
        <w:footnoteReference w:id="95"/>
      </w:r>
      <w:r w:rsidRPr="009712EB">
        <w:rPr>
          <w:rFonts w:ascii="Cambria" w:eastAsia="Cambria" w:hAnsi="Cambria" w:cs="Cambria"/>
          <w:sz w:val="20"/>
          <w:szCs w:val="20"/>
          <w:u w:color="000000"/>
          <w:lang w:val="es-ES_tradnl" w:eastAsia="es-ES"/>
        </w:rPr>
        <w:t>, y facultó a las autoridades y organismos superiores de ministerios, entidades autónomas, empresas estatales y demás entes públicos para  destituir o declarar “insubsistentes” los nombramientos de los servidores públicos que hayan pertenecido, participado o conformado “grupos paramilitares de los llamados CODEPADI, batallones de dignidad u otros similares”</w:t>
      </w:r>
      <w:r w:rsidRPr="009712EB">
        <w:rPr>
          <w:rFonts w:ascii="Cambria" w:eastAsia="Cambria" w:hAnsi="Cambria" w:cs="Cambria"/>
          <w:sz w:val="20"/>
          <w:szCs w:val="20"/>
          <w:u w:color="000000"/>
          <w:vertAlign w:val="superscript"/>
          <w:lang w:val="es-ES_tradnl" w:eastAsia="es-ES"/>
        </w:rPr>
        <w:footnoteReference w:id="96"/>
      </w:r>
      <w:r w:rsidRPr="009712EB">
        <w:rPr>
          <w:rFonts w:ascii="Cambria" w:eastAsia="Cambria" w:hAnsi="Cambria" w:cs="Cambria"/>
          <w:sz w:val="20"/>
          <w:szCs w:val="20"/>
          <w:u w:color="000000"/>
          <w:lang w:val="es-ES_tradnl" w:eastAsia="es-ES"/>
        </w:rPr>
        <w:t xml:space="preserve"> previamente instaurados por el General Noriega. Finalmente, el gobierno establecido organizó la fuerza pública en “la Policía Nacional, el Servicio Aéreo Nacional y el Servicio Marítimo Nacional”</w:t>
      </w:r>
      <w:r w:rsidRPr="009712EB">
        <w:rPr>
          <w:rFonts w:ascii="Cambria" w:eastAsia="Cambria" w:hAnsi="Cambria" w:cs="Cambria"/>
          <w:sz w:val="20"/>
          <w:szCs w:val="20"/>
          <w:u w:color="000000"/>
          <w:vertAlign w:val="superscript"/>
          <w:lang w:val="es-ES_tradnl" w:eastAsia="es-ES"/>
        </w:rPr>
        <w:footnoteReference w:id="97"/>
      </w:r>
      <w:r w:rsidRPr="009712EB">
        <w:rPr>
          <w:rFonts w:ascii="Cambria" w:eastAsia="Cambria" w:hAnsi="Cambria" w:cs="Cambria"/>
          <w:sz w:val="20"/>
          <w:szCs w:val="20"/>
          <w:u w:color="000000"/>
          <w:lang w:val="es-ES_tradnl" w:eastAsia="es-ES"/>
        </w:rPr>
        <w:t xml:space="preserve"> con el objetivo de desaparecer “los vestigios de militarismo” siguiendo “la exigencia del pueblo panameño” de no tener un ejército nacional</w:t>
      </w:r>
      <w:r w:rsidRPr="009712EB">
        <w:rPr>
          <w:rFonts w:ascii="Cambria" w:eastAsia="Cambria" w:hAnsi="Cambria" w:cs="Cambria"/>
          <w:sz w:val="20"/>
          <w:szCs w:val="20"/>
          <w:u w:color="000000"/>
          <w:vertAlign w:val="superscript"/>
          <w:lang w:val="es-ES_tradnl" w:eastAsia="es-ES"/>
        </w:rPr>
        <w:footnoteReference w:id="98"/>
      </w:r>
      <w:r w:rsidRPr="009712EB">
        <w:rPr>
          <w:rFonts w:ascii="Cambria" w:eastAsia="Cambria" w:hAnsi="Cambria" w:cs="Cambria"/>
          <w:sz w:val="20"/>
          <w:szCs w:val="20"/>
          <w:u w:color="000000"/>
          <w:lang w:val="es-ES_tradnl" w:eastAsia="es-ES"/>
        </w:rPr>
        <w:t xml:space="preserve">. </w:t>
      </w:r>
    </w:p>
    <w:p w:rsidR="004A5155" w:rsidRPr="009712EB" w:rsidRDefault="004A5155" w:rsidP="001B4BC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Cambria" w:hAnsi="Cambria" w:cs="Cambria"/>
          <w:sz w:val="20"/>
          <w:szCs w:val="20"/>
          <w:u w:color="000000"/>
          <w:lang w:val="es-ES_tradnl" w:eastAsia="es-ES"/>
        </w:rPr>
      </w:pPr>
    </w:p>
    <w:p w:rsidR="00AA346D" w:rsidRPr="009712EB" w:rsidRDefault="00F06AA9"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val="es-CO" w:eastAsia="es-ES"/>
        </w:rPr>
      </w:pPr>
      <w:r>
        <w:rPr>
          <w:rFonts w:ascii="Cambria" w:eastAsia="Cambria" w:hAnsi="Cambria" w:cs="Cambria"/>
          <w:sz w:val="20"/>
          <w:szCs w:val="20"/>
          <w:u w:color="000000"/>
          <w:lang w:val="es-ES_tradnl" w:eastAsia="es-ES"/>
        </w:rPr>
        <w:lastRenderedPageBreak/>
        <w:t>En este contexto</w:t>
      </w:r>
      <w:r w:rsidR="00AA346D" w:rsidRPr="009712EB">
        <w:rPr>
          <w:rFonts w:ascii="Cambria" w:eastAsia="Cambria" w:hAnsi="Cambria" w:cs="Cambria"/>
          <w:sz w:val="20"/>
          <w:szCs w:val="20"/>
          <w:u w:color="000000"/>
          <w:lang w:val="es-ES_tradnl" w:eastAsia="es-ES"/>
        </w:rPr>
        <w:t xml:space="preserve">, el Gobierno de Estados Unidos adoptó programas de asistencia al Gobierno de Panamá. En este sentido, inició un programa </w:t>
      </w:r>
      <w:r w:rsidR="00AA346D" w:rsidRPr="009712EB">
        <w:rPr>
          <w:rFonts w:ascii="Cambria" w:eastAsia="Cambria" w:hAnsi="Cambria" w:cs="Cambria"/>
          <w:sz w:val="20"/>
          <w:szCs w:val="20"/>
          <w:u w:color="000000"/>
          <w:lang w:val="es-CO" w:eastAsia="es-ES"/>
        </w:rPr>
        <w:t>de recuperación económica de Panamá el cual incluía préstamos, garantías y oportunidades de exportación para fortalecer el sector privado de Panamá</w:t>
      </w:r>
      <w:r w:rsidR="00AA346D" w:rsidRPr="009712EB">
        <w:rPr>
          <w:rFonts w:ascii="Cambria" w:eastAsia="Cambria" w:hAnsi="Cambria" w:cs="Cambria"/>
          <w:sz w:val="20"/>
          <w:szCs w:val="20"/>
          <w:u w:color="000000"/>
          <w:vertAlign w:val="superscript"/>
          <w:lang w:eastAsia="es-ES"/>
        </w:rPr>
        <w:footnoteReference w:id="99"/>
      </w:r>
      <w:r w:rsidR="00AA346D" w:rsidRPr="009712EB">
        <w:rPr>
          <w:rFonts w:ascii="Cambria" w:eastAsia="Cambria" w:hAnsi="Cambria" w:cs="Cambria"/>
          <w:sz w:val="20"/>
          <w:szCs w:val="20"/>
          <w:u w:color="000000"/>
          <w:lang w:val="es-CO" w:eastAsia="es-ES"/>
        </w:rPr>
        <w:t>, y uno por medio de la Agencia por el Desarrollo Internacional de Estados Unidos (en adelante “AID”) para ayudar a la reforma del sistema de justicia penal en Panamá</w:t>
      </w:r>
      <w:r w:rsidR="00AA346D" w:rsidRPr="009712EB">
        <w:rPr>
          <w:rFonts w:ascii="Cambria" w:eastAsia="Cambria" w:hAnsi="Cambria" w:cs="Cambria"/>
          <w:sz w:val="20"/>
          <w:szCs w:val="20"/>
          <w:u w:color="000000"/>
          <w:vertAlign w:val="superscript"/>
          <w:lang w:eastAsia="es-ES"/>
        </w:rPr>
        <w:footnoteReference w:id="100"/>
      </w:r>
      <w:r w:rsidR="00AA346D" w:rsidRPr="009712EB">
        <w:rPr>
          <w:rFonts w:ascii="Cambria" w:eastAsia="Cambria" w:hAnsi="Cambria" w:cs="Cambria"/>
          <w:sz w:val="20"/>
          <w:szCs w:val="20"/>
          <w:u w:color="000000"/>
          <w:lang w:val="es-CO" w:eastAsia="es-ES"/>
        </w:rPr>
        <w:t xml:space="preserve"> con el objeto de reformar y fortalecer el sistema judicial, la fiscalía y los defensores públicos aportando una cantidad sustantiva de fondos</w:t>
      </w:r>
      <w:r w:rsidR="00AA346D" w:rsidRPr="009712EB">
        <w:rPr>
          <w:rFonts w:ascii="Cambria" w:eastAsia="Cambria" w:hAnsi="Cambria" w:cs="Cambria"/>
          <w:sz w:val="20"/>
          <w:szCs w:val="20"/>
          <w:u w:color="000000"/>
          <w:vertAlign w:val="superscript"/>
          <w:lang w:eastAsia="es-ES"/>
        </w:rPr>
        <w:footnoteReference w:id="101"/>
      </w:r>
      <w:r w:rsidR="00AA346D" w:rsidRPr="009712EB">
        <w:rPr>
          <w:rFonts w:ascii="Cambria" w:eastAsia="Cambria" w:hAnsi="Cambria" w:cs="Cambria"/>
          <w:sz w:val="20"/>
          <w:szCs w:val="20"/>
          <w:u w:color="000000"/>
          <w:lang w:val="es-CO" w:eastAsia="es-ES"/>
        </w:rPr>
        <w:t>.</w:t>
      </w:r>
    </w:p>
    <w:p w:rsidR="004A5155" w:rsidRPr="009712EB" w:rsidRDefault="004A5155" w:rsidP="009712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mbria" w:hAnsi="Cambria" w:cs="Cambria"/>
          <w:sz w:val="20"/>
          <w:szCs w:val="20"/>
          <w:u w:color="000000"/>
          <w:lang w:val="es-CO" w:eastAsia="es-ES"/>
        </w:rPr>
      </w:pPr>
    </w:p>
    <w:p w:rsidR="00AA346D" w:rsidRPr="00B053C8" w:rsidRDefault="00AA346D"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CO"/>
        </w:rPr>
      </w:pPr>
      <w:r w:rsidRPr="009712EB">
        <w:rPr>
          <w:rFonts w:ascii="Cambria" w:eastAsia="Times New Roman" w:hAnsi="Cambria"/>
          <w:spacing w:val="-2"/>
          <w:sz w:val="20"/>
          <w:szCs w:val="20"/>
          <w:bdr w:val="none" w:sz="0" w:space="0" w:color="auto"/>
          <w:lang w:val="es-CO"/>
        </w:rPr>
        <w:t xml:space="preserve">Con respecto a </w:t>
      </w:r>
      <w:r w:rsidR="00F06AA9">
        <w:rPr>
          <w:rFonts w:ascii="Cambria" w:eastAsia="Times New Roman" w:hAnsi="Cambria"/>
          <w:spacing w:val="-2"/>
          <w:sz w:val="20"/>
          <w:szCs w:val="20"/>
          <w:bdr w:val="none" w:sz="0" w:space="0" w:color="auto"/>
          <w:lang w:val="es-CO"/>
        </w:rPr>
        <w:t xml:space="preserve">aquellos que habían sufrido daños </w:t>
      </w:r>
      <w:r w:rsidRPr="009712EB">
        <w:rPr>
          <w:rFonts w:ascii="Cambria" w:eastAsia="Times New Roman" w:hAnsi="Cambria"/>
          <w:spacing w:val="-2"/>
          <w:sz w:val="20"/>
          <w:szCs w:val="20"/>
          <w:bdr w:val="none" w:sz="0" w:space="0" w:color="auto"/>
          <w:lang w:val="es-CO"/>
        </w:rPr>
        <w:t xml:space="preserve">por la invasión, la Comisión verificó los esfuerzos por parte del Gobierno panameño para </w:t>
      </w:r>
      <w:r w:rsidR="00805B20">
        <w:rPr>
          <w:rFonts w:ascii="Cambria" w:eastAsia="Times New Roman" w:hAnsi="Cambria"/>
          <w:spacing w:val="-2"/>
          <w:sz w:val="20"/>
          <w:szCs w:val="20"/>
          <w:bdr w:val="none" w:sz="0" w:space="0" w:color="auto"/>
          <w:lang w:val="es-CO"/>
        </w:rPr>
        <w:t>responder</w:t>
      </w:r>
      <w:r w:rsidR="00805B20" w:rsidRPr="009712EB">
        <w:rPr>
          <w:rFonts w:ascii="Cambria" w:eastAsia="Times New Roman" w:hAnsi="Cambria"/>
          <w:spacing w:val="-2"/>
          <w:sz w:val="20"/>
          <w:szCs w:val="20"/>
          <w:bdr w:val="none" w:sz="0" w:space="0" w:color="auto"/>
          <w:lang w:val="es-CO"/>
        </w:rPr>
        <w:t xml:space="preserve"> </w:t>
      </w:r>
      <w:r w:rsidR="00F06AA9">
        <w:rPr>
          <w:rFonts w:ascii="Cambria" w:eastAsia="Times New Roman" w:hAnsi="Cambria"/>
          <w:spacing w:val="-2"/>
          <w:sz w:val="20"/>
          <w:szCs w:val="20"/>
          <w:bdr w:val="none" w:sz="0" w:space="0" w:color="auto"/>
          <w:lang w:val="es-CO"/>
        </w:rPr>
        <w:t xml:space="preserve">a </w:t>
      </w:r>
      <w:r w:rsidRPr="009712EB">
        <w:rPr>
          <w:rFonts w:ascii="Cambria" w:eastAsia="Times New Roman" w:hAnsi="Cambria"/>
          <w:spacing w:val="-2"/>
          <w:sz w:val="20"/>
          <w:szCs w:val="20"/>
          <w:bdr w:val="none" w:sz="0" w:space="0" w:color="auto"/>
          <w:lang w:val="es-CO"/>
        </w:rPr>
        <w:t>algunas de las situaciones más afligidas, aunque a juicio de distintos sectores, muchos de los perjui</w:t>
      </w:r>
      <w:r w:rsidR="00F06AA9">
        <w:rPr>
          <w:rFonts w:ascii="Cambria" w:eastAsia="Times New Roman" w:hAnsi="Cambria"/>
          <w:spacing w:val="-2"/>
          <w:sz w:val="20"/>
          <w:szCs w:val="20"/>
          <w:bdr w:val="none" w:sz="0" w:space="0" w:color="auto"/>
          <w:lang w:val="es-CO"/>
        </w:rPr>
        <w:t>cios por aquellos sucesos no habían</w:t>
      </w:r>
      <w:r w:rsidRPr="009712EB">
        <w:rPr>
          <w:rFonts w:ascii="Cambria" w:eastAsia="Times New Roman" w:hAnsi="Cambria"/>
          <w:spacing w:val="-2"/>
          <w:sz w:val="20"/>
          <w:szCs w:val="20"/>
          <w:bdr w:val="none" w:sz="0" w:space="0" w:color="auto"/>
          <w:lang w:val="es-CO"/>
        </w:rPr>
        <w:t xml:space="preserve"> sido satisfactoriamente resueltos</w:t>
      </w:r>
      <w:r w:rsidRPr="009712EB">
        <w:rPr>
          <w:rFonts w:ascii="Cambria" w:eastAsia="Times New Roman" w:hAnsi="Cambria"/>
          <w:spacing w:val="-2"/>
          <w:sz w:val="20"/>
          <w:szCs w:val="20"/>
          <w:bdr w:val="none" w:sz="0" w:space="0" w:color="auto"/>
          <w:vertAlign w:val="superscript"/>
        </w:rPr>
        <w:footnoteReference w:id="102"/>
      </w:r>
      <w:r w:rsidR="00561F99">
        <w:rPr>
          <w:rFonts w:ascii="Cambria" w:eastAsia="Times New Roman" w:hAnsi="Cambria"/>
          <w:spacing w:val="-2"/>
          <w:sz w:val="20"/>
          <w:szCs w:val="20"/>
          <w:bdr w:val="none" w:sz="0" w:space="0" w:color="auto"/>
          <w:lang w:val="es-CO"/>
        </w:rPr>
        <w:t>. E</w:t>
      </w:r>
      <w:r w:rsidRPr="009712EB">
        <w:rPr>
          <w:rFonts w:ascii="Cambria" w:eastAsia="Times New Roman" w:hAnsi="Cambria"/>
          <w:spacing w:val="-2"/>
          <w:sz w:val="20"/>
          <w:szCs w:val="20"/>
          <w:bdr w:val="none" w:sz="0" w:space="0" w:color="auto"/>
          <w:lang w:val="es-CO"/>
        </w:rPr>
        <w:t>n efect</w:t>
      </w:r>
      <w:r w:rsidRPr="00CD49F1">
        <w:rPr>
          <w:rFonts w:ascii="Cambria" w:eastAsia="Times New Roman" w:hAnsi="Cambria"/>
          <w:spacing w:val="-2"/>
          <w:sz w:val="20"/>
          <w:szCs w:val="20"/>
          <w:bdr w:val="none" w:sz="0" w:space="0" w:color="auto"/>
          <w:lang w:val="es-CO"/>
        </w:rPr>
        <w:t xml:space="preserve">o, </w:t>
      </w:r>
      <w:r w:rsidR="007E76AD" w:rsidRPr="00CD49F1">
        <w:rPr>
          <w:rFonts w:ascii="Cambria" w:eastAsia="Times New Roman" w:hAnsi="Cambria"/>
          <w:spacing w:val="-2"/>
          <w:sz w:val="20"/>
          <w:szCs w:val="20"/>
          <w:bdr w:val="none" w:sz="0" w:space="0" w:color="auto"/>
          <w:lang w:val="es-CO"/>
        </w:rPr>
        <w:t xml:space="preserve">la Comisión </w:t>
      </w:r>
      <w:r w:rsidR="00F06AA9">
        <w:rPr>
          <w:rFonts w:ascii="Cambria" w:eastAsia="Times New Roman" w:hAnsi="Cambria"/>
          <w:spacing w:val="-2"/>
          <w:sz w:val="20"/>
          <w:szCs w:val="20"/>
          <w:bdr w:val="none" w:sz="0" w:space="0" w:color="auto"/>
          <w:lang w:val="es-CO"/>
        </w:rPr>
        <w:t xml:space="preserve">notó particularmente </w:t>
      </w:r>
      <w:r w:rsidR="007E76AD" w:rsidRPr="00CD49F1">
        <w:rPr>
          <w:rFonts w:ascii="Cambria" w:eastAsia="Times New Roman" w:hAnsi="Cambria"/>
          <w:spacing w:val="-2"/>
          <w:sz w:val="20"/>
          <w:szCs w:val="20"/>
          <w:bdr w:val="none" w:sz="0" w:space="0" w:color="auto"/>
          <w:lang w:val="es-CO"/>
        </w:rPr>
        <w:t xml:space="preserve">que </w:t>
      </w:r>
      <w:r w:rsidRPr="00CD49F1">
        <w:rPr>
          <w:rFonts w:ascii="Cambria" w:eastAsia="Times New Roman" w:hAnsi="Cambria"/>
          <w:spacing w:val="-2"/>
          <w:sz w:val="20"/>
          <w:szCs w:val="20"/>
          <w:bdr w:val="none" w:sz="0" w:space="0" w:color="auto"/>
          <w:lang w:val="es-CO"/>
        </w:rPr>
        <w:t>aun cuando se había solucionado las carencias habitacionales de 2,860 familias del áre</w:t>
      </w:r>
      <w:r w:rsidRPr="009712EB">
        <w:rPr>
          <w:rFonts w:ascii="Cambria" w:eastAsia="Times New Roman" w:hAnsi="Cambria"/>
          <w:spacing w:val="-2"/>
          <w:sz w:val="20"/>
          <w:szCs w:val="20"/>
          <w:bdr w:val="none" w:sz="0" w:space="0" w:color="auto"/>
          <w:lang w:val="es-CO"/>
        </w:rPr>
        <w:t>a del Chorrillo, no ha</w:t>
      </w:r>
      <w:r w:rsidR="007E76AD" w:rsidRPr="009712EB">
        <w:rPr>
          <w:rFonts w:ascii="Cambria" w:eastAsia="Times New Roman" w:hAnsi="Cambria"/>
          <w:spacing w:val="-2"/>
          <w:sz w:val="20"/>
          <w:szCs w:val="20"/>
          <w:bdr w:val="none" w:sz="0" w:space="0" w:color="auto"/>
          <w:lang w:val="es-CO"/>
        </w:rPr>
        <w:t>bía</w:t>
      </w:r>
      <w:r w:rsidRPr="009712EB">
        <w:rPr>
          <w:rFonts w:ascii="Cambria" w:eastAsia="Times New Roman" w:hAnsi="Cambria"/>
          <w:spacing w:val="-2"/>
          <w:sz w:val="20"/>
          <w:szCs w:val="20"/>
          <w:bdr w:val="none" w:sz="0" w:space="0" w:color="auto"/>
          <w:lang w:val="es-CO"/>
        </w:rPr>
        <w:t xml:space="preserve"> ha</w:t>
      </w:r>
      <w:r w:rsidRPr="00B053C8">
        <w:rPr>
          <w:rFonts w:ascii="Cambria" w:eastAsia="Times New Roman" w:hAnsi="Cambria"/>
          <w:spacing w:val="-2"/>
          <w:sz w:val="20"/>
          <w:szCs w:val="20"/>
          <w:bdr w:val="none" w:sz="0" w:space="0" w:color="auto"/>
          <w:lang w:val="es-CO"/>
        </w:rPr>
        <w:t xml:space="preserve">bido reparación alguna para las familias cuyos miembros fueran muertos o heridos </w:t>
      </w:r>
      <w:r w:rsidR="00CC53A9">
        <w:rPr>
          <w:rFonts w:ascii="Cambria" w:eastAsia="Times New Roman" w:hAnsi="Cambria"/>
          <w:spacing w:val="-2"/>
          <w:sz w:val="20"/>
          <w:szCs w:val="20"/>
          <w:bdr w:val="none" w:sz="0" w:space="0" w:color="auto"/>
          <w:lang w:val="es-CO"/>
        </w:rPr>
        <w:t>en el contexto de la invasión</w:t>
      </w:r>
      <w:r w:rsidRPr="00B053C8">
        <w:rPr>
          <w:rFonts w:ascii="Cambria" w:eastAsia="Times New Roman" w:hAnsi="Cambria"/>
          <w:spacing w:val="-2"/>
          <w:sz w:val="20"/>
          <w:szCs w:val="20"/>
          <w:bdr w:val="none" w:sz="0" w:space="0" w:color="auto"/>
          <w:vertAlign w:val="superscript"/>
        </w:rPr>
        <w:footnoteReference w:id="103"/>
      </w:r>
      <w:r w:rsidRPr="00B053C8">
        <w:rPr>
          <w:rFonts w:ascii="Cambria" w:eastAsia="Times New Roman" w:hAnsi="Cambria"/>
          <w:spacing w:val="-2"/>
          <w:sz w:val="20"/>
          <w:szCs w:val="20"/>
          <w:bdr w:val="none" w:sz="0" w:space="0" w:color="auto"/>
          <w:lang w:val="es-CO"/>
        </w:rPr>
        <w:t>.</w:t>
      </w:r>
    </w:p>
    <w:p w:rsidR="00AF4975" w:rsidRPr="00B053C8" w:rsidRDefault="00AF4975" w:rsidP="00AF497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CO"/>
        </w:rPr>
      </w:pPr>
    </w:p>
    <w:p w:rsidR="00AF4975" w:rsidRPr="00B053C8" w:rsidRDefault="005206C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CO"/>
        </w:rPr>
      </w:pPr>
      <w:r w:rsidRPr="00B053C8">
        <w:rPr>
          <w:rFonts w:ascii="Cambria" w:eastAsia="Times New Roman" w:hAnsi="Cambria"/>
          <w:sz w:val="20"/>
          <w:szCs w:val="20"/>
          <w:bdr w:val="none" w:sz="0" w:space="0" w:color="auto"/>
          <w:lang w:val="es-CO"/>
        </w:rPr>
        <w:t>Tras esfuerzos de la parte peticionaria, el Equipo Argentino de Antropología Forense (en adelante “EAAF”)</w:t>
      </w:r>
      <w:r w:rsidR="00456D44" w:rsidRPr="00B053C8">
        <w:rPr>
          <w:rFonts w:ascii="Cambria" w:eastAsia="Times New Roman" w:hAnsi="Cambria"/>
          <w:sz w:val="20"/>
          <w:szCs w:val="20"/>
          <w:bdr w:val="none" w:sz="0" w:space="0" w:color="auto"/>
          <w:lang w:val="es-CO"/>
        </w:rPr>
        <w:t xml:space="preserve"> visitó Panamá entre los días 9 de julio al 2 de agosto de 1995 con el objetivo de proporcionar asistencia al Centro por los Derechos Constitucionales en la investigación y sistematización de los hechos ocurridos durante la invasión y posterior ocupación militar de Estados Unidos en el territorio panameño, en particular con investigaciones preliminares sobre la posible existencia de fosas comunes</w:t>
      </w:r>
      <w:r w:rsidR="0027760D" w:rsidRPr="00B053C8">
        <w:rPr>
          <w:rStyle w:val="FootnoteReference"/>
          <w:rFonts w:ascii="Cambria" w:eastAsia="Times New Roman" w:hAnsi="Cambria"/>
          <w:sz w:val="20"/>
          <w:szCs w:val="20"/>
          <w:bdr w:val="none" w:sz="0" w:space="0" w:color="auto"/>
          <w:lang w:val="es-CO"/>
        </w:rPr>
        <w:footnoteReference w:id="104"/>
      </w:r>
      <w:r w:rsidR="00561F99">
        <w:rPr>
          <w:rFonts w:ascii="Cambria" w:eastAsia="Times New Roman" w:hAnsi="Cambria"/>
          <w:sz w:val="20"/>
          <w:szCs w:val="20"/>
          <w:bdr w:val="none" w:sz="0" w:space="0" w:color="auto"/>
          <w:lang w:val="es-CO"/>
        </w:rPr>
        <w:t>.</w:t>
      </w:r>
      <w:r w:rsidR="00456D44" w:rsidRPr="00B053C8">
        <w:rPr>
          <w:rFonts w:ascii="Cambria" w:eastAsia="Times New Roman" w:hAnsi="Cambria"/>
          <w:sz w:val="20"/>
          <w:szCs w:val="20"/>
          <w:bdr w:val="none" w:sz="0" w:space="0" w:color="auto"/>
          <w:lang w:val="es-CO"/>
        </w:rPr>
        <w:t xml:space="preserve"> A raíz de esta visita, el EAAF elaboró un informe </w:t>
      </w:r>
      <w:r w:rsidR="00093CC1" w:rsidRPr="00B053C8">
        <w:rPr>
          <w:rFonts w:ascii="Cambria" w:eastAsia="Times New Roman" w:hAnsi="Cambria"/>
          <w:sz w:val="20"/>
          <w:szCs w:val="20"/>
          <w:bdr w:val="none" w:sz="0" w:space="0" w:color="auto"/>
          <w:lang w:val="es-CO"/>
        </w:rPr>
        <w:t xml:space="preserve">en el cual indicó </w:t>
      </w:r>
      <w:r w:rsidR="00456D44" w:rsidRPr="00B053C8">
        <w:rPr>
          <w:rFonts w:ascii="Cambria" w:eastAsia="Times New Roman" w:hAnsi="Cambria"/>
          <w:sz w:val="20"/>
          <w:szCs w:val="20"/>
          <w:bdr w:val="none" w:sz="0" w:space="0" w:color="auto"/>
          <w:lang w:val="es-CO"/>
        </w:rPr>
        <w:t xml:space="preserve">que las excavaciones preliminares en el cementerio de Pacora tuvieron que ser suspendidas debido a fuertes inundaciones en la zona sin </w:t>
      </w:r>
      <w:r w:rsidR="00CC53A9">
        <w:rPr>
          <w:rFonts w:ascii="Cambria" w:eastAsia="Times New Roman" w:hAnsi="Cambria"/>
          <w:sz w:val="20"/>
          <w:szCs w:val="20"/>
          <w:bdr w:val="none" w:sz="0" w:space="0" w:color="auto"/>
          <w:lang w:val="es-CO"/>
        </w:rPr>
        <w:t xml:space="preserve">haber podido </w:t>
      </w:r>
      <w:r w:rsidR="00456D44" w:rsidRPr="00B053C8">
        <w:rPr>
          <w:rFonts w:ascii="Cambria" w:eastAsia="Times New Roman" w:hAnsi="Cambria"/>
          <w:sz w:val="20"/>
          <w:szCs w:val="20"/>
          <w:bdr w:val="none" w:sz="0" w:space="0" w:color="auto"/>
          <w:lang w:val="es-CO"/>
        </w:rPr>
        <w:t>llegar a ninguna conclusión definitiva sobre el sitio</w:t>
      </w:r>
      <w:r w:rsidR="00453F69" w:rsidRPr="00B053C8">
        <w:rPr>
          <w:rStyle w:val="FootnoteReference"/>
          <w:rFonts w:ascii="Cambria" w:eastAsia="Times New Roman" w:hAnsi="Cambria"/>
          <w:sz w:val="20"/>
          <w:szCs w:val="20"/>
          <w:bdr w:val="none" w:sz="0" w:space="0" w:color="auto"/>
          <w:lang w:val="es-CO"/>
        </w:rPr>
        <w:footnoteReference w:id="105"/>
      </w:r>
      <w:r w:rsidR="00093CC1" w:rsidRPr="00B053C8">
        <w:rPr>
          <w:rFonts w:ascii="Cambria" w:eastAsia="Times New Roman" w:hAnsi="Cambria"/>
          <w:sz w:val="20"/>
          <w:szCs w:val="20"/>
          <w:bdr w:val="none" w:sz="0" w:space="0" w:color="auto"/>
          <w:lang w:val="es-CO"/>
        </w:rPr>
        <w:t xml:space="preserve">. Dentro de sus conclusiones, el EAAF </w:t>
      </w:r>
      <w:r w:rsidR="00FC76B9" w:rsidRPr="00B053C8">
        <w:rPr>
          <w:rFonts w:ascii="Cambria" w:eastAsia="Times New Roman" w:hAnsi="Cambria"/>
          <w:sz w:val="20"/>
          <w:szCs w:val="20"/>
          <w:bdr w:val="none" w:sz="0" w:space="0" w:color="auto"/>
          <w:lang w:val="es-CO"/>
        </w:rPr>
        <w:t>resaltó que no había hasta el momento listados completos de los panameños muertos durante la intervención militar, debido a que ninguno de los dos países involucrados ha</w:t>
      </w:r>
      <w:r w:rsidR="00A524EB">
        <w:rPr>
          <w:rFonts w:ascii="Cambria" w:eastAsia="Times New Roman" w:hAnsi="Cambria"/>
          <w:sz w:val="20"/>
          <w:szCs w:val="20"/>
          <w:bdr w:val="none" w:sz="0" w:space="0" w:color="auto"/>
          <w:lang w:val="es-CO"/>
        </w:rPr>
        <w:t>bía</w:t>
      </w:r>
      <w:r w:rsidR="00FC76B9" w:rsidRPr="00B053C8">
        <w:rPr>
          <w:rFonts w:ascii="Cambria" w:eastAsia="Times New Roman" w:hAnsi="Cambria"/>
          <w:sz w:val="20"/>
          <w:szCs w:val="20"/>
          <w:bdr w:val="none" w:sz="0" w:space="0" w:color="auto"/>
          <w:lang w:val="es-CO"/>
        </w:rPr>
        <w:t xml:space="preserve"> realizado esfuerzos exhaustivos en el establecimiento de listados definitivos sobre la cantidad de muerto</w:t>
      </w:r>
      <w:r w:rsidR="00CC53A9">
        <w:rPr>
          <w:rFonts w:ascii="Cambria" w:eastAsia="Times New Roman" w:hAnsi="Cambria"/>
          <w:sz w:val="20"/>
          <w:szCs w:val="20"/>
          <w:bdr w:val="none" w:sz="0" w:space="0" w:color="auto"/>
          <w:lang w:val="es-CO"/>
        </w:rPr>
        <w:t xml:space="preserve">s y desaparecidos panameños, o </w:t>
      </w:r>
      <w:r w:rsidR="00FC76B9" w:rsidRPr="00B053C8">
        <w:rPr>
          <w:rFonts w:ascii="Cambria" w:eastAsia="Times New Roman" w:hAnsi="Cambria"/>
          <w:sz w:val="20"/>
          <w:szCs w:val="20"/>
          <w:bdr w:val="none" w:sz="0" w:space="0" w:color="auto"/>
          <w:lang w:val="es-CO"/>
        </w:rPr>
        <w:t xml:space="preserve">sobre las circunstancias en </w:t>
      </w:r>
      <w:r w:rsidR="00CC53A9">
        <w:rPr>
          <w:rFonts w:ascii="Cambria" w:eastAsia="Times New Roman" w:hAnsi="Cambria"/>
          <w:sz w:val="20"/>
          <w:szCs w:val="20"/>
          <w:bdr w:val="none" w:sz="0" w:space="0" w:color="auto"/>
          <w:lang w:val="es-CO"/>
        </w:rPr>
        <w:t xml:space="preserve">las </w:t>
      </w:r>
      <w:r w:rsidR="00FC76B9" w:rsidRPr="00B053C8">
        <w:rPr>
          <w:rFonts w:ascii="Cambria" w:eastAsia="Times New Roman" w:hAnsi="Cambria"/>
          <w:sz w:val="20"/>
          <w:szCs w:val="20"/>
          <w:bdr w:val="none" w:sz="0" w:space="0" w:color="auto"/>
          <w:lang w:val="es-CO"/>
        </w:rPr>
        <w:t>que murieron</w:t>
      </w:r>
      <w:r w:rsidR="00453F69" w:rsidRPr="00B053C8">
        <w:rPr>
          <w:rStyle w:val="FootnoteReference"/>
          <w:rFonts w:ascii="Cambria" w:eastAsia="Times New Roman" w:hAnsi="Cambria"/>
          <w:sz w:val="20"/>
          <w:szCs w:val="20"/>
          <w:bdr w:val="none" w:sz="0" w:space="0" w:color="auto"/>
          <w:lang w:val="es-CO"/>
        </w:rPr>
        <w:footnoteReference w:id="106"/>
      </w:r>
      <w:r w:rsidR="0027760D" w:rsidRPr="00B053C8">
        <w:rPr>
          <w:rFonts w:ascii="Cambria" w:eastAsia="Times New Roman" w:hAnsi="Cambria"/>
          <w:sz w:val="20"/>
          <w:szCs w:val="20"/>
          <w:bdr w:val="none" w:sz="0" w:space="0" w:color="auto"/>
          <w:lang w:val="es-CO"/>
        </w:rPr>
        <w:t>.</w:t>
      </w:r>
      <w:r w:rsidR="00FC76B9" w:rsidRPr="00B053C8">
        <w:rPr>
          <w:rFonts w:ascii="Cambria" w:eastAsia="Times New Roman" w:hAnsi="Cambria"/>
          <w:sz w:val="20"/>
          <w:szCs w:val="20"/>
          <w:bdr w:val="none" w:sz="0" w:space="0" w:color="auto"/>
          <w:lang w:val="es-CO"/>
        </w:rPr>
        <w:t xml:space="preserve"> Asimismo el EAAF concluyó que una investigación </w:t>
      </w:r>
      <w:r w:rsidR="006C72B9" w:rsidRPr="00B053C8">
        <w:rPr>
          <w:rFonts w:ascii="Cambria" w:eastAsia="Times New Roman" w:hAnsi="Cambria"/>
          <w:sz w:val="20"/>
          <w:szCs w:val="20"/>
          <w:bdr w:val="none" w:sz="0" w:space="0" w:color="auto"/>
          <w:lang w:val="es-CO"/>
        </w:rPr>
        <w:t>más</w:t>
      </w:r>
      <w:r w:rsidR="00FC76B9" w:rsidRPr="00B053C8">
        <w:rPr>
          <w:rFonts w:ascii="Cambria" w:eastAsia="Times New Roman" w:hAnsi="Cambria"/>
          <w:sz w:val="20"/>
          <w:szCs w:val="20"/>
          <w:bdr w:val="none" w:sz="0" w:space="0" w:color="auto"/>
          <w:lang w:val="es-CO"/>
        </w:rPr>
        <w:t xml:space="preserve"> a</w:t>
      </w:r>
      <w:r w:rsidR="00E74D69">
        <w:rPr>
          <w:rFonts w:ascii="Cambria" w:eastAsia="Times New Roman" w:hAnsi="Cambria"/>
          <w:sz w:val="20"/>
          <w:szCs w:val="20"/>
          <w:bdr w:val="none" w:sz="0" w:space="0" w:color="auto"/>
          <w:lang w:val="es-CO"/>
        </w:rPr>
        <w:t xml:space="preserve"> fondo muy posiblemente determinaría un aumento en </w:t>
      </w:r>
      <w:r w:rsidR="00FC76B9" w:rsidRPr="00B053C8">
        <w:rPr>
          <w:rFonts w:ascii="Cambria" w:eastAsia="Times New Roman" w:hAnsi="Cambria"/>
          <w:sz w:val="20"/>
          <w:szCs w:val="20"/>
          <w:bdr w:val="none" w:sz="0" w:space="0" w:color="auto"/>
          <w:lang w:val="es-CO"/>
        </w:rPr>
        <w:t xml:space="preserve">el </w:t>
      </w:r>
      <w:r w:rsidR="006C72B9" w:rsidRPr="00B053C8">
        <w:rPr>
          <w:rFonts w:ascii="Cambria" w:eastAsia="Times New Roman" w:hAnsi="Cambria"/>
          <w:sz w:val="20"/>
          <w:szCs w:val="20"/>
          <w:bdr w:val="none" w:sz="0" w:space="0" w:color="auto"/>
          <w:lang w:val="es-CO"/>
        </w:rPr>
        <w:t>número</w:t>
      </w:r>
      <w:r w:rsidR="00FC76B9" w:rsidRPr="00B053C8">
        <w:rPr>
          <w:rFonts w:ascii="Cambria" w:eastAsia="Times New Roman" w:hAnsi="Cambria"/>
          <w:sz w:val="20"/>
          <w:szCs w:val="20"/>
          <w:bdr w:val="none" w:sz="0" w:space="0" w:color="auto"/>
          <w:lang w:val="es-CO"/>
        </w:rPr>
        <w:t xml:space="preserve"> de muertos</w:t>
      </w:r>
      <w:r w:rsidR="00453F69" w:rsidRPr="00B053C8">
        <w:rPr>
          <w:rStyle w:val="FootnoteReference"/>
          <w:rFonts w:ascii="Cambria" w:eastAsia="Times New Roman" w:hAnsi="Cambria"/>
          <w:sz w:val="20"/>
          <w:szCs w:val="20"/>
          <w:bdr w:val="none" w:sz="0" w:space="0" w:color="auto"/>
          <w:lang w:val="es-CO"/>
        </w:rPr>
        <w:footnoteReference w:id="107"/>
      </w:r>
      <w:r w:rsidR="00FC76B9" w:rsidRPr="00B053C8">
        <w:rPr>
          <w:rFonts w:ascii="Cambria" w:eastAsia="Times New Roman" w:hAnsi="Cambria"/>
          <w:sz w:val="20"/>
          <w:szCs w:val="20"/>
          <w:bdr w:val="none" w:sz="0" w:space="0" w:color="auto"/>
          <w:lang w:val="es-CO"/>
        </w:rPr>
        <w:t xml:space="preserve">. </w:t>
      </w:r>
    </w:p>
    <w:p w:rsidR="004A5155" w:rsidRPr="009712EB" w:rsidRDefault="004A5155" w:rsidP="001B4BC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lang w:val="es-CO"/>
        </w:rPr>
      </w:pPr>
    </w:p>
    <w:p w:rsidR="00AA346D" w:rsidRPr="009712EB" w:rsidRDefault="00AA346D"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val="es-ES_tradnl" w:eastAsia="es-ES"/>
        </w:rPr>
      </w:pPr>
      <w:r w:rsidRPr="009712EB">
        <w:rPr>
          <w:rFonts w:ascii="Cambria" w:eastAsia="Cambria" w:hAnsi="Cambria" w:cs="Cambria"/>
          <w:sz w:val="20"/>
          <w:szCs w:val="20"/>
          <w:u w:color="000000"/>
          <w:lang w:val="es-ES_tradnl" w:eastAsia="es-ES"/>
        </w:rPr>
        <w:t>El 20 de julio de 2016, mediante Decreto Ejecutivo No. 121 el Gobierno de Panamá creó la “Comisión 20 de diciembre de 1989” como una comisión independiente de la verdad</w:t>
      </w:r>
      <w:r w:rsidRPr="009712EB">
        <w:rPr>
          <w:rFonts w:ascii="Cambria" w:eastAsia="Cambria" w:hAnsi="Cambria" w:cs="Cambria"/>
          <w:sz w:val="20"/>
          <w:szCs w:val="20"/>
          <w:u w:color="000000"/>
          <w:vertAlign w:val="superscript"/>
          <w:lang w:val="es-ES_tradnl" w:eastAsia="es-ES"/>
        </w:rPr>
        <w:footnoteReference w:id="108"/>
      </w:r>
      <w:r w:rsidRPr="009712EB">
        <w:rPr>
          <w:rFonts w:ascii="Cambria" w:eastAsia="Cambria" w:hAnsi="Cambria" w:cs="Cambria"/>
          <w:sz w:val="20"/>
          <w:szCs w:val="20"/>
          <w:u w:color="000000"/>
          <w:lang w:val="es-ES_tradnl" w:eastAsia="es-ES"/>
        </w:rPr>
        <w:t>. En dicho decreto, la Presidencia de Panamá reconoció que</w:t>
      </w:r>
      <w:r w:rsidR="0005222F">
        <w:rPr>
          <w:rFonts w:ascii="Cambria" w:eastAsia="Cambria" w:hAnsi="Cambria" w:cs="Cambria"/>
          <w:sz w:val="20"/>
          <w:szCs w:val="20"/>
          <w:u w:color="000000"/>
          <w:lang w:val="es-ES_tradnl" w:eastAsia="es-ES"/>
        </w:rPr>
        <w:t>,</w:t>
      </w:r>
      <w:r w:rsidRPr="009712EB">
        <w:rPr>
          <w:rFonts w:ascii="Cambria" w:eastAsia="Cambria" w:hAnsi="Cambria" w:cs="Cambria"/>
          <w:sz w:val="20"/>
          <w:szCs w:val="20"/>
          <w:u w:color="000000"/>
          <w:lang w:val="es-ES_tradnl" w:eastAsia="es-ES"/>
        </w:rPr>
        <w:t xml:space="preserve"> más de 26 años</w:t>
      </w:r>
      <w:r w:rsidR="0005222F">
        <w:rPr>
          <w:rFonts w:ascii="Cambria" w:eastAsia="Cambria" w:hAnsi="Cambria" w:cs="Cambria"/>
          <w:sz w:val="20"/>
          <w:szCs w:val="20"/>
          <w:u w:color="000000"/>
          <w:lang w:val="es-ES_tradnl" w:eastAsia="es-ES"/>
        </w:rPr>
        <w:t xml:space="preserve"> después</w:t>
      </w:r>
      <w:r w:rsidRPr="009712EB">
        <w:rPr>
          <w:rFonts w:ascii="Cambria" w:eastAsia="Cambria" w:hAnsi="Cambria" w:cs="Cambria"/>
          <w:sz w:val="20"/>
          <w:szCs w:val="20"/>
          <w:u w:color="000000"/>
          <w:lang w:val="es-ES_tradnl" w:eastAsia="es-ES"/>
        </w:rPr>
        <w:t xml:space="preserve"> de la invasión del 20 de diciembre 1989</w:t>
      </w:r>
      <w:r w:rsidR="0005222F">
        <w:rPr>
          <w:rFonts w:ascii="Cambria" w:eastAsia="Cambria" w:hAnsi="Cambria" w:cs="Cambria"/>
          <w:sz w:val="20"/>
          <w:szCs w:val="20"/>
          <w:u w:color="000000"/>
          <w:lang w:val="es-ES_tradnl" w:eastAsia="es-ES"/>
        </w:rPr>
        <w:t>,</w:t>
      </w:r>
      <w:r w:rsidRPr="009712EB">
        <w:rPr>
          <w:rFonts w:ascii="Cambria" w:eastAsia="Cambria" w:hAnsi="Cambria" w:cs="Cambria"/>
          <w:sz w:val="20"/>
          <w:szCs w:val="20"/>
          <w:u w:color="000000"/>
          <w:lang w:val="es-ES_tradnl" w:eastAsia="es-ES"/>
        </w:rPr>
        <w:t xml:space="preserve"> “aún se requiere el esclarecimiento de la verdad y en especial, el pleno conocimiento del número e identidad de quienes perdieron la vida a consecuencia de la misma”</w:t>
      </w:r>
      <w:r w:rsidRPr="009712EB">
        <w:rPr>
          <w:rFonts w:ascii="Cambria" w:eastAsia="Cambria" w:hAnsi="Cambria" w:cs="Cambria"/>
          <w:sz w:val="20"/>
          <w:szCs w:val="20"/>
          <w:u w:color="000000"/>
          <w:vertAlign w:val="superscript"/>
          <w:lang w:val="es-ES_tradnl" w:eastAsia="es-ES"/>
        </w:rPr>
        <w:footnoteReference w:id="109"/>
      </w:r>
      <w:r w:rsidRPr="009712EB">
        <w:rPr>
          <w:rFonts w:ascii="Cambria" w:eastAsia="Cambria" w:hAnsi="Cambria" w:cs="Cambria"/>
          <w:sz w:val="20"/>
          <w:szCs w:val="20"/>
          <w:u w:color="000000"/>
          <w:lang w:val="es-ES_tradnl" w:eastAsia="es-ES"/>
        </w:rPr>
        <w:t xml:space="preserve">. </w:t>
      </w:r>
    </w:p>
    <w:p w:rsidR="004A5155" w:rsidRPr="009712EB" w:rsidRDefault="004A5155" w:rsidP="001B4BC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Cambria" w:hAnsi="Cambria" w:cs="Cambria"/>
          <w:sz w:val="20"/>
          <w:szCs w:val="20"/>
          <w:u w:color="000000"/>
          <w:lang w:val="es-ES_tradnl" w:eastAsia="es-ES"/>
        </w:rPr>
      </w:pPr>
    </w:p>
    <w:p w:rsidR="00AA346D" w:rsidRPr="009712EB" w:rsidRDefault="00AA346D"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val="es-ES_tradnl" w:eastAsia="es-ES"/>
        </w:rPr>
      </w:pPr>
      <w:r w:rsidRPr="009712EB">
        <w:rPr>
          <w:rFonts w:ascii="Cambria" w:eastAsia="Cambria" w:hAnsi="Cambria" w:cs="Cambria"/>
          <w:sz w:val="20"/>
          <w:szCs w:val="20"/>
          <w:u w:color="000000"/>
          <w:lang w:val="es-ES_tradnl" w:eastAsia="es-ES"/>
        </w:rPr>
        <w:t>En relación a los esfuerzos de esta Comisión</w:t>
      </w:r>
      <w:r w:rsidR="00307EA2" w:rsidRPr="009712EB">
        <w:rPr>
          <w:rFonts w:ascii="Cambria" w:eastAsia="Cambria" w:hAnsi="Cambria" w:cs="Cambria"/>
          <w:sz w:val="20"/>
          <w:szCs w:val="20"/>
          <w:u w:color="000000"/>
          <w:lang w:val="es-ES_tradnl" w:eastAsia="es-ES"/>
        </w:rPr>
        <w:t xml:space="preserve"> 20 de diciembre de 1989</w:t>
      </w:r>
      <w:r w:rsidRPr="009712EB">
        <w:rPr>
          <w:rFonts w:ascii="Cambria" w:eastAsia="Cambria" w:hAnsi="Cambria" w:cs="Cambria"/>
          <w:sz w:val="20"/>
          <w:szCs w:val="20"/>
          <w:u w:color="000000"/>
          <w:lang w:val="es-ES_tradnl" w:eastAsia="es-ES"/>
        </w:rPr>
        <w:t>, es importante destacar que se encuentran disponibles al público los textos del Re</w:t>
      </w:r>
      <w:r w:rsidR="00307EA2" w:rsidRPr="009712EB">
        <w:rPr>
          <w:rFonts w:ascii="Cambria" w:eastAsia="Cambria" w:hAnsi="Cambria" w:cs="Cambria"/>
          <w:sz w:val="20"/>
          <w:szCs w:val="20"/>
          <w:u w:color="000000"/>
          <w:lang w:val="es-ES_tradnl" w:eastAsia="es-ES"/>
        </w:rPr>
        <w:t>glament</w:t>
      </w:r>
      <w:r w:rsidR="00BE1342">
        <w:rPr>
          <w:rFonts w:ascii="Cambria" w:eastAsia="Cambria" w:hAnsi="Cambria" w:cs="Cambria"/>
          <w:sz w:val="20"/>
          <w:szCs w:val="20"/>
          <w:u w:color="000000"/>
          <w:lang w:val="es-ES_tradnl" w:eastAsia="es-ES"/>
        </w:rPr>
        <w:t>o</w:t>
      </w:r>
      <w:r w:rsidR="00307EA2" w:rsidRPr="009712EB">
        <w:rPr>
          <w:rFonts w:ascii="Cambria" w:eastAsia="Cambria" w:hAnsi="Cambria" w:cs="Cambria"/>
          <w:sz w:val="20"/>
          <w:szCs w:val="20"/>
          <w:u w:color="000000"/>
          <w:lang w:val="es-ES_tradnl" w:eastAsia="es-ES"/>
        </w:rPr>
        <w:t xml:space="preserve"> Interno de la Comis</w:t>
      </w:r>
      <w:r w:rsidR="00CD5676">
        <w:rPr>
          <w:rFonts w:ascii="Cambria" w:eastAsia="Cambria" w:hAnsi="Cambria" w:cs="Cambria"/>
          <w:sz w:val="20"/>
          <w:szCs w:val="20"/>
          <w:u w:color="000000"/>
          <w:lang w:val="es-ES_tradnl" w:eastAsia="es-ES"/>
        </w:rPr>
        <w:t>i</w:t>
      </w:r>
      <w:r w:rsidR="00307EA2" w:rsidRPr="009712EB">
        <w:rPr>
          <w:rFonts w:ascii="Cambria" w:eastAsia="Cambria" w:hAnsi="Cambria" w:cs="Cambria"/>
          <w:sz w:val="20"/>
          <w:szCs w:val="20"/>
          <w:u w:color="000000"/>
          <w:lang w:val="es-ES_tradnl" w:eastAsia="es-ES"/>
        </w:rPr>
        <w:t xml:space="preserve">ón, </w:t>
      </w:r>
      <w:r w:rsidRPr="009712EB">
        <w:rPr>
          <w:rFonts w:ascii="Cambria" w:eastAsia="Cambria" w:hAnsi="Cambria" w:cs="Cambria"/>
          <w:sz w:val="20"/>
          <w:szCs w:val="20"/>
          <w:u w:color="000000"/>
          <w:lang w:val="es-ES_tradnl" w:eastAsia="es-ES"/>
        </w:rPr>
        <w:t xml:space="preserve">el Reglamento de </w:t>
      </w:r>
      <w:r w:rsidRPr="009712EB">
        <w:rPr>
          <w:rFonts w:ascii="Cambria" w:eastAsia="Cambria" w:hAnsi="Cambria" w:cs="Cambria"/>
          <w:sz w:val="20"/>
          <w:szCs w:val="20"/>
          <w:u w:color="000000"/>
          <w:lang w:val="es-ES_tradnl" w:eastAsia="es-ES"/>
        </w:rPr>
        <w:lastRenderedPageBreak/>
        <w:t>Inscripción en el</w:t>
      </w:r>
      <w:r w:rsidR="00CD5676">
        <w:rPr>
          <w:rFonts w:ascii="Cambria" w:eastAsia="Cambria" w:hAnsi="Cambria" w:cs="Cambria"/>
          <w:sz w:val="20"/>
          <w:szCs w:val="20"/>
          <w:u w:color="000000"/>
          <w:lang w:val="es-ES_tradnl" w:eastAsia="es-ES"/>
        </w:rPr>
        <w:t xml:space="preserve"> </w:t>
      </w:r>
      <w:r w:rsidRPr="009712EB">
        <w:rPr>
          <w:rFonts w:ascii="Cambria" w:eastAsia="Cambria" w:hAnsi="Cambria" w:cs="Cambria"/>
          <w:sz w:val="20"/>
          <w:szCs w:val="20"/>
          <w:u w:color="000000"/>
          <w:lang w:val="es-ES_tradnl" w:eastAsia="es-ES"/>
        </w:rPr>
        <w:t xml:space="preserve">Registro Único de </w:t>
      </w:r>
      <w:r w:rsidR="0048249D" w:rsidRPr="009712EB">
        <w:rPr>
          <w:rFonts w:ascii="Cambria" w:eastAsia="Cambria" w:hAnsi="Cambria" w:cs="Cambria"/>
          <w:sz w:val="20"/>
          <w:szCs w:val="20"/>
          <w:u w:color="000000"/>
          <w:lang w:val="es-ES_tradnl" w:eastAsia="es-ES"/>
        </w:rPr>
        <w:t>Víctimas,</w:t>
      </w:r>
      <w:r w:rsidRPr="009712EB">
        <w:rPr>
          <w:rFonts w:ascii="Cambria" w:eastAsia="Cambria" w:hAnsi="Cambria" w:cs="Cambria"/>
          <w:sz w:val="20"/>
          <w:szCs w:val="20"/>
          <w:u w:color="000000"/>
          <w:lang w:val="es-ES_tradnl" w:eastAsia="es-ES"/>
        </w:rPr>
        <w:t xml:space="preserve"> así como un listado provisional de víctimas.</w:t>
      </w:r>
      <w:r w:rsidR="00A425C3" w:rsidRPr="009712EB">
        <w:rPr>
          <w:rFonts w:ascii="Cambria" w:eastAsia="Cambria" w:hAnsi="Cambria" w:cs="Cambria"/>
          <w:sz w:val="20"/>
          <w:szCs w:val="20"/>
          <w:u w:color="000000"/>
          <w:lang w:val="es-ES_tradnl" w:eastAsia="es-ES"/>
        </w:rPr>
        <w:t xml:space="preserve"> La parte peticionaria agregó que el</w:t>
      </w:r>
      <w:r w:rsidR="00805B20">
        <w:rPr>
          <w:rFonts w:ascii="Cambria" w:eastAsia="Cambria" w:hAnsi="Cambria" w:cs="Cambria"/>
          <w:sz w:val="20"/>
          <w:szCs w:val="20"/>
          <w:u w:color="000000"/>
          <w:lang w:val="es-ES_tradnl" w:eastAsia="es-ES"/>
        </w:rPr>
        <w:t xml:space="preserve"> gobierno de </w:t>
      </w:r>
      <w:r w:rsidR="00A425C3" w:rsidRPr="009712EB">
        <w:rPr>
          <w:rFonts w:ascii="Cambria" w:eastAsia="Cambria" w:hAnsi="Cambria" w:cs="Cambria"/>
          <w:sz w:val="20"/>
          <w:szCs w:val="20"/>
          <w:u w:color="000000"/>
          <w:lang w:val="es-ES_tradnl" w:eastAsia="es-ES"/>
        </w:rPr>
        <w:t>Estado</w:t>
      </w:r>
      <w:r w:rsidR="00805B20">
        <w:rPr>
          <w:rFonts w:ascii="Cambria" w:eastAsia="Cambria" w:hAnsi="Cambria" w:cs="Cambria"/>
          <w:sz w:val="20"/>
          <w:szCs w:val="20"/>
          <w:u w:color="000000"/>
          <w:lang w:val="es-ES_tradnl" w:eastAsia="es-ES"/>
        </w:rPr>
        <w:t>s Unidos</w:t>
      </w:r>
      <w:r w:rsidR="00A425C3" w:rsidRPr="009712EB">
        <w:rPr>
          <w:rFonts w:ascii="Cambria" w:eastAsia="Cambria" w:hAnsi="Cambria" w:cs="Cambria"/>
          <w:sz w:val="20"/>
          <w:szCs w:val="20"/>
          <w:u w:color="000000"/>
          <w:lang w:val="es-ES_tradnl" w:eastAsia="es-ES"/>
        </w:rPr>
        <w:t xml:space="preserve"> había expresado su voluntad expresa de trabajar con el gobierno de Panamá para clarificar los hechos ocurridos</w:t>
      </w:r>
      <w:r w:rsidR="00A425C3" w:rsidRPr="009712EB">
        <w:rPr>
          <w:rStyle w:val="FootnoteReference"/>
          <w:rFonts w:ascii="Cambria" w:eastAsia="Cambria" w:hAnsi="Cambria" w:cs="Cambria"/>
          <w:sz w:val="20"/>
          <w:szCs w:val="20"/>
          <w:u w:color="000000"/>
          <w:lang w:val="es-ES_tradnl" w:eastAsia="es-ES"/>
        </w:rPr>
        <w:footnoteReference w:id="110"/>
      </w:r>
      <w:r w:rsidR="00A425C3" w:rsidRPr="009712EB">
        <w:rPr>
          <w:rFonts w:ascii="Cambria" w:eastAsia="Cambria" w:hAnsi="Cambria" w:cs="Cambria"/>
          <w:sz w:val="20"/>
          <w:szCs w:val="20"/>
          <w:u w:color="000000"/>
          <w:lang w:val="es-ES_tradnl" w:eastAsia="es-ES"/>
        </w:rPr>
        <w:t xml:space="preserve">. </w:t>
      </w:r>
    </w:p>
    <w:p w:rsidR="004A5155" w:rsidRPr="009712EB" w:rsidRDefault="004A5155" w:rsidP="001B4BC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Cambria" w:hAnsi="Cambria" w:cs="Cambria"/>
          <w:sz w:val="20"/>
          <w:szCs w:val="20"/>
          <w:u w:color="000000"/>
          <w:lang w:val="es-ES_tradnl" w:eastAsia="es-ES"/>
        </w:rPr>
      </w:pPr>
    </w:p>
    <w:p w:rsidR="00580139" w:rsidRPr="00821E26" w:rsidRDefault="005177AF" w:rsidP="00D529F8">
      <w:pPr>
        <w:pStyle w:val="Heading2"/>
        <w:numPr>
          <w:ilvl w:val="0"/>
          <w:numId w:val="66"/>
        </w:numPr>
        <w:spacing w:before="0" w:after="0"/>
        <w:ind w:firstLine="0"/>
        <w:jc w:val="both"/>
        <w:rPr>
          <w:rFonts w:ascii="Cambria" w:hAnsi="Cambria"/>
          <w:i w:val="0"/>
          <w:sz w:val="20"/>
          <w:lang w:val="es-ES_tradnl"/>
        </w:rPr>
      </w:pPr>
      <w:bookmarkStart w:id="18" w:name="_Toc525294037"/>
      <w:r w:rsidRPr="00821E26">
        <w:rPr>
          <w:rFonts w:ascii="Cambria" w:hAnsi="Cambria"/>
          <w:i w:val="0"/>
          <w:sz w:val="20"/>
          <w:lang w:val="es-ES_tradnl"/>
        </w:rPr>
        <w:t>He</w:t>
      </w:r>
      <w:r>
        <w:rPr>
          <w:rFonts w:ascii="Cambria" w:hAnsi="Cambria"/>
          <w:i w:val="0"/>
          <w:sz w:val="20"/>
          <w:lang w:val="es-ES_tradnl"/>
        </w:rPr>
        <w:t>chos respecto a las presuntas ví</w:t>
      </w:r>
      <w:r w:rsidRPr="00821E26">
        <w:rPr>
          <w:rFonts w:ascii="Cambria" w:hAnsi="Cambria"/>
          <w:i w:val="0"/>
          <w:sz w:val="20"/>
          <w:lang w:val="es-ES_tradnl"/>
        </w:rPr>
        <w:t>ctimas</w:t>
      </w:r>
      <w:bookmarkEnd w:id="18"/>
    </w:p>
    <w:p w:rsidR="00453F69" w:rsidRDefault="00453F69" w:rsidP="00453F6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Times New Roman" w:eastAsia="Arial Unicode MS" w:hAnsi="Times New Roman" w:cs="Times New Roman"/>
          <w:b/>
          <w:color w:val="auto"/>
          <w:sz w:val="20"/>
          <w:szCs w:val="20"/>
          <w:lang w:val="es-ES_tradnl" w:eastAsia="en-US"/>
        </w:rPr>
      </w:pPr>
    </w:p>
    <w:p w:rsidR="00AA346D" w:rsidRPr="009712EB" w:rsidRDefault="00AA346D"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 xml:space="preserve">Durante el trámite </w:t>
      </w:r>
      <w:r w:rsidR="00A66714">
        <w:rPr>
          <w:sz w:val="20"/>
          <w:szCs w:val="20"/>
          <w:lang w:val="es-CO"/>
        </w:rPr>
        <w:t xml:space="preserve">del presente caso </w:t>
      </w:r>
      <w:r w:rsidRPr="009712EB">
        <w:rPr>
          <w:sz w:val="20"/>
          <w:szCs w:val="20"/>
          <w:lang w:val="es-CO"/>
        </w:rPr>
        <w:t>ante la Comisión Interamericana, la parte peticionaria presentó información relevante y específica sobre las</w:t>
      </w:r>
      <w:r w:rsidR="00A425C3" w:rsidRPr="009712EB">
        <w:rPr>
          <w:sz w:val="20"/>
          <w:szCs w:val="20"/>
          <w:lang w:val="es-CO"/>
        </w:rPr>
        <w:t xml:space="preserve"> presuntas</w:t>
      </w:r>
      <w:r w:rsidR="00A66714">
        <w:rPr>
          <w:sz w:val="20"/>
          <w:szCs w:val="20"/>
          <w:lang w:val="es-CO"/>
        </w:rPr>
        <w:t xml:space="preserve"> víctimas panameñas así como</w:t>
      </w:r>
      <w:r w:rsidRPr="009712EB">
        <w:rPr>
          <w:sz w:val="20"/>
          <w:szCs w:val="20"/>
          <w:lang w:val="es-CO"/>
        </w:rPr>
        <w:t xml:space="preserve"> de </w:t>
      </w:r>
      <w:r w:rsidR="00A66714">
        <w:rPr>
          <w:sz w:val="20"/>
          <w:szCs w:val="20"/>
          <w:lang w:val="es-CO"/>
        </w:rPr>
        <w:t xml:space="preserve">algunas de otras </w:t>
      </w:r>
      <w:r w:rsidRPr="009712EB">
        <w:rPr>
          <w:sz w:val="20"/>
          <w:szCs w:val="20"/>
          <w:lang w:val="es-CO"/>
        </w:rPr>
        <w:t>nacionalidades</w:t>
      </w:r>
      <w:r w:rsidR="00A66714">
        <w:rPr>
          <w:sz w:val="20"/>
          <w:szCs w:val="20"/>
          <w:lang w:val="es-CO"/>
        </w:rPr>
        <w:t>,</w:t>
      </w:r>
      <w:r w:rsidRPr="009712EB">
        <w:rPr>
          <w:sz w:val="20"/>
          <w:szCs w:val="20"/>
          <w:lang w:val="es-CO"/>
        </w:rPr>
        <w:t xml:space="preserve"> mencionadas en las 272 peticiones</w:t>
      </w:r>
      <w:r w:rsidR="00A66714">
        <w:rPr>
          <w:sz w:val="20"/>
          <w:szCs w:val="20"/>
          <w:lang w:val="es-CO"/>
        </w:rPr>
        <w:t xml:space="preserve"> que constituyen el caso</w:t>
      </w:r>
      <w:r w:rsidRPr="009712EB">
        <w:rPr>
          <w:rStyle w:val="FootnoteReference"/>
          <w:sz w:val="20"/>
          <w:szCs w:val="20"/>
        </w:rPr>
        <w:footnoteReference w:id="111"/>
      </w:r>
      <w:r w:rsidRPr="009712EB">
        <w:rPr>
          <w:sz w:val="20"/>
          <w:szCs w:val="20"/>
          <w:lang w:val="es-CO"/>
        </w:rPr>
        <w:t xml:space="preserve">. </w:t>
      </w:r>
      <w:r w:rsidR="00EC4A0D">
        <w:rPr>
          <w:sz w:val="20"/>
          <w:szCs w:val="20"/>
          <w:lang w:val="es-CO"/>
        </w:rPr>
        <w:t>Los peticionarios presentaron declaraciones de presuntas víctimas y/o familiares, así como información más general y contextual. El Estado, por su parte, presentó información general y contextual</w:t>
      </w:r>
      <w:r w:rsidR="00941DE2">
        <w:rPr>
          <w:sz w:val="20"/>
          <w:szCs w:val="20"/>
          <w:lang w:val="es-CO"/>
        </w:rPr>
        <w:t>,</w:t>
      </w:r>
      <w:r w:rsidR="00EC4A0D">
        <w:rPr>
          <w:sz w:val="20"/>
          <w:szCs w:val="20"/>
          <w:lang w:val="es-CO"/>
        </w:rPr>
        <w:t xml:space="preserve"> así como argumentación respecto a la legitimidad de la actuación de sus fuerzas, </w:t>
      </w:r>
      <w:r w:rsidR="00941DE2">
        <w:rPr>
          <w:sz w:val="20"/>
          <w:szCs w:val="20"/>
          <w:lang w:val="es-CO"/>
        </w:rPr>
        <w:t xml:space="preserve">y solo en determinadas instancias presentó un análisis sobre </w:t>
      </w:r>
      <w:r w:rsidR="00EC4A0D">
        <w:rPr>
          <w:sz w:val="20"/>
          <w:szCs w:val="20"/>
          <w:lang w:val="es-CO"/>
        </w:rPr>
        <w:t xml:space="preserve">lo denunciado en cada petición. </w:t>
      </w:r>
      <w:r w:rsidRPr="009712EB">
        <w:rPr>
          <w:sz w:val="20"/>
          <w:szCs w:val="20"/>
          <w:lang w:val="es-CO"/>
        </w:rPr>
        <w:t xml:space="preserve">A continuación, la CIDH </w:t>
      </w:r>
      <w:r w:rsidR="00941DE2">
        <w:rPr>
          <w:sz w:val="20"/>
          <w:szCs w:val="20"/>
          <w:lang w:val="es-CO"/>
        </w:rPr>
        <w:t>presenta</w:t>
      </w:r>
      <w:r w:rsidR="00A425C3" w:rsidRPr="009712EB">
        <w:rPr>
          <w:sz w:val="20"/>
          <w:szCs w:val="20"/>
          <w:lang w:val="es-CO"/>
        </w:rPr>
        <w:t xml:space="preserve"> la información disponible</w:t>
      </w:r>
      <w:r w:rsidRPr="009712EB">
        <w:rPr>
          <w:sz w:val="20"/>
          <w:szCs w:val="20"/>
          <w:lang w:val="es-CO"/>
        </w:rPr>
        <w:t xml:space="preserve"> respecto de cada una de </w:t>
      </w:r>
      <w:r w:rsidR="00941DE2">
        <w:rPr>
          <w:sz w:val="20"/>
          <w:szCs w:val="20"/>
          <w:lang w:val="es-CO"/>
        </w:rPr>
        <w:t>estas situaciones</w:t>
      </w:r>
      <w:r w:rsidRPr="009712EB">
        <w:rPr>
          <w:sz w:val="20"/>
          <w:szCs w:val="20"/>
          <w:lang w:val="es-CO"/>
        </w:rPr>
        <w:t xml:space="preserve">, desglosadas según el tipo de vulneración alegada. </w:t>
      </w:r>
    </w:p>
    <w:p w:rsidR="004A5155" w:rsidRPr="009712EB" w:rsidRDefault="004A515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CO"/>
        </w:rPr>
      </w:pPr>
    </w:p>
    <w:p w:rsidR="00AA346D" w:rsidRPr="00A07D4A" w:rsidRDefault="00AA346D"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CO"/>
        </w:rPr>
      </w:pPr>
      <w:r w:rsidRPr="009712EB">
        <w:rPr>
          <w:sz w:val="20"/>
          <w:szCs w:val="20"/>
          <w:lang w:val="es-CO"/>
        </w:rPr>
        <w:t>Basada en las declaraciones presentadas</w:t>
      </w:r>
      <w:r w:rsidR="00941DE2">
        <w:rPr>
          <w:sz w:val="20"/>
          <w:szCs w:val="20"/>
          <w:lang w:val="es-CO"/>
        </w:rPr>
        <w:t xml:space="preserve"> por las presuntas víctimas y en otra información disponible</w:t>
      </w:r>
      <w:r w:rsidRPr="009712EB">
        <w:rPr>
          <w:sz w:val="20"/>
          <w:szCs w:val="20"/>
          <w:lang w:val="es-CO"/>
        </w:rPr>
        <w:t xml:space="preserve">, la Comisión Interamericana </w:t>
      </w:r>
      <w:r w:rsidR="00941DE2">
        <w:rPr>
          <w:sz w:val="20"/>
          <w:szCs w:val="20"/>
          <w:lang w:val="es-CO"/>
        </w:rPr>
        <w:t xml:space="preserve">ha verificado </w:t>
      </w:r>
      <w:r w:rsidRPr="009712EB">
        <w:rPr>
          <w:sz w:val="20"/>
          <w:szCs w:val="20"/>
          <w:lang w:val="es-CO"/>
        </w:rPr>
        <w:t>que determinadas circunstancias en las que se produjeron las alegadas vulneraciones tuvieron lugar en el marco de los primeros días de la</w:t>
      </w:r>
      <w:r w:rsidR="009F785A" w:rsidRPr="009712EB">
        <w:rPr>
          <w:sz w:val="20"/>
          <w:szCs w:val="20"/>
          <w:lang w:val="es-CO"/>
        </w:rPr>
        <w:t xml:space="preserve"> ocupación</w:t>
      </w:r>
      <w:r w:rsidRPr="009712EB">
        <w:rPr>
          <w:sz w:val="20"/>
          <w:szCs w:val="20"/>
          <w:lang w:val="es-CO"/>
        </w:rPr>
        <w:t>, en part</w:t>
      </w:r>
      <w:r w:rsidR="00A524EB">
        <w:rPr>
          <w:sz w:val="20"/>
          <w:szCs w:val="20"/>
          <w:lang w:val="es-CO"/>
        </w:rPr>
        <w:t>icular durante los días 20 al 25</w:t>
      </w:r>
      <w:r w:rsidRPr="009712EB">
        <w:rPr>
          <w:sz w:val="20"/>
          <w:szCs w:val="20"/>
          <w:lang w:val="es-CO"/>
        </w:rPr>
        <w:t xml:space="preserve"> de diciembre de 1989 </w:t>
      </w:r>
      <w:r w:rsidR="00941DE2">
        <w:rPr>
          <w:sz w:val="20"/>
          <w:szCs w:val="20"/>
          <w:lang w:val="es-CO"/>
        </w:rPr>
        <w:t xml:space="preserve">cuando el </w:t>
      </w:r>
      <w:r w:rsidRPr="009712EB">
        <w:rPr>
          <w:sz w:val="20"/>
          <w:szCs w:val="20"/>
          <w:lang w:val="es-CO"/>
        </w:rPr>
        <w:t xml:space="preserve">mayor número de </w:t>
      </w:r>
      <w:r w:rsidR="00941DE2">
        <w:rPr>
          <w:sz w:val="20"/>
          <w:szCs w:val="20"/>
          <w:lang w:val="es-CO"/>
        </w:rPr>
        <w:t xml:space="preserve">enfrentamientos tuvieron lugar </w:t>
      </w:r>
      <w:r w:rsidRPr="009712EB">
        <w:rPr>
          <w:sz w:val="20"/>
          <w:szCs w:val="20"/>
          <w:lang w:val="es-CO"/>
        </w:rPr>
        <w:t>entre las Fuerza</w:t>
      </w:r>
      <w:r w:rsidRPr="00A07D4A">
        <w:rPr>
          <w:color w:val="auto"/>
          <w:sz w:val="20"/>
          <w:szCs w:val="20"/>
          <w:lang w:val="es-CO"/>
        </w:rPr>
        <w:t xml:space="preserve">s de Defensas panameñas y el ejército estadounidense. </w:t>
      </w:r>
    </w:p>
    <w:p w:rsidR="004A5155" w:rsidRPr="009712EB" w:rsidRDefault="004A515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CO"/>
        </w:rPr>
      </w:pPr>
    </w:p>
    <w:p w:rsidR="00AA346D" w:rsidRPr="009712EB" w:rsidRDefault="00AA346D"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 xml:space="preserve">Como fue presentado por la parte peticionaria y no controvertido por el Estado, existió una mayor afectación en las áreas de El Chorrillo, áreas de Panamá viejo, San Miguelito y en la ciudad de Colón. </w:t>
      </w:r>
      <w:r w:rsidR="00941DE2">
        <w:rPr>
          <w:sz w:val="20"/>
          <w:szCs w:val="20"/>
          <w:lang w:val="es-CO"/>
        </w:rPr>
        <w:t xml:space="preserve">La extensión de </w:t>
      </w:r>
      <w:r w:rsidR="007034F1">
        <w:rPr>
          <w:sz w:val="20"/>
          <w:szCs w:val="20"/>
          <w:lang w:val="es-CO"/>
        </w:rPr>
        <w:t>e</w:t>
      </w:r>
      <w:r w:rsidRPr="009712EB">
        <w:rPr>
          <w:sz w:val="20"/>
          <w:szCs w:val="20"/>
          <w:lang w:val="es-CO"/>
        </w:rPr>
        <w:t xml:space="preserve">stas afectaciones </w:t>
      </w:r>
      <w:r w:rsidR="007034F1">
        <w:rPr>
          <w:sz w:val="20"/>
          <w:szCs w:val="20"/>
          <w:lang w:val="es-CO"/>
        </w:rPr>
        <w:t xml:space="preserve">está directamente relacionada </w:t>
      </w:r>
      <w:r w:rsidRPr="009712EB">
        <w:rPr>
          <w:sz w:val="20"/>
          <w:szCs w:val="20"/>
          <w:lang w:val="es-CO"/>
        </w:rPr>
        <w:t xml:space="preserve">con el hecho que </w:t>
      </w:r>
      <w:r w:rsidR="007034F1">
        <w:rPr>
          <w:sz w:val="20"/>
          <w:szCs w:val="20"/>
          <w:lang w:val="es-CO"/>
        </w:rPr>
        <w:t>pues</w:t>
      </w:r>
      <w:r w:rsidR="007034F1" w:rsidRPr="009712EB">
        <w:rPr>
          <w:sz w:val="20"/>
          <w:szCs w:val="20"/>
          <w:lang w:val="es-CO"/>
        </w:rPr>
        <w:t xml:space="preserve">tos militares estratégicos </w:t>
      </w:r>
      <w:r w:rsidR="007034F1">
        <w:rPr>
          <w:sz w:val="20"/>
          <w:szCs w:val="20"/>
          <w:lang w:val="es-CO"/>
        </w:rPr>
        <w:t xml:space="preserve"> panameños estaban ubicados </w:t>
      </w:r>
      <w:r w:rsidRPr="009712EB">
        <w:rPr>
          <w:sz w:val="20"/>
          <w:szCs w:val="20"/>
          <w:lang w:val="es-CO"/>
        </w:rPr>
        <w:t xml:space="preserve">en estos lugares, </w:t>
      </w:r>
      <w:r w:rsidR="007034F1">
        <w:rPr>
          <w:sz w:val="20"/>
          <w:szCs w:val="20"/>
          <w:lang w:val="es-CO"/>
        </w:rPr>
        <w:t xml:space="preserve">y </w:t>
      </w:r>
      <w:r w:rsidRPr="009712EB">
        <w:rPr>
          <w:sz w:val="20"/>
          <w:szCs w:val="20"/>
          <w:lang w:val="es-CO"/>
        </w:rPr>
        <w:t>que las fuerzas armad</w:t>
      </w:r>
      <w:r w:rsidR="007034F1">
        <w:rPr>
          <w:sz w:val="20"/>
          <w:szCs w:val="20"/>
          <w:lang w:val="es-CO"/>
        </w:rPr>
        <w:t xml:space="preserve">as estadounidenses consideraron estos puestos </w:t>
      </w:r>
      <w:r w:rsidRPr="009712EB">
        <w:rPr>
          <w:sz w:val="20"/>
          <w:szCs w:val="20"/>
          <w:lang w:val="es-CO"/>
        </w:rPr>
        <w:t>cruciales para lograr los objetivos de la operación militar</w:t>
      </w:r>
      <w:r w:rsidRPr="009712EB">
        <w:rPr>
          <w:rStyle w:val="FootnoteReference"/>
          <w:sz w:val="20"/>
          <w:szCs w:val="20"/>
        </w:rPr>
        <w:footnoteReference w:id="112"/>
      </w:r>
      <w:r w:rsidR="005E2ED1">
        <w:rPr>
          <w:sz w:val="20"/>
          <w:szCs w:val="20"/>
          <w:lang w:val="es-CO"/>
        </w:rPr>
        <w:t>.</w:t>
      </w:r>
    </w:p>
    <w:p w:rsidR="004A5155" w:rsidRPr="009712EB" w:rsidRDefault="004A5155" w:rsidP="00453F6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A346D" w:rsidRPr="00366A8E" w:rsidRDefault="00AA346D" w:rsidP="00366A8E">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 xml:space="preserve">La CIDH observa que, conforme a las declaraciones presentadas por las </w:t>
      </w:r>
      <w:r w:rsidR="00A524EB">
        <w:rPr>
          <w:sz w:val="20"/>
          <w:szCs w:val="20"/>
          <w:lang w:val="es-CO"/>
        </w:rPr>
        <w:t xml:space="preserve">presuntas </w:t>
      </w:r>
      <w:r w:rsidRPr="009712EB">
        <w:rPr>
          <w:sz w:val="20"/>
          <w:szCs w:val="20"/>
          <w:lang w:val="es-CO"/>
        </w:rPr>
        <w:t xml:space="preserve">víctimas, existen marcadas similitudes entre </w:t>
      </w:r>
      <w:r w:rsidRPr="00B053C8">
        <w:rPr>
          <w:sz w:val="20"/>
          <w:szCs w:val="20"/>
          <w:lang w:val="es-CO"/>
        </w:rPr>
        <w:t xml:space="preserve">las circunstancias descritas, incluso en distintas zonas del </w:t>
      </w:r>
      <w:r w:rsidR="007034F1">
        <w:rPr>
          <w:sz w:val="20"/>
          <w:szCs w:val="20"/>
          <w:lang w:val="es-CO"/>
        </w:rPr>
        <w:t>país</w:t>
      </w:r>
      <w:r w:rsidRPr="00B053C8">
        <w:rPr>
          <w:sz w:val="20"/>
          <w:szCs w:val="20"/>
          <w:lang w:val="es-CO"/>
        </w:rPr>
        <w:t xml:space="preserve">. </w:t>
      </w:r>
      <w:r w:rsidR="007034F1">
        <w:rPr>
          <w:sz w:val="20"/>
          <w:szCs w:val="20"/>
          <w:lang w:val="es-CO"/>
        </w:rPr>
        <w:t xml:space="preserve">En un determinado número de situaciones, identificados en los respectivos anexos, la Comisión ha tomado nota de individuos cuyos nombres han sido incluidos en las declaraciones presentadas por las presuntas víctimas en relación </w:t>
      </w:r>
      <w:r w:rsidR="00122D3E">
        <w:rPr>
          <w:sz w:val="20"/>
          <w:szCs w:val="20"/>
          <w:lang w:val="es-CO"/>
        </w:rPr>
        <w:t xml:space="preserve">a </w:t>
      </w:r>
      <w:r w:rsidR="00FF0025" w:rsidRPr="00B053C8">
        <w:rPr>
          <w:sz w:val="20"/>
          <w:szCs w:val="20"/>
          <w:lang w:val="es-CO"/>
        </w:rPr>
        <w:t xml:space="preserve">descripciones </w:t>
      </w:r>
      <w:r w:rsidR="00122D3E">
        <w:rPr>
          <w:sz w:val="20"/>
          <w:szCs w:val="20"/>
          <w:lang w:val="es-CO"/>
        </w:rPr>
        <w:t xml:space="preserve">generales </w:t>
      </w:r>
      <w:r w:rsidR="005A6D84" w:rsidRPr="00B053C8">
        <w:rPr>
          <w:sz w:val="20"/>
          <w:szCs w:val="20"/>
          <w:lang w:val="es-CO"/>
        </w:rPr>
        <w:t xml:space="preserve">de </w:t>
      </w:r>
      <w:r w:rsidR="00122D3E">
        <w:rPr>
          <w:sz w:val="20"/>
          <w:szCs w:val="20"/>
          <w:lang w:val="es-CO"/>
        </w:rPr>
        <w:t xml:space="preserve">los </w:t>
      </w:r>
      <w:r w:rsidR="005A6D84" w:rsidRPr="00B053C8">
        <w:rPr>
          <w:sz w:val="20"/>
          <w:szCs w:val="20"/>
          <w:lang w:val="es-CO"/>
        </w:rPr>
        <w:t xml:space="preserve">hechos durante </w:t>
      </w:r>
      <w:r w:rsidR="00FF0025" w:rsidRPr="00B053C8">
        <w:rPr>
          <w:sz w:val="20"/>
          <w:szCs w:val="20"/>
          <w:lang w:val="es-CO"/>
        </w:rPr>
        <w:t xml:space="preserve">la operación militar en sus </w:t>
      </w:r>
      <w:r w:rsidR="00122D3E">
        <w:rPr>
          <w:sz w:val="20"/>
          <w:szCs w:val="20"/>
          <w:lang w:val="es-CO"/>
        </w:rPr>
        <w:t xml:space="preserve">respectivas áreas, pero </w:t>
      </w:r>
      <w:r w:rsidR="00FF0025" w:rsidRPr="00366A8E">
        <w:rPr>
          <w:sz w:val="20"/>
          <w:szCs w:val="20"/>
          <w:lang w:val="es-CO"/>
        </w:rPr>
        <w:t xml:space="preserve">sin </w:t>
      </w:r>
      <w:r w:rsidR="00122D3E">
        <w:rPr>
          <w:sz w:val="20"/>
          <w:szCs w:val="20"/>
          <w:lang w:val="es-CO"/>
        </w:rPr>
        <w:t>referencia a hechos o alegatos específicos que caracterizarían una violación a derechos humanos</w:t>
      </w:r>
      <w:r w:rsidR="00122D3E">
        <w:rPr>
          <w:rStyle w:val="FootnoteReference"/>
          <w:sz w:val="20"/>
          <w:szCs w:val="20"/>
          <w:lang w:val="es-CO"/>
        </w:rPr>
        <w:footnoteReference w:id="113"/>
      </w:r>
      <w:r w:rsidR="00FF0025" w:rsidRPr="00366A8E">
        <w:rPr>
          <w:sz w:val="20"/>
          <w:szCs w:val="20"/>
          <w:lang w:val="es-CO"/>
        </w:rPr>
        <w:t xml:space="preserve">. En consecuencia, estas personas no serán incluidas en la valoración de los hechos y del derecho del presente informe. </w:t>
      </w:r>
    </w:p>
    <w:p w:rsidR="004A5155" w:rsidRPr="00366A8E" w:rsidRDefault="004A5155" w:rsidP="00366A8E">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CO"/>
        </w:rPr>
      </w:pPr>
    </w:p>
    <w:p w:rsidR="00451B0F" w:rsidRPr="00366A8E" w:rsidRDefault="009712EB" w:rsidP="00D529F8">
      <w:pPr>
        <w:pStyle w:val="Heading3"/>
        <w:numPr>
          <w:ilvl w:val="1"/>
          <w:numId w:val="66"/>
        </w:numPr>
        <w:spacing w:before="0" w:after="0"/>
        <w:ind w:left="720" w:firstLine="0"/>
        <w:jc w:val="both"/>
        <w:rPr>
          <w:rFonts w:ascii="Cambria" w:hAnsi="Cambria"/>
          <w:b w:val="0"/>
          <w:szCs w:val="20"/>
          <w:lang w:val="es-CO"/>
        </w:rPr>
      </w:pPr>
      <w:bookmarkStart w:id="19" w:name="_Toc525294038"/>
      <w:r w:rsidRPr="00366A8E">
        <w:rPr>
          <w:rStyle w:val="Heading3Char"/>
          <w:rFonts w:ascii="Cambria" w:eastAsia="Cambria" w:hAnsi="Cambria"/>
          <w:b/>
          <w:sz w:val="20"/>
          <w:lang w:val="es-ES_tradnl"/>
        </w:rPr>
        <w:t>Personas que perdieron la vid</w:t>
      </w:r>
      <w:r w:rsidRPr="00366A8E">
        <w:rPr>
          <w:rStyle w:val="Heading3Char"/>
          <w:rFonts w:ascii="Cambria" w:eastAsia="Cambria" w:hAnsi="Cambria"/>
          <w:b/>
          <w:sz w:val="20"/>
          <w:lang w:val="es-VE"/>
        </w:rPr>
        <w:t>a</w:t>
      </w:r>
      <w:r w:rsidR="006214B4" w:rsidRPr="00366A8E">
        <w:rPr>
          <w:rStyle w:val="FootnoteReference"/>
          <w:rFonts w:ascii="Cambria" w:hAnsi="Cambria"/>
          <w:b w:val="0"/>
          <w:sz w:val="20"/>
          <w:szCs w:val="20"/>
        </w:rPr>
        <w:footnoteReference w:id="114"/>
      </w:r>
      <w:bookmarkEnd w:id="19"/>
    </w:p>
    <w:p w:rsidR="004A5155" w:rsidRPr="00366A8E" w:rsidRDefault="004A5155" w:rsidP="00366A8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800"/>
        <w:jc w:val="both"/>
        <w:rPr>
          <w:sz w:val="20"/>
          <w:szCs w:val="20"/>
          <w:lang w:val="es-CO"/>
        </w:rPr>
      </w:pPr>
    </w:p>
    <w:p w:rsidR="00451B0F" w:rsidRPr="009712EB" w:rsidRDefault="00AA346D" w:rsidP="00366A8E">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366A8E">
        <w:rPr>
          <w:sz w:val="20"/>
          <w:szCs w:val="20"/>
          <w:lang w:val="es-CO"/>
        </w:rPr>
        <w:t>Como</w:t>
      </w:r>
      <w:r w:rsidRPr="009712EB">
        <w:rPr>
          <w:sz w:val="20"/>
          <w:szCs w:val="20"/>
          <w:lang w:val="es-CO"/>
        </w:rPr>
        <w:t xml:space="preserve"> punto </w:t>
      </w:r>
      <w:r w:rsidR="007970F5">
        <w:rPr>
          <w:sz w:val="20"/>
          <w:szCs w:val="20"/>
          <w:lang w:val="es-CO"/>
        </w:rPr>
        <w:t>preliminar</w:t>
      </w:r>
      <w:r w:rsidRPr="009712EB">
        <w:rPr>
          <w:sz w:val="20"/>
          <w:szCs w:val="20"/>
          <w:lang w:val="es-CO"/>
        </w:rPr>
        <w:t xml:space="preserve">, </w:t>
      </w:r>
      <w:r w:rsidRPr="009712EB">
        <w:rPr>
          <w:sz w:val="20"/>
          <w:szCs w:val="20"/>
          <w:lang w:val="es-ES_tradnl"/>
        </w:rPr>
        <w:t>resulta importante recordar que en el marco de</w:t>
      </w:r>
      <w:r w:rsidR="007E3C22">
        <w:rPr>
          <w:sz w:val="20"/>
          <w:szCs w:val="20"/>
          <w:lang w:val="es-ES_tradnl"/>
        </w:rPr>
        <w:t xml:space="preserve"> su</w:t>
      </w:r>
      <w:r w:rsidRPr="009712EB">
        <w:rPr>
          <w:sz w:val="20"/>
          <w:szCs w:val="20"/>
          <w:lang w:val="es-ES_tradnl"/>
        </w:rPr>
        <w:t xml:space="preserve"> Informe Anual 1990-1991, la CIDH resaltó la controversia existente entre Estado</w:t>
      </w:r>
      <w:r w:rsidR="00805B20">
        <w:rPr>
          <w:sz w:val="20"/>
          <w:szCs w:val="20"/>
          <w:lang w:val="es-ES_tradnl"/>
        </w:rPr>
        <w:t>s</w:t>
      </w:r>
      <w:r w:rsidRPr="009712EB">
        <w:rPr>
          <w:sz w:val="20"/>
          <w:szCs w:val="20"/>
          <w:lang w:val="es-ES_tradnl"/>
        </w:rPr>
        <w:t xml:space="preserve"> </w:t>
      </w:r>
      <w:r w:rsidR="00805B20">
        <w:rPr>
          <w:sz w:val="20"/>
          <w:szCs w:val="20"/>
          <w:lang w:val="es-ES_tradnl"/>
        </w:rPr>
        <w:t xml:space="preserve">Unidos </w:t>
      </w:r>
      <w:r w:rsidRPr="009712EB">
        <w:rPr>
          <w:sz w:val="20"/>
          <w:szCs w:val="20"/>
          <w:lang w:val="es-ES_tradnl"/>
        </w:rPr>
        <w:t xml:space="preserve">y la sociedad civil panameña sobre la cifra real de muertes civiles con motivo de la invasión de Panamá. Dicha duda surgía como consecuencia de </w:t>
      </w:r>
      <w:r w:rsidRPr="009712EB">
        <w:rPr>
          <w:sz w:val="20"/>
          <w:szCs w:val="20"/>
          <w:lang w:val="es-ES_tradnl"/>
        </w:rPr>
        <w:lastRenderedPageBreak/>
        <w:t>la marcada diferencia entre la cifra oficial proporcionada por el Comando Sur del Ejército de Estados Unidos, 202 civiles y menos de 100 militares</w:t>
      </w:r>
      <w:r w:rsidR="007970F5">
        <w:rPr>
          <w:sz w:val="20"/>
          <w:szCs w:val="20"/>
          <w:lang w:val="es-ES_tradnl"/>
        </w:rPr>
        <w:t>, y las cifras citadas por otros voceros</w:t>
      </w:r>
      <w:r w:rsidRPr="009712EB">
        <w:rPr>
          <w:sz w:val="20"/>
          <w:szCs w:val="20"/>
          <w:lang w:val="es-ES_tradnl"/>
        </w:rPr>
        <w:t xml:space="preserve">, como </w:t>
      </w:r>
      <w:r w:rsidRPr="009712EB">
        <w:rPr>
          <w:sz w:val="20"/>
          <w:szCs w:val="20"/>
          <w:lang w:val="es-CO"/>
        </w:rPr>
        <w:t>Ameri</w:t>
      </w:r>
      <w:r w:rsidR="00A524EB">
        <w:rPr>
          <w:sz w:val="20"/>
          <w:szCs w:val="20"/>
          <w:lang w:val="es-CO"/>
        </w:rPr>
        <w:t>cas Watch, el Comité Panameño, Physicians for Human Rights</w:t>
      </w:r>
      <w:r w:rsidRPr="009712EB">
        <w:rPr>
          <w:sz w:val="20"/>
          <w:szCs w:val="20"/>
          <w:lang w:val="es-CO"/>
        </w:rPr>
        <w:t xml:space="preserve"> y voceros de la Iglesia Católica, las cuales coincidían en afirmar entre 300 y 600 panameños fallecidos</w:t>
      </w:r>
      <w:r w:rsidRPr="009712EB">
        <w:rPr>
          <w:sz w:val="20"/>
          <w:szCs w:val="20"/>
          <w:vertAlign w:val="superscript"/>
        </w:rPr>
        <w:footnoteReference w:id="115"/>
      </w:r>
      <w:r w:rsidR="0085454C">
        <w:rPr>
          <w:sz w:val="20"/>
          <w:szCs w:val="20"/>
          <w:lang w:val="es-CO"/>
        </w:rPr>
        <w:t>. Igualmente</w:t>
      </w:r>
      <w:r w:rsidRPr="009712EB">
        <w:rPr>
          <w:sz w:val="20"/>
          <w:szCs w:val="20"/>
          <w:lang w:val="es-CO"/>
        </w:rPr>
        <w:t xml:space="preserve">, en base a la información presentada y la recolectada durante su visita oficial, </w:t>
      </w:r>
      <w:r w:rsidR="0085454C">
        <w:rPr>
          <w:sz w:val="20"/>
          <w:szCs w:val="20"/>
          <w:lang w:val="es-CO"/>
        </w:rPr>
        <w:t xml:space="preserve">la CIDH </w:t>
      </w:r>
      <w:r w:rsidRPr="009712EB">
        <w:rPr>
          <w:sz w:val="20"/>
          <w:szCs w:val="20"/>
          <w:lang w:val="es-CO"/>
        </w:rPr>
        <w:t xml:space="preserve">resaltó la imprecisión e incertidumbre sobre las circunstancias de las muertes. </w:t>
      </w:r>
    </w:p>
    <w:p w:rsidR="004A5155" w:rsidRPr="009712EB" w:rsidRDefault="004A515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CO"/>
        </w:rPr>
      </w:pPr>
    </w:p>
    <w:p w:rsidR="00451B0F" w:rsidRPr="00CD49F1" w:rsidRDefault="0085454C"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CO"/>
        </w:rPr>
      </w:pPr>
      <w:r>
        <w:rPr>
          <w:sz w:val="20"/>
          <w:szCs w:val="20"/>
          <w:lang w:val="es-CO"/>
        </w:rPr>
        <w:t>Con respecto al</w:t>
      </w:r>
      <w:r w:rsidR="00AA346D" w:rsidRPr="009712EB">
        <w:rPr>
          <w:sz w:val="20"/>
          <w:szCs w:val="20"/>
          <w:lang w:val="es-CO"/>
        </w:rPr>
        <w:t xml:space="preserve"> conjunto de </w:t>
      </w:r>
      <w:r w:rsidR="00307EA2" w:rsidRPr="009712EB">
        <w:rPr>
          <w:sz w:val="20"/>
          <w:szCs w:val="20"/>
          <w:lang w:val="es-CO"/>
        </w:rPr>
        <w:t xml:space="preserve">presuntas </w:t>
      </w:r>
      <w:r w:rsidR="00AA346D" w:rsidRPr="009712EB">
        <w:rPr>
          <w:sz w:val="20"/>
          <w:szCs w:val="20"/>
          <w:lang w:val="es-CO"/>
        </w:rPr>
        <w:t xml:space="preserve">víctimas que alegan vulneraciones al derecho a la vida del presente caso, la Comisión expone que </w:t>
      </w:r>
      <w:r w:rsidR="007E3C22">
        <w:rPr>
          <w:sz w:val="20"/>
          <w:szCs w:val="20"/>
          <w:lang w:val="es-CO"/>
        </w:rPr>
        <w:t>la parte peticionaria</w:t>
      </w:r>
      <w:r w:rsidR="00AA346D" w:rsidRPr="009712EB">
        <w:rPr>
          <w:sz w:val="20"/>
          <w:szCs w:val="20"/>
          <w:lang w:val="es-CO"/>
        </w:rPr>
        <w:t xml:space="preserve"> present</w:t>
      </w:r>
      <w:r w:rsidR="00A524EB">
        <w:rPr>
          <w:sz w:val="20"/>
          <w:szCs w:val="20"/>
          <w:lang w:val="es-CO"/>
        </w:rPr>
        <w:t>ó</w:t>
      </w:r>
      <w:r w:rsidR="00AA346D" w:rsidRPr="009712EB">
        <w:rPr>
          <w:sz w:val="20"/>
          <w:szCs w:val="20"/>
          <w:lang w:val="es-CO"/>
        </w:rPr>
        <w:t xml:space="preserve"> </w:t>
      </w:r>
      <w:r w:rsidRPr="009712EB">
        <w:rPr>
          <w:sz w:val="20"/>
          <w:szCs w:val="20"/>
          <w:lang w:val="es-CO"/>
        </w:rPr>
        <w:t xml:space="preserve">de manera reiterada </w:t>
      </w:r>
      <w:r w:rsidR="00AA346D" w:rsidRPr="009712EB">
        <w:rPr>
          <w:sz w:val="20"/>
          <w:szCs w:val="20"/>
          <w:lang w:val="es-CO"/>
        </w:rPr>
        <w:t>información</w:t>
      </w:r>
      <w:r>
        <w:rPr>
          <w:sz w:val="20"/>
          <w:szCs w:val="20"/>
          <w:lang w:val="es-CO"/>
        </w:rPr>
        <w:t>, la cual ha sido ampliamente consistente,</w:t>
      </w:r>
      <w:r w:rsidR="00AA346D" w:rsidRPr="009712EB">
        <w:rPr>
          <w:sz w:val="20"/>
          <w:szCs w:val="20"/>
          <w:lang w:val="es-CO"/>
        </w:rPr>
        <w:t xml:space="preserve"> sobre la participación del ejército estadounidense en puntos de control de vehículo, fosas comunes y </w:t>
      </w:r>
      <w:r w:rsidR="00A524EB">
        <w:rPr>
          <w:sz w:val="20"/>
          <w:szCs w:val="20"/>
          <w:lang w:val="es-CO"/>
        </w:rPr>
        <w:t xml:space="preserve">sobre </w:t>
      </w:r>
      <w:r w:rsidR="00FC6B5E">
        <w:rPr>
          <w:sz w:val="20"/>
          <w:szCs w:val="20"/>
          <w:lang w:val="es-CO"/>
        </w:rPr>
        <w:t xml:space="preserve">el uso de </w:t>
      </w:r>
      <w:r w:rsidR="00AA346D" w:rsidRPr="009712EB">
        <w:rPr>
          <w:sz w:val="20"/>
          <w:szCs w:val="20"/>
          <w:lang w:val="es-CO"/>
        </w:rPr>
        <w:t xml:space="preserve">armas militares. En </w:t>
      </w:r>
      <w:r>
        <w:rPr>
          <w:sz w:val="20"/>
          <w:szCs w:val="20"/>
          <w:lang w:val="es-CO"/>
        </w:rPr>
        <w:t xml:space="preserve">cuanto al </w:t>
      </w:r>
      <w:r w:rsidR="00AA346D" w:rsidRPr="009712EB">
        <w:rPr>
          <w:sz w:val="20"/>
          <w:szCs w:val="20"/>
          <w:lang w:val="es-CO"/>
        </w:rPr>
        <w:t xml:space="preserve">uso de armas </w:t>
      </w:r>
      <w:r>
        <w:rPr>
          <w:sz w:val="20"/>
          <w:szCs w:val="20"/>
          <w:lang w:val="es-CO"/>
        </w:rPr>
        <w:t xml:space="preserve">militares </w:t>
      </w:r>
      <w:r w:rsidR="00AA346D" w:rsidRPr="009712EB">
        <w:rPr>
          <w:sz w:val="20"/>
          <w:szCs w:val="20"/>
          <w:lang w:val="es-CO"/>
        </w:rPr>
        <w:t xml:space="preserve">durante la </w:t>
      </w:r>
      <w:r>
        <w:rPr>
          <w:sz w:val="20"/>
          <w:szCs w:val="20"/>
          <w:lang w:val="es-CO"/>
        </w:rPr>
        <w:t>O</w:t>
      </w:r>
      <w:r w:rsidR="00AA346D" w:rsidRPr="009712EB">
        <w:rPr>
          <w:sz w:val="20"/>
          <w:szCs w:val="20"/>
          <w:lang w:val="es-CO"/>
        </w:rPr>
        <w:t>peración “Justa Causa”</w:t>
      </w:r>
      <w:r>
        <w:rPr>
          <w:sz w:val="20"/>
          <w:szCs w:val="20"/>
          <w:lang w:val="es-CO"/>
        </w:rPr>
        <w:t xml:space="preserve">, es </w:t>
      </w:r>
      <w:r w:rsidR="00AA346D" w:rsidRPr="009712EB">
        <w:rPr>
          <w:sz w:val="20"/>
          <w:szCs w:val="20"/>
          <w:lang w:val="es-CO"/>
        </w:rPr>
        <w:t>un hecho no controvertido por las partes que el ejército estadounidense hizo uso en particular de helicópteros y aviones equipados con armamento explosivo. El Estado hizo uso de dicho armamento para neutralizar centros estratégicos de las fuerzas de defensas panameñas, ubicadas en localidades a</w:t>
      </w:r>
      <w:r w:rsidR="004C4A1D">
        <w:rPr>
          <w:sz w:val="20"/>
          <w:szCs w:val="20"/>
          <w:lang w:val="es-CO"/>
        </w:rPr>
        <w:t xml:space="preserve">ltamente pobladas por civiles. </w:t>
      </w:r>
    </w:p>
    <w:p w:rsidR="004A5155" w:rsidRPr="00CD49F1" w:rsidRDefault="004A515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lang w:val="es-CO"/>
        </w:rPr>
      </w:pPr>
    </w:p>
    <w:p w:rsidR="00451B0F" w:rsidRPr="009712EB" w:rsidRDefault="00AA346D"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CD49F1">
        <w:rPr>
          <w:color w:val="auto"/>
          <w:sz w:val="20"/>
          <w:szCs w:val="20"/>
          <w:lang w:val="es-CO"/>
        </w:rPr>
        <w:t xml:space="preserve">Es importante destacar que en varios casos descritos, los familiares de las </w:t>
      </w:r>
      <w:r w:rsidR="00F667B9" w:rsidRPr="00CD49F1">
        <w:rPr>
          <w:color w:val="auto"/>
          <w:sz w:val="20"/>
          <w:szCs w:val="20"/>
          <w:lang w:val="es-CO"/>
        </w:rPr>
        <w:t xml:space="preserve">presuntas </w:t>
      </w:r>
      <w:r w:rsidRPr="00CD49F1">
        <w:rPr>
          <w:color w:val="auto"/>
          <w:sz w:val="20"/>
          <w:szCs w:val="20"/>
          <w:lang w:val="es-CO"/>
        </w:rPr>
        <w:t xml:space="preserve">víctimas interpusieron </w:t>
      </w:r>
      <w:r w:rsidR="00FB6D13" w:rsidRPr="00CD49F1">
        <w:rPr>
          <w:color w:val="auto"/>
          <w:sz w:val="20"/>
          <w:szCs w:val="20"/>
          <w:lang w:val="es-CO"/>
        </w:rPr>
        <w:t xml:space="preserve">denuncias </w:t>
      </w:r>
      <w:r w:rsidRPr="00CD49F1">
        <w:rPr>
          <w:color w:val="auto"/>
          <w:sz w:val="20"/>
          <w:szCs w:val="20"/>
          <w:lang w:val="es-CO"/>
        </w:rPr>
        <w:t>ante el Ministerio Público en Panamá por las muertes</w:t>
      </w:r>
      <w:r w:rsidR="00FB6D13" w:rsidRPr="00CD49F1">
        <w:rPr>
          <w:color w:val="auto"/>
          <w:sz w:val="20"/>
          <w:szCs w:val="20"/>
          <w:lang w:val="es-CO"/>
        </w:rPr>
        <w:t xml:space="preserve"> de sus respectivos familiares</w:t>
      </w:r>
      <w:r w:rsidRPr="00CD49F1">
        <w:rPr>
          <w:color w:val="auto"/>
          <w:sz w:val="20"/>
          <w:szCs w:val="20"/>
          <w:lang w:val="es-CO"/>
        </w:rPr>
        <w:t xml:space="preserve"> ocurridas durante la Operación “Justa Causa”</w:t>
      </w:r>
      <w:r w:rsidRPr="00CD49F1">
        <w:rPr>
          <w:rStyle w:val="FootnoteReference"/>
          <w:color w:val="auto"/>
          <w:sz w:val="20"/>
          <w:szCs w:val="20"/>
        </w:rPr>
        <w:footnoteReference w:id="116"/>
      </w:r>
      <w:r w:rsidRPr="00CD49F1">
        <w:rPr>
          <w:color w:val="auto"/>
          <w:sz w:val="20"/>
          <w:szCs w:val="20"/>
          <w:lang w:val="es-CO"/>
        </w:rPr>
        <w:t xml:space="preserve">. </w:t>
      </w:r>
      <w:r w:rsidR="0085454C">
        <w:rPr>
          <w:color w:val="auto"/>
          <w:sz w:val="20"/>
          <w:szCs w:val="20"/>
          <w:lang w:val="es-CO"/>
        </w:rPr>
        <w:t xml:space="preserve">La respuesta a estas denuncias fue la emisión de </w:t>
      </w:r>
      <w:r w:rsidRPr="00CD49F1">
        <w:rPr>
          <w:color w:val="auto"/>
          <w:sz w:val="20"/>
          <w:szCs w:val="20"/>
          <w:lang w:val="es-CO"/>
        </w:rPr>
        <w:t xml:space="preserve">declaratorias de sobreseimiento provisional </w:t>
      </w:r>
      <w:r w:rsidR="0085454C">
        <w:rPr>
          <w:color w:val="auto"/>
          <w:sz w:val="20"/>
          <w:szCs w:val="20"/>
          <w:lang w:val="es-CO"/>
        </w:rPr>
        <w:t xml:space="preserve">sobre la base de </w:t>
      </w:r>
      <w:r w:rsidRPr="00CD49F1">
        <w:rPr>
          <w:color w:val="auto"/>
          <w:sz w:val="20"/>
          <w:szCs w:val="20"/>
          <w:lang w:val="es-CO"/>
        </w:rPr>
        <w:t>una imposibilidad de atribuir autoría</w:t>
      </w:r>
      <w:r w:rsidR="0085454C">
        <w:rPr>
          <w:color w:val="auto"/>
          <w:sz w:val="20"/>
          <w:szCs w:val="20"/>
          <w:lang w:val="es-CO"/>
        </w:rPr>
        <w:t xml:space="preserve"> a personas individualizadas</w:t>
      </w:r>
      <w:r w:rsidRPr="00CD49F1">
        <w:rPr>
          <w:color w:val="auto"/>
          <w:sz w:val="20"/>
          <w:szCs w:val="20"/>
          <w:lang w:val="es-CO"/>
        </w:rPr>
        <w:t xml:space="preserve">, </w:t>
      </w:r>
      <w:r w:rsidRPr="009712EB">
        <w:rPr>
          <w:sz w:val="20"/>
          <w:szCs w:val="20"/>
          <w:lang w:val="es-CO"/>
        </w:rPr>
        <w:t>“dada la compleja dificultad para ubicar a las personas autoras de los hechos”</w:t>
      </w:r>
      <w:r w:rsidRPr="009712EB">
        <w:rPr>
          <w:rStyle w:val="FootnoteReference"/>
          <w:sz w:val="20"/>
          <w:szCs w:val="20"/>
        </w:rPr>
        <w:footnoteReference w:id="117"/>
      </w:r>
      <w:r w:rsidR="004C4A1D">
        <w:rPr>
          <w:sz w:val="20"/>
          <w:szCs w:val="20"/>
          <w:lang w:val="es-CO"/>
        </w:rPr>
        <w:t>.</w:t>
      </w:r>
    </w:p>
    <w:p w:rsidR="004A5155" w:rsidRPr="009712EB" w:rsidRDefault="004A5155" w:rsidP="005A6D8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451B0F" w:rsidRPr="00CD49F1" w:rsidRDefault="00AA346D"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CO"/>
        </w:rPr>
      </w:pPr>
      <w:r w:rsidRPr="00CD49F1">
        <w:rPr>
          <w:color w:val="auto"/>
          <w:sz w:val="20"/>
          <w:szCs w:val="20"/>
          <w:lang w:val="es-CO"/>
        </w:rPr>
        <w:t>Es de not</w:t>
      </w:r>
      <w:r w:rsidR="00A425C3" w:rsidRPr="00CD49F1">
        <w:rPr>
          <w:color w:val="auto"/>
          <w:sz w:val="20"/>
          <w:szCs w:val="20"/>
          <w:lang w:val="es-CO"/>
        </w:rPr>
        <w:t xml:space="preserve">ar que en </w:t>
      </w:r>
      <w:r w:rsidRPr="00CD49F1">
        <w:rPr>
          <w:color w:val="auto"/>
          <w:sz w:val="20"/>
          <w:szCs w:val="20"/>
          <w:lang w:val="es-CO"/>
        </w:rPr>
        <w:t>gran parte de las denuncias</w:t>
      </w:r>
      <w:r w:rsidR="00FB6D13" w:rsidRPr="00CD49F1">
        <w:rPr>
          <w:color w:val="auto"/>
          <w:sz w:val="20"/>
          <w:szCs w:val="20"/>
          <w:lang w:val="es-CO"/>
        </w:rPr>
        <w:t xml:space="preserve"> presentadas ante la CIDH </w:t>
      </w:r>
      <w:r w:rsidR="00A425C3" w:rsidRPr="00CD49F1">
        <w:rPr>
          <w:color w:val="auto"/>
          <w:sz w:val="20"/>
          <w:szCs w:val="20"/>
          <w:lang w:val="es-CO"/>
        </w:rPr>
        <w:t>se identificaron</w:t>
      </w:r>
      <w:r w:rsidRPr="00CD49F1">
        <w:rPr>
          <w:color w:val="auto"/>
          <w:sz w:val="20"/>
          <w:szCs w:val="20"/>
          <w:lang w:val="es-CO"/>
        </w:rPr>
        <w:t xml:space="preserve"> testigos, intentos de acudir ante autoridades </w:t>
      </w:r>
      <w:r w:rsidR="00F667B9" w:rsidRPr="00CD49F1">
        <w:rPr>
          <w:color w:val="auto"/>
          <w:sz w:val="20"/>
          <w:szCs w:val="20"/>
          <w:lang w:val="es-CO"/>
        </w:rPr>
        <w:t>locales y nacionales en Panamá</w:t>
      </w:r>
      <w:r w:rsidRPr="00CD49F1">
        <w:rPr>
          <w:color w:val="auto"/>
          <w:sz w:val="20"/>
          <w:szCs w:val="20"/>
          <w:lang w:val="es-CO"/>
        </w:rPr>
        <w:t xml:space="preserve">, así como autoridades estadounidenses. </w:t>
      </w:r>
      <w:r w:rsidR="00307EA2" w:rsidRPr="00CD49F1">
        <w:rPr>
          <w:color w:val="auto"/>
          <w:sz w:val="20"/>
          <w:szCs w:val="20"/>
          <w:lang w:val="es-CO"/>
        </w:rPr>
        <w:t xml:space="preserve">En particular, las organizaciones de víctimas </w:t>
      </w:r>
      <w:r w:rsidR="0085454C">
        <w:rPr>
          <w:color w:val="auto"/>
          <w:sz w:val="20"/>
          <w:szCs w:val="20"/>
          <w:lang w:val="es-CO"/>
        </w:rPr>
        <w:t xml:space="preserve">que surgieron </w:t>
      </w:r>
      <w:r w:rsidR="00307EA2" w:rsidRPr="00CD49F1">
        <w:rPr>
          <w:color w:val="auto"/>
          <w:sz w:val="20"/>
          <w:szCs w:val="20"/>
          <w:lang w:val="es-CO"/>
        </w:rPr>
        <w:t xml:space="preserve">a raíz de estos hechos, impulsaron las exhumaciones realizadas en el Cementerio Jardín de Paz y Monte Esperanza. </w:t>
      </w:r>
      <w:r w:rsidR="00C40266" w:rsidRPr="00CD49F1">
        <w:rPr>
          <w:color w:val="auto"/>
          <w:sz w:val="20"/>
          <w:szCs w:val="20"/>
          <w:lang w:val="es-CO"/>
        </w:rPr>
        <w:t>Como fue descrito, l</w:t>
      </w:r>
      <w:r w:rsidR="00307EA2" w:rsidRPr="00CD49F1">
        <w:rPr>
          <w:color w:val="auto"/>
          <w:sz w:val="20"/>
          <w:szCs w:val="20"/>
          <w:lang w:val="es-CO"/>
        </w:rPr>
        <w:t xml:space="preserve">a parte peticionaria coordinó la participación del Equipo Argentino de Antropología Forense, quienes </w:t>
      </w:r>
      <w:r w:rsidR="006214B4" w:rsidRPr="00CD49F1">
        <w:rPr>
          <w:color w:val="auto"/>
          <w:sz w:val="20"/>
          <w:szCs w:val="20"/>
          <w:lang w:val="es-CO"/>
        </w:rPr>
        <w:t>intentaron</w:t>
      </w:r>
      <w:r w:rsidR="00F667B9" w:rsidRPr="00CD49F1">
        <w:rPr>
          <w:color w:val="auto"/>
          <w:sz w:val="20"/>
          <w:szCs w:val="20"/>
          <w:lang w:val="es-CO"/>
        </w:rPr>
        <w:t xml:space="preserve"> iniciar sondeos exploratorios para corroborar la existencia o no de fosas comunes en el cementerio de Pacora. No obstante esta organización </w:t>
      </w:r>
      <w:r w:rsidR="007E3C22" w:rsidRPr="00CD49F1">
        <w:rPr>
          <w:color w:val="auto"/>
          <w:sz w:val="20"/>
          <w:szCs w:val="20"/>
          <w:lang w:val="es-CO"/>
        </w:rPr>
        <w:t xml:space="preserve">en su visita a Panamá del 9 de julio al 2 de agosto de 1995, </w:t>
      </w:r>
      <w:r w:rsidR="00F667B9" w:rsidRPr="00CD49F1">
        <w:rPr>
          <w:color w:val="auto"/>
          <w:sz w:val="20"/>
          <w:szCs w:val="20"/>
          <w:lang w:val="es-CO"/>
        </w:rPr>
        <w:t>no pudo llegar</w:t>
      </w:r>
      <w:r w:rsidR="00C057C8" w:rsidRPr="00CD49F1">
        <w:rPr>
          <w:color w:val="auto"/>
          <w:sz w:val="20"/>
          <w:szCs w:val="20"/>
          <w:lang w:val="es-CO"/>
        </w:rPr>
        <w:t xml:space="preserve"> a</w:t>
      </w:r>
      <w:r w:rsidR="00F667B9" w:rsidRPr="00CD49F1">
        <w:rPr>
          <w:color w:val="auto"/>
          <w:sz w:val="20"/>
          <w:szCs w:val="20"/>
          <w:lang w:val="es-CO"/>
        </w:rPr>
        <w:t xml:space="preserve"> una conclusión definitiva debido a la suspensión de las actividades por razones climáticas</w:t>
      </w:r>
      <w:r w:rsidR="00F667B9" w:rsidRPr="00CD49F1">
        <w:rPr>
          <w:rStyle w:val="FootnoteReference"/>
          <w:color w:val="auto"/>
          <w:sz w:val="20"/>
          <w:szCs w:val="20"/>
        </w:rPr>
        <w:footnoteReference w:id="118"/>
      </w:r>
      <w:r w:rsidR="004C4A1D">
        <w:rPr>
          <w:color w:val="auto"/>
          <w:sz w:val="20"/>
          <w:szCs w:val="20"/>
          <w:lang w:val="es-CO"/>
        </w:rPr>
        <w:t>.</w:t>
      </w:r>
    </w:p>
    <w:p w:rsidR="004A5155" w:rsidRPr="00CD49F1" w:rsidRDefault="004A5155" w:rsidP="005A6D8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CO"/>
        </w:rPr>
      </w:pPr>
    </w:p>
    <w:p w:rsidR="00580139" w:rsidRPr="00CD49F1" w:rsidRDefault="00AA346D"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CO"/>
        </w:rPr>
      </w:pPr>
      <w:r w:rsidRPr="00CD49F1">
        <w:rPr>
          <w:color w:val="auto"/>
          <w:sz w:val="20"/>
          <w:szCs w:val="20"/>
          <w:lang w:val="es-CO"/>
        </w:rPr>
        <w:t>A continuación, la CIDH presenta</w:t>
      </w:r>
      <w:r w:rsidR="00A425C3" w:rsidRPr="00CD49F1">
        <w:rPr>
          <w:color w:val="auto"/>
          <w:sz w:val="20"/>
          <w:szCs w:val="20"/>
          <w:lang w:val="es-CO"/>
        </w:rPr>
        <w:t xml:space="preserve"> la información disponible respecto de las presuntas víctimas a la luz de las declaraciones exhibidas por sus familiares</w:t>
      </w:r>
      <w:r w:rsidRPr="00CD49F1">
        <w:rPr>
          <w:color w:val="auto"/>
          <w:sz w:val="20"/>
          <w:szCs w:val="20"/>
          <w:lang w:val="es-CO"/>
        </w:rPr>
        <w:t xml:space="preserve">. </w:t>
      </w:r>
      <w:r w:rsidR="003A2DF3" w:rsidRPr="00CD49F1">
        <w:rPr>
          <w:color w:val="auto"/>
          <w:sz w:val="20"/>
          <w:szCs w:val="20"/>
          <w:lang w:val="es-CO"/>
        </w:rPr>
        <w:t xml:space="preserve">En particular se verifica que de las 272 peticiones recibidas, </w:t>
      </w:r>
      <w:r w:rsidR="005443B4" w:rsidRPr="00CD49F1">
        <w:rPr>
          <w:color w:val="auto"/>
          <w:sz w:val="20"/>
          <w:szCs w:val="20"/>
          <w:lang w:val="es-CO"/>
        </w:rPr>
        <w:t xml:space="preserve">50 de ellas están relacionadas con personas que </w:t>
      </w:r>
      <w:r w:rsidR="00737A45">
        <w:rPr>
          <w:color w:val="auto"/>
          <w:sz w:val="20"/>
          <w:szCs w:val="20"/>
          <w:lang w:val="es-CO"/>
        </w:rPr>
        <w:t>murieron</w:t>
      </w:r>
      <w:r w:rsidR="005443B4" w:rsidRPr="00CD49F1">
        <w:rPr>
          <w:color w:val="auto"/>
          <w:sz w:val="20"/>
          <w:szCs w:val="20"/>
          <w:lang w:val="es-CO"/>
        </w:rPr>
        <w:t xml:space="preserve"> en el marco de los hechos del caso.</w:t>
      </w:r>
      <w:r w:rsidR="00580139" w:rsidRPr="00CD49F1">
        <w:rPr>
          <w:rFonts w:eastAsia="MS Mincho"/>
          <w:b/>
          <w:color w:val="auto"/>
          <w:sz w:val="20"/>
          <w:szCs w:val="20"/>
          <w:bdr w:val="none" w:sz="0" w:space="0" w:color="auto"/>
          <w:lang w:val="es-CO"/>
        </w:rPr>
        <w:t xml:space="preserve"> </w:t>
      </w:r>
    </w:p>
    <w:p w:rsidR="00580139" w:rsidRPr="009712EB" w:rsidRDefault="00580139"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2520"/>
        <w:jc w:val="both"/>
        <w:rPr>
          <w:rFonts w:eastAsia="MS Mincho"/>
          <w:b/>
          <w:sz w:val="20"/>
          <w:szCs w:val="20"/>
          <w:bdr w:val="none" w:sz="0" w:space="0" w:color="auto"/>
          <w:lang w:val="es-CO"/>
        </w:rPr>
      </w:pPr>
    </w:p>
    <w:p w:rsidR="00451B0F" w:rsidRPr="009712EB" w:rsidRDefault="00451B0F" w:rsidP="00D529F8">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MS Mincho"/>
          <w:b/>
          <w:sz w:val="20"/>
          <w:szCs w:val="20"/>
          <w:bdr w:val="none" w:sz="0" w:space="0" w:color="auto"/>
          <w:lang w:val="es-CO"/>
        </w:rPr>
      </w:pPr>
      <w:r w:rsidRPr="009712EB">
        <w:rPr>
          <w:rFonts w:eastAsia="MS Mincho"/>
          <w:b/>
          <w:sz w:val="20"/>
          <w:szCs w:val="20"/>
          <w:bdr w:val="none" w:sz="0" w:space="0" w:color="auto"/>
          <w:lang w:val="es-CO"/>
        </w:rPr>
        <w:t>En el contexto del uso de bombas</w:t>
      </w:r>
    </w:p>
    <w:p w:rsidR="004A5155" w:rsidRPr="009712EB" w:rsidRDefault="004A5155" w:rsidP="009712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
          <w:sz w:val="20"/>
          <w:szCs w:val="20"/>
          <w:bdr w:val="none" w:sz="0" w:space="0" w:color="auto"/>
          <w:lang w:val="es-CO"/>
        </w:rPr>
      </w:pPr>
    </w:p>
    <w:p w:rsidR="004A5155"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lang w:val="es-CO"/>
        </w:rPr>
      </w:pPr>
      <w:r w:rsidRPr="009712EB">
        <w:rPr>
          <w:rFonts w:eastAsia="MS Mincho"/>
          <w:i/>
          <w:sz w:val="20"/>
          <w:szCs w:val="20"/>
          <w:bdr w:val="none" w:sz="0" w:space="0" w:color="auto"/>
          <w:lang w:val="es-CO"/>
        </w:rPr>
        <w:t>Dionisia Meneses Castrellón de Salas</w:t>
      </w:r>
      <w:r w:rsidRPr="009712EB">
        <w:rPr>
          <w:rFonts w:eastAsia="MS Mincho"/>
          <w:sz w:val="20"/>
          <w:szCs w:val="20"/>
          <w:bdr w:val="none" w:sz="0" w:space="0" w:color="auto"/>
          <w:lang w:val="es-CO"/>
        </w:rPr>
        <w:t xml:space="preserve"> identificada en el caso No. 1, era una mujer de 58 años de edad de nacionalidad panameña</w:t>
      </w:r>
      <w:r w:rsidRPr="009712EB">
        <w:rPr>
          <w:sz w:val="20"/>
          <w:szCs w:val="20"/>
          <w:bdr w:val="none" w:sz="0" w:space="0" w:color="auto"/>
          <w:vertAlign w:val="superscript"/>
        </w:rPr>
        <w:footnoteReference w:id="119"/>
      </w:r>
      <w:r w:rsidRPr="009712EB">
        <w:rPr>
          <w:rFonts w:eastAsia="MS Mincho"/>
          <w:sz w:val="20"/>
          <w:szCs w:val="20"/>
          <w:bdr w:val="none" w:sz="0" w:space="0" w:color="auto"/>
          <w:lang w:val="es-CO"/>
        </w:rPr>
        <w:t xml:space="preserve">.En horas de la tarde del 22 de diciembre de 1989 un helicóptero de las Fuerzas Armadas de los Estados Unidos comenzó a disparar proyectiles contra el edificio conocido como “15 Piso” ubicado en la Ciudad de Colón, en respuesta a </w:t>
      </w:r>
      <w:r w:rsidR="00434627">
        <w:rPr>
          <w:rFonts w:eastAsia="MS Mincho"/>
          <w:sz w:val="20"/>
          <w:szCs w:val="20"/>
          <w:bdr w:val="none" w:sz="0" w:space="0" w:color="auto"/>
          <w:lang w:val="es-CO"/>
        </w:rPr>
        <w:t xml:space="preserve">supuestos </w:t>
      </w:r>
      <w:r w:rsidRPr="009712EB">
        <w:rPr>
          <w:rFonts w:eastAsia="MS Mincho"/>
          <w:sz w:val="20"/>
          <w:szCs w:val="20"/>
          <w:bdr w:val="none" w:sz="0" w:space="0" w:color="auto"/>
          <w:lang w:val="es-CO"/>
        </w:rPr>
        <w:t>disparos provenientes de individuos ubicados en el último piso</w:t>
      </w:r>
      <w:r w:rsidRPr="009712EB">
        <w:rPr>
          <w:sz w:val="20"/>
          <w:szCs w:val="20"/>
          <w:bdr w:val="none" w:sz="0" w:space="0" w:color="auto"/>
          <w:vertAlign w:val="superscript"/>
        </w:rPr>
        <w:footnoteReference w:id="120"/>
      </w:r>
      <w:r w:rsidRPr="009712EB">
        <w:rPr>
          <w:rFonts w:eastAsia="MS Mincho"/>
          <w:sz w:val="20"/>
          <w:szCs w:val="20"/>
          <w:bdr w:val="none" w:sz="0" w:space="0" w:color="auto"/>
          <w:lang w:val="es-CO"/>
        </w:rPr>
        <w:t xml:space="preserve">. Conforme a las declaraciones aportadas, uno de estos proyectiles alcanzó el edificio 4050 donde residía la familia Salas </w:t>
      </w:r>
      <w:r w:rsidR="007E3C22">
        <w:rPr>
          <w:rFonts w:eastAsia="MS Mincho"/>
          <w:sz w:val="20"/>
          <w:szCs w:val="20"/>
          <w:bdr w:val="none" w:sz="0" w:space="0" w:color="auto"/>
          <w:lang w:val="es-CO"/>
        </w:rPr>
        <w:t xml:space="preserve">Castrellón </w:t>
      </w:r>
      <w:r w:rsidRPr="009712EB">
        <w:rPr>
          <w:rFonts w:eastAsia="MS Mincho"/>
          <w:sz w:val="20"/>
          <w:szCs w:val="20"/>
          <w:bdr w:val="none" w:sz="0" w:space="0" w:color="auto"/>
          <w:lang w:val="es-CO"/>
        </w:rPr>
        <w:t xml:space="preserve">ocasionando </w:t>
      </w:r>
      <w:r w:rsidR="00434627">
        <w:rPr>
          <w:rFonts w:eastAsia="MS Mincho"/>
          <w:sz w:val="20"/>
          <w:szCs w:val="20"/>
          <w:bdr w:val="none" w:sz="0" w:space="0" w:color="auto"/>
          <w:lang w:val="es-CO"/>
        </w:rPr>
        <w:t>graves</w:t>
      </w:r>
      <w:r w:rsidRPr="009712EB">
        <w:rPr>
          <w:rFonts w:eastAsia="MS Mincho"/>
          <w:sz w:val="20"/>
          <w:szCs w:val="20"/>
          <w:bdr w:val="none" w:sz="0" w:space="0" w:color="auto"/>
          <w:lang w:val="es-CO"/>
        </w:rPr>
        <w:t xml:space="preserve"> daños. La señora Meneses quien se encontraba en la cocina, resultó herida “dejándol</w:t>
      </w:r>
      <w:r w:rsidR="00992E29" w:rsidRPr="009712EB">
        <w:rPr>
          <w:rFonts w:eastAsia="MS Mincho"/>
          <w:sz w:val="20"/>
          <w:szCs w:val="20"/>
          <w:bdr w:val="none" w:sz="0" w:space="0" w:color="auto"/>
          <w:lang w:val="es-CO"/>
        </w:rPr>
        <w:t>e</w:t>
      </w:r>
      <w:r w:rsidRPr="009712EB">
        <w:rPr>
          <w:rFonts w:eastAsia="MS Mincho"/>
          <w:sz w:val="20"/>
          <w:szCs w:val="20"/>
          <w:bdr w:val="none" w:sz="0" w:space="0" w:color="auto"/>
          <w:lang w:val="es-CO"/>
        </w:rPr>
        <w:t xml:space="preserve"> completamente destrozada</w:t>
      </w:r>
      <w:r w:rsidR="00C812E0" w:rsidRPr="009712EB">
        <w:rPr>
          <w:rFonts w:eastAsia="MS Mincho"/>
          <w:sz w:val="20"/>
          <w:szCs w:val="20"/>
          <w:bdr w:val="none" w:sz="0" w:space="0" w:color="auto"/>
          <w:lang w:val="es-CO"/>
        </w:rPr>
        <w:t>s</w:t>
      </w:r>
      <w:r w:rsidRPr="009712EB">
        <w:rPr>
          <w:rFonts w:eastAsia="MS Mincho"/>
          <w:sz w:val="20"/>
          <w:szCs w:val="20"/>
          <w:bdr w:val="none" w:sz="0" w:space="0" w:color="auto"/>
          <w:lang w:val="es-CO"/>
        </w:rPr>
        <w:t xml:space="preserve"> las piernas y los intestinos”</w:t>
      </w:r>
      <w:r w:rsidRPr="009712EB">
        <w:rPr>
          <w:sz w:val="20"/>
          <w:szCs w:val="20"/>
          <w:bdr w:val="none" w:sz="0" w:space="0" w:color="auto"/>
          <w:vertAlign w:val="superscript"/>
        </w:rPr>
        <w:footnoteReference w:id="121"/>
      </w:r>
      <w:r w:rsidRPr="009712EB">
        <w:rPr>
          <w:rFonts w:eastAsia="MS Mincho"/>
          <w:sz w:val="20"/>
          <w:szCs w:val="20"/>
          <w:bdr w:val="none" w:sz="0" w:space="0" w:color="auto"/>
          <w:lang w:val="es-CO"/>
        </w:rPr>
        <w:t>. De acuerdo a su certificado de defunción, la señora Meneses falleció de politraumatismo en su residencia en Colón</w:t>
      </w:r>
      <w:r w:rsidRPr="009712EB">
        <w:rPr>
          <w:sz w:val="20"/>
          <w:szCs w:val="20"/>
          <w:bdr w:val="none" w:sz="0" w:space="0" w:color="auto"/>
          <w:vertAlign w:val="superscript"/>
        </w:rPr>
        <w:footnoteReference w:id="122"/>
      </w:r>
      <w:r w:rsidRPr="009712EB">
        <w:rPr>
          <w:rFonts w:eastAsia="MS Mincho"/>
          <w:sz w:val="20"/>
          <w:szCs w:val="20"/>
          <w:bdr w:val="none" w:sz="0" w:space="0" w:color="auto"/>
          <w:lang w:val="es-CO"/>
        </w:rPr>
        <w:t xml:space="preserve">. </w:t>
      </w:r>
    </w:p>
    <w:p w:rsidR="004A5155" w:rsidRPr="009712EB" w:rsidRDefault="004A5155" w:rsidP="00C4026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lang w:val="es-CO"/>
        </w:rPr>
      </w:pPr>
    </w:p>
    <w:p w:rsidR="004A5155"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lang w:val="es-CO"/>
        </w:rPr>
      </w:pPr>
      <w:r w:rsidRPr="009712EB">
        <w:rPr>
          <w:rFonts w:eastAsia="MS Mincho"/>
          <w:sz w:val="20"/>
          <w:szCs w:val="20"/>
          <w:bdr w:val="none" w:sz="0" w:space="0" w:color="auto"/>
          <w:lang w:val="es-CO"/>
        </w:rPr>
        <w:t>Como consecuencia del mismo impacto, sus hijos y hermano resultaron lesionados y se produjo un incendio en su vivienda</w:t>
      </w:r>
      <w:r w:rsidRPr="009712EB">
        <w:rPr>
          <w:sz w:val="20"/>
          <w:szCs w:val="20"/>
          <w:bdr w:val="none" w:sz="0" w:space="0" w:color="auto"/>
          <w:vertAlign w:val="superscript"/>
        </w:rPr>
        <w:footnoteReference w:id="123"/>
      </w:r>
      <w:r w:rsidRPr="009712EB">
        <w:rPr>
          <w:rFonts w:eastAsia="MS Mincho"/>
          <w:sz w:val="20"/>
          <w:szCs w:val="20"/>
          <w:bdr w:val="none" w:sz="0" w:space="0" w:color="auto"/>
          <w:lang w:val="es-CO"/>
        </w:rPr>
        <w:t xml:space="preserve">. Sin </w:t>
      </w:r>
      <w:r w:rsidR="00755D42" w:rsidRPr="009712EB">
        <w:rPr>
          <w:rFonts w:eastAsia="MS Mincho"/>
          <w:sz w:val="20"/>
          <w:szCs w:val="20"/>
          <w:bdr w:val="none" w:sz="0" w:space="0" w:color="auto"/>
          <w:lang w:val="es-CO"/>
        </w:rPr>
        <w:t>embargo,</w:t>
      </w:r>
      <w:r w:rsidRPr="009712EB">
        <w:rPr>
          <w:rFonts w:eastAsia="MS Mincho"/>
          <w:sz w:val="20"/>
          <w:szCs w:val="20"/>
          <w:bdr w:val="none" w:sz="0" w:space="0" w:color="auto"/>
          <w:lang w:val="es-CO"/>
        </w:rPr>
        <w:t xml:space="preserve"> durante los hechos, no recibieron asistencia de los soldados</w:t>
      </w:r>
      <w:r w:rsidRPr="009712EB">
        <w:rPr>
          <w:sz w:val="20"/>
          <w:szCs w:val="20"/>
          <w:bdr w:val="none" w:sz="0" w:space="0" w:color="auto"/>
          <w:vertAlign w:val="superscript"/>
        </w:rPr>
        <w:footnoteReference w:id="124"/>
      </w:r>
      <w:r w:rsidRPr="009712EB">
        <w:rPr>
          <w:rFonts w:eastAsia="MS Mincho"/>
          <w:sz w:val="20"/>
          <w:szCs w:val="20"/>
          <w:bdr w:val="none" w:sz="0" w:space="0" w:color="auto"/>
          <w:lang w:val="es-CO"/>
        </w:rPr>
        <w:t>.</w:t>
      </w:r>
    </w:p>
    <w:p w:rsidR="004A5155" w:rsidRPr="009712EB" w:rsidRDefault="004A5155" w:rsidP="00C4026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lang w:val="es-CO"/>
        </w:rPr>
      </w:pPr>
    </w:p>
    <w:p w:rsidR="004A5155"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lang w:val="es-CO"/>
        </w:rPr>
      </w:pPr>
      <w:r w:rsidRPr="009712EB">
        <w:rPr>
          <w:rFonts w:eastAsia="MS Mincho"/>
          <w:sz w:val="20"/>
          <w:szCs w:val="20"/>
          <w:bdr w:val="none" w:sz="0" w:space="0" w:color="auto"/>
          <w:lang w:val="es-CO"/>
        </w:rPr>
        <w:t>Est</w:t>
      </w:r>
      <w:r w:rsidR="008F4F26">
        <w:rPr>
          <w:rFonts w:eastAsia="MS Mincho"/>
          <w:sz w:val="20"/>
          <w:szCs w:val="20"/>
          <w:bdr w:val="none" w:sz="0" w:space="0" w:color="auto"/>
          <w:lang w:val="es-CO"/>
        </w:rPr>
        <w:t>a situación fue puesta al</w:t>
      </w:r>
      <w:r w:rsidRPr="009712EB">
        <w:rPr>
          <w:rFonts w:eastAsia="MS Mincho"/>
          <w:sz w:val="20"/>
          <w:szCs w:val="20"/>
          <w:bdr w:val="none" w:sz="0" w:space="0" w:color="auto"/>
          <w:lang w:val="es-CO"/>
        </w:rPr>
        <w:t xml:space="preserve"> conocimiento del U.S Army South</w:t>
      </w:r>
      <w:r w:rsidR="008F4F26">
        <w:rPr>
          <w:rFonts w:eastAsia="MS Mincho"/>
          <w:sz w:val="20"/>
          <w:szCs w:val="20"/>
          <w:bdr w:val="none" w:sz="0" w:space="0" w:color="auto"/>
          <w:lang w:val="es-CO"/>
        </w:rPr>
        <w:t xml:space="preserve"> Claims Department en Panamá mediante</w:t>
      </w:r>
      <w:r w:rsidRPr="009712EB">
        <w:rPr>
          <w:rFonts w:eastAsia="MS Mincho"/>
          <w:sz w:val="20"/>
          <w:szCs w:val="20"/>
          <w:bdr w:val="none" w:sz="0" w:space="0" w:color="auto"/>
          <w:lang w:val="es-CO"/>
        </w:rPr>
        <w:t xml:space="preserve"> carta</w:t>
      </w:r>
      <w:r w:rsidR="008F4F26">
        <w:rPr>
          <w:rFonts w:eastAsia="MS Mincho"/>
          <w:sz w:val="20"/>
          <w:szCs w:val="20"/>
          <w:bdr w:val="none" w:sz="0" w:space="0" w:color="auto"/>
          <w:lang w:val="es-CO"/>
        </w:rPr>
        <w:t xml:space="preserve"> de fecha </w:t>
      </w:r>
      <w:r w:rsidR="008F4F26" w:rsidRPr="009712EB">
        <w:rPr>
          <w:rFonts w:eastAsia="MS Mincho"/>
          <w:sz w:val="20"/>
          <w:szCs w:val="20"/>
          <w:bdr w:val="none" w:sz="0" w:space="0" w:color="auto"/>
          <w:lang w:val="es-CO"/>
        </w:rPr>
        <w:t>14 febrero de 1990</w:t>
      </w:r>
      <w:r w:rsidR="008F4F26">
        <w:rPr>
          <w:rFonts w:eastAsia="MS Mincho"/>
          <w:sz w:val="20"/>
          <w:szCs w:val="20"/>
          <w:bdr w:val="none" w:sz="0" w:space="0" w:color="auto"/>
          <w:lang w:val="es-CO"/>
        </w:rPr>
        <w:t xml:space="preserve"> escrita por el esposo de la señora Dionisia Meneses, José Isabel Salas Galindo, </w:t>
      </w:r>
      <w:r w:rsidR="008F4F26" w:rsidRPr="009712EB">
        <w:rPr>
          <w:rFonts w:eastAsia="MS Mincho"/>
          <w:sz w:val="20"/>
          <w:szCs w:val="20"/>
          <w:bdr w:val="none" w:sz="0" w:space="0" w:color="auto"/>
          <w:lang w:val="es-CO"/>
        </w:rPr>
        <w:t>con</w:t>
      </w:r>
      <w:r w:rsidR="008F4F26">
        <w:rPr>
          <w:rFonts w:eastAsia="MS Mincho"/>
          <w:sz w:val="20"/>
          <w:szCs w:val="20"/>
          <w:bdr w:val="none" w:sz="0" w:space="0" w:color="auto"/>
          <w:lang w:val="es-CO"/>
        </w:rPr>
        <w:t xml:space="preserve"> una descripción detallada sobre lo sucedido</w:t>
      </w:r>
      <w:r w:rsidRPr="009712EB">
        <w:rPr>
          <w:sz w:val="20"/>
          <w:szCs w:val="20"/>
          <w:bdr w:val="none" w:sz="0" w:space="0" w:color="auto"/>
          <w:vertAlign w:val="superscript"/>
        </w:rPr>
        <w:footnoteReference w:id="125"/>
      </w:r>
      <w:r w:rsidRPr="009712EB">
        <w:rPr>
          <w:rFonts w:eastAsia="MS Mincho"/>
          <w:sz w:val="20"/>
          <w:szCs w:val="20"/>
          <w:bdr w:val="none" w:sz="0" w:space="0" w:color="auto"/>
          <w:lang w:val="es-CO"/>
        </w:rPr>
        <w:t>.  El 25 de marzo de 19</w:t>
      </w:r>
      <w:r w:rsidR="00FB6D13" w:rsidRPr="009712EB">
        <w:rPr>
          <w:rFonts w:eastAsia="MS Mincho"/>
          <w:sz w:val="20"/>
          <w:szCs w:val="20"/>
          <w:bdr w:val="none" w:sz="0" w:space="0" w:color="auto"/>
          <w:lang w:val="es-CO"/>
        </w:rPr>
        <w:t>9</w:t>
      </w:r>
      <w:r w:rsidRPr="009712EB">
        <w:rPr>
          <w:rFonts w:eastAsia="MS Mincho"/>
          <w:sz w:val="20"/>
          <w:szCs w:val="20"/>
          <w:bdr w:val="none" w:sz="0" w:space="0" w:color="auto"/>
          <w:lang w:val="es-CO"/>
        </w:rPr>
        <w:t xml:space="preserve">0, dicha autoridad </w:t>
      </w:r>
      <w:r w:rsidR="008F4F26">
        <w:rPr>
          <w:rFonts w:eastAsia="MS Mincho"/>
          <w:sz w:val="20"/>
          <w:szCs w:val="20"/>
          <w:bdr w:val="none" w:sz="0" w:space="0" w:color="auto"/>
          <w:lang w:val="es-CO"/>
        </w:rPr>
        <w:t xml:space="preserve">estadounidense </w:t>
      </w:r>
      <w:r w:rsidRPr="009712EB">
        <w:rPr>
          <w:rFonts w:eastAsia="MS Mincho"/>
          <w:sz w:val="20"/>
          <w:szCs w:val="20"/>
          <w:bdr w:val="none" w:sz="0" w:space="0" w:color="auto"/>
          <w:lang w:val="es-CO"/>
        </w:rPr>
        <w:t>reconoció estar “consciente de los daños” y especificó</w:t>
      </w:r>
      <w:r w:rsidR="00236EFE" w:rsidRPr="009712EB">
        <w:rPr>
          <w:rFonts w:eastAsia="MS Mincho"/>
          <w:sz w:val="20"/>
          <w:szCs w:val="20"/>
          <w:bdr w:val="none" w:sz="0" w:space="0" w:color="auto"/>
          <w:lang w:val="es-CO"/>
        </w:rPr>
        <w:t xml:space="preserve"> sobre</w:t>
      </w:r>
      <w:r w:rsidRPr="009712EB">
        <w:rPr>
          <w:rFonts w:eastAsia="MS Mincho"/>
          <w:sz w:val="20"/>
          <w:szCs w:val="20"/>
          <w:bdr w:val="none" w:sz="0" w:space="0" w:color="auto"/>
          <w:lang w:val="es-CO"/>
        </w:rPr>
        <w:t xml:space="preserve"> la inexistencia de un “programa para compensarle su pérdida”</w:t>
      </w:r>
      <w:r w:rsidRPr="009712EB">
        <w:rPr>
          <w:sz w:val="20"/>
          <w:szCs w:val="20"/>
          <w:bdr w:val="none" w:sz="0" w:space="0" w:color="auto"/>
          <w:vertAlign w:val="superscript"/>
        </w:rPr>
        <w:footnoteReference w:id="126"/>
      </w:r>
      <w:r w:rsidRPr="009712EB">
        <w:rPr>
          <w:rFonts w:eastAsia="MS Mincho"/>
          <w:sz w:val="20"/>
          <w:szCs w:val="20"/>
          <w:bdr w:val="none" w:sz="0" w:space="0" w:color="auto"/>
          <w:lang w:val="es-CO"/>
        </w:rPr>
        <w:t xml:space="preserve">. </w:t>
      </w:r>
      <w:r w:rsidR="008F4F26">
        <w:rPr>
          <w:rFonts w:eastAsia="MS Mincho"/>
          <w:sz w:val="20"/>
          <w:szCs w:val="20"/>
          <w:bdr w:val="none" w:sz="0" w:space="0" w:color="auto"/>
          <w:lang w:val="es-CO"/>
        </w:rPr>
        <w:t xml:space="preserve">El </w:t>
      </w:r>
      <w:r w:rsidR="008F4F26" w:rsidRPr="009712EB">
        <w:rPr>
          <w:rFonts w:eastAsia="MS Mincho"/>
          <w:sz w:val="20"/>
          <w:szCs w:val="20"/>
          <w:bdr w:val="none" w:sz="0" w:space="0" w:color="auto"/>
          <w:lang w:val="es-CO"/>
        </w:rPr>
        <w:t>U.S Army South</w:t>
      </w:r>
      <w:r w:rsidR="008F4F26">
        <w:rPr>
          <w:rFonts w:eastAsia="MS Mincho"/>
          <w:sz w:val="20"/>
          <w:szCs w:val="20"/>
          <w:bdr w:val="none" w:sz="0" w:space="0" w:color="auto"/>
          <w:lang w:val="es-CO"/>
        </w:rPr>
        <w:t xml:space="preserve"> Claims Department agregó en su respuesta que </w:t>
      </w:r>
      <w:r w:rsidRPr="009712EB">
        <w:rPr>
          <w:rFonts w:eastAsia="MS Mincho"/>
          <w:sz w:val="20"/>
          <w:szCs w:val="20"/>
          <w:bdr w:val="none" w:sz="0" w:space="0" w:color="auto"/>
          <w:lang w:val="es-CO"/>
        </w:rPr>
        <w:t>“en caso que en un futuro se establezca algún programa de compensación su informe será enviado a las autoridades apropiadas para su tramitación”</w:t>
      </w:r>
      <w:r w:rsidRPr="009712EB">
        <w:rPr>
          <w:sz w:val="20"/>
          <w:szCs w:val="20"/>
          <w:bdr w:val="none" w:sz="0" w:space="0" w:color="auto"/>
          <w:vertAlign w:val="superscript"/>
        </w:rPr>
        <w:footnoteReference w:id="127"/>
      </w:r>
      <w:r w:rsidRPr="009712EB">
        <w:rPr>
          <w:rFonts w:eastAsia="MS Mincho"/>
          <w:sz w:val="20"/>
          <w:szCs w:val="20"/>
          <w:bdr w:val="none" w:sz="0" w:space="0" w:color="auto"/>
          <w:lang w:val="es-CO"/>
        </w:rPr>
        <w:t xml:space="preserve">. </w:t>
      </w:r>
    </w:p>
    <w:p w:rsidR="004A5155" w:rsidRPr="009712EB" w:rsidRDefault="004A515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sz w:val="20"/>
          <w:szCs w:val="20"/>
          <w:bdr w:val="none" w:sz="0" w:space="0" w:color="auto"/>
          <w:lang w:val="es-CO"/>
        </w:rPr>
      </w:pPr>
    </w:p>
    <w:p w:rsidR="004A5155"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lang w:val="es-CO"/>
        </w:rPr>
      </w:pPr>
      <w:r w:rsidRPr="009712EB">
        <w:rPr>
          <w:rFonts w:eastAsia="MS Mincho"/>
          <w:i/>
          <w:sz w:val="20"/>
          <w:szCs w:val="20"/>
          <w:bdr w:val="none" w:sz="0" w:space="0" w:color="auto"/>
          <w:lang w:val="es-CO"/>
        </w:rPr>
        <w:t>Demetrio López González</w:t>
      </w:r>
      <w:r w:rsidRPr="009712EB">
        <w:rPr>
          <w:rFonts w:eastAsia="MS Mincho"/>
          <w:sz w:val="20"/>
          <w:szCs w:val="20"/>
          <w:bdr w:val="none" w:sz="0" w:space="0" w:color="auto"/>
          <w:lang w:val="es-CO"/>
        </w:rPr>
        <w:t xml:space="preserve"> identificado en el caso No. 64, era un hombre de 26 años de nacionalidad panameña</w:t>
      </w:r>
      <w:r w:rsidRPr="009712EB">
        <w:rPr>
          <w:sz w:val="20"/>
          <w:szCs w:val="20"/>
          <w:bdr w:val="none" w:sz="0" w:space="0" w:color="auto"/>
          <w:vertAlign w:val="superscript"/>
        </w:rPr>
        <w:footnoteReference w:id="128"/>
      </w:r>
      <w:r w:rsidRPr="009712EB">
        <w:rPr>
          <w:rFonts w:eastAsia="MS Mincho"/>
          <w:sz w:val="20"/>
          <w:szCs w:val="20"/>
          <w:bdr w:val="none" w:sz="0" w:space="0" w:color="auto"/>
          <w:lang w:val="es-CO"/>
        </w:rPr>
        <w:t xml:space="preserve">.  El 20 de diciembre de 1989 alrededor de la una de la mañana un incendio </w:t>
      </w:r>
      <w:r w:rsidR="0099706A">
        <w:rPr>
          <w:rFonts w:eastAsia="MS Mincho"/>
          <w:sz w:val="20"/>
          <w:szCs w:val="20"/>
          <w:bdr w:val="none" w:sz="0" w:space="0" w:color="auto"/>
          <w:lang w:val="es-CO"/>
        </w:rPr>
        <w:t xml:space="preserve">se originó </w:t>
      </w:r>
      <w:r w:rsidRPr="009712EB">
        <w:rPr>
          <w:rFonts w:eastAsia="MS Mincho"/>
          <w:sz w:val="20"/>
          <w:szCs w:val="20"/>
          <w:bdr w:val="none" w:sz="0" w:space="0" w:color="auto"/>
          <w:lang w:val="es-CO"/>
        </w:rPr>
        <w:t>en el patio de su casa ubicada en El Chorrillo</w:t>
      </w:r>
      <w:r w:rsidR="0099706A">
        <w:rPr>
          <w:rFonts w:eastAsia="MS Mincho"/>
          <w:sz w:val="20"/>
          <w:szCs w:val="20"/>
          <w:bdr w:val="none" w:sz="0" w:space="0" w:color="auto"/>
          <w:lang w:val="es-CO"/>
        </w:rPr>
        <w:t xml:space="preserve">. Él quedó atrapado por el fuego y </w:t>
      </w:r>
      <w:r w:rsidRPr="009712EB">
        <w:rPr>
          <w:rFonts w:eastAsia="MS Mincho"/>
          <w:sz w:val="20"/>
          <w:szCs w:val="20"/>
          <w:bdr w:val="none" w:sz="0" w:space="0" w:color="auto"/>
          <w:lang w:val="es-CO"/>
        </w:rPr>
        <w:t>falleció. Su familia describe que</w:t>
      </w:r>
      <w:r w:rsidR="0099706A">
        <w:rPr>
          <w:rFonts w:eastAsia="MS Mincho"/>
          <w:sz w:val="20"/>
          <w:szCs w:val="20"/>
          <w:bdr w:val="none" w:sz="0" w:space="0" w:color="auto"/>
          <w:lang w:val="es-CO"/>
        </w:rPr>
        <w:t xml:space="preserve"> momentos antes,</w:t>
      </w:r>
      <w:r w:rsidRPr="009712EB">
        <w:rPr>
          <w:rFonts w:eastAsia="MS Mincho"/>
          <w:sz w:val="20"/>
          <w:szCs w:val="20"/>
          <w:bdr w:val="none" w:sz="0" w:space="0" w:color="auto"/>
          <w:lang w:val="es-CO"/>
        </w:rPr>
        <w:t xml:space="preserve"> escucharon “ráfagas de balas”, “cañonazos” y </w:t>
      </w:r>
      <w:r w:rsidR="0099706A">
        <w:rPr>
          <w:rFonts w:eastAsia="MS Mincho"/>
          <w:sz w:val="20"/>
          <w:szCs w:val="20"/>
          <w:bdr w:val="none" w:sz="0" w:space="0" w:color="auto"/>
          <w:lang w:val="es-CO"/>
        </w:rPr>
        <w:t xml:space="preserve">observaron </w:t>
      </w:r>
      <w:r w:rsidRPr="009712EB">
        <w:rPr>
          <w:rFonts w:eastAsia="MS Mincho"/>
          <w:sz w:val="20"/>
          <w:szCs w:val="20"/>
          <w:bdr w:val="none" w:sz="0" w:space="0" w:color="auto"/>
          <w:lang w:val="es-CO"/>
        </w:rPr>
        <w:t>el paso de helicópteros que “disparaban luces de bengalas”</w:t>
      </w:r>
      <w:r w:rsidRPr="009712EB">
        <w:rPr>
          <w:sz w:val="20"/>
          <w:szCs w:val="20"/>
          <w:bdr w:val="none" w:sz="0" w:space="0" w:color="auto"/>
          <w:vertAlign w:val="superscript"/>
        </w:rPr>
        <w:footnoteReference w:id="129"/>
      </w:r>
      <w:r w:rsidRPr="009712EB">
        <w:rPr>
          <w:rFonts w:eastAsia="MS Mincho"/>
          <w:sz w:val="20"/>
          <w:szCs w:val="20"/>
          <w:bdr w:val="none" w:sz="0" w:space="0" w:color="auto"/>
          <w:lang w:val="es-CO"/>
        </w:rPr>
        <w:t>. Conforme a su certificado de defunción, fue enterrado</w:t>
      </w:r>
      <w:r w:rsidR="004A5155" w:rsidRPr="009712EB">
        <w:rPr>
          <w:rFonts w:eastAsia="MS Mincho"/>
          <w:sz w:val="20"/>
          <w:szCs w:val="20"/>
          <w:bdr w:val="none" w:sz="0" w:space="0" w:color="auto"/>
          <w:lang w:val="es-CO"/>
        </w:rPr>
        <w:t xml:space="preserve"> en el cementerio Jardín de Paz</w:t>
      </w:r>
      <w:r w:rsidRPr="009712EB">
        <w:rPr>
          <w:sz w:val="20"/>
          <w:szCs w:val="20"/>
          <w:bdr w:val="none" w:sz="0" w:space="0" w:color="auto"/>
          <w:vertAlign w:val="superscript"/>
        </w:rPr>
        <w:footnoteReference w:id="130"/>
      </w:r>
      <w:r w:rsidR="004A5155" w:rsidRPr="009712EB">
        <w:rPr>
          <w:rFonts w:eastAsia="MS Mincho"/>
          <w:sz w:val="20"/>
          <w:szCs w:val="20"/>
          <w:bdr w:val="none" w:sz="0" w:space="0" w:color="auto"/>
          <w:lang w:val="es-CO"/>
        </w:rPr>
        <w:t>.</w:t>
      </w:r>
    </w:p>
    <w:p w:rsidR="004A5155" w:rsidRPr="009712EB" w:rsidRDefault="004A5155" w:rsidP="00C4026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lang w:val="es-CO"/>
        </w:rPr>
      </w:pPr>
    </w:p>
    <w:p w:rsidR="004A5155"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lang w:val="es-CO"/>
        </w:rPr>
      </w:pPr>
      <w:r w:rsidRPr="009712EB">
        <w:rPr>
          <w:rFonts w:eastAsia="MS Mincho"/>
          <w:i/>
          <w:sz w:val="20"/>
          <w:szCs w:val="20"/>
          <w:bdr w:val="none" w:sz="0" w:space="0" w:color="auto"/>
          <w:lang w:val="es-CO"/>
        </w:rPr>
        <w:t>Victoria Hurtado Cádiz</w:t>
      </w:r>
      <w:r w:rsidRPr="009712EB">
        <w:rPr>
          <w:rFonts w:eastAsia="MS Mincho"/>
          <w:sz w:val="20"/>
          <w:szCs w:val="20"/>
          <w:bdr w:val="none" w:sz="0" w:space="0" w:color="auto"/>
          <w:lang w:val="es-CO"/>
        </w:rPr>
        <w:t xml:space="preserve"> identificada en el caso No. 71, era una mujer de nacionalidad panameña quien tenía 78 años de edad al momento de los hechos</w:t>
      </w:r>
      <w:r w:rsidRPr="009712EB">
        <w:rPr>
          <w:sz w:val="20"/>
          <w:szCs w:val="20"/>
          <w:bdr w:val="none" w:sz="0" w:space="0" w:color="auto"/>
          <w:vertAlign w:val="superscript"/>
        </w:rPr>
        <w:footnoteReference w:id="131"/>
      </w:r>
      <w:r w:rsidRPr="009712EB">
        <w:rPr>
          <w:rFonts w:eastAsia="MS Mincho"/>
          <w:sz w:val="20"/>
          <w:szCs w:val="20"/>
          <w:bdr w:val="none" w:sz="0" w:space="0" w:color="auto"/>
          <w:lang w:val="es-CO"/>
        </w:rPr>
        <w:t>. Según información presentada, el 20 de diciembre de 1989 luego que se “suscitara un bombardeo” alrededor de la 1 am, quedó atrapada en un incendio dentro de su residencia en la planta alta de un e</w:t>
      </w:r>
      <w:r w:rsidR="005E2ED1">
        <w:rPr>
          <w:rFonts w:eastAsia="MS Mincho"/>
          <w:sz w:val="20"/>
          <w:szCs w:val="20"/>
          <w:bdr w:val="none" w:sz="0" w:space="0" w:color="auto"/>
          <w:lang w:val="es-CO"/>
        </w:rPr>
        <w:t>dificio ubicado en El Chorrillo</w:t>
      </w:r>
      <w:r w:rsidRPr="009712EB">
        <w:rPr>
          <w:sz w:val="20"/>
          <w:szCs w:val="20"/>
          <w:bdr w:val="none" w:sz="0" w:space="0" w:color="auto"/>
          <w:vertAlign w:val="superscript"/>
        </w:rPr>
        <w:footnoteReference w:id="132"/>
      </w:r>
      <w:r w:rsidR="005E2ED1" w:rsidRPr="00713E68">
        <w:rPr>
          <w:rFonts w:eastAsia="MS Mincho"/>
          <w:sz w:val="20"/>
          <w:szCs w:val="20"/>
          <w:bdr w:val="none" w:sz="0" w:space="0" w:color="auto"/>
          <w:lang w:val="es-ES"/>
        </w:rPr>
        <w:t>.</w:t>
      </w:r>
      <w:r w:rsidRPr="009712EB">
        <w:rPr>
          <w:rFonts w:eastAsia="MS Mincho"/>
          <w:sz w:val="20"/>
          <w:szCs w:val="20"/>
          <w:bdr w:val="none" w:sz="0" w:space="0" w:color="auto"/>
          <w:lang w:val="es-CO"/>
        </w:rPr>
        <w:t xml:space="preserve"> Los restos de la señora Hurtado fueron encontrados al ser removidos los escombros, </w:t>
      </w:r>
      <w:r w:rsidR="0099706A">
        <w:rPr>
          <w:rFonts w:eastAsia="MS Mincho"/>
          <w:sz w:val="20"/>
          <w:szCs w:val="20"/>
          <w:bdr w:val="none" w:sz="0" w:space="0" w:color="auto"/>
          <w:lang w:val="es-CO"/>
        </w:rPr>
        <w:t xml:space="preserve">y dichos restos fueron </w:t>
      </w:r>
      <w:r w:rsidRPr="009712EB">
        <w:rPr>
          <w:rFonts w:eastAsia="MS Mincho"/>
          <w:sz w:val="20"/>
          <w:szCs w:val="20"/>
          <w:bdr w:val="none" w:sz="0" w:space="0" w:color="auto"/>
          <w:lang w:val="es-CO"/>
        </w:rPr>
        <w:t>identificados dos semanas después de la invasión</w:t>
      </w:r>
      <w:r w:rsidRPr="009712EB">
        <w:rPr>
          <w:sz w:val="20"/>
          <w:szCs w:val="20"/>
          <w:bdr w:val="none" w:sz="0" w:space="0" w:color="auto"/>
          <w:vertAlign w:val="superscript"/>
        </w:rPr>
        <w:footnoteReference w:id="133"/>
      </w:r>
      <w:r w:rsidRPr="009712EB">
        <w:rPr>
          <w:rFonts w:eastAsia="MS Mincho"/>
          <w:sz w:val="20"/>
          <w:szCs w:val="20"/>
          <w:bdr w:val="none" w:sz="0" w:space="0" w:color="auto"/>
          <w:lang w:val="es-CO"/>
        </w:rPr>
        <w:t>.</w:t>
      </w:r>
    </w:p>
    <w:p w:rsidR="004A5155" w:rsidRPr="009712EB" w:rsidRDefault="004A515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sz w:val="20"/>
          <w:szCs w:val="20"/>
          <w:bdr w:val="none" w:sz="0" w:space="0" w:color="auto"/>
          <w:lang w:val="es-CO"/>
        </w:rPr>
      </w:pPr>
    </w:p>
    <w:p w:rsidR="004A5155" w:rsidRPr="009712EB" w:rsidRDefault="00451B0F" w:rsidP="005E2ED1">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MS Mincho"/>
          <w:b/>
          <w:sz w:val="20"/>
          <w:szCs w:val="20"/>
          <w:bdr w:val="none" w:sz="0" w:space="0" w:color="auto"/>
          <w:lang w:val="es-CO"/>
        </w:rPr>
      </w:pPr>
      <w:r w:rsidRPr="009712EB">
        <w:rPr>
          <w:rFonts w:eastAsia="MS Mincho"/>
          <w:b/>
          <w:sz w:val="20"/>
          <w:szCs w:val="20"/>
          <w:bdr w:val="none" w:sz="0" w:space="0" w:color="auto"/>
          <w:lang w:val="es-CO"/>
        </w:rPr>
        <w:t>En el contexto de presuntos enfrentamientos entre FF.DD y soldados estadounidenses</w:t>
      </w:r>
    </w:p>
    <w:p w:rsidR="005F4DC5" w:rsidRPr="009712EB"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sz w:val="20"/>
          <w:szCs w:val="20"/>
          <w:bdr w:val="none" w:sz="0" w:space="0" w:color="auto"/>
          <w:lang w:val="es-CO"/>
        </w:rPr>
      </w:pPr>
    </w:p>
    <w:p w:rsidR="00451B0F"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lang w:val="es-CO"/>
        </w:rPr>
      </w:pPr>
      <w:r w:rsidRPr="009712EB">
        <w:rPr>
          <w:rFonts w:eastAsia="MS Mincho"/>
          <w:i/>
          <w:sz w:val="20"/>
          <w:szCs w:val="20"/>
          <w:bdr w:val="none" w:sz="0" w:space="0" w:color="auto"/>
          <w:lang w:val="es-CO"/>
        </w:rPr>
        <w:t xml:space="preserve">José Félix Baquedo </w:t>
      </w:r>
      <w:r w:rsidRPr="009712EB">
        <w:rPr>
          <w:rFonts w:eastAsia="MS Mincho"/>
          <w:sz w:val="20"/>
          <w:szCs w:val="20"/>
          <w:bdr w:val="none" w:sz="0" w:space="0" w:color="auto"/>
          <w:lang w:val="es-CO"/>
        </w:rPr>
        <w:t>identificado en el caso No. 65, 34 años de edad de nacionalidad panameña</w:t>
      </w:r>
      <w:r w:rsidRPr="009712EB">
        <w:rPr>
          <w:sz w:val="20"/>
          <w:szCs w:val="20"/>
          <w:bdr w:val="none" w:sz="0" w:space="0" w:color="auto"/>
          <w:vertAlign w:val="superscript"/>
        </w:rPr>
        <w:footnoteReference w:id="134"/>
      </w:r>
      <w:r w:rsidRPr="009712EB">
        <w:rPr>
          <w:rFonts w:eastAsia="MS Mincho"/>
          <w:sz w:val="20"/>
          <w:szCs w:val="20"/>
          <w:bdr w:val="none" w:sz="0" w:space="0" w:color="auto"/>
          <w:lang w:val="es-CO"/>
        </w:rPr>
        <w:t xml:space="preserve">. Conforme a declaraciones, el 22 de diciembre de 1989 a las 5:40 pm José Baquedo salió de su residencia ubicada en San Miguelito a casa de un cliente para un trabajo de tapicería. A pocas cuadras de su </w:t>
      </w:r>
      <w:r w:rsidRPr="009712EB">
        <w:rPr>
          <w:rFonts w:eastAsia="MS Mincho"/>
          <w:sz w:val="20"/>
          <w:szCs w:val="20"/>
          <w:bdr w:val="none" w:sz="0" w:space="0" w:color="auto"/>
          <w:lang w:val="es-CO"/>
        </w:rPr>
        <w:lastRenderedPageBreak/>
        <w:t>casa, fue “sorprendido por un enfrentamiento del ejército americano” en el marco del cual resultó herido por una bala en la “región submaxilar izquierdo” causándole un paro cardiorrespiratorio</w:t>
      </w:r>
      <w:r w:rsidRPr="009712EB">
        <w:rPr>
          <w:sz w:val="20"/>
          <w:szCs w:val="20"/>
          <w:bdr w:val="none" w:sz="0" w:space="0" w:color="auto"/>
          <w:vertAlign w:val="superscript"/>
        </w:rPr>
        <w:footnoteReference w:id="135"/>
      </w:r>
      <w:r w:rsidR="005E2ED1" w:rsidRPr="00713E68">
        <w:rPr>
          <w:rFonts w:eastAsia="MS Mincho"/>
          <w:sz w:val="20"/>
          <w:szCs w:val="20"/>
          <w:bdr w:val="none" w:sz="0" w:space="0" w:color="auto"/>
          <w:lang w:val="es-ES"/>
        </w:rPr>
        <w:t>.</w:t>
      </w:r>
    </w:p>
    <w:p w:rsidR="004A5155" w:rsidRPr="009712EB" w:rsidRDefault="004A5155" w:rsidP="00CA2CB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i/>
          <w:sz w:val="20"/>
          <w:szCs w:val="20"/>
          <w:bdr w:val="none" w:sz="0" w:space="0" w:color="auto"/>
          <w:lang w:val="es-CO"/>
        </w:rPr>
      </w:pPr>
      <w:r w:rsidRPr="009712EB">
        <w:rPr>
          <w:rFonts w:ascii="Cambria" w:eastAsia="MS Mincho" w:hAnsi="Cambria"/>
          <w:i/>
          <w:sz w:val="20"/>
          <w:szCs w:val="20"/>
          <w:bdr w:val="none" w:sz="0" w:space="0" w:color="auto"/>
          <w:lang w:val="es-CO"/>
        </w:rPr>
        <w:t xml:space="preserve">Martín Alberto Barrios Montes </w:t>
      </w:r>
      <w:r w:rsidRPr="009712EB">
        <w:rPr>
          <w:rFonts w:ascii="Cambria" w:eastAsia="MS Mincho" w:hAnsi="Cambria"/>
          <w:sz w:val="20"/>
          <w:szCs w:val="20"/>
          <w:bdr w:val="none" w:sz="0" w:space="0" w:color="auto"/>
          <w:lang w:val="es-VE"/>
        </w:rPr>
        <w:t>identificado con el caso No. 81, era un joven de 24 años de edad de nacionalidad panameña</w:t>
      </w:r>
      <w:r w:rsidRPr="009712EB">
        <w:rPr>
          <w:rFonts w:ascii="Cambria" w:eastAsia="MS Mincho" w:hAnsi="Cambria"/>
          <w:sz w:val="20"/>
          <w:szCs w:val="20"/>
          <w:bdr w:val="none" w:sz="0" w:space="0" w:color="auto"/>
          <w:vertAlign w:val="superscript"/>
          <w:lang w:val="es-VE"/>
        </w:rPr>
        <w:footnoteReference w:id="136"/>
      </w:r>
      <w:r w:rsidRPr="009712EB">
        <w:rPr>
          <w:rFonts w:ascii="Cambria" w:eastAsia="MS Mincho" w:hAnsi="Cambria"/>
          <w:sz w:val="20"/>
          <w:szCs w:val="20"/>
          <w:bdr w:val="none" w:sz="0" w:space="0" w:color="auto"/>
          <w:lang w:val="es-VE"/>
        </w:rPr>
        <w:t>. El 22 de diciembre de 1989 alrededor de las 2 pm, el Sr. Martín Barrios se encontraba en compañía de su cuñado frente al Edificio “Villa Las Fuentes” arreglando su vehículo, cuando empezó un enfrentamiento armado</w:t>
      </w:r>
      <w:r w:rsidRPr="009712EB">
        <w:rPr>
          <w:rFonts w:ascii="Cambria" w:eastAsia="MS Mincho" w:hAnsi="Cambria"/>
          <w:sz w:val="20"/>
          <w:szCs w:val="20"/>
          <w:bdr w:val="none" w:sz="0" w:space="0" w:color="auto"/>
          <w:vertAlign w:val="superscript"/>
          <w:lang w:val="es-VE"/>
        </w:rPr>
        <w:footnoteReference w:id="137"/>
      </w:r>
      <w:r w:rsidRPr="009712EB">
        <w:rPr>
          <w:rFonts w:ascii="Cambria" w:eastAsia="MS Mincho" w:hAnsi="Cambria"/>
          <w:sz w:val="20"/>
          <w:szCs w:val="20"/>
          <w:bdr w:val="none" w:sz="0" w:space="0" w:color="auto"/>
          <w:lang w:val="es-VE"/>
        </w:rPr>
        <w:t>. En el marco de esta situación, el Sr. Barrios Montes resultó herido por una bala, por lo cual fue trasladado por su cuñado al Hospital San Fernando en donde falleció momentos más tarde</w:t>
      </w:r>
      <w:r w:rsidRPr="009712EB">
        <w:rPr>
          <w:rFonts w:ascii="Cambria" w:eastAsia="MS Mincho" w:hAnsi="Cambria"/>
          <w:sz w:val="20"/>
          <w:szCs w:val="20"/>
          <w:bdr w:val="none" w:sz="0" w:space="0" w:color="auto"/>
          <w:vertAlign w:val="superscript"/>
          <w:lang w:val="es-VE"/>
        </w:rPr>
        <w:footnoteReference w:id="138"/>
      </w:r>
      <w:r w:rsidRPr="009712EB">
        <w:rPr>
          <w:rFonts w:ascii="Cambria" w:eastAsia="MS Mincho" w:hAnsi="Cambria"/>
          <w:sz w:val="20"/>
          <w:szCs w:val="20"/>
          <w:bdr w:val="none" w:sz="0" w:space="0" w:color="auto"/>
          <w:lang w:val="es-VE"/>
        </w:rPr>
        <w:t xml:space="preserve">. </w:t>
      </w:r>
    </w:p>
    <w:p w:rsidR="004A5155" w:rsidRPr="009712EB" w:rsidRDefault="004A5155" w:rsidP="00CA2CB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i/>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Luis Reyes Justiniani Vega</w:t>
      </w:r>
      <w:r w:rsidRPr="009712EB">
        <w:rPr>
          <w:rFonts w:ascii="Cambria" w:eastAsia="MS Mincho" w:hAnsi="Cambria"/>
          <w:sz w:val="20"/>
          <w:szCs w:val="20"/>
          <w:bdr w:val="none" w:sz="0" w:space="0" w:color="auto"/>
          <w:lang w:val="es-CO"/>
        </w:rPr>
        <w:t xml:space="preserve"> identificado en el caso No. 92, era un hombre de 34 años de edad de nacionalidad panameña</w:t>
      </w:r>
      <w:r w:rsidRPr="009712EB">
        <w:rPr>
          <w:rFonts w:ascii="Cambria" w:eastAsia="MS Mincho" w:hAnsi="Cambria"/>
          <w:sz w:val="20"/>
          <w:szCs w:val="20"/>
          <w:bdr w:val="none" w:sz="0" w:space="0" w:color="auto"/>
          <w:vertAlign w:val="superscript"/>
        </w:rPr>
        <w:footnoteReference w:id="139"/>
      </w:r>
      <w:r w:rsidRPr="009712EB">
        <w:rPr>
          <w:rFonts w:ascii="Cambria" w:eastAsia="MS Mincho" w:hAnsi="Cambria"/>
          <w:sz w:val="20"/>
          <w:szCs w:val="20"/>
          <w:bdr w:val="none" w:sz="0" w:space="0" w:color="auto"/>
          <w:lang w:val="es-CO"/>
        </w:rPr>
        <w:t>. Conforme a su certificado de defunción y a declaración presentada por su tío Moisés Justiniani, el 22 de diciembre de 1989 a las 2.30 pm se dirigía hacia su casa cuando en una barricada ubicada en Rio Abajo fue herido en la región cervical</w:t>
      </w:r>
      <w:r w:rsidRPr="009712EB">
        <w:rPr>
          <w:rFonts w:ascii="Cambria" w:eastAsia="MS Mincho" w:hAnsi="Cambria"/>
          <w:sz w:val="20"/>
          <w:szCs w:val="20"/>
          <w:bdr w:val="none" w:sz="0" w:space="0" w:color="auto"/>
          <w:vertAlign w:val="superscript"/>
        </w:rPr>
        <w:footnoteReference w:id="140"/>
      </w:r>
      <w:r w:rsidRPr="009712EB">
        <w:rPr>
          <w:rFonts w:ascii="Cambria" w:eastAsia="MS Mincho" w:hAnsi="Cambria"/>
          <w:sz w:val="20"/>
          <w:szCs w:val="20"/>
          <w:bdr w:val="none" w:sz="0" w:space="0" w:color="auto"/>
          <w:lang w:val="es-CO"/>
        </w:rPr>
        <w:t>.</w:t>
      </w:r>
    </w:p>
    <w:p w:rsidR="004A5155" w:rsidRPr="009712EB" w:rsidRDefault="004A5155" w:rsidP="00CA2CB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 xml:space="preserve">Rolando Braddick Vásquez </w:t>
      </w:r>
      <w:r w:rsidRPr="009712EB">
        <w:rPr>
          <w:rFonts w:ascii="Cambria" w:eastAsia="MS Mincho" w:hAnsi="Cambria"/>
          <w:sz w:val="20"/>
          <w:szCs w:val="20"/>
          <w:bdr w:val="none" w:sz="0" w:space="0" w:color="auto"/>
          <w:lang w:val="es-CO"/>
        </w:rPr>
        <w:t>identificado en el caso No. 270, era un panameño de 34 años de edad cuyo oficio era</w:t>
      </w:r>
      <w:r w:rsidR="00E04515" w:rsidRPr="009712EB">
        <w:rPr>
          <w:rFonts w:ascii="Cambria" w:eastAsia="MS Mincho" w:hAnsi="Cambria"/>
          <w:sz w:val="20"/>
          <w:szCs w:val="20"/>
          <w:bdr w:val="none" w:sz="0" w:space="0" w:color="auto"/>
          <w:lang w:val="es-CO"/>
        </w:rPr>
        <w:t xml:space="preserve"> la</w:t>
      </w:r>
      <w:r w:rsidRPr="009712EB">
        <w:rPr>
          <w:rFonts w:ascii="Cambria" w:eastAsia="MS Mincho" w:hAnsi="Cambria"/>
          <w:sz w:val="20"/>
          <w:szCs w:val="20"/>
          <w:bdr w:val="none" w:sz="0" w:space="0" w:color="auto"/>
          <w:lang w:val="es-CO"/>
        </w:rPr>
        <w:t xml:space="preserve"> ingenier</w:t>
      </w:r>
      <w:r w:rsidR="00E04515" w:rsidRPr="009712EB">
        <w:rPr>
          <w:rFonts w:ascii="Cambria" w:eastAsia="MS Mincho" w:hAnsi="Cambria"/>
          <w:sz w:val="20"/>
          <w:szCs w:val="20"/>
          <w:bdr w:val="none" w:sz="0" w:space="0" w:color="auto"/>
          <w:lang w:val="es-CO"/>
        </w:rPr>
        <w:t>ia</w:t>
      </w:r>
      <w:r w:rsidRPr="009712EB">
        <w:rPr>
          <w:rFonts w:ascii="Cambria" w:eastAsia="MS Mincho" w:hAnsi="Cambria"/>
          <w:sz w:val="20"/>
          <w:szCs w:val="20"/>
          <w:bdr w:val="none" w:sz="0" w:space="0" w:color="auto"/>
          <w:lang w:val="es-CO"/>
        </w:rPr>
        <w:t xml:space="preserve"> portuari</w:t>
      </w:r>
      <w:r w:rsidR="00E04515" w:rsidRPr="009712EB">
        <w:rPr>
          <w:rFonts w:ascii="Cambria" w:eastAsia="MS Mincho" w:hAnsi="Cambria"/>
          <w:sz w:val="20"/>
          <w:szCs w:val="20"/>
          <w:bdr w:val="none" w:sz="0" w:space="0" w:color="auto"/>
          <w:lang w:val="es-CO"/>
        </w:rPr>
        <w:t>a</w:t>
      </w:r>
      <w:r w:rsidRPr="009712EB">
        <w:rPr>
          <w:rFonts w:ascii="Cambria" w:eastAsia="MS Mincho" w:hAnsi="Cambria"/>
          <w:sz w:val="20"/>
          <w:szCs w:val="20"/>
          <w:bdr w:val="none" w:sz="0" w:space="0" w:color="auto"/>
          <w:vertAlign w:val="superscript"/>
        </w:rPr>
        <w:footnoteReference w:id="141"/>
      </w:r>
      <w:r w:rsidRPr="009712EB">
        <w:rPr>
          <w:rFonts w:ascii="Cambria" w:eastAsia="MS Mincho" w:hAnsi="Cambria"/>
          <w:sz w:val="20"/>
          <w:szCs w:val="20"/>
          <w:bdr w:val="none" w:sz="0" w:space="0" w:color="auto"/>
          <w:lang w:val="es-CO"/>
        </w:rPr>
        <w:t>. Conforme a la declaración aportada, el 22 diciembre de 1989 alrededor de las 9 am se encontraba en “la fila” para “reportarse” a un llamamiento de Arias Calderón en el “tránsito de Albrook” y “se presentó un tiroteo”</w:t>
      </w:r>
      <w:r w:rsidRPr="009712EB">
        <w:rPr>
          <w:rFonts w:ascii="Cambria" w:eastAsia="MS Mincho" w:hAnsi="Cambria"/>
          <w:sz w:val="20"/>
          <w:szCs w:val="20"/>
          <w:bdr w:val="none" w:sz="0" w:space="0" w:color="auto"/>
          <w:vertAlign w:val="superscript"/>
        </w:rPr>
        <w:footnoteReference w:id="142"/>
      </w:r>
      <w:r w:rsidRPr="009712EB">
        <w:rPr>
          <w:rFonts w:ascii="Cambria" w:eastAsia="MS Mincho" w:hAnsi="Cambria"/>
          <w:sz w:val="20"/>
          <w:szCs w:val="20"/>
          <w:bdr w:val="none" w:sz="0" w:space="0" w:color="auto"/>
          <w:lang w:val="es-CO"/>
        </w:rPr>
        <w:t xml:space="preserve"> en el cual Rolando Braddick habría recibido heridas múltiples por arma de fuego. Sus restos fueron enterrados en la fosa común de Jardín de Paz</w:t>
      </w:r>
      <w:r w:rsidRPr="009712EB">
        <w:rPr>
          <w:rFonts w:ascii="Cambria" w:eastAsia="MS Mincho" w:hAnsi="Cambria"/>
          <w:sz w:val="20"/>
          <w:szCs w:val="20"/>
          <w:bdr w:val="none" w:sz="0" w:space="0" w:color="auto"/>
          <w:vertAlign w:val="superscript"/>
        </w:rPr>
        <w:footnoteReference w:id="143"/>
      </w:r>
      <w:r w:rsidRPr="009712EB">
        <w:rPr>
          <w:rFonts w:ascii="Cambria" w:eastAsia="MS Mincho" w:hAnsi="Cambria"/>
          <w:sz w:val="20"/>
          <w:szCs w:val="20"/>
          <w:bdr w:val="none" w:sz="0" w:space="0" w:color="auto"/>
          <w:lang w:val="es-CO"/>
        </w:rPr>
        <w:t xml:space="preserve">. </w:t>
      </w:r>
      <w:r w:rsidR="00C02D09">
        <w:rPr>
          <w:rFonts w:ascii="Cambria" w:eastAsia="MS Mincho" w:hAnsi="Cambria"/>
          <w:sz w:val="20"/>
          <w:szCs w:val="20"/>
          <w:bdr w:val="none" w:sz="0" w:space="0" w:color="auto"/>
          <w:lang w:val="es-CO"/>
        </w:rPr>
        <w:t>Los peticionarios indican que las tropas estadounidenses registraron que había fallecido</w:t>
      </w:r>
      <w:r w:rsidRPr="009712EB">
        <w:rPr>
          <w:rFonts w:ascii="Cambria" w:eastAsia="MS Mincho" w:hAnsi="Cambria"/>
          <w:sz w:val="20"/>
          <w:szCs w:val="20"/>
          <w:bdr w:val="none" w:sz="0" w:space="0" w:color="auto"/>
          <w:vertAlign w:val="superscript"/>
        </w:rPr>
        <w:footnoteReference w:id="144"/>
      </w:r>
      <w:r w:rsidRPr="009712EB">
        <w:rPr>
          <w:rFonts w:ascii="Cambria" w:eastAsia="MS Mincho" w:hAnsi="Cambria"/>
          <w:sz w:val="20"/>
          <w:szCs w:val="20"/>
          <w:bdr w:val="none" w:sz="0" w:space="0" w:color="auto"/>
          <w:lang w:val="es-CO"/>
        </w:rPr>
        <w:t>.</w:t>
      </w:r>
    </w:p>
    <w:p w:rsidR="004A5155" w:rsidRPr="009712EB" w:rsidRDefault="004A5155" w:rsidP="009712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CO"/>
        </w:rPr>
      </w:pPr>
    </w:p>
    <w:p w:rsidR="00451B0F" w:rsidRPr="009712EB" w:rsidRDefault="00451B0F" w:rsidP="005E2ED1">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MS Mincho"/>
          <w:b/>
          <w:sz w:val="20"/>
          <w:szCs w:val="20"/>
          <w:bdr w:val="none" w:sz="0" w:space="0" w:color="auto"/>
          <w:lang w:val="es-CO"/>
        </w:rPr>
      </w:pPr>
      <w:r w:rsidRPr="009712EB">
        <w:rPr>
          <w:rFonts w:eastAsia="MS Mincho"/>
          <w:b/>
          <w:sz w:val="20"/>
          <w:szCs w:val="20"/>
          <w:bdr w:val="none" w:sz="0" w:space="0" w:color="auto"/>
          <w:lang w:val="es-CO"/>
        </w:rPr>
        <w:t>Como consecuencia de hechos ante un puesto de control</w:t>
      </w:r>
    </w:p>
    <w:p w:rsidR="005F4DC5" w:rsidRPr="009712EB" w:rsidRDefault="005F4DC5" w:rsidP="009712EB">
      <w:p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ambria" w:eastAsia="MS Mincho" w:hAnsi="Cambria"/>
          <w:sz w:val="20"/>
          <w:szCs w:val="20"/>
          <w:bdr w:val="none" w:sz="0" w:space="0" w:color="auto"/>
          <w:lang w:val="es-CO"/>
        </w:rPr>
      </w:pPr>
    </w:p>
    <w:p w:rsidR="00451B0F"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lang w:val="es-CO"/>
        </w:rPr>
      </w:pPr>
      <w:r w:rsidRPr="009712EB">
        <w:rPr>
          <w:rFonts w:eastAsia="MS Mincho"/>
          <w:i/>
          <w:sz w:val="20"/>
          <w:szCs w:val="20"/>
          <w:bdr w:val="none" w:sz="0" w:space="0" w:color="auto"/>
          <w:lang w:val="es-CO"/>
        </w:rPr>
        <w:t>Ernesto Martínez Paredes</w:t>
      </w:r>
      <w:r w:rsidRPr="009712EB">
        <w:rPr>
          <w:rFonts w:eastAsia="MS Mincho"/>
          <w:sz w:val="20"/>
          <w:szCs w:val="20"/>
          <w:bdr w:val="none" w:sz="0" w:space="0" w:color="auto"/>
          <w:lang w:val="es-CO"/>
        </w:rPr>
        <w:t xml:space="preserve">, </w:t>
      </w:r>
      <w:r w:rsidRPr="009712EB">
        <w:rPr>
          <w:rFonts w:eastAsia="MS Mincho"/>
          <w:i/>
          <w:sz w:val="20"/>
          <w:szCs w:val="20"/>
          <w:bdr w:val="none" w:sz="0" w:space="0" w:color="auto"/>
          <w:lang w:val="es-CO"/>
        </w:rPr>
        <w:t>Andrea Aide Reid</w:t>
      </w:r>
      <w:r w:rsidRPr="009712EB">
        <w:rPr>
          <w:rFonts w:eastAsia="MS Mincho"/>
          <w:sz w:val="20"/>
          <w:szCs w:val="20"/>
          <w:bdr w:val="none" w:sz="0" w:space="0" w:color="auto"/>
          <w:lang w:val="es-CO"/>
        </w:rPr>
        <w:t xml:space="preserve">, </w:t>
      </w:r>
      <w:r w:rsidRPr="009712EB">
        <w:rPr>
          <w:rFonts w:eastAsia="MS Mincho"/>
          <w:i/>
          <w:sz w:val="20"/>
          <w:szCs w:val="20"/>
          <w:bdr w:val="none" w:sz="0" w:space="0" w:color="auto"/>
          <w:lang w:val="es-CO"/>
        </w:rPr>
        <w:t>Henry Leopoldo Bailey Smith</w:t>
      </w:r>
      <w:r w:rsidRPr="009712EB">
        <w:rPr>
          <w:rFonts w:eastAsia="MS Mincho"/>
          <w:sz w:val="20"/>
          <w:szCs w:val="20"/>
          <w:bdr w:val="none" w:sz="0" w:space="0" w:color="auto"/>
          <w:lang w:val="es-CO"/>
        </w:rPr>
        <w:t xml:space="preserve">, y </w:t>
      </w:r>
      <w:r w:rsidRPr="009712EB">
        <w:rPr>
          <w:rFonts w:eastAsia="MS Mincho"/>
          <w:i/>
          <w:sz w:val="20"/>
          <w:szCs w:val="20"/>
          <w:bdr w:val="none" w:sz="0" w:space="0" w:color="auto"/>
          <w:lang w:val="es-CO"/>
        </w:rPr>
        <w:t xml:space="preserve">Luis Alberto Castillo Gotti </w:t>
      </w:r>
      <w:r w:rsidRPr="009712EB">
        <w:rPr>
          <w:rFonts w:eastAsia="MS Mincho"/>
          <w:sz w:val="20"/>
          <w:szCs w:val="20"/>
          <w:bdr w:val="none" w:sz="0" w:space="0" w:color="auto"/>
          <w:lang w:val="es-CO"/>
        </w:rPr>
        <w:t>identificados en los casos No. 10, No. 20</w:t>
      </w:r>
      <w:r w:rsidR="00232550">
        <w:rPr>
          <w:rFonts w:eastAsia="MS Mincho"/>
          <w:sz w:val="20"/>
          <w:szCs w:val="20"/>
          <w:bdr w:val="none" w:sz="0" w:space="0" w:color="auto"/>
          <w:lang w:val="es-CO"/>
        </w:rPr>
        <w:t xml:space="preserve"> y</w:t>
      </w:r>
      <w:r w:rsidRPr="009712EB">
        <w:rPr>
          <w:rFonts w:eastAsia="MS Mincho"/>
          <w:sz w:val="20"/>
          <w:szCs w:val="20"/>
          <w:bdr w:val="none" w:sz="0" w:space="0" w:color="auto"/>
          <w:lang w:val="es-CO"/>
        </w:rPr>
        <w:t xml:space="preserve"> No.93, No. 78, y No. 86, respectivamente, eran de nacionalidad panameña y de edades comprendidas entre los 19 y 24 años de edad al momento de los hechos. Según declaraciones de los familiares de las víctimas, el 23 de diciembre de 1989 a las 10.30 pm Andrea Reid y un herido de bala identificado como Mario Iglesias llegaron en un bus pequeño propiedad del último pidiendo ayuda a casa de un doctor residenciado en la calle 3era Parque Lefevre.</w:t>
      </w:r>
      <w:r w:rsidRPr="009712EB">
        <w:rPr>
          <w:sz w:val="20"/>
          <w:szCs w:val="20"/>
          <w:bdr w:val="none" w:sz="0" w:space="0" w:color="auto"/>
          <w:vertAlign w:val="superscript"/>
        </w:rPr>
        <w:footnoteReference w:id="145"/>
      </w:r>
      <w:r w:rsidRPr="009712EB">
        <w:rPr>
          <w:rFonts w:eastAsia="MS Mincho"/>
          <w:sz w:val="20"/>
          <w:szCs w:val="20"/>
          <w:bdr w:val="none" w:sz="0" w:space="0" w:color="auto"/>
          <w:lang w:val="es-CO"/>
        </w:rPr>
        <w:t xml:space="preserve">  Al médico recomendar que lo llevaran un hospital, Ernesto Martínez, Henry Bailey y Luis Castillo, abordaron el bus para acompañarlos</w:t>
      </w:r>
      <w:r w:rsidRPr="009712EB">
        <w:rPr>
          <w:sz w:val="20"/>
          <w:szCs w:val="20"/>
          <w:bdr w:val="none" w:sz="0" w:space="0" w:color="auto"/>
          <w:vertAlign w:val="superscript"/>
        </w:rPr>
        <w:footnoteReference w:id="146"/>
      </w:r>
      <w:r w:rsidRPr="009712EB">
        <w:rPr>
          <w:rFonts w:eastAsia="MS Mincho"/>
          <w:sz w:val="20"/>
          <w:szCs w:val="20"/>
          <w:bdr w:val="none" w:sz="0" w:space="0" w:color="auto"/>
          <w:lang w:val="es-CO"/>
        </w:rPr>
        <w:t xml:space="preserve">. </w:t>
      </w:r>
    </w:p>
    <w:p w:rsidR="005F4DC5" w:rsidRPr="009712EB" w:rsidRDefault="005F4DC5" w:rsidP="00CA2CB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sz w:val="20"/>
          <w:szCs w:val="20"/>
          <w:bdr w:val="none" w:sz="0" w:space="0" w:color="auto"/>
          <w:lang w:val="es-CO"/>
        </w:rPr>
        <w:lastRenderedPageBreak/>
        <w:t>Seguidamente luego de ser rechazados en la Clínica Hospital de R</w:t>
      </w:r>
      <w:r w:rsidR="00FE5424" w:rsidRPr="009712EB">
        <w:rPr>
          <w:rFonts w:ascii="Cambria" w:eastAsia="MS Mincho" w:hAnsi="Cambria"/>
          <w:sz w:val="20"/>
          <w:szCs w:val="20"/>
          <w:bdr w:val="none" w:sz="0" w:space="0" w:color="auto"/>
          <w:lang w:val="es-CO"/>
        </w:rPr>
        <w:t>í</w:t>
      </w:r>
      <w:r w:rsidRPr="009712EB">
        <w:rPr>
          <w:rFonts w:ascii="Cambria" w:eastAsia="MS Mincho" w:hAnsi="Cambria"/>
          <w:sz w:val="20"/>
          <w:szCs w:val="20"/>
          <w:bdr w:val="none" w:sz="0" w:space="0" w:color="auto"/>
          <w:lang w:val="es-CO"/>
        </w:rPr>
        <w:t>o Abajo, decidieron dirigirse hacia el Complejo Hospitalario del Seguro Social a la altura de Abastos de Transísmica</w:t>
      </w:r>
      <w:r w:rsidRPr="009712EB">
        <w:rPr>
          <w:rFonts w:ascii="Cambria" w:eastAsia="MS Mincho" w:hAnsi="Cambria"/>
          <w:sz w:val="20"/>
          <w:szCs w:val="20"/>
          <w:bdr w:val="none" w:sz="0" w:space="0" w:color="auto"/>
          <w:vertAlign w:val="superscript"/>
        </w:rPr>
        <w:footnoteReference w:id="147"/>
      </w:r>
      <w:r w:rsidRPr="009712EB">
        <w:rPr>
          <w:rFonts w:ascii="Cambria" w:eastAsia="MS Mincho" w:hAnsi="Cambria"/>
          <w:sz w:val="20"/>
          <w:szCs w:val="20"/>
          <w:bdr w:val="none" w:sz="0" w:space="0" w:color="auto"/>
          <w:lang w:val="es-CO"/>
        </w:rPr>
        <w:t>. En el camino, fueron detenidos en un punto de control y un soldado del retén al escuchar unos disparos a la distancia, comenzó a disparar en contra del microbús</w:t>
      </w:r>
      <w:r w:rsidRPr="009712EB">
        <w:rPr>
          <w:rFonts w:ascii="Cambria" w:eastAsia="MS Mincho" w:hAnsi="Cambria"/>
          <w:sz w:val="20"/>
          <w:szCs w:val="20"/>
          <w:bdr w:val="none" w:sz="0" w:space="0" w:color="auto"/>
          <w:vertAlign w:val="superscript"/>
        </w:rPr>
        <w:footnoteReference w:id="148"/>
      </w:r>
      <w:r w:rsidRPr="009712EB">
        <w:rPr>
          <w:rFonts w:ascii="Cambria" w:eastAsia="MS Mincho" w:hAnsi="Cambria"/>
          <w:sz w:val="20"/>
          <w:szCs w:val="20"/>
          <w:bdr w:val="none" w:sz="0" w:space="0" w:color="auto"/>
          <w:lang w:val="es-CO"/>
        </w:rPr>
        <w:t xml:space="preserve">. Como resultado de 38 impactos </w:t>
      </w:r>
      <w:r w:rsidR="00C02D09">
        <w:rPr>
          <w:rFonts w:ascii="Cambria" w:eastAsia="MS Mincho" w:hAnsi="Cambria"/>
          <w:sz w:val="20"/>
          <w:szCs w:val="20"/>
          <w:bdr w:val="none" w:sz="0" w:space="0" w:color="auto"/>
          <w:lang w:val="es-CO"/>
        </w:rPr>
        <w:t xml:space="preserve">de los disparos </w:t>
      </w:r>
      <w:r w:rsidRPr="009712EB">
        <w:rPr>
          <w:rFonts w:ascii="Cambria" w:eastAsia="MS Mincho" w:hAnsi="Cambria"/>
          <w:sz w:val="20"/>
          <w:szCs w:val="20"/>
          <w:bdr w:val="none" w:sz="0" w:space="0" w:color="auto"/>
          <w:lang w:val="es-CO"/>
        </w:rPr>
        <w:t>al vehículo, Henry Bailey murió por un “estallido craneal”</w:t>
      </w:r>
      <w:r w:rsidRPr="009712EB">
        <w:rPr>
          <w:rFonts w:ascii="Cambria" w:eastAsia="MS Mincho" w:hAnsi="Cambria"/>
          <w:sz w:val="20"/>
          <w:szCs w:val="20"/>
          <w:bdr w:val="none" w:sz="0" w:space="0" w:color="auto"/>
          <w:vertAlign w:val="superscript"/>
        </w:rPr>
        <w:footnoteReference w:id="149"/>
      </w:r>
      <w:r w:rsidRPr="009712EB">
        <w:rPr>
          <w:rFonts w:ascii="Cambria" w:eastAsia="MS Mincho" w:hAnsi="Cambria"/>
          <w:sz w:val="20"/>
          <w:szCs w:val="20"/>
          <w:bdr w:val="none" w:sz="0" w:space="0" w:color="auto"/>
          <w:lang w:val="es-CO"/>
        </w:rPr>
        <w:t>, Luis Castillo por un “trauma toraco-abdominal”</w:t>
      </w:r>
      <w:r w:rsidRPr="009712EB">
        <w:rPr>
          <w:rFonts w:ascii="Cambria" w:eastAsia="MS Mincho" w:hAnsi="Cambria"/>
          <w:sz w:val="20"/>
          <w:szCs w:val="20"/>
          <w:bdr w:val="none" w:sz="0" w:space="0" w:color="auto"/>
          <w:vertAlign w:val="superscript"/>
        </w:rPr>
        <w:footnoteReference w:id="150"/>
      </w:r>
      <w:r w:rsidRPr="009712EB">
        <w:rPr>
          <w:rFonts w:ascii="Cambria" w:eastAsia="MS Mincho" w:hAnsi="Cambria"/>
          <w:sz w:val="20"/>
          <w:szCs w:val="20"/>
          <w:bdr w:val="none" w:sz="0" w:space="0" w:color="auto"/>
          <w:lang w:val="es-CO"/>
        </w:rPr>
        <w:t>, Andrea Reid por un “traumatismo craneoencefálico”</w:t>
      </w:r>
      <w:r w:rsidRPr="009712EB">
        <w:rPr>
          <w:rFonts w:ascii="Cambria" w:eastAsia="MS Mincho" w:hAnsi="Cambria"/>
          <w:sz w:val="20"/>
          <w:szCs w:val="20"/>
          <w:bdr w:val="none" w:sz="0" w:space="0" w:color="auto"/>
          <w:vertAlign w:val="superscript"/>
        </w:rPr>
        <w:footnoteReference w:id="151"/>
      </w:r>
      <w:r w:rsidRPr="009712EB">
        <w:rPr>
          <w:rFonts w:ascii="Cambria" w:eastAsia="MS Mincho" w:hAnsi="Cambria"/>
          <w:sz w:val="20"/>
          <w:szCs w:val="20"/>
          <w:bdr w:val="none" w:sz="0" w:space="0" w:color="auto"/>
          <w:lang w:val="es-CO"/>
        </w:rPr>
        <w:t xml:space="preserve"> y Ernesto Martínez quien manejaba el bus, murió de heridas no identificadas</w:t>
      </w:r>
      <w:r w:rsidRPr="009712EB">
        <w:rPr>
          <w:rFonts w:ascii="Cambria" w:eastAsia="MS Mincho" w:hAnsi="Cambria"/>
          <w:sz w:val="20"/>
          <w:szCs w:val="20"/>
          <w:bdr w:val="none" w:sz="0" w:space="0" w:color="auto"/>
          <w:vertAlign w:val="superscript"/>
        </w:rPr>
        <w:footnoteReference w:id="152"/>
      </w:r>
      <w:r w:rsidRPr="009712EB">
        <w:rPr>
          <w:rFonts w:ascii="Cambria" w:eastAsia="MS Mincho" w:hAnsi="Cambria"/>
          <w:sz w:val="20"/>
          <w:szCs w:val="20"/>
          <w:bdr w:val="none" w:sz="0" w:space="0" w:color="auto"/>
          <w:lang w:val="es-CO"/>
        </w:rPr>
        <w:t>, todos como resultado de proyectiles de armas de fuego</w:t>
      </w:r>
      <w:r w:rsidRPr="009712EB">
        <w:rPr>
          <w:rFonts w:ascii="Cambria" w:eastAsia="MS Mincho" w:hAnsi="Cambria"/>
          <w:sz w:val="20"/>
          <w:szCs w:val="20"/>
          <w:bdr w:val="none" w:sz="0" w:space="0" w:color="auto"/>
          <w:vertAlign w:val="superscript"/>
        </w:rPr>
        <w:footnoteReference w:id="153"/>
      </w:r>
      <w:r w:rsidRPr="009712EB">
        <w:rPr>
          <w:rFonts w:ascii="Cambria" w:eastAsia="MS Mincho" w:hAnsi="Cambria"/>
          <w:sz w:val="20"/>
          <w:szCs w:val="20"/>
          <w:bdr w:val="none" w:sz="0" w:space="0" w:color="auto"/>
          <w:lang w:val="es-CO"/>
        </w:rPr>
        <w:t xml:space="preserve">. </w:t>
      </w:r>
    </w:p>
    <w:p w:rsidR="005F4DC5" w:rsidRPr="009712EB" w:rsidRDefault="005F4DC5" w:rsidP="00CA2CB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sz w:val="20"/>
          <w:szCs w:val="20"/>
          <w:bdr w:val="none" w:sz="0" w:space="0" w:color="auto"/>
          <w:lang w:val="es-CO"/>
        </w:rPr>
        <w:t>Las familias fueron notificadas por el Ministerio Público que los fallecidos habían sido enterrados en</w:t>
      </w:r>
      <w:r w:rsidR="005E2ED1">
        <w:rPr>
          <w:rFonts w:ascii="Cambria" w:eastAsia="MS Mincho" w:hAnsi="Cambria"/>
          <w:sz w:val="20"/>
          <w:szCs w:val="20"/>
          <w:bdr w:val="none" w:sz="0" w:space="0" w:color="auto"/>
          <w:lang w:val="es-CO"/>
        </w:rPr>
        <w:t xml:space="preserve"> la fosa común de</w:t>
      </w:r>
      <w:r w:rsidR="00C02D09">
        <w:rPr>
          <w:rFonts w:ascii="Cambria" w:eastAsia="MS Mincho" w:hAnsi="Cambria"/>
          <w:sz w:val="20"/>
          <w:szCs w:val="20"/>
          <w:bdr w:val="none" w:sz="0" w:space="0" w:color="auto"/>
          <w:lang w:val="es-CO"/>
        </w:rPr>
        <w:t>l</w:t>
      </w:r>
      <w:r w:rsidR="005E2ED1">
        <w:rPr>
          <w:rFonts w:ascii="Cambria" w:eastAsia="MS Mincho" w:hAnsi="Cambria"/>
          <w:sz w:val="20"/>
          <w:szCs w:val="20"/>
          <w:bdr w:val="none" w:sz="0" w:space="0" w:color="auto"/>
          <w:lang w:val="es-CO"/>
        </w:rPr>
        <w:t xml:space="preserve"> Jardín de Paz</w:t>
      </w:r>
      <w:r w:rsidRPr="009712EB">
        <w:rPr>
          <w:rFonts w:ascii="Cambria" w:eastAsia="MS Mincho" w:hAnsi="Cambria"/>
          <w:sz w:val="20"/>
          <w:szCs w:val="20"/>
          <w:bdr w:val="none" w:sz="0" w:space="0" w:color="auto"/>
          <w:vertAlign w:val="superscript"/>
        </w:rPr>
        <w:footnoteReference w:id="154"/>
      </w:r>
      <w:r w:rsidR="005E2ED1" w:rsidRPr="00713E68">
        <w:rPr>
          <w:rFonts w:ascii="Cambria" w:eastAsia="MS Mincho" w:hAnsi="Cambria"/>
          <w:sz w:val="20"/>
          <w:szCs w:val="20"/>
          <w:bdr w:val="none" w:sz="0" w:space="0" w:color="auto"/>
          <w:lang w:val="es-ES"/>
        </w:rPr>
        <w:t>.</w:t>
      </w:r>
      <w:r w:rsidRPr="009712EB">
        <w:rPr>
          <w:rFonts w:ascii="Cambria" w:eastAsia="MS Mincho" w:hAnsi="Cambria"/>
          <w:sz w:val="20"/>
          <w:szCs w:val="20"/>
          <w:bdr w:val="none" w:sz="0" w:space="0" w:color="auto"/>
          <w:lang w:val="es-CO"/>
        </w:rPr>
        <w:t xml:space="preserve"> </w:t>
      </w:r>
    </w:p>
    <w:p w:rsidR="005F4DC5" w:rsidRPr="009712EB" w:rsidRDefault="005F4DC5" w:rsidP="00CA2CB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9712EB">
        <w:rPr>
          <w:rFonts w:ascii="Cambria" w:eastAsia="MS Mincho" w:hAnsi="Cambria"/>
          <w:sz w:val="20"/>
          <w:szCs w:val="20"/>
          <w:bdr w:val="none" w:sz="0" w:space="0" w:color="auto"/>
          <w:lang w:val="es-CO"/>
        </w:rPr>
        <w:t>Vale destacar que para el Informe Anual 1990-1991, la Comisión había recibido información sobre este episodio, el cual calificó de “especialmente grave”</w:t>
      </w:r>
      <w:r w:rsidRPr="009712EB">
        <w:rPr>
          <w:rFonts w:ascii="Cambria" w:eastAsia="MS Mincho" w:hAnsi="Cambria"/>
          <w:sz w:val="20"/>
          <w:szCs w:val="20"/>
          <w:bdr w:val="none" w:sz="0" w:space="0" w:color="auto"/>
          <w:vertAlign w:val="superscript"/>
        </w:rPr>
        <w:footnoteReference w:id="155"/>
      </w:r>
      <w:r w:rsidRPr="009712EB">
        <w:rPr>
          <w:rFonts w:ascii="Cambria" w:eastAsia="MS Mincho" w:hAnsi="Cambria"/>
          <w:sz w:val="20"/>
          <w:szCs w:val="20"/>
          <w:bdr w:val="none" w:sz="0" w:space="0" w:color="auto"/>
          <w:lang w:val="es-CO"/>
        </w:rPr>
        <w:t xml:space="preserve">. </w:t>
      </w:r>
      <w:r w:rsidRPr="009712EB">
        <w:rPr>
          <w:rFonts w:ascii="Cambria" w:eastAsia="MS Mincho" w:hAnsi="Cambria"/>
          <w:sz w:val="20"/>
          <w:szCs w:val="20"/>
          <w:bdr w:val="none" w:sz="0" w:space="0" w:color="auto"/>
        </w:rPr>
        <w:t>Al respecto se conoció que:</w:t>
      </w:r>
    </w:p>
    <w:p w:rsidR="005F4DC5" w:rsidRPr="009712EB" w:rsidRDefault="005F4DC5" w:rsidP="009712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451B0F" w:rsidRPr="009712EB" w:rsidRDefault="00451B0F" w:rsidP="00D529F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i/>
          <w:sz w:val="20"/>
          <w:szCs w:val="20"/>
          <w:bdr w:val="none" w:sz="0" w:space="0" w:color="auto"/>
          <w:lang w:val="es-CO"/>
        </w:rPr>
      </w:pPr>
      <w:r w:rsidRPr="009712EB">
        <w:rPr>
          <w:rFonts w:ascii="Cambria" w:eastAsia="MS Mincho" w:hAnsi="Cambria"/>
          <w:i/>
          <w:sz w:val="20"/>
          <w:szCs w:val="20"/>
          <w:bdr w:val="none" w:sz="0" w:space="0" w:color="auto"/>
          <w:lang w:val="es-CO"/>
        </w:rPr>
        <w:t>El 23 de diciembre el Sr. Mario Alberto Iglesias, 25 años, fue herido mientras transitaba durante el toque de queda en un vehículo amarillo a las 10:45 am acompañado por</w:t>
      </w:r>
      <w:r w:rsidR="004C4A1D">
        <w:rPr>
          <w:rFonts w:ascii="Cambria" w:eastAsia="MS Mincho" w:hAnsi="Cambria"/>
          <w:i/>
          <w:sz w:val="20"/>
          <w:szCs w:val="20"/>
          <w:bdr w:val="none" w:sz="0" w:space="0" w:color="auto"/>
          <w:lang w:val="es-CO"/>
        </w:rPr>
        <w:t xml:space="preserve"> la Srta. Andrea Reid, 22 años.</w:t>
      </w:r>
      <w:r w:rsidRPr="009712EB">
        <w:rPr>
          <w:rFonts w:ascii="Cambria" w:eastAsia="MS Mincho" w:hAnsi="Cambria"/>
          <w:i/>
          <w:sz w:val="20"/>
          <w:szCs w:val="20"/>
          <w:bdr w:val="none" w:sz="0" w:space="0" w:color="auto"/>
          <w:lang w:val="es-CO"/>
        </w:rPr>
        <w:t xml:space="preserve"> Solicitó ayuda para llegar al hospital y cinco jóvenes, </w:t>
      </w:r>
      <w:r w:rsidRPr="009712EB">
        <w:rPr>
          <w:rFonts w:ascii="Cambria" w:eastAsia="MS Mincho" w:hAnsi="Cambria"/>
          <w:i/>
          <w:sz w:val="20"/>
          <w:szCs w:val="20"/>
          <w:u w:val="single"/>
          <w:bdr w:val="none" w:sz="0" w:space="0" w:color="auto"/>
          <w:lang w:val="es-CO"/>
        </w:rPr>
        <w:t>Eduardo Paredes, Ernesto Martínez, Luis Alberto Castillo, Henry Leopold Bailey y Claudio de Roux</w:t>
      </w:r>
      <w:r w:rsidRPr="009712EB">
        <w:rPr>
          <w:rFonts w:ascii="Cambria" w:eastAsia="MS Mincho" w:hAnsi="Cambria"/>
          <w:i/>
          <w:sz w:val="20"/>
          <w:szCs w:val="20"/>
          <w:bdr w:val="none" w:sz="0" w:space="0" w:color="auto"/>
          <w:lang w:val="es-CO"/>
        </w:rPr>
        <w:t>, vecinos de la calle 3a. que alegadamente guardaban una barricada para defender su vecindad de ataques por Batallones de la Dignidad, acompañaron a ese vehículo al herido a un médico, quien los envió a la Clínica Río Abajo y de allí al Hospital de la Seguridad Social.  Según fue informada la Comisión, llevaban ondeando una bandera blanca de la ventanilla lateral para identificar su carácter de no combatientes.  Luego de ser revisados en un retén de fuerzas de Estados Unidos saliendo hacia el hospital dichas fuerzas ametrallaron al vehículo matando a los siete ocupantes.  El informe recibido por la Comisión indica que el ametrallamiento se produjo como una reacción a di</w:t>
      </w:r>
      <w:r w:rsidR="004C4A1D">
        <w:rPr>
          <w:rFonts w:ascii="Cambria" w:eastAsia="MS Mincho" w:hAnsi="Cambria"/>
          <w:i/>
          <w:sz w:val="20"/>
          <w:szCs w:val="20"/>
          <w:bdr w:val="none" w:sz="0" w:space="0" w:color="auto"/>
          <w:lang w:val="es-CO"/>
        </w:rPr>
        <w:t xml:space="preserve">sparos desconocidos.  El caso </w:t>
      </w:r>
      <w:r w:rsidRPr="009712EB">
        <w:rPr>
          <w:rFonts w:ascii="Cambria" w:eastAsia="MS Mincho" w:hAnsi="Cambria"/>
          <w:i/>
          <w:sz w:val="20"/>
          <w:szCs w:val="20"/>
          <w:bdr w:val="none" w:sz="0" w:space="0" w:color="auto"/>
          <w:lang w:val="es-CO"/>
        </w:rPr>
        <w:t>se</w:t>
      </w:r>
      <w:r w:rsidR="004C4A1D">
        <w:rPr>
          <w:rFonts w:ascii="Cambria" w:eastAsia="MS Mincho" w:hAnsi="Cambria"/>
          <w:i/>
          <w:sz w:val="20"/>
          <w:szCs w:val="20"/>
          <w:bdr w:val="none" w:sz="0" w:space="0" w:color="auto"/>
          <w:lang w:val="es-CO"/>
        </w:rPr>
        <w:t xml:space="preserve">gún información recibida </w:t>
      </w:r>
      <w:r w:rsidRPr="009712EB">
        <w:rPr>
          <w:rFonts w:ascii="Cambria" w:eastAsia="MS Mincho" w:hAnsi="Cambria"/>
          <w:i/>
          <w:sz w:val="20"/>
          <w:szCs w:val="20"/>
          <w:bdr w:val="none" w:sz="0" w:space="0" w:color="auto"/>
          <w:lang w:val="es-CO"/>
        </w:rPr>
        <w:t>está siendo investigado por el Ejército de Estados Unidos</w:t>
      </w:r>
      <w:r w:rsidRPr="00CA2CB4">
        <w:rPr>
          <w:rFonts w:ascii="Cambria" w:eastAsia="MS Mincho" w:hAnsi="Cambria"/>
          <w:sz w:val="20"/>
          <w:szCs w:val="20"/>
          <w:bdr w:val="none" w:sz="0" w:space="0" w:color="auto"/>
          <w:vertAlign w:val="superscript"/>
        </w:rPr>
        <w:footnoteReference w:id="156"/>
      </w:r>
      <w:r w:rsidRPr="00CA2CB4">
        <w:rPr>
          <w:rFonts w:ascii="Cambria" w:eastAsia="MS Mincho" w:hAnsi="Cambria"/>
          <w:sz w:val="20"/>
          <w:szCs w:val="20"/>
          <w:bdr w:val="none" w:sz="0" w:space="0" w:color="auto"/>
          <w:lang w:val="es-CO"/>
        </w:rPr>
        <w:t>.</w:t>
      </w:r>
    </w:p>
    <w:p w:rsidR="005F4DC5" w:rsidRPr="009712EB" w:rsidRDefault="005F4DC5" w:rsidP="009712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i/>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Luisa Marcela Wilson</w:t>
      </w:r>
      <w:r w:rsidR="004C3025">
        <w:rPr>
          <w:rFonts w:ascii="Cambria" w:eastAsia="MS Mincho" w:hAnsi="Cambria"/>
          <w:i/>
          <w:sz w:val="20"/>
          <w:szCs w:val="20"/>
          <w:bdr w:val="none" w:sz="0" w:space="0" w:color="auto"/>
          <w:lang w:val="es-CO"/>
        </w:rPr>
        <w:t xml:space="preserve"> Harrow</w:t>
      </w:r>
      <w:r w:rsidRPr="009712EB">
        <w:rPr>
          <w:rFonts w:ascii="Cambria" w:eastAsia="MS Mincho" w:hAnsi="Cambria"/>
          <w:sz w:val="20"/>
          <w:szCs w:val="20"/>
          <w:bdr w:val="none" w:sz="0" w:space="0" w:color="auto"/>
          <w:lang w:val="es-CO"/>
        </w:rPr>
        <w:t xml:space="preserve"> identificada en el caso No. 69, era una mujer de 32 años de edad de nacionalidad panameña y residente de la Ciudad de Colón.</w:t>
      </w:r>
      <w:r w:rsidRPr="009712EB">
        <w:rPr>
          <w:rFonts w:ascii="Cambria" w:eastAsia="MS Mincho" w:hAnsi="Cambria"/>
          <w:sz w:val="20"/>
          <w:szCs w:val="20"/>
          <w:bdr w:val="none" w:sz="0" w:space="0" w:color="auto"/>
          <w:vertAlign w:val="superscript"/>
        </w:rPr>
        <w:footnoteReference w:id="157"/>
      </w:r>
      <w:r w:rsidRPr="009712EB">
        <w:rPr>
          <w:rFonts w:ascii="Cambria" w:eastAsia="MS Mincho" w:hAnsi="Cambria"/>
          <w:sz w:val="20"/>
          <w:szCs w:val="20"/>
          <w:bdr w:val="none" w:sz="0" w:space="0" w:color="auto"/>
          <w:lang w:val="es-CO"/>
        </w:rPr>
        <w:t xml:space="preserve"> Conforme a la declaración, el 20 de diciembre de 1989 alrededor de la 1.30 am Luisa Wilson acompañada de personas que no son identificadas, estaba </w:t>
      </w:r>
      <w:r w:rsidRPr="009712EB">
        <w:rPr>
          <w:rFonts w:ascii="Cambria" w:eastAsia="MS Mincho" w:hAnsi="Cambria"/>
          <w:sz w:val="20"/>
          <w:szCs w:val="20"/>
          <w:bdr w:val="none" w:sz="0" w:space="0" w:color="auto"/>
          <w:lang w:val="es-CO"/>
        </w:rPr>
        <w:lastRenderedPageBreak/>
        <w:t>buscando refugi</w:t>
      </w:r>
      <w:r w:rsidR="009101F9">
        <w:rPr>
          <w:rFonts w:ascii="Cambria" w:eastAsia="MS Mincho" w:hAnsi="Cambria"/>
          <w:sz w:val="20"/>
          <w:szCs w:val="20"/>
          <w:bdr w:val="none" w:sz="0" w:space="0" w:color="auto"/>
          <w:lang w:val="es-CO"/>
        </w:rPr>
        <w:t>o mientras manejaban un vehículo</w:t>
      </w:r>
      <w:r w:rsidRPr="009712EB">
        <w:rPr>
          <w:rFonts w:ascii="Cambria" w:eastAsia="MS Mincho" w:hAnsi="Cambria"/>
          <w:sz w:val="20"/>
          <w:szCs w:val="20"/>
          <w:bdr w:val="none" w:sz="0" w:space="0" w:color="auto"/>
          <w:vertAlign w:val="superscript"/>
        </w:rPr>
        <w:footnoteReference w:id="158"/>
      </w:r>
      <w:r w:rsidRPr="009712EB">
        <w:rPr>
          <w:rFonts w:ascii="Cambria" w:eastAsia="MS Mincho" w:hAnsi="Cambria"/>
          <w:sz w:val="20"/>
          <w:szCs w:val="20"/>
          <w:bdr w:val="none" w:sz="0" w:space="0" w:color="auto"/>
          <w:lang w:val="es-CO"/>
        </w:rPr>
        <w:t xml:space="preserve">. Cuando se encontraban en las cercanías del “Supermercado Rey” de la calle 16 de la Ciudad de Colón fueron detenidos en un punto de control por los soldados norteamericanos. Seguidamente, según declaración presentada, los soldados comenzaron a disparar, resultando </w:t>
      </w:r>
      <w:r w:rsidR="00C02D09">
        <w:rPr>
          <w:rFonts w:ascii="Cambria" w:eastAsia="MS Mincho" w:hAnsi="Cambria"/>
          <w:sz w:val="20"/>
          <w:szCs w:val="20"/>
          <w:bdr w:val="none" w:sz="0" w:space="0" w:color="auto"/>
          <w:lang w:val="es-CO"/>
        </w:rPr>
        <w:t xml:space="preserve">gravemente </w:t>
      </w:r>
      <w:r w:rsidRPr="009712EB">
        <w:rPr>
          <w:rFonts w:ascii="Cambria" w:eastAsia="MS Mincho" w:hAnsi="Cambria"/>
          <w:sz w:val="20"/>
          <w:szCs w:val="20"/>
          <w:bdr w:val="none" w:sz="0" w:space="0" w:color="auto"/>
          <w:lang w:val="es-CO"/>
        </w:rPr>
        <w:t>herida la señora Luisa Wilson</w:t>
      </w:r>
      <w:r w:rsidRPr="009712EB">
        <w:rPr>
          <w:rFonts w:ascii="Cambria" w:eastAsia="MS Mincho" w:hAnsi="Cambria"/>
          <w:sz w:val="20"/>
          <w:szCs w:val="20"/>
          <w:bdr w:val="none" w:sz="0" w:space="0" w:color="auto"/>
          <w:vertAlign w:val="superscript"/>
        </w:rPr>
        <w:footnoteReference w:id="159"/>
      </w:r>
      <w:r w:rsidR="004C4A1D">
        <w:rPr>
          <w:rFonts w:ascii="Cambria" w:eastAsia="MS Mincho" w:hAnsi="Cambria"/>
          <w:sz w:val="20"/>
          <w:szCs w:val="20"/>
          <w:bdr w:val="none" w:sz="0" w:space="0" w:color="auto"/>
          <w:lang w:val="es-CO"/>
        </w:rPr>
        <w:t xml:space="preserve">. </w:t>
      </w:r>
      <w:r w:rsidRPr="009712EB">
        <w:rPr>
          <w:rFonts w:ascii="Cambria" w:eastAsia="MS Mincho" w:hAnsi="Cambria"/>
          <w:sz w:val="20"/>
          <w:szCs w:val="20"/>
          <w:bdr w:val="none" w:sz="0" w:space="0" w:color="auto"/>
          <w:lang w:val="es-CO"/>
        </w:rPr>
        <w:t>De acuerdo con su certificado de defunción, murió a causa de “herida por un arma de fuego en el cráneo y pérdida de substancia cerebral”</w:t>
      </w:r>
      <w:r w:rsidRPr="009712EB">
        <w:rPr>
          <w:rFonts w:ascii="Cambria" w:eastAsia="MS Mincho" w:hAnsi="Cambria"/>
          <w:sz w:val="20"/>
          <w:szCs w:val="20"/>
          <w:bdr w:val="none" w:sz="0" w:space="0" w:color="auto"/>
          <w:vertAlign w:val="superscript"/>
        </w:rPr>
        <w:footnoteReference w:id="160"/>
      </w:r>
      <w:r w:rsidRPr="009712EB">
        <w:rPr>
          <w:rFonts w:ascii="Cambria" w:eastAsia="MS Mincho" w:hAnsi="Cambria"/>
          <w:sz w:val="20"/>
          <w:szCs w:val="20"/>
          <w:bdr w:val="none" w:sz="0" w:space="0" w:color="auto"/>
          <w:lang w:val="es-CO"/>
        </w:rPr>
        <w:t xml:space="preserve">. </w:t>
      </w:r>
    </w:p>
    <w:p w:rsidR="005F4DC5" w:rsidRPr="009712EB" w:rsidRDefault="005F4DC5" w:rsidP="00CA2CB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Alcides Guillermo Mena Sanjur</w:t>
      </w:r>
      <w:r w:rsidRPr="009712EB">
        <w:rPr>
          <w:rFonts w:ascii="Cambria" w:eastAsia="MS Mincho" w:hAnsi="Cambria"/>
          <w:sz w:val="20"/>
          <w:szCs w:val="20"/>
          <w:bdr w:val="none" w:sz="0" w:space="0" w:color="auto"/>
          <w:lang w:val="es-CO"/>
        </w:rPr>
        <w:t xml:space="preserve"> identificado </w:t>
      </w:r>
      <w:r w:rsidR="00C02D09">
        <w:rPr>
          <w:rFonts w:ascii="Cambria" w:eastAsia="MS Mincho" w:hAnsi="Cambria"/>
          <w:sz w:val="20"/>
          <w:szCs w:val="20"/>
          <w:bdr w:val="none" w:sz="0" w:space="0" w:color="auto"/>
          <w:lang w:val="es-CO"/>
        </w:rPr>
        <w:t>en</w:t>
      </w:r>
      <w:r w:rsidRPr="009712EB">
        <w:rPr>
          <w:rFonts w:ascii="Cambria" w:eastAsia="MS Mincho" w:hAnsi="Cambria"/>
          <w:sz w:val="20"/>
          <w:szCs w:val="20"/>
          <w:bdr w:val="none" w:sz="0" w:space="0" w:color="auto"/>
          <w:lang w:val="es-CO"/>
        </w:rPr>
        <w:t xml:space="preserve"> el caso No. 75, era un hombre de 25 años de edad de nacionalidad panameña</w:t>
      </w:r>
      <w:r w:rsidRPr="009712EB">
        <w:rPr>
          <w:rFonts w:ascii="Cambria" w:eastAsia="MS Mincho" w:hAnsi="Cambria"/>
          <w:sz w:val="20"/>
          <w:szCs w:val="20"/>
          <w:bdr w:val="none" w:sz="0" w:space="0" w:color="auto"/>
          <w:vertAlign w:val="superscript"/>
        </w:rPr>
        <w:footnoteReference w:id="161"/>
      </w:r>
      <w:r w:rsidRPr="009712EB">
        <w:rPr>
          <w:rFonts w:ascii="Cambria" w:eastAsia="MS Mincho" w:hAnsi="Cambria"/>
          <w:sz w:val="20"/>
          <w:szCs w:val="20"/>
          <w:bdr w:val="none" w:sz="0" w:space="0" w:color="auto"/>
          <w:lang w:val="es-CO"/>
        </w:rPr>
        <w:t>. Conforme a relato presentado, el 25 de diciembre de 1989 alrededor de las 5.30 pm estaba manejando en su taxi a una pareja con un bebé. En el camino hacia una farmacia tuvo que detener el vehículo frente a un retén de control ubicado en la Justo Arosemena, luego de lo cual, según información presentada, los soldados estadounidenses comenzaron a disparar hasta que la señora Efigenia Alicia Algaredona de Olivares sacó un pañal por la ventana</w:t>
      </w:r>
      <w:r w:rsidRPr="009712EB">
        <w:rPr>
          <w:rFonts w:ascii="Cambria" w:eastAsia="MS Mincho" w:hAnsi="Cambria"/>
          <w:sz w:val="20"/>
          <w:szCs w:val="20"/>
          <w:bdr w:val="none" w:sz="0" w:space="0" w:color="auto"/>
          <w:vertAlign w:val="superscript"/>
        </w:rPr>
        <w:footnoteReference w:id="162"/>
      </w:r>
      <w:r w:rsidRPr="009712EB">
        <w:rPr>
          <w:rFonts w:ascii="Cambria" w:eastAsia="MS Mincho" w:hAnsi="Cambria"/>
          <w:sz w:val="20"/>
          <w:szCs w:val="20"/>
          <w:bdr w:val="none" w:sz="0" w:space="0" w:color="auto"/>
          <w:lang w:val="es-CO"/>
        </w:rPr>
        <w:t>. Como consecuencia de los disparos, el Sr. Alcides Mena y el pasaj</w:t>
      </w:r>
      <w:r w:rsidR="003E54A1">
        <w:rPr>
          <w:rFonts w:ascii="Cambria" w:eastAsia="MS Mincho" w:hAnsi="Cambria"/>
          <w:sz w:val="20"/>
          <w:szCs w:val="20"/>
          <w:bdr w:val="none" w:sz="0" w:space="0" w:color="auto"/>
          <w:lang w:val="es-CO"/>
        </w:rPr>
        <w:t xml:space="preserve">ero el Sr. Olivares fallecieron, </w:t>
      </w:r>
      <w:r w:rsidRPr="009712EB">
        <w:rPr>
          <w:rFonts w:ascii="Cambria" w:eastAsia="MS Mincho" w:hAnsi="Cambria"/>
          <w:sz w:val="20"/>
          <w:szCs w:val="20"/>
          <w:bdr w:val="none" w:sz="0" w:space="0" w:color="auto"/>
          <w:lang w:val="es-CO"/>
        </w:rPr>
        <w:t xml:space="preserve">mientras </w:t>
      </w:r>
      <w:r w:rsidR="003E54A1">
        <w:rPr>
          <w:rFonts w:ascii="Cambria" w:eastAsia="MS Mincho" w:hAnsi="Cambria"/>
          <w:sz w:val="20"/>
          <w:szCs w:val="20"/>
          <w:bdr w:val="none" w:sz="0" w:space="0" w:color="auto"/>
          <w:lang w:val="es-CO"/>
        </w:rPr>
        <w:t xml:space="preserve">que </w:t>
      </w:r>
      <w:r w:rsidRPr="009712EB">
        <w:rPr>
          <w:rFonts w:ascii="Cambria" w:eastAsia="MS Mincho" w:hAnsi="Cambria"/>
          <w:sz w:val="20"/>
          <w:szCs w:val="20"/>
          <w:bdr w:val="none" w:sz="0" w:space="0" w:color="auto"/>
          <w:lang w:val="es-CO"/>
        </w:rPr>
        <w:t xml:space="preserve">la </w:t>
      </w:r>
      <w:r w:rsidR="003E54A1">
        <w:rPr>
          <w:rFonts w:ascii="Cambria" w:eastAsia="MS Mincho" w:hAnsi="Cambria"/>
          <w:sz w:val="20"/>
          <w:szCs w:val="20"/>
          <w:bdr w:val="none" w:sz="0" w:space="0" w:color="auto"/>
          <w:lang w:val="es-CO"/>
        </w:rPr>
        <w:t xml:space="preserve">mujer </w:t>
      </w:r>
      <w:r w:rsidRPr="009712EB">
        <w:rPr>
          <w:rFonts w:ascii="Cambria" w:eastAsia="MS Mincho" w:hAnsi="Cambria"/>
          <w:sz w:val="20"/>
          <w:szCs w:val="20"/>
          <w:bdr w:val="none" w:sz="0" w:space="0" w:color="auto"/>
          <w:lang w:val="es-CO"/>
        </w:rPr>
        <w:t>y el b</w:t>
      </w:r>
      <w:r w:rsidR="009101F9">
        <w:rPr>
          <w:rFonts w:ascii="Cambria" w:eastAsia="MS Mincho" w:hAnsi="Cambria"/>
          <w:sz w:val="20"/>
          <w:szCs w:val="20"/>
          <w:bdr w:val="none" w:sz="0" w:space="0" w:color="auto"/>
          <w:lang w:val="es-CO"/>
        </w:rPr>
        <w:t>ebé no sufrieron ninguna herida</w:t>
      </w:r>
      <w:r w:rsidRPr="009712EB">
        <w:rPr>
          <w:rFonts w:ascii="Cambria" w:eastAsia="MS Mincho" w:hAnsi="Cambria"/>
          <w:sz w:val="20"/>
          <w:szCs w:val="20"/>
          <w:bdr w:val="none" w:sz="0" w:space="0" w:color="auto"/>
          <w:vertAlign w:val="superscript"/>
        </w:rPr>
        <w:footnoteReference w:id="163"/>
      </w:r>
      <w:r w:rsidR="009101F9" w:rsidRPr="00713E68">
        <w:rPr>
          <w:rFonts w:ascii="Cambria" w:eastAsia="MS Mincho" w:hAnsi="Cambria"/>
          <w:sz w:val="20"/>
          <w:szCs w:val="20"/>
          <w:bdr w:val="none" w:sz="0" w:space="0" w:color="auto"/>
          <w:lang w:val="es-ES"/>
        </w:rPr>
        <w:t>.</w:t>
      </w:r>
      <w:r w:rsidRPr="009712EB">
        <w:rPr>
          <w:rFonts w:ascii="Cambria" w:eastAsia="MS Mincho" w:hAnsi="Cambria"/>
          <w:sz w:val="20"/>
          <w:szCs w:val="20"/>
          <w:bdr w:val="none" w:sz="0" w:space="0" w:color="auto"/>
          <w:lang w:val="es-CO"/>
        </w:rPr>
        <w:t xml:space="preserve"> Según certificado de defunción presentado, </w:t>
      </w:r>
      <w:r w:rsidR="003E54A1">
        <w:rPr>
          <w:rFonts w:ascii="Cambria" w:eastAsia="MS Mincho" w:hAnsi="Cambria"/>
          <w:sz w:val="20"/>
          <w:szCs w:val="20"/>
          <w:bdr w:val="none" w:sz="0" w:space="0" w:color="auto"/>
          <w:lang w:val="es-CO"/>
        </w:rPr>
        <w:t xml:space="preserve">el Sr. Mena </w:t>
      </w:r>
      <w:r w:rsidRPr="009712EB">
        <w:rPr>
          <w:rFonts w:ascii="Cambria" w:eastAsia="MS Mincho" w:hAnsi="Cambria"/>
          <w:sz w:val="20"/>
          <w:szCs w:val="20"/>
          <w:bdr w:val="none" w:sz="0" w:space="0" w:color="auto"/>
          <w:lang w:val="es-CO"/>
        </w:rPr>
        <w:t>murió debido a “una herida por proyectil de arma de fuego penetrante al tórax”</w:t>
      </w:r>
      <w:r w:rsidRPr="009712EB">
        <w:rPr>
          <w:rFonts w:ascii="Cambria" w:eastAsia="MS Mincho" w:hAnsi="Cambria"/>
          <w:sz w:val="20"/>
          <w:szCs w:val="20"/>
          <w:bdr w:val="none" w:sz="0" w:space="0" w:color="auto"/>
          <w:vertAlign w:val="superscript"/>
        </w:rPr>
        <w:footnoteReference w:id="164"/>
      </w:r>
      <w:r w:rsidRPr="009712EB">
        <w:rPr>
          <w:rFonts w:ascii="Cambria" w:eastAsia="MS Mincho" w:hAnsi="Cambria"/>
          <w:sz w:val="20"/>
          <w:szCs w:val="20"/>
          <w:bdr w:val="none" w:sz="0" w:space="0" w:color="auto"/>
          <w:lang w:val="es-CO"/>
        </w:rPr>
        <w:t>.</w:t>
      </w:r>
    </w:p>
    <w:p w:rsidR="005F4DC5" w:rsidRPr="009712EB" w:rsidRDefault="005F4DC5" w:rsidP="00CA2CB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Reinaldo Arístides Medina Iglesias</w:t>
      </w:r>
      <w:r w:rsidRPr="009712EB">
        <w:rPr>
          <w:rFonts w:ascii="Cambria" w:eastAsia="MS Mincho" w:hAnsi="Cambria"/>
          <w:sz w:val="20"/>
          <w:szCs w:val="20"/>
          <w:bdr w:val="none" w:sz="0" w:space="0" w:color="auto"/>
          <w:lang w:val="es-CO"/>
        </w:rPr>
        <w:t xml:space="preserve"> identificado </w:t>
      </w:r>
      <w:r w:rsidR="00C02D09">
        <w:rPr>
          <w:rFonts w:ascii="Cambria" w:eastAsia="MS Mincho" w:hAnsi="Cambria"/>
          <w:sz w:val="20"/>
          <w:szCs w:val="20"/>
          <w:bdr w:val="none" w:sz="0" w:space="0" w:color="auto"/>
          <w:lang w:val="es-CO"/>
        </w:rPr>
        <w:t>en</w:t>
      </w:r>
      <w:r w:rsidRPr="009712EB">
        <w:rPr>
          <w:rFonts w:ascii="Cambria" w:eastAsia="MS Mincho" w:hAnsi="Cambria"/>
          <w:sz w:val="20"/>
          <w:szCs w:val="20"/>
          <w:bdr w:val="none" w:sz="0" w:space="0" w:color="auto"/>
          <w:lang w:val="es-CO"/>
        </w:rPr>
        <w:t xml:space="preserve"> el caso No. 76, era un hombre de 31 años de nacionalidad panameña</w:t>
      </w:r>
      <w:r w:rsidRPr="009712EB">
        <w:rPr>
          <w:rFonts w:ascii="Cambria" w:eastAsia="MS Mincho" w:hAnsi="Cambria"/>
          <w:sz w:val="20"/>
          <w:szCs w:val="20"/>
          <w:bdr w:val="none" w:sz="0" w:space="0" w:color="auto"/>
          <w:vertAlign w:val="superscript"/>
        </w:rPr>
        <w:footnoteReference w:id="165"/>
      </w:r>
      <w:r w:rsidR="009101F9">
        <w:rPr>
          <w:rFonts w:ascii="Cambria" w:eastAsia="MS Mincho" w:hAnsi="Cambria"/>
          <w:sz w:val="20"/>
          <w:szCs w:val="20"/>
          <w:bdr w:val="none" w:sz="0" w:space="0" w:color="auto"/>
          <w:lang w:val="es-CO"/>
        </w:rPr>
        <w:t>.</w:t>
      </w:r>
      <w:r w:rsidRPr="009712EB">
        <w:rPr>
          <w:rFonts w:ascii="Cambria" w:eastAsia="MS Mincho" w:hAnsi="Cambria"/>
          <w:sz w:val="20"/>
          <w:szCs w:val="20"/>
          <w:bdr w:val="none" w:sz="0" w:space="0" w:color="auto"/>
          <w:lang w:val="es-CO"/>
        </w:rPr>
        <w:t xml:space="preserve"> De acuerdo con</w:t>
      </w:r>
      <w:r w:rsidR="003E54A1">
        <w:rPr>
          <w:rFonts w:ascii="Cambria" w:eastAsia="MS Mincho" w:hAnsi="Cambria"/>
          <w:sz w:val="20"/>
          <w:szCs w:val="20"/>
          <w:bdr w:val="none" w:sz="0" w:space="0" w:color="auto"/>
          <w:lang w:val="es-CO"/>
        </w:rPr>
        <w:t xml:space="preserve"> el relato presentado</w:t>
      </w:r>
      <w:r w:rsidRPr="009712EB">
        <w:rPr>
          <w:rFonts w:ascii="Cambria" w:eastAsia="MS Mincho" w:hAnsi="Cambria"/>
          <w:sz w:val="20"/>
          <w:szCs w:val="20"/>
          <w:bdr w:val="none" w:sz="0" w:space="0" w:color="auto"/>
          <w:lang w:val="es-CO"/>
        </w:rPr>
        <w:t>, el 20 de diciembre de 1989 viajaba en bus hacia La Chorrera cuando el vehículo fue objeto de disparos en Albrook</w:t>
      </w:r>
      <w:r w:rsidRPr="009712EB">
        <w:rPr>
          <w:rFonts w:ascii="Cambria" w:eastAsia="MS Mincho" w:hAnsi="Cambria"/>
          <w:sz w:val="20"/>
          <w:szCs w:val="20"/>
          <w:bdr w:val="none" w:sz="0" w:space="0" w:color="auto"/>
          <w:vertAlign w:val="superscript"/>
        </w:rPr>
        <w:footnoteReference w:id="166"/>
      </w:r>
      <w:r w:rsidRPr="009712EB">
        <w:rPr>
          <w:rFonts w:ascii="Cambria" w:eastAsia="MS Mincho" w:hAnsi="Cambria"/>
          <w:sz w:val="20"/>
          <w:szCs w:val="20"/>
          <w:bdr w:val="none" w:sz="0" w:space="0" w:color="auto"/>
          <w:lang w:val="es-CO"/>
        </w:rPr>
        <w:t>. Como resultado de este hecho, el Sr. Reinaldo Medina y otras personas fallecieron. De documentos presentados, se verifica que fue enterrado en fosa común de Jardín de Paz</w:t>
      </w:r>
      <w:r w:rsidR="003E54A1">
        <w:rPr>
          <w:rFonts w:ascii="Cambria" w:eastAsia="MS Mincho" w:hAnsi="Cambria"/>
          <w:sz w:val="20"/>
          <w:szCs w:val="20"/>
          <w:bdr w:val="none" w:sz="0" w:space="0" w:color="auto"/>
          <w:lang w:val="es-CO"/>
        </w:rPr>
        <w:t>, habiendo fallecido como consecuencia</w:t>
      </w:r>
      <w:r w:rsidRPr="009712EB">
        <w:rPr>
          <w:rFonts w:ascii="Cambria" w:eastAsia="MS Mincho" w:hAnsi="Cambria"/>
          <w:sz w:val="20"/>
          <w:szCs w:val="20"/>
          <w:bdr w:val="none" w:sz="0" w:space="0" w:color="auto"/>
          <w:lang w:val="es-CO"/>
        </w:rPr>
        <w:t xml:space="preserve"> de una herida por proyectil de arma de fuego.</w:t>
      </w:r>
      <w:r w:rsidRPr="009712EB">
        <w:rPr>
          <w:rFonts w:ascii="Cambria" w:eastAsia="MS Mincho" w:hAnsi="Cambria"/>
          <w:sz w:val="20"/>
          <w:szCs w:val="20"/>
          <w:bdr w:val="none" w:sz="0" w:space="0" w:color="auto"/>
          <w:vertAlign w:val="superscript"/>
        </w:rPr>
        <w:footnoteReference w:id="167"/>
      </w:r>
    </w:p>
    <w:p w:rsidR="005F4DC5" w:rsidRPr="009712EB" w:rsidRDefault="005F4DC5" w:rsidP="009712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sz w:val="20"/>
          <w:szCs w:val="20"/>
          <w:bdr w:val="none" w:sz="0" w:space="0" w:color="auto"/>
          <w:lang w:val="es-CO"/>
        </w:rPr>
        <w:t xml:space="preserve">En circunstancias similares a las descritas en el párrafo anterior, se presenta el caso de </w:t>
      </w:r>
      <w:r w:rsidRPr="009712EB">
        <w:rPr>
          <w:rFonts w:ascii="Cambria" w:eastAsia="MS Mincho" w:hAnsi="Cambria"/>
          <w:i/>
          <w:sz w:val="20"/>
          <w:szCs w:val="20"/>
          <w:bdr w:val="none" w:sz="0" w:space="0" w:color="auto"/>
          <w:lang w:val="es-CO"/>
        </w:rPr>
        <w:t xml:space="preserve">Pablo Emilio Jaén Peralta </w:t>
      </w:r>
      <w:r w:rsidRPr="009712EB">
        <w:rPr>
          <w:rFonts w:ascii="Cambria" w:eastAsia="MS Mincho" w:hAnsi="Cambria"/>
          <w:sz w:val="20"/>
          <w:szCs w:val="20"/>
          <w:bdr w:val="none" w:sz="0" w:space="0" w:color="auto"/>
          <w:lang w:val="es-CO"/>
        </w:rPr>
        <w:t>identificado en el caso No. 100, quien era un hombre de 64 años de nacionalidad panameña</w:t>
      </w:r>
      <w:r w:rsidRPr="009712EB">
        <w:rPr>
          <w:rFonts w:ascii="Cambria" w:eastAsia="MS Mincho" w:hAnsi="Cambria"/>
          <w:sz w:val="20"/>
          <w:szCs w:val="20"/>
          <w:bdr w:val="none" w:sz="0" w:space="0" w:color="auto"/>
          <w:vertAlign w:val="superscript"/>
        </w:rPr>
        <w:footnoteReference w:id="168"/>
      </w:r>
      <w:r w:rsidRPr="009712EB">
        <w:rPr>
          <w:rFonts w:ascii="Cambria" w:eastAsia="MS Mincho" w:hAnsi="Cambria"/>
          <w:sz w:val="20"/>
          <w:szCs w:val="20"/>
          <w:bdr w:val="none" w:sz="0" w:space="0" w:color="auto"/>
          <w:lang w:val="es-CO"/>
        </w:rPr>
        <w:t>. Conforme al expediente, el 20 de diciembre de 1989 también viajaba en bus en la ruta Ciudad de Panamá -La Chorrera cuando el vehículo fue “ametrallado por tropas estadounidense” en la zona de Albrook</w:t>
      </w:r>
      <w:r w:rsidRPr="009712EB">
        <w:rPr>
          <w:rFonts w:ascii="Cambria" w:eastAsia="MS Mincho" w:hAnsi="Cambria"/>
          <w:sz w:val="20"/>
          <w:szCs w:val="20"/>
          <w:bdr w:val="none" w:sz="0" w:space="0" w:color="auto"/>
          <w:vertAlign w:val="superscript"/>
        </w:rPr>
        <w:footnoteReference w:id="169"/>
      </w:r>
      <w:r w:rsidRPr="009712EB">
        <w:rPr>
          <w:rFonts w:ascii="Cambria" w:eastAsia="MS Mincho" w:hAnsi="Cambria"/>
          <w:sz w:val="20"/>
          <w:szCs w:val="20"/>
          <w:bdr w:val="none" w:sz="0" w:space="0" w:color="auto"/>
          <w:lang w:val="es-CO"/>
        </w:rPr>
        <w:t xml:space="preserve">. Igualmente, sus restos fueron encontrados en la fosa común </w:t>
      </w:r>
      <w:r w:rsidR="003E54A1">
        <w:rPr>
          <w:rFonts w:ascii="Cambria" w:eastAsia="MS Mincho" w:hAnsi="Cambria"/>
          <w:sz w:val="20"/>
          <w:szCs w:val="20"/>
          <w:bdr w:val="none" w:sz="0" w:space="0" w:color="auto"/>
          <w:lang w:val="es-CO"/>
        </w:rPr>
        <w:t xml:space="preserve">de </w:t>
      </w:r>
      <w:r w:rsidRPr="009712EB">
        <w:rPr>
          <w:rFonts w:ascii="Cambria" w:eastAsia="MS Mincho" w:hAnsi="Cambria"/>
          <w:sz w:val="20"/>
          <w:szCs w:val="20"/>
          <w:bdr w:val="none" w:sz="0" w:space="0" w:color="auto"/>
          <w:lang w:val="es-CO"/>
        </w:rPr>
        <w:t>Jardín de Paz con una herida por proyectil de arma de fuego</w:t>
      </w:r>
      <w:r w:rsidRPr="009712EB">
        <w:rPr>
          <w:rFonts w:ascii="Cambria" w:eastAsia="MS Mincho" w:hAnsi="Cambria"/>
          <w:sz w:val="20"/>
          <w:szCs w:val="20"/>
          <w:bdr w:val="none" w:sz="0" w:space="0" w:color="auto"/>
          <w:vertAlign w:val="superscript"/>
        </w:rPr>
        <w:footnoteReference w:id="170"/>
      </w:r>
      <w:r w:rsidRPr="009712EB">
        <w:rPr>
          <w:rFonts w:ascii="Cambria" w:eastAsia="MS Mincho" w:hAnsi="Cambria"/>
          <w:sz w:val="20"/>
          <w:szCs w:val="20"/>
          <w:bdr w:val="none" w:sz="0" w:space="0" w:color="auto"/>
          <w:lang w:val="es-CO"/>
        </w:rPr>
        <w:t>.</w:t>
      </w:r>
    </w:p>
    <w:p w:rsidR="005F4DC5" w:rsidRPr="009712EB" w:rsidRDefault="005F4DC5" w:rsidP="00CA2CB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José de los Santos Espinosa Rivera</w:t>
      </w:r>
      <w:r w:rsidRPr="009712EB">
        <w:rPr>
          <w:rFonts w:ascii="Cambria" w:eastAsia="MS Mincho" w:hAnsi="Cambria"/>
          <w:sz w:val="20"/>
          <w:szCs w:val="20"/>
          <w:bdr w:val="none" w:sz="0" w:space="0" w:color="auto"/>
          <w:lang w:val="es-CO"/>
        </w:rPr>
        <w:t xml:space="preserve"> identificado </w:t>
      </w:r>
      <w:r w:rsidR="003E54A1">
        <w:rPr>
          <w:rFonts w:ascii="Cambria" w:eastAsia="MS Mincho" w:hAnsi="Cambria"/>
          <w:sz w:val="20"/>
          <w:szCs w:val="20"/>
          <w:bdr w:val="none" w:sz="0" w:space="0" w:color="auto"/>
          <w:lang w:val="es-CO"/>
        </w:rPr>
        <w:t>en</w:t>
      </w:r>
      <w:r w:rsidRPr="009712EB">
        <w:rPr>
          <w:rFonts w:ascii="Cambria" w:eastAsia="MS Mincho" w:hAnsi="Cambria"/>
          <w:sz w:val="20"/>
          <w:szCs w:val="20"/>
          <w:bdr w:val="none" w:sz="0" w:space="0" w:color="auto"/>
          <w:lang w:val="es-CO"/>
        </w:rPr>
        <w:t xml:space="preserve"> el caso No. 101, era un panameño de 30 años de edad que trabajaba como agente de tráfico internacional</w:t>
      </w:r>
      <w:r w:rsidRPr="009712EB">
        <w:rPr>
          <w:rFonts w:ascii="Cambria" w:eastAsia="MS Mincho" w:hAnsi="Cambria"/>
          <w:sz w:val="20"/>
          <w:szCs w:val="20"/>
          <w:bdr w:val="none" w:sz="0" w:space="0" w:color="auto"/>
          <w:vertAlign w:val="superscript"/>
        </w:rPr>
        <w:footnoteReference w:id="171"/>
      </w:r>
      <w:r w:rsidRPr="009712EB">
        <w:rPr>
          <w:rFonts w:ascii="Cambria" w:eastAsia="MS Mincho" w:hAnsi="Cambria"/>
          <w:sz w:val="20"/>
          <w:szCs w:val="20"/>
          <w:bdr w:val="none" w:sz="0" w:space="0" w:color="auto"/>
          <w:lang w:val="es-CO"/>
        </w:rPr>
        <w:t xml:space="preserve">. Conforme a la declaración presentada, el 20 de </w:t>
      </w:r>
      <w:r w:rsidRPr="009712EB">
        <w:rPr>
          <w:rFonts w:ascii="Cambria" w:eastAsia="MS Mincho" w:hAnsi="Cambria"/>
          <w:sz w:val="20"/>
          <w:szCs w:val="20"/>
          <w:bdr w:val="none" w:sz="0" w:space="0" w:color="auto"/>
          <w:lang w:val="es-CO"/>
        </w:rPr>
        <w:lastRenderedPageBreak/>
        <w:t>diciembre de 1989 se encontraba viajando en un vehículo de</w:t>
      </w:r>
      <w:r w:rsidR="003E54A1">
        <w:rPr>
          <w:rFonts w:ascii="Cambria" w:eastAsia="MS Mincho" w:hAnsi="Cambria"/>
          <w:sz w:val="20"/>
          <w:szCs w:val="20"/>
          <w:bdr w:val="none" w:sz="0" w:space="0" w:color="auto"/>
          <w:lang w:val="es-CO"/>
        </w:rPr>
        <w:t xml:space="preserve"> propiedad del</w:t>
      </w:r>
      <w:r w:rsidRPr="009712EB">
        <w:rPr>
          <w:rFonts w:ascii="Cambria" w:eastAsia="MS Mincho" w:hAnsi="Cambria"/>
          <w:sz w:val="20"/>
          <w:szCs w:val="20"/>
          <w:bdr w:val="none" w:sz="0" w:space="0" w:color="auto"/>
          <w:lang w:val="es-CO"/>
        </w:rPr>
        <w:t xml:space="preserve"> Instituto de Recursos Hidráulicos y Electrificación (en adelante “IRHE”) por la autopista de Chorrera, cuando “al toparse con soldados norteame</w:t>
      </w:r>
      <w:r w:rsidRPr="00CD49F1">
        <w:rPr>
          <w:rFonts w:ascii="Cambria" w:eastAsia="MS Mincho" w:hAnsi="Cambria"/>
          <w:sz w:val="20"/>
          <w:szCs w:val="20"/>
          <w:bdr w:val="none" w:sz="0" w:space="0" w:color="auto"/>
          <w:lang w:val="es-CO"/>
        </w:rPr>
        <w:t>ricanos”</w:t>
      </w:r>
      <w:r w:rsidRPr="00CD49F1">
        <w:rPr>
          <w:rFonts w:ascii="Cambria" w:eastAsia="MS Mincho" w:hAnsi="Cambria"/>
          <w:sz w:val="20"/>
          <w:szCs w:val="20"/>
          <w:bdr w:val="none" w:sz="0" w:space="0" w:color="auto"/>
          <w:vertAlign w:val="superscript"/>
        </w:rPr>
        <w:footnoteReference w:id="172"/>
      </w:r>
      <w:r w:rsidR="00E04515" w:rsidRPr="00CD49F1">
        <w:rPr>
          <w:rFonts w:ascii="Cambria" w:eastAsia="MS Mincho" w:hAnsi="Cambria"/>
          <w:sz w:val="20"/>
          <w:szCs w:val="20"/>
          <w:bdr w:val="none" w:sz="0" w:space="0" w:color="auto"/>
          <w:lang w:val="es-CO"/>
        </w:rPr>
        <w:t xml:space="preserve"> </w:t>
      </w:r>
      <w:r w:rsidRPr="00CD49F1">
        <w:rPr>
          <w:rFonts w:ascii="Cambria" w:eastAsia="MS Mincho" w:hAnsi="Cambria"/>
          <w:sz w:val="20"/>
          <w:szCs w:val="20"/>
          <w:bdr w:val="none" w:sz="0" w:space="0" w:color="auto"/>
          <w:lang w:val="es-CO"/>
        </w:rPr>
        <w:t>el</w:t>
      </w:r>
      <w:r w:rsidR="00E04515" w:rsidRPr="00CD49F1">
        <w:rPr>
          <w:rFonts w:ascii="Cambria" w:eastAsia="MS Mincho" w:hAnsi="Cambria"/>
          <w:sz w:val="20"/>
          <w:szCs w:val="20"/>
          <w:bdr w:val="none" w:sz="0" w:space="0" w:color="auto"/>
          <w:lang w:val="es-CO"/>
        </w:rPr>
        <w:t xml:space="preserve"> </w:t>
      </w:r>
      <w:r w:rsidRPr="00CD49F1">
        <w:rPr>
          <w:rFonts w:ascii="Cambria" w:eastAsia="MS Mincho" w:hAnsi="Cambria"/>
          <w:sz w:val="20"/>
          <w:szCs w:val="20"/>
          <w:bdr w:val="none" w:sz="0" w:space="0" w:color="auto"/>
          <w:lang w:val="es-CO"/>
        </w:rPr>
        <w:t>conductor puso “en marcha retroceso y fueron brutalmente atacados por los soldados”</w:t>
      </w:r>
      <w:r w:rsidRPr="00CD49F1">
        <w:rPr>
          <w:rFonts w:ascii="Cambria" w:eastAsia="MS Mincho" w:hAnsi="Cambria"/>
          <w:sz w:val="20"/>
          <w:szCs w:val="20"/>
          <w:bdr w:val="none" w:sz="0" w:space="0" w:color="auto"/>
          <w:vertAlign w:val="superscript"/>
        </w:rPr>
        <w:footnoteReference w:id="173"/>
      </w:r>
      <w:r w:rsidRPr="00CD49F1">
        <w:rPr>
          <w:rFonts w:ascii="Cambria" w:eastAsia="MS Mincho" w:hAnsi="Cambria"/>
          <w:sz w:val="20"/>
          <w:szCs w:val="20"/>
          <w:bdr w:val="none" w:sz="0" w:space="0" w:color="auto"/>
          <w:lang w:val="es-CO"/>
        </w:rPr>
        <w:t>.</w:t>
      </w:r>
      <w:r w:rsidR="00046A69" w:rsidRPr="00CD49F1">
        <w:rPr>
          <w:rFonts w:ascii="Cambria" w:eastAsia="MS Mincho" w:hAnsi="Cambria"/>
          <w:sz w:val="20"/>
          <w:szCs w:val="20"/>
          <w:bdr w:val="none" w:sz="0" w:space="0" w:color="auto"/>
          <w:lang w:val="es-CO"/>
        </w:rPr>
        <w:t xml:space="preserve"> </w:t>
      </w:r>
      <w:r w:rsidR="00612DD3" w:rsidRPr="00CD49F1">
        <w:rPr>
          <w:rFonts w:ascii="Cambria" w:eastAsia="MS Mincho" w:hAnsi="Cambria"/>
          <w:sz w:val="20"/>
          <w:szCs w:val="20"/>
          <w:bdr w:val="none" w:sz="0" w:space="0" w:color="auto"/>
          <w:lang w:val="es-CO"/>
        </w:rPr>
        <w:t>Según certificado de defunción presentado, murió de un “shock traumático hemorrágico por heridas de proyectil de arma de fuego” en la Chorrera el 20 de diciembre de 1989</w:t>
      </w:r>
      <w:r w:rsidR="00612DD3" w:rsidRPr="00CD49F1">
        <w:rPr>
          <w:rStyle w:val="FootnoteReference"/>
          <w:rFonts w:ascii="Cambria" w:eastAsia="MS Mincho" w:hAnsi="Cambria"/>
          <w:sz w:val="20"/>
          <w:szCs w:val="20"/>
          <w:bdr w:val="none" w:sz="0" w:space="0" w:color="auto"/>
          <w:lang w:val="es-CO"/>
        </w:rPr>
        <w:footnoteReference w:id="174"/>
      </w:r>
      <w:r w:rsidR="00612DD3" w:rsidRPr="00CD49F1">
        <w:rPr>
          <w:rFonts w:ascii="Cambria" w:eastAsia="MS Mincho" w:hAnsi="Cambria"/>
          <w:sz w:val="20"/>
          <w:szCs w:val="20"/>
          <w:bdr w:val="none" w:sz="0" w:space="0" w:color="auto"/>
          <w:lang w:val="es-CO"/>
        </w:rPr>
        <w:t>.</w:t>
      </w:r>
    </w:p>
    <w:p w:rsidR="005F4DC5" w:rsidRPr="009712EB" w:rsidRDefault="005F4DC5" w:rsidP="00CA2CB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Alfredo Santamaría Rojas</w:t>
      </w:r>
      <w:r w:rsidRPr="009712EB">
        <w:rPr>
          <w:rFonts w:ascii="Cambria" w:eastAsia="MS Mincho" w:hAnsi="Cambria"/>
          <w:sz w:val="20"/>
          <w:szCs w:val="20"/>
          <w:bdr w:val="none" w:sz="0" w:space="0" w:color="auto"/>
          <w:lang w:val="es-CO"/>
        </w:rPr>
        <w:t xml:space="preserve">, </w:t>
      </w:r>
      <w:r w:rsidRPr="009712EB">
        <w:rPr>
          <w:rFonts w:ascii="Cambria" w:eastAsia="MS Mincho" w:hAnsi="Cambria"/>
          <w:i/>
          <w:sz w:val="20"/>
          <w:szCs w:val="20"/>
          <w:bdr w:val="none" w:sz="0" w:space="0" w:color="auto"/>
          <w:lang w:val="es-CO"/>
        </w:rPr>
        <w:t>Florentino Espinoza Rodríguez</w:t>
      </w:r>
      <w:r w:rsidRPr="009712EB">
        <w:rPr>
          <w:rFonts w:ascii="Cambria" w:eastAsia="MS Mincho" w:hAnsi="Cambria"/>
          <w:sz w:val="20"/>
          <w:szCs w:val="20"/>
          <w:bdr w:val="none" w:sz="0" w:space="0" w:color="auto"/>
          <w:lang w:val="es-CO"/>
        </w:rPr>
        <w:t xml:space="preserve">, </w:t>
      </w:r>
      <w:r w:rsidRPr="009712EB">
        <w:rPr>
          <w:rFonts w:ascii="Cambria" w:eastAsia="MS Mincho" w:hAnsi="Cambria"/>
          <w:i/>
          <w:sz w:val="20"/>
          <w:szCs w:val="20"/>
          <w:bdr w:val="none" w:sz="0" w:space="0" w:color="auto"/>
          <w:lang w:val="es-CO"/>
        </w:rPr>
        <w:t>Agripino Gallard</w:t>
      </w:r>
      <w:r w:rsidRPr="009712EB">
        <w:rPr>
          <w:rFonts w:ascii="Cambria" w:eastAsia="MS Mincho" w:hAnsi="Cambria"/>
          <w:sz w:val="20"/>
          <w:szCs w:val="20"/>
          <w:bdr w:val="none" w:sz="0" w:space="0" w:color="auto"/>
          <w:lang w:val="es-CO"/>
        </w:rPr>
        <w:t xml:space="preserve">o </w:t>
      </w:r>
      <w:r w:rsidRPr="009712EB">
        <w:rPr>
          <w:rFonts w:ascii="Cambria" w:eastAsia="MS Mincho" w:hAnsi="Cambria"/>
          <w:i/>
          <w:sz w:val="20"/>
          <w:szCs w:val="20"/>
          <w:bdr w:val="none" w:sz="0" w:space="0" w:color="auto"/>
          <w:lang w:val="es-CO"/>
        </w:rPr>
        <w:t>Cedeño</w:t>
      </w:r>
      <w:r w:rsidRPr="009712EB">
        <w:rPr>
          <w:rFonts w:ascii="Cambria" w:eastAsia="MS Mincho" w:hAnsi="Cambria"/>
          <w:sz w:val="20"/>
          <w:szCs w:val="20"/>
          <w:bdr w:val="none" w:sz="0" w:space="0" w:color="auto"/>
          <w:lang w:val="es-CO"/>
        </w:rPr>
        <w:t xml:space="preserve">, </w:t>
      </w:r>
      <w:r w:rsidRPr="009712EB">
        <w:rPr>
          <w:rFonts w:ascii="Cambria" w:eastAsia="MS Mincho" w:hAnsi="Cambria"/>
          <w:i/>
          <w:sz w:val="20"/>
          <w:szCs w:val="20"/>
          <w:bdr w:val="none" w:sz="0" w:space="0" w:color="auto"/>
          <w:lang w:val="es-CO"/>
        </w:rPr>
        <w:t>Eugenio Gutiérrez Araúz</w:t>
      </w:r>
      <w:r w:rsidRPr="009712EB">
        <w:rPr>
          <w:rFonts w:ascii="Cambria" w:eastAsia="MS Mincho" w:hAnsi="Cambria"/>
          <w:sz w:val="20"/>
          <w:szCs w:val="20"/>
          <w:bdr w:val="none" w:sz="0" w:space="0" w:color="auto"/>
          <w:lang w:val="es-CO"/>
        </w:rPr>
        <w:t xml:space="preserve">, y </w:t>
      </w:r>
      <w:r w:rsidRPr="009712EB">
        <w:rPr>
          <w:rFonts w:ascii="Cambria" w:eastAsia="MS Mincho" w:hAnsi="Cambria"/>
          <w:i/>
          <w:sz w:val="20"/>
          <w:szCs w:val="20"/>
          <w:bdr w:val="none" w:sz="0" w:space="0" w:color="auto"/>
          <w:lang w:val="es-CO"/>
        </w:rPr>
        <w:t>Saba Espinoza Rodríguez</w:t>
      </w:r>
      <w:r w:rsidRPr="009712EB">
        <w:rPr>
          <w:rFonts w:ascii="Cambria" w:eastAsia="MS Mincho" w:hAnsi="Cambria"/>
          <w:sz w:val="20"/>
          <w:szCs w:val="20"/>
          <w:bdr w:val="none" w:sz="0" w:space="0" w:color="auto"/>
          <w:lang w:val="es-CO"/>
        </w:rPr>
        <w:t>, identificados en los casos No. 89, 112, 113, 11</w:t>
      </w:r>
      <w:r w:rsidR="003E54A1">
        <w:rPr>
          <w:rFonts w:ascii="Cambria" w:eastAsia="MS Mincho" w:hAnsi="Cambria"/>
          <w:sz w:val="20"/>
          <w:szCs w:val="20"/>
          <w:bdr w:val="none" w:sz="0" w:space="0" w:color="auto"/>
          <w:lang w:val="es-CO"/>
        </w:rPr>
        <w:t>4 y 219, respectivamente, eran</w:t>
      </w:r>
      <w:r w:rsidRPr="009712EB">
        <w:rPr>
          <w:rFonts w:ascii="Cambria" w:eastAsia="MS Mincho" w:hAnsi="Cambria"/>
          <w:sz w:val="20"/>
          <w:szCs w:val="20"/>
          <w:bdr w:val="none" w:sz="0" w:space="0" w:color="auto"/>
          <w:lang w:val="es-CO"/>
        </w:rPr>
        <w:t xml:space="preserve"> de nacionalidad panameña de edades entre los 23 y 30 años</w:t>
      </w:r>
      <w:r w:rsidRPr="009712EB">
        <w:rPr>
          <w:rFonts w:ascii="Cambria" w:eastAsia="MS Mincho" w:hAnsi="Cambria"/>
          <w:sz w:val="20"/>
          <w:szCs w:val="20"/>
          <w:bdr w:val="none" w:sz="0" w:space="0" w:color="auto"/>
          <w:vertAlign w:val="superscript"/>
        </w:rPr>
        <w:footnoteReference w:id="175"/>
      </w:r>
      <w:r w:rsidRPr="009712EB">
        <w:rPr>
          <w:rFonts w:ascii="Cambria" w:eastAsia="MS Mincho" w:hAnsi="Cambria"/>
          <w:sz w:val="20"/>
          <w:szCs w:val="20"/>
          <w:bdr w:val="none" w:sz="0" w:space="0" w:color="auto"/>
          <w:lang w:val="es-CO"/>
        </w:rPr>
        <w:t>. De acuerdo a la información aportada, Florentino Espinoza, Eugenio Gutiérrez y Saba Espinoza eran militares no combatientes</w:t>
      </w:r>
      <w:r w:rsidRPr="009712EB">
        <w:rPr>
          <w:rFonts w:ascii="Cambria" w:eastAsia="MS Mincho" w:hAnsi="Cambria"/>
          <w:sz w:val="20"/>
          <w:szCs w:val="20"/>
          <w:bdr w:val="none" w:sz="0" w:space="0" w:color="auto"/>
          <w:vertAlign w:val="superscript"/>
        </w:rPr>
        <w:footnoteReference w:id="176"/>
      </w:r>
      <w:r w:rsidRPr="009712EB">
        <w:rPr>
          <w:rFonts w:ascii="Cambria" w:eastAsia="MS Mincho" w:hAnsi="Cambria"/>
          <w:sz w:val="20"/>
          <w:szCs w:val="20"/>
          <w:bdr w:val="none" w:sz="0" w:space="0" w:color="auto"/>
          <w:lang w:val="es-CO"/>
        </w:rPr>
        <w:t>, mientras que Alfredo Santamaría y Agripino Gallardo eran albañiles de profesión</w:t>
      </w:r>
      <w:r w:rsidRPr="009712EB">
        <w:rPr>
          <w:rFonts w:ascii="Cambria" w:eastAsia="MS Mincho" w:hAnsi="Cambria"/>
          <w:sz w:val="20"/>
          <w:szCs w:val="20"/>
          <w:bdr w:val="none" w:sz="0" w:space="0" w:color="auto"/>
          <w:vertAlign w:val="superscript"/>
        </w:rPr>
        <w:footnoteReference w:id="177"/>
      </w:r>
      <w:r w:rsidR="004C4A1D">
        <w:rPr>
          <w:rFonts w:ascii="Cambria" w:eastAsia="MS Mincho" w:hAnsi="Cambria"/>
          <w:sz w:val="20"/>
          <w:szCs w:val="20"/>
          <w:bdr w:val="none" w:sz="0" w:space="0" w:color="auto"/>
          <w:lang w:val="es-CO"/>
        </w:rPr>
        <w:t>.</w:t>
      </w:r>
    </w:p>
    <w:p w:rsidR="005F4DC5" w:rsidRPr="009712EB" w:rsidRDefault="005F4DC5" w:rsidP="00CA2CB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sz w:val="20"/>
          <w:szCs w:val="20"/>
          <w:bdr w:val="none" w:sz="0" w:space="0" w:color="auto"/>
          <w:lang w:val="es-CO"/>
        </w:rPr>
        <w:t>Conforme a declaraciones presentadas, en horas de la tarde del 23 de diciembre de 1989, los cinco hombres salieron en un vehículo hacia la casa de la hermana de Agripino Gallardo ubicada en una zona conocida como Arosemena de Chilibre</w:t>
      </w:r>
      <w:r w:rsidRPr="009712EB">
        <w:rPr>
          <w:rFonts w:ascii="Cambria" w:eastAsia="MS Mincho" w:hAnsi="Cambria"/>
          <w:sz w:val="20"/>
          <w:szCs w:val="20"/>
          <w:bdr w:val="none" w:sz="0" w:space="0" w:color="auto"/>
          <w:vertAlign w:val="superscript"/>
        </w:rPr>
        <w:footnoteReference w:id="178"/>
      </w:r>
      <w:r w:rsidR="00BE1342">
        <w:rPr>
          <w:rFonts w:ascii="Cambria" w:eastAsia="MS Mincho" w:hAnsi="Cambria"/>
          <w:sz w:val="20"/>
          <w:szCs w:val="20"/>
          <w:bdr w:val="none" w:sz="0" w:space="0" w:color="auto"/>
          <w:lang w:val="es-CO"/>
        </w:rPr>
        <w:t>.</w:t>
      </w:r>
      <w:r w:rsidRPr="009712EB">
        <w:rPr>
          <w:rFonts w:ascii="Cambria" w:eastAsia="MS Mincho" w:hAnsi="Cambria"/>
          <w:sz w:val="20"/>
          <w:szCs w:val="20"/>
          <w:bdr w:val="none" w:sz="0" w:space="0" w:color="auto"/>
          <w:lang w:val="es-CO"/>
        </w:rPr>
        <w:t xml:space="preserve"> Al no tener conocimiento sobre el paradero de estos, sus respectivos familiares comenzaron a buscarlos sin éxito. </w:t>
      </w:r>
    </w:p>
    <w:p w:rsidR="005F4DC5" w:rsidRPr="009712EB" w:rsidRDefault="005F4DC5" w:rsidP="00CA2CB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sz w:val="20"/>
          <w:szCs w:val="20"/>
          <w:bdr w:val="none" w:sz="0" w:space="0" w:color="auto"/>
          <w:lang w:val="es-CO"/>
        </w:rPr>
        <w:t>Griselda Gallardo Cedeño, hermana de Agripino</w:t>
      </w:r>
      <w:r w:rsidR="00511D86">
        <w:rPr>
          <w:rFonts w:ascii="Cambria" w:eastAsia="MS Mincho" w:hAnsi="Cambria"/>
          <w:sz w:val="20"/>
          <w:szCs w:val="20"/>
          <w:bdr w:val="none" w:sz="0" w:space="0" w:color="auto"/>
          <w:lang w:val="es-CO"/>
        </w:rPr>
        <w:t xml:space="preserve"> Gallardo Cedeño</w:t>
      </w:r>
      <w:r w:rsidRPr="009712EB">
        <w:rPr>
          <w:rFonts w:ascii="Cambria" w:eastAsia="MS Mincho" w:hAnsi="Cambria"/>
          <w:sz w:val="20"/>
          <w:szCs w:val="20"/>
          <w:bdr w:val="none" w:sz="0" w:space="0" w:color="auto"/>
          <w:lang w:val="es-CO"/>
        </w:rPr>
        <w:t xml:space="preserve">, </w:t>
      </w:r>
      <w:r w:rsidR="00511D86">
        <w:rPr>
          <w:rFonts w:ascii="Cambria" w:eastAsia="MS Mincho" w:hAnsi="Cambria"/>
          <w:sz w:val="20"/>
          <w:szCs w:val="20"/>
          <w:bdr w:val="none" w:sz="0" w:space="0" w:color="auto"/>
          <w:lang w:val="es-CO"/>
        </w:rPr>
        <w:t xml:space="preserve">se dirigió a </w:t>
      </w:r>
      <w:r w:rsidRPr="009712EB">
        <w:rPr>
          <w:rFonts w:ascii="Cambria" w:eastAsia="MS Mincho" w:hAnsi="Cambria"/>
          <w:sz w:val="20"/>
          <w:szCs w:val="20"/>
          <w:bdr w:val="none" w:sz="0" w:space="0" w:color="auto"/>
          <w:lang w:val="es-CO"/>
        </w:rPr>
        <w:t xml:space="preserve">distintas localidades con las fotografías de los desaparecidos hasta que consiguió testigos de los hechos </w:t>
      </w:r>
      <w:r w:rsidR="00511D86">
        <w:rPr>
          <w:rFonts w:ascii="Cambria" w:eastAsia="MS Mincho" w:hAnsi="Cambria"/>
          <w:sz w:val="20"/>
          <w:szCs w:val="20"/>
          <w:bdr w:val="none" w:sz="0" w:space="0" w:color="auto"/>
          <w:lang w:val="es-CO"/>
        </w:rPr>
        <w:t xml:space="preserve">que habían tenido lugar </w:t>
      </w:r>
      <w:r w:rsidRPr="009712EB">
        <w:rPr>
          <w:rFonts w:ascii="Cambria" w:eastAsia="MS Mincho" w:hAnsi="Cambria"/>
          <w:sz w:val="20"/>
          <w:szCs w:val="20"/>
          <w:bdr w:val="none" w:sz="0" w:space="0" w:color="auto"/>
          <w:lang w:val="es-CO"/>
        </w:rPr>
        <w:t>el mismo 23 de diciembre</w:t>
      </w:r>
      <w:r w:rsidRPr="009712EB">
        <w:rPr>
          <w:rFonts w:ascii="Cambria" w:eastAsia="MS Mincho" w:hAnsi="Cambria"/>
          <w:sz w:val="20"/>
          <w:szCs w:val="20"/>
          <w:bdr w:val="none" w:sz="0" w:space="0" w:color="auto"/>
          <w:vertAlign w:val="superscript"/>
        </w:rPr>
        <w:footnoteReference w:id="179"/>
      </w:r>
      <w:r w:rsidRPr="009712EB">
        <w:rPr>
          <w:rFonts w:ascii="Cambria" w:eastAsia="MS Mincho" w:hAnsi="Cambria"/>
          <w:sz w:val="20"/>
          <w:szCs w:val="20"/>
          <w:bdr w:val="none" w:sz="0" w:space="0" w:color="auto"/>
          <w:lang w:val="es-CO"/>
        </w:rPr>
        <w:t>. Conforme a lo descrito por los testigos, los soldados estadounidenses ordenaron a los cinco hombres a bajarse del vehículo y acostarse en el suelo en un punto de control o retén a la altura de la Represa Madden de la carretera transísmica en Chilibre</w:t>
      </w:r>
      <w:r w:rsidRPr="009712EB">
        <w:rPr>
          <w:rFonts w:ascii="Cambria" w:eastAsia="MS Mincho" w:hAnsi="Cambria"/>
          <w:sz w:val="20"/>
          <w:szCs w:val="20"/>
          <w:bdr w:val="none" w:sz="0" w:space="0" w:color="auto"/>
          <w:vertAlign w:val="superscript"/>
        </w:rPr>
        <w:footnoteReference w:id="180"/>
      </w:r>
      <w:r w:rsidRPr="009712EB">
        <w:rPr>
          <w:rFonts w:ascii="Cambria" w:eastAsia="MS Mincho" w:hAnsi="Cambria"/>
          <w:sz w:val="20"/>
          <w:szCs w:val="20"/>
          <w:bdr w:val="none" w:sz="0" w:space="0" w:color="auto"/>
          <w:lang w:val="es-CO"/>
        </w:rPr>
        <w:t xml:space="preserve">.  Estando en el suelo, se habría escuchado una explosión </w:t>
      </w:r>
      <w:r w:rsidR="00511D86">
        <w:rPr>
          <w:rFonts w:ascii="Cambria" w:eastAsia="MS Mincho" w:hAnsi="Cambria"/>
          <w:sz w:val="20"/>
          <w:szCs w:val="20"/>
          <w:bdr w:val="none" w:sz="0" w:space="0" w:color="auto"/>
          <w:lang w:val="es-CO"/>
        </w:rPr>
        <w:t xml:space="preserve">y a raíz de esto, </w:t>
      </w:r>
      <w:r w:rsidRPr="009712EB">
        <w:rPr>
          <w:rFonts w:ascii="Cambria" w:eastAsia="MS Mincho" w:hAnsi="Cambria"/>
          <w:sz w:val="20"/>
          <w:szCs w:val="20"/>
          <w:bdr w:val="none" w:sz="0" w:space="0" w:color="auto"/>
          <w:lang w:val="es-CO"/>
        </w:rPr>
        <w:t>un soldado estadounidense dio la orden de disp</w:t>
      </w:r>
      <w:r w:rsidR="00511D86">
        <w:rPr>
          <w:rFonts w:ascii="Cambria" w:eastAsia="MS Mincho" w:hAnsi="Cambria"/>
          <w:sz w:val="20"/>
          <w:szCs w:val="20"/>
          <w:bdr w:val="none" w:sz="0" w:space="0" w:color="auto"/>
          <w:lang w:val="es-CO"/>
        </w:rPr>
        <w:t xml:space="preserve">arar en contra de los detenidos. Uno de ellos sobrevivió y </w:t>
      </w:r>
      <w:r w:rsidRPr="009712EB">
        <w:rPr>
          <w:rFonts w:ascii="Cambria" w:eastAsia="MS Mincho" w:hAnsi="Cambria"/>
          <w:sz w:val="20"/>
          <w:szCs w:val="20"/>
          <w:bdr w:val="none" w:sz="0" w:space="0" w:color="auto"/>
          <w:lang w:val="es-CO"/>
        </w:rPr>
        <w:t>el mismo soldado ordenó disparar nuevamente</w:t>
      </w:r>
      <w:r w:rsidRPr="009712EB">
        <w:rPr>
          <w:rFonts w:ascii="Cambria" w:eastAsia="MS Mincho" w:hAnsi="Cambria"/>
          <w:sz w:val="20"/>
          <w:szCs w:val="20"/>
          <w:bdr w:val="none" w:sz="0" w:space="0" w:color="auto"/>
          <w:vertAlign w:val="superscript"/>
        </w:rPr>
        <w:footnoteReference w:id="181"/>
      </w:r>
      <w:r w:rsidRPr="009712EB">
        <w:rPr>
          <w:rFonts w:ascii="Cambria" w:eastAsia="MS Mincho" w:hAnsi="Cambria"/>
          <w:sz w:val="20"/>
          <w:szCs w:val="20"/>
          <w:bdr w:val="none" w:sz="0" w:space="0" w:color="auto"/>
          <w:lang w:val="es-CO"/>
        </w:rPr>
        <w:t xml:space="preserve">. Conforme al mismo </w:t>
      </w:r>
      <w:r w:rsidRPr="009712EB">
        <w:rPr>
          <w:rFonts w:ascii="Cambria" w:eastAsia="MS Mincho" w:hAnsi="Cambria"/>
          <w:sz w:val="20"/>
          <w:szCs w:val="20"/>
          <w:bdr w:val="none" w:sz="0" w:space="0" w:color="auto"/>
          <w:lang w:val="es-CO"/>
        </w:rPr>
        <w:lastRenderedPageBreak/>
        <w:t>relato, los cuerpos permanecieron en el lugar hasta el 25 de diciembre de 1989 cuando fueron trasladados al Hospital Coco Solo y enterrados en la fosa común de Monte Esperanza en Colón</w:t>
      </w:r>
      <w:r w:rsidRPr="009712EB">
        <w:rPr>
          <w:rFonts w:ascii="Cambria" w:eastAsia="MS Mincho" w:hAnsi="Cambria"/>
          <w:sz w:val="20"/>
          <w:szCs w:val="20"/>
          <w:bdr w:val="none" w:sz="0" w:space="0" w:color="auto"/>
          <w:vertAlign w:val="superscript"/>
        </w:rPr>
        <w:footnoteReference w:id="182"/>
      </w:r>
      <w:r w:rsidRPr="009712EB">
        <w:rPr>
          <w:rFonts w:ascii="Cambria" w:eastAsia="MS Mincho" w:hAnsi="Cambria"/>
          <w:sz w:val="20"/>
          <w:szCs w:val="20"/>
          <w:bdr w:val="none" w:sz="0" w:space="0" w:color="auto"/>
          <w:lang w:val="es-CO"/>
        </w:rPr>
        <w:t>.</w:t>
      </w:r>
    </w:p>
    <w:p w:rsidR="005F4DC5" w:rsidRPr="009712EB" w:rsidRDefault="005F4DC5" w:rsidP="00CA2CB4">
      <w:pPr>
        <w:pStyle w:val="ListParagraph"/>
        <w:ind w:left="0" w:firstLine="720"/>
        <w:rPr>
          <w:rFonts w:eastAsia="MS Mincho"/>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sz w:val="20"/>
          <w:szCs w:val="20"/>
          <w:bdr w:val="none" w:sz="0" w:space="0" w:color="auto"/>
          <w:lang w:val="es-CO"/>
        </w:rPr>
        <w:t>Con esta información, los familiares se dirigieron al Ministerio Público e interpusieron el 21 de febrero de 1990 denuncia ante la Fiscalía Tercera Superior del Primer Distrito Judicial</w:t>
      </w:r>
      <w:r w:rsidRPr="009712EB">
        <w:rPr>
          <w:rFonts w:ascii="Cambria" w:eastAsia="MS Mincho" w:hAnsi="Cambria"/>
          <w:sz w:val="20"/>
          <w:szCs w:val="20"/>
          <w:bdr w:val="none" w:sz="0" w:space="0" w:color="auto"/>
          <w:vertAlign w:val="superscript"/>
        </w:rPr>
        <w:footnoteReference w:id="183"/>
      </w:r>
      <w:r w:rsidR="005E2ED1">
        <w:rPr>
          <w:rFonts w:ascii="Cambria" w:eastAsia="MS Mincho" w:hAnsi="Cambria"/>
          <w:sz w:val="20"/>
          <w:szCs w:val="20"/>
          <w:bdr w:val="none" w:sz="0" w:space="0" w:color="auto"/>
          <w:lang w:val="es-CO"/>
        </w:rPr>
        <w:t>.</w:t>
      </w:r>
      <w:r w:rsidRPr="009712EB">
        <w:rPr>
          <w:rFonts w:ascii="Cambria" w:eastAsia="MS Mincho" w:hAnsi="Cambria"/>
          <w:sz w:val="20"/>
          <w:szCs w:val="20"/>
          <w:bdr w:val="none" w:sz="0" w:space="0" w:color="auto"/>
          <w:lang w:val="es-CO"/>
        </w:rPr>
        <w:t xml:space="preserve"> En el marco de las diligencias fiscales para encontrar los restos, el encargado de la Funeraria, Theodore Olliviere indicó el lugar donde habían sido enterrados en días anteriores los restos de personas no reconocidas</w:t>
      </w:r>
      <w:r w:rsidRPr="009712EB">
        <w:rPr>
          <w:rFonts w:ascii="Cambria" w:eastAsia="MS Mincho" w:hAnsi="Cambria"/>
          <w:sz w:val="20"/>
          <w:szCs w:val="20"/>
          <w:bdr w:val="none" w:sz="0" w:space="0" w:color="auto"/>
          <w:vertAlign w:val="superscript"/>
        </w:rPr>
        <w:footnoteReference w:id="184"/>
      </w:r>
      <w:r w:rsidRPr="009712EB">
        <w:rPr>
          <w:rFonts w:ascii="Cambria" w:eastAsia="MS Mincho" w:hAnsi="Cambria"/>
          <w:sz w:val="20"/>
          <w:szCs w:val="20"/>
          <w:bdr w:val="none" w:sz="0" w:space="0" w:color="auto"/>
          <w:lang w:val="es-CO"/>
        </w:rPr>
        <w:t xml:space="preserve">. </w:t>
      </w:r>
      <w:r w:rsidR="00511D86">
        <w:rPr>
          <w:rFonts w:ascii="Cambria" w:eastAsia="MS Mincho" w:hAnsi="Cambria"/>
          <w:sz w:val="20"/>
          <w:szCs w:val="20"/>
          <w:bdr w:val="none" w:sz="0" w:space="0" w:color="auto"/>
          <w:lang w:val="es-CO"/>
        </w:rPr>
        <w:t>Con base a esta información</w:t>
      </w:r>
      <w:r w:rsidRPr="009712EB">
        <w:rPr>
          <w:rFonts w:ascii="Cambria" w:eastAsia="MS Mincho" w:hAnsi="Cambria"/>
          <w:sz w:val="20"/>
          <w:szCs w:val="20"/>
          <w:bdr w:val="none" w:sz="0" w:space="0" w:color="auto"/>
          <w:lang w:val="es-CO"/>
        </w:rPr>
        <w:t>, el 23 de febrero de 1990</w:t>
      </w:r>
      <w:r w:rsidR="00511D86">
        <w:rPr>
          <w:rFonts w:ascii="Cambria" w:eastAsia="MS Mincho" w:hAnsi="Cambria"/>
          <w:sz w:val="20"/>
          <w:szCs w:val="20"/>
          <w:bdr w:val="none" w:sz="0" w:space="0" w:color="auto"/>
          <w:lang w:val="es-CO"/>
        </w:rPr>
        <w:t xml:space="preserve"> una </w:t>
      </w:r>
      <w:r w:rsidRPr="009712EB">
        <w:rPr>
          <w:rFonts w:ascii="Cambria" w:eastAsia="MS Mincho" w:hAnsi="Cambria"/>
          <w:sz w:val="20"/>
          <w:szCs w:val="20"/>
          <w:bdr w:val="none" w:sz="0" w:space="0" w:color="auto"/>
          <w:lang w:val="es-CO"/>
        </w:rPr>
        <w:t xml:space="preserve">exhumación </w:t>
      </w:r>
      <w:r w:rsidR="00511D86">
        <w:rPr>
          <w:rFonts w:ascii="Cambria" w:eastAsia="MS Mincho" w:hAnsi="Cambria"/>
          <w:sz w:val="20"/>
          <w:szCs w:val="20"/>
          <w:bdr w:val="none" w:sz="0" w:space="0" w:color="auto"/>
          <w:lang w:val="es-CO"/>
        </w:rPr>
        <w:t xml:space="preserve">fue efectuada en </w:t>
      </w:r>
      <w:r w:rsidRPr="009712EB">
        <w:rPr>
          <w:rFonts w:ascii="Cambria" w:eastAsia="MS Mincho" w:hAnsi="Cambria"/>
          <w:sz w:val="20"/>
          <w:szCs w:val="20"/>
          <w:bdr w:val="none" w:sz="0" w:space="0" w:color="auto"/>
          <w:lang w:val="es-CO"/>
        </w:rPr>
        <w:t>lugar señalado por el encargado en Monte Esperanza</w:t>
      </w:r>
      <w:r w:rsidR="00743DC1">
        <w:rPr>
          <w:rFonts w:ascii="Cambria" w:eastAsia="MS Mincho" w:hAnsi="Cambria"/>
          <w:sz w:val="20"/>
          <w:szCs w:val="20"/>
          <w:bdr w:val="none" w:sz="0" w:space="0" w:color="auto"/>
          <w:lang w:val="es-CO"/>
        </w:rPr>
        <w:t>,</w:t>
      </w:r>
      <w:r w:rsidRPr="009712EB">
        <w:rPr>
          <w:rFonts w:ascii="Cambria" w:eastAsia="MS Mincho" w:hAnsi="Cambria"/>
          <w:sz w:val="20"/>
          <w:szCs w:val="20"/>
          <w:bdr w:val="none" w:sz="0" w:space="0" w:color="auto"/>
          <w:lang w:val="es-CO"/>
        </w:rPr>
        <w:t xml:space="preserve"> y, los cuerpos de los cinco que hasta el momento estaban desaparecidos</w:t>
      </w:r>
      <w:r w:rsidR="00743DC1">
        <w:rPr>
          <w:rFonts w:ascii="Cambria" w:eastAsia="MS Mincho" w:hAnsi="Cambria"/>
          <w:sz w:val="20"/>
          <w:szCs w:val="20"/>
          <w:bdr w:val="none" w:sz="0" w:space="0" w:color="auto"/>
          <w:lang w:val="es-CO"/>
        </w:rPr>
        <w:t xml:space="preserve"> </w:t>
      </w:r>
      <w:r w:rsidR="00743DC1" w:rsidRPr="009712EB">
        <w:rPr>
          <w:rFonts w:ascii="Cambria" w:eastAsia="MS Mincho" w:hAnsi="Cambria"/>
          <w:sz w:val="20"/>
          <w:szCs w:val="20"/>
          <w:bdr w:val="none" w:sz="0" w:space="0" w:color="auto"/>
          <w:lang w:val="es-CO"/>
        </w:rPr>
        <w:t>fueron encontrados</w:t>
      </w:r>
      <w:r w:rsidR="00743DC1">
        <w:rPr>
          <w:rFonts w:ascii="Cambria" w:eastAsia="MS Mincho" w:hAnsi="Cambria"/>
          <w:sz w:val="20"/>
          <w:szCs w:val="20"/>
          <w:bdr w:val="none" w:sz="0" w:space="0" w:color="auto"/>
          <w:vertAlign w:val="superscript"/>
          <w:lang w:val="es-ES"/>
        </w:rPr>
        <w:t xml:space="preserve"> </w:t>
      </w:r>
      <w:r w:rsidR="00743DC1">
        <w:rPr>
          <w:rFonts w:ascii="Cambria" w:eastAsia="MS Mincho" w:hAnsi="Cambria"/>
          <w:sz w:val="20"/>
          <w:szCs w:val="20"/>
          <w:bdr w:val="none" w:sz="0" w:space="0" w:color="auto"/>
          <w:lang w:val="es-CO"/>
        </w:rPr>
        <w:t>junto con</w:t>
      </w:r>
      <w:r w:rsidR="00743DC1" w:rsidRPr="009712EB">
        <w:rPr>
          <w:rFonts w:ascii="Cambria" w:eastAsia="MS Mincho" w:hAnsi="Cambria"/>
          <w:sz w:val="20"/>
          <w:szCs w:val="20"/>
          <w:bdr w:val="none" w:sz="0" w:space="0" w:color="auto"/>
          <w:lang w:val="es-CO"/>
        </w:rPr>
        <w:t xml:space="preserve"> otros restos humanos</w:t>
      </w:r>
      <w:r w:rsidRPr="009712EB">
        <w:rPr>
          <w:rFonts w:ascii="Cambria" w:eastAsia="MS Mincho" w:hAnsi="Cambria"/>
          <w:sz w:val="20"/>
          <w:szCs w:val="20"/>
          <w:bdr w:val="none" w:sz="0" w:space="0" w:color="auto"/>
          <w:vertAlign w:val="superscript"/>
        </w:rPr>
        <w:footnoteReference w:id="185"/>
      </w:r>
      <w:r w:rsidRPr="009712EB">
        <w:rPr>
          <w:rFonts w:ascii="Cambria" w:eastAsia="MS Mincho" w:hAnsi="Cambria"/>
          <w:sz w:val="20"/>
          <w:szCs w:val="20"/>
          <w:bdr w:val="none" w:sz="0" w:space="0" w:color="auto"/>
          <w:lang w:val="es-CO"/>
        </w:rPr>
        <w:t xml:space="preserve">. </w:t>
      </w:r>
    </w:p>
    <w:p w:rsidR="005F4DC5" w:rsidRPr="009712EB" w:rsidRDefault="005F4DC5" w:rsidP="009712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sz w:val="20"/>
          <w:szCs w:val="20"/>
          <w:bdr w:val="none" w:sz="0" w:space="0" w:color="auto"/>
          <w:lang w:val="es-CO"/>
        </w:rPr>
        <w:t xml:space="preserve">De los restos recuperados, se concluyó las causas de muerte de cada uno. En este sentido, Agripino Gallardo Cedeño </w:t>
      </w:r>
      <w:r w:rsidR="00743DC1">
        <w:rPr>
          <w:rFonts w:ascii="Cambria" w:eastAsia="MS Mincho" w:hAnsi="Cambria"/>
          <w:sz w:val="20"/>
          <w:szCs w:val="20"/>
          <w:bdr w:val="none" w:sz="0" w:space="0" w:color="auto"/>
          <w:lang w:val="es-CO"/>
        </w:rPr>
        <w:t>murió</w:t>
      </w:r>
      <w:r w:rsidRPr="009712EB">
        <w:rPr>
          <w:rFonts w:ascii="Cambria" w:eastAsia="MS Mincho" w:hAnsi="Cambria"/>
          <w:sz w:val="20"/>
          <w:szCs w:val="20"/>
          <w:bdr w:val="none" w:sz="0" w:space="0" w:color="auto"/>
          <w:lang w:val="es-CO"/>
        </w:rPr>
        <w:t xml:space="preserve"> por “destrucción de calota o bóveda craneana y huesos de la cara, más múltiples fracturas por heridas por arma de fuego”</w:t>
      </w:r>
      <w:r w:rsidRPr="009712EB">
        <w:rPr>
          <w:rFonts w:ascii="Cambria" w:eastAsia="MS Mincho" w:hAnsi="Cambria"/>
          <w:sz w:val="20"/>
          <w:szCs w:val="20"/>
          <w:bdr w:val="none" w:sz="0" w:space="0" w:color="auto"/>
          <w:vertAlign w:val="superscript"/>
        </w:rPr>
        <w:footnoteReference w:id="186"/>
      </w:r>
      <w:r w:rsidRPr="009712EB">
        <w:rPr>
          <w:rFonts w:ascii="Cambria" w:eastAsia="MS Mincho" w:hAnsi="Cambria"/>
          <w:sz w:val="20"/>
          <w:szCs w:val="20"/>
          <w:bdr w:val="none" w:sz="0" w:space="0" w:color="auto"/>
          <w:lang w:val="es-CO"/>
        </w:rPr>
        <w:t>, Florentino Espinoza Rodríguez por “múltiples fracturas y heridas por arma de fuego”</w:t>
      </w:r>
      <w:r w:rsidRPr="009712EB">
        <w:rPr>
          <w:rFonts w:ascii="Cambria" w:eastAsia="MS Mincho" w:hAnsi="Cambria"/>
          <w:sz w:val="20"/>
          <w:szCs w:val="20"/>
          <w:bdr w:val="none" w:sz="0" w:space="0" w:color="auto"/>
          <w:vertAlign w:val="superscript"/>
        </w:rPr>
        <w:footnoteReference w:id="187"/>
      </w:r>
      <w:r w:rsidRPr="009712EB">
        <w:rPr>
          <w:rFonts w:ascii="Cambria" w:eastAsia="MS Mincho" w:hAnsi="Cambria"/>
          <w:sz w:val="20"/>
          <w:szCs w:val="20"/>
          <w:bdr w:val="none" w:sz="0" w:space="0" w:color="auto"/>
          <w:lang w:val="es-CO"/>
        </w:rPr>
        <w:t>, Eugenio Gutiérrez Araúz por “destrucción de la calota y maxilar superior por heridas por arma de fuego”</w:t>
      </w:r>
      <w:r w:rsidRPr="009712EB">
        <w:rPr>
          <w:rFonts w:ascii="Cambria" w:eastAsia="MS Mincho" w:hAnsi="Cambria"/>
          <w:sz w:val="20"/>
          <w:szCs w:val="20"/>
          <w:bdr w:val="none" w:sz="0" w:space="0" w:color="auto"/>
          <w:vertAlign w:val="superscript"/>
        </w:rPr>
        <w:footnoteReference w:id="188"/>
      </w:r>
      <w:r w:rsidRPr="009712EB">
        <w:rPr>
          <w:rFonts w:ascii="Cambria" w:eastAsia="MS Mincho" w:hAnsi="Cambria"/>
          <w:sz w:val="20"/>
          <w:szCs w:val="20"/>
          <w:bdr w:val="none" w:sz="0" w:space="0" w:color="auto"/>
          <w:lang w:val="es-CO"/>
        </w:rPr>
        <w:t>, Saba Espinoza Rodríguez por “destrucción de huesos de la cara y maxilar por heridas por armas de fuego”</w:t>
      </w:r>
      <w:r w:rsidRPr="009712EB">
        <w:rPr>
          <w:rFonts w:ascii="Cambria" w:eastAsia="MS Mincho" w:hAnsi="Cambria"/>
          <w:sz w:val="20"/>
          <w:szCs w:val="20"/>
          <w:bdr w:val="none" w:sz="0" w:space="0" w:color="auto"/>
          <w:vertAlign w:val="superscript"/>
        </w:rPr>
        <w:footnoteReference w:id="189"/>
      </w:r>
      <w:r w:rsidRPr="009712EB">
        <w:rPr>
          <w:rFonts w:ascii="Cambria" w:eastAsia="MS Mincho" w:hAnsi="Cambria"/>
          <w:sz w:val="20"/>
          <w:szCs w:val="20"/>
          <w:bdr w:val="none" w:sz="0" w:space="0" w:color="auto"/>
          <w:lang w:val="es-CO"/>
        </w:rPr>
        <w:t>, y Alfredo Santamaría Rojas por “destrucción de calota, hueso de la cara derecha, tórax por heridas por arma de fuego”</w:t>
      </w:r>
      <w:r w:rsidRPr="009712EB">
        <w:rPr>
          <w:rFonts w:ascii="Cambria" w:eastAsia="MS Mincho" w:hAnsi="Cambria"/>
          <w:sz w:val="20"/>
          <w:szCs w:val="20"/>
          <w:bdr w:val="none" w:sz="0" w:space="0" w:color="auto"/>
          <w:vertAlign w:val="superscript"/>
        </w:rPr>
        <w:footnoteReference w:id="190"/>
      </w:r>
      <w:r w:rsidRPr="009712EB">
        <w:rPr>
          <w:rFonts w:ascii="Cambria" w:eastAsia="MS Mincho" w:hAnsi="Cambria"/>
          <w:sz w:val="20"/>
          <w:szCs w:val="20"/>
          <w:bdr w:val="none" w:sz="0" w:space="0" w:color="auto"/>
          <w:lang w:val="es-CO"/>
        </w:rPr>
        <w:t>.</w:t>
      </w:r>
    </w:p>
    <w:p w:rsidR="00A425C3" w:rsidRPr="009712EB" w:rsidRDefault="00A425C3" w:rsidP="00CA2CB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sz w:val="20"/>
          <w:szCs w:val="20"/>
          <w:bdr w:val="none" w:sz="0" w:space="0" w:color="auto"/>
          <w:lang w:val="es-CO"/>
        </w:rPr>
        <w:t>En el marco de la denuncia e investigaciones, Griselda Gallardo denunció actos de intimidación en contra de los testigos por un señor identificado con el apellido Milanez, quien también había expresado intenciones de hablar con ella</w:t>
      </w:r>
      <w:r w:rsidRPr="009712EB">
        <w:rPr>
          <w:rFonts w:ascii="Cambria" w:eastAsia="MS Mincho" w:hAnsi="Cambria"/>
          <w:sz w:val="20"/>
          <w:szCs w:val="20"/>
          <w:bdr w:val="none" w:sz="0" w:space="0" w:color="auto"/>
          <w:vertAlign w:val="superscript"/>
        </w:rPr>
        <w:footnoteReference w:id="191"/>
      </w:r>
      <w:r w:rsidRPr="009712EB">
        <w:rPr>
          <w:rFonts w:ascii="Cambria" w:eastAsia="MS Mincho" w:hAnsi="Cambria"/>
          <w:sz w:val="20"/>
          <w:szCs w:val="20"/>
          <w:bdr w:val="none" w:sz="0" w:space="0" w:color="auto"/>
          <w:lang w:val="es-CO"/>
        </w:rPr>
        <w:t xml:space="preserve">. </w:t>
      </w:r>
    </w:p>
    <w:p w:rsidR="005F4DC5" w:rsidRPr="009712EB" w:rsidRDefault="005F4DC5" w:rsidP="00CA2CB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sz w:val="20"/>
          <w:szCs w:val="20"/>
          <w:bdr w:val="none" w:sz="0" w:space="0" w:color="auto"/>
          <w:lang w:val="es-CO"/>
        </w:rPr>
        <w:t xml:space="preserve">Vale destacar que, de información presentada en el expediente, un soldado identificado como el Sargento Robert Bryant </w:t>
      </w:r>
      <w:r w:rsidR="00B1577C">
        <w:rPr>
          <w:rFonts w:ascii="Cambria" w:eastAsia="MS Mincho" w:hAnsi="Cambria"/>
          <w:sz w:val="20"/>
          <w:szCs w:val="20"/>
          <w:bdr w:val="none" w:sz="0" w:space="0" w:color="auto"/>
          <w:lang w:val="es-CO"/>
        </w:rPr>
        <w:t>estuvo</w:t>
      </w:r>
      <w:r w:rsidRPr="009712EB">
        <w:rPr>
          <w:rFonts w:ascii="Cambria" w:eastAsia="MS Mincho" w:hAnsi="Cambria"/>
          <w:sz w:val="20"/>
          <w:szCs w:val="20"/>
          <w:bdr w:val="none" w:sz="0" w:space="0" w:color="auto"/>
          <w:lang w:val="es-CO"/>
        </w:rPr>
        <w:t xml:space="preserve"> sometido juicio ante una Corte Marcial en Estados Unidos por homicidio sin premeditación durante la invasión militar en Panamá</w:t>
      </w:r>
      <w:r w:rsidRPr="009712EB">
        <w:rPr>
          <w:rFonts w:ascii="Cambria" w:eastAsia="MS Mincho" w:hAnsi="Cambria"/>
          <w:sz w:val="20"/>
          <w:szCs w:val="20"/>
          <w:bdr w:val="none" w:sz="0" w:space="0" w:color="auto"/>
          <w:vertAlign w:val="superscript"/>
        </w:rPr>
        <w:footnoteReference w:id="192"/>
      </w:r>
      <w:r w:rsidRPr="009712EB">
        <w:rPr>
          <w:rFonts w:ascii="Cambria" w:eastAsia="MS Mincho" w:hAnsi="Cambria"/>
          <w:sz w:val="20"/>
          <w:szCs w:val="20"/>
          <w:bdr w:val="none" w:sz="0" w:space="0" w:color="auto"/>
          <w:lang w:val="es-CO"/>
        </w:rPr>
        <w:t xml:space="preserve">. De </w:t>
      </w:r>
      <w:r w:rsidR="00232550">
        <w:rPr>
          <w:rFonts w:ascii="Cambria" w:eastAsia="MS Mincho" w:hAnsi="Cambria"/>
          <w:sz w:val="20"/>
          <w:szCs w:val="20"/>
          <w:bdr w:val="none" w:sz="0" w:space="0" w:color="auto"/>
          <w:lang w:val="es-CO"/>
        </w:rPr>
        <w:t>este juicio</w:t>
      </w:r>
      <w:r w:rsidRPr="009712EB">
        <w:rPr>
          <w:rFonts w:ascii="Cambria" w:eastAsia="MS Mincho" w:hAnsi="Cambria"/>
          <w:sz w:val="20"/>
          <w:szCs w:val="20"/>
          <w:bdr w:val="none" w:sz="0" w:space="0" w:color="auto"/>
          <w:lang w:val="es-CO"/>
        </w:rPr>
        <w:t xml:space="preserve">, surgieron versiones según las cuales uno de los viajeros tenía una granada y la había utilizado en contra de los soldados estadounidenses por lo cual </w:t>
      </w:r>
      <w:r w:rsidRPr="009712EB">
        <w:rPr>
          <w:rFonts w:ascii="Cambria" w:eastAsia="MS Mincho" w:hAnsi="Cambria"/>
          <w:sz w:val="20"/>
          <w:szCs w:val="20"/>
          <w:bdr w:val="none" w:sz="0" w:space="0" w:color="auto"/>
          <w:lang w:val="es-CO"/>
        </w:rPr>
        <w:lastRenderedPageBreak/>
        <w:t>el sargento nacido en Colón con nacionalidad estadounidense, declaraba que el uso de su arma había sido justificado</w:t>
      </w:r>
      <w:r w:rsidRPr="009712EB">
        <w:rPr>
          <w:rFonts w:ascii="Cambria" w:eastAsia="MS Mincho" w:hAnsi="Cambria"/>
          <w:sz w:val="20"/>
          <w:szCs w:val="20"/>
          <w:bdr w:val="none" w:sz="0" w:space="0" w:color="auto"/>
          <w:vertAlign w:val="superscript"/>
        </w:rPr>
        <w:footnoteReference w:id="193"/>
      </w:r>
      <w:r w:rsidRPr="009712EB">
        <w:rPr>
          <w:rFonts w:ascii="Cambria" w:eastAsia="MS Mincho" w:hAnsi="Cambria"/>
          <w:sz w:val="20"/>
          <w:szCs w:val="20"/>
          <w:bdr w:val="none" w:sz="0" w:space="0" w:color="auto"/>
          <w:lang w:val="es-CO"/>
        </w:rPr>
        <w:t>.</w:t>
      </w:r>
    </w:p>
    <w:p w:rsidR="008A2A90" w:rsidRDefault="008A2A90" w:rsidP="008A2A90">
      <w:pPr>
        <w:pStyle w:val="ListParagraph"/>
        <w:rPr>
          <w:rFonts w:eastAsia="MS Mincho"/>
          <w:sz w:val="20"/>
          <w:szCs w:val="20"/>
          <w:bdr w:val="none" w:sz="0" w:space="0" w:color="auto"/>
          <w:lang w:val="es-CO"/>
        </w:rPr>
      </w:pPr>
    </w:p>
    <w:p w:rsidR="008A2A90" w:rsidRPr="00B053C8" w:rsidRDefault="008A2A90"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US"/>
        </w:rPr>
      </w:pPr>
      <w:r w:rsidRPr="008A2A90">
        <w:rPr>
          <w:rFonts w:ascii="Cambria" w:eastAsia="MS Mincho" w:hAnsi="Cambria"/>
          <w:sz w:val="20"/>
          <w:szCs w:val="20"/>
          <w:bdr w:val="none" w:sz="0" w:space="0" w:color="auto"/>
          <w:lang w:val="es-US"/>
        </w:rPr>
        <w:t xml:space="preserve">Por su parte el Estado presentó información </w:t>
      </w:r>
      <w:r w:rsidR="00B1577C">
        <w:rPr>
          <w:rFonts w:ascii="Cambria" w:eastAsia="MS Mincho" w:hAnsi="Cambria"/>
          <w:sz w:val="20"/>
          <w:szCs w:val="20"/>
          <w:bdr w:val="none" w:sz="0" w:space="0" w:color="auto"/>
          <w:lang w:val="es-US"/>
        </w:rPr>
        <w:t>que la Comisión considera trata</w:t>
      </w:r>
      <w:r w:rsidRPr="008A2A90">
        <w:rPr>
          <w:rFonts w:ascii="Cambria" w:eastAsia="MS Mincho" w:hAnsi="Cambria"/>
          <w:sz w:val="20"/>
          <w:szCs w:val="20"/>
          <w:bdr w:val="none" w:sz="0" w:space="0" w:color="auto"/>
          <w:lang w:val="es-US"/>
        </w:rPr>
        <w:t xml:space="preserve"> sobre el presente caso</w:t>
      </w:r>
      <w:r w:rsidRPr="008A2A90">
        <w:rPr>
          <w:rStyle w:val="FootnoteReference"/>
          <w:rFonts w:ascii="Cambria" w:eastAsia="MS Mincho" w:hAnsi="Cambria"/>
          <w:sz w:val="20"/>
          <w:szCs w:val="20"/>
          <w:bdr w:val="none" w:sz="0" w:space="0" w:color="auto"/>
        </w:rPr>
        <w:footnoteReference w:id="194"/>
      </w:r>
      <w:r w:rsidR="004C4A1D">
        <w:rPr>
          <w:rFonts w:ascii="Cambria" w:eastAsia="MS Mincho" w:hAnsi="Cambria"/>
          <w:sz w:val="20"/>
          <w:szCs w:val="20"/>
          <w:bdr w:val="none" w:sz="0" w:space="0" w:color="auto"/>
          <w:lang w:val="es-US"/>
        </w:rPr>
        <w:t xml:space="preserve">. </w:t>
      </w:r>
      <w:r w:rsidRPr="008A2A90">
        <w:rPr>
          <w:rFonts w:ascii="Cambria" w:eastAsia="MS Mincho" w:hAnsi="Cambria"/>
          <w:sz w:val="20"/>
          <w:szCs w:val="20"/>
          <w:bdr w:val="none" w:sz="0" w:space="0" w:color="auto"/>
          <w:lang w:val="es-US"/>
        </w:rPr>
        <w:t>Al respecto informó que, conforme al informe investigativo elaborado por el Comando de Investigaciones Criminales del Ejército estadounidense, éste había sido un incidente en el cual un soldado le disparó y dio la muerte a un panameño. Recontó que cinco panameños en un vehículo fueron ordenados a detenerse en un puesto de control luego de lo cual, durante una inspección de rutina, fue detonada una granada escondida en el vehículo</w:t>
      </w:r>
      <w:r w:rsidRPr="008A2A90">
        <w:rPr>
          <w:rStyle w:val="FootnoteReference"/>
          <w:rFonts w:ascii="Cambria" w:eastAsia="MS Mincho" w:hAnsi="Cambria"/>
          <w:sz w:val="20"/>
          <w:szCs w:val="20"/>
          <w:bdr w:val="none" w:sz="0" w:space="0" w:color="auto"/>
        </w:rPr>
        <w:footnoteReference w:id="195"/>
      </w:r>
      <w:r w:rsidRPr="008A2A90">
        <w:rPr>
          <w:rFonts w:ascii="Cambria" w:eastAsia="MS Mincho" w:hAnsi="Cambria"/>
          <w:sz w:val="20"/>
          <w:szCs w:val="20"/>
          <w:bdr w:val="none" w:sz="0" w:space="0" w:color="auto"/>
          <w:lang w:val="es-US"/>
        </w:rPr>
        <w:t xml:space="preserve">. El Estado explicó que los soldados estadounidenses dispararon en contra de los panameños en defensa personal, varios soldados resultaron heridos y cuatro panameños fallecieron. De acuerdo con el Estado, no </w:t>
      </w:r>
      <w:r w:rsidR="00B1577C">
        <w:rPr>
          <w:rFonts w:ascii="Cambria" w:eastAsia="MS Mincho" w:hAnsi="Cambria"/>
          <w:sz w:val="20"/>
          <w:szCs w:val="20"/>
          <w:bdr w:val="none" w:sz="0" w:space="0" w:color="auto"/>
          <w:lang w:val="es-US"/>
        </w:rPr>
        <w:t xml:space="preserve">fue posible </w:t>
      </w:r>
      <w:r w:rsidRPr="008A2A90">
        <w:rPr>
          <w:rFonts w:ascii="Cambria" w:eastAsia="MS Mincho" w:hAnsi="Cambria"/>
          <w:sz w:val="20"/>
          <w:szCs w:val="20"/>
          <w:bdr w:val="none" w:sz="0" w:space="0" w:color="auto"/>
          <w:lang w:val="es-US"/>
        </w:rPr>
        <w:t xml:space="preserve"> distinguir si la causa de las muertes había sido la detonación de la granada o los disparos.  El quinto panameño había resultado herido por la explosión y seguidamente hizo un movimiento el cual fue interpretado por un soldado como amenazante por lo cual disparó</w:t>
      </w:r>
      <w:r w:rsidRPr="008A2A90">
        <w:rPr>
          <w:rStyle w:val="FootnoteReference"/>
          <w:rFonts w:ascii="Cambria" w:eastAsia="MS Mincho" w:hAnsi="Cambria"/>
          <w:sz w:val="20"/>
          <w:szCs w:val="20"/>
          <w:bdr w:val="none" w:sz="0" w:space="0" w:color="auto"/>
        </w:rPr>
        <w:footnoteReference w:id="196"/>
      </w:r>
      <w:r w:rsidRPr="008A2A90">
        <w:rPr>
          <w:rFonts w:ascii="Cambria" w:eastAsia="MS Mincho" w:hAnsi="Cambria"/>
          <w:sz w:val="20"/>
          <w:szCs w:val="20"/>
          <w:bdr w:val="none" w:sz="0" w:space="0" w:color="auto"/>
          <w:lang w:val="es-US"/>
        </w:rPr>
        <w:t>. Este último soldado fue juzgado y absuelto por homicidio en una Corte Marc</w:t>
      </w:r>
      <w:r w:rsidRPr="00B053C8">
        <w:rPr>
          <w:rFonts w:ascii="Cambria" w:eastAsia="MS Mincho" w:hAnsi="Cambria"/>
          <w:sz w:val="20"/>
          <w:szCs w:val="20"/>
          <w:bdr w:val="none" w:sz="0" w:space="0" w:color="auto"/>
          <w:lang w:val="es-US"/>
        </w:rPr>
        <w:t>ial</w:t>
      </w:r>
      <w:r w:rsidRPr="00B053C8">
        <w:rPr>
          <w:rStyle w:val="FootnoteReference"/>
          <w:rFonts w:ascii="Cambria" w:eastAsia="MS Mincho" w:hAnsi="Cambria"/>
          <w:sz w:val="20"/>
          <w:szCs w:val="20"/>
          <w:bdr w:val="none" w:sz="0" w:space="0" w:color="auto"/>
        </w:rPr>
        <w:footnoteReference w:id="197"/>
      </w:r>
      <w:r w:rsidRPr="00B053C8">
        <w:rPr>
          <w:rFonts w:ascii="Cambria" w:eastAsia="MS Mincho" w:hAnsi="Cambria"/>
          <w:sz w:val="20"/>
          <w:szCs w:val="20"/>
          <w:bdr w:val="none" w:sz="0" w:space="0" w:color="auto"/>
          <w:lang w:val="es-US"/>
        </w:rPr>
        <w:t>.</w:t>
      </w:r>
    </w:p>
    <w:p w:rsidR="005F4DC5" w:rsidRPr="00B053C8" w:rsidRDefault="005F4DC5" w:rsidP="009712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CO"/>
        </w:rPr>
      </w:pPr>
    </w:p>
    <w:p w:rsidR="00451B0F" w:rsidRPr="00B053C8" w:rsidRDefault="00612DD3" w:rsidP="005E2ED1">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MS Mincho"/>
          <w:b/>
          <w:sz w:val="20"/>
          <w:szCs w:val="20"/>
          <w:bdr w:val="none" w:sz="0" w:space="0" w:color="auto"/>
          <w:lang w:val="es-CO"/>
        </w:rPr>
      </w:pPr>
      <w:r w:rsidRPr="00B053C8">
        <w:rPr>
          <w:rFonts w:eastAsia="MS Mincho"/>
          <w:b/>
          <w:sz w:val="20"/>
          <w:szCs w:val="20"/>
          <w:bdr w:val="none" w:sz="0" w:space="0" w:color="auto"/>
          <w:lang w:val="es-CO"/>
        </w:rPr>
        <w:t>Otras circunstancias, c</w:t>
      </w:r>
      <w:r w:rsidR="00451B0F" w:rsidRPr="00B053C8">
        <w:rPr>
          <w:rFonts w:eastAsia="MS Mincho"/>
          <w:b/>
          <w:sz w:val="20"/>
          <w:szCs w:val="20"/>
          <w:bdr w:val="none" w:sz="0" w:space="0" w:color="auto"/>
          <w:lang w:val="es-CO"/>
        </w:rPr>
        <w:t>ircunstancias desconocidas y restos mortales encontrados en fosas comunes</w:t>
      </w:r>
    </w:p>
    <w:p w:rsidR="005F4DC5" w:rsidRPr="009712EB" w:rsidRDefault="005F4DC5" w:rsidP="009712EB">
      <w:pPr>
        <w:pBdr>
          <w:top w:val="none" w:sz="0" w:space="0" w:color="auto"/>
          <w:left w:val="none" w:sz="0" w:space="0" w:color="auto"/>
          <w:bottom w:val="none" w:sz="0" w:space="0" w:color="auto"/>
          <w:right w:val="none" w:sz="0" w:space="0" w:color="auto"/>
          <w:between w:val="none" w:sz="0" w:space="0" w:color="auto"/>
          <w:bar w:val="none" w:sz="0" w:color="auto"/>
        </w:pBdr>
        <w:ind w:left="1800"/>
        <w:jc w:val="both"/>
        <w:rPr>
          <w:rFonts w:ascii="Cambria" w:eastAsia="MS Mincho" w:hAnsi="Cambria"/>
          <w:b/>
          <w:sz w:val="20"/>
          <w:szCs w:val="20"/>
          <w:bdr w:val="none" w:sz="0" w:space="0" w:color="auto"/>
          <w:lang w:val="es-CO"/>
        </w:rPr>
      </w:pPr>
    </w:p>
    <w:p w:rsidR="00612DD3"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Elizabeth Ramos Rudas</w:t>
      </w:r>
      <w:r w:rsidRPr="009712EB">
        <w:rPr>
          <w:rFonts w:ascii="Cambria" w:eastAsia="MS Mincho" w:hAnsi="Cambria"/>
          <w:sz w:val="20"/>
          <w:szCs w:val="20"/>
          <w:bdr w:val="none" w:sz="0" w:space="0" w:color="auto"/>
          <w:lang w:val="es-CO"/>
        </w:rPr>
        <w:t xml:space="preserve"> identificada en el caso No. 3, era una mujer de 23 años de edad de nacionalidad panameña</w:t>
      </w:r>
      <w:r w:rsidRPr="009712EB">
        <w:rPr>
          <w:rFonts w:ascii="Cambria" w:eastAsia="MS Mincho" w:hAnsi="Cambria"/>
          <w:sz w:val="20"/>
          <w:szCs w:val="20"/>
          <w:bdr w:val="none" w:sz="0" w:space="0" w:color="auto"/>
          <w:vertAlign w:val="superscript"/>
        </w:rPr>
        <w:footnoteReference w:id="198"/>
      </w:r>
      <w:r w:rsidRPr="009712EB">
        <w:rPr>
          <w:rFonts w:ascii="Cambria" w:eastAsia="MS Mincho" w:hAnsi="Cambria"/>
          <w:sz w:val="20"/>
          <w:szCs w:val="20"/>
          <w:bdr w:val="none" w:sz="0" w:space="0" w:color="auto"/>
          <w:lang w:val="es-CO"/>
        </w:rPr>
        <w:t>. De acuerdo con información en el expediente, la noche 19 de diciembre de 1989 se encontraba acompañando a su hermana quien estaba dando a luz en el Hospital Santo Tomás</w:t>
      </w:r>
      <w:r w:rsidRPr="009712EB">
        <w:rPr>
          <w:rFonts w:ascii="Cambria" w:eastAsia="MS Mincho" w:hAnsi="Cambria"/>
          <w:sz w:val="20"/>
          <w:szCs w:val="20"/>
          <w:bdr w:val="none" w:sz="0" w:space="0" w:color="auto"/>
          <w:vertAlign w:val="superscript"/>
        </w:rPr>
        <w:footnoteReference w:id="199"/>
      </w:r>
      <w:r w:rsidRPr="009712EB">
        <w:rPr>
          <w:rFonts w:ascii="Cambria" w:eastAsia="MS Mincho" w:hAnsi="Cambria"/>
          <w:sz w:val="20"/>
          <w:szCs w:val="20"/>
          <w:bdr w:val="none" w:sz="0" w:space="0" w:color="auto"/>
          <w:lang w:val="es-CO"/>
        </w:rPr>
        <w:t xml:space="preserve">. A partir de los hechos ocurridos a las primeras horas del 20 de diciembre, </w:t>
      </w:r>
      <w:r w:rsidR="00743DC1">
        <w:rPr>
          <w:rFonts w:ascii="Cambria" w:eastAsia="MS Mincho" w:hAnsi="Cambria"/>
          <w:sz w:val="20"/>
          <w:szCs w:val="20"/>
          <w:bdr w:val="none" w:sz="0" w:space="0" w:color="auto"/>
          <w:lang w:val="es-CO"/>
        </w:rPr>
        <w:t>su familia</w:t>
      </w:r>
      <w:r w:rsidRPr="009712EB">
        <w:rPr>
          <w:rFonts w:ascii="Cambria" w:eastAsia="MS Mincho" w:hAnsi="Cambria"/>
          <w:sz w:val="20"/>
          <w:szCs w:val="20"/>
          <w:bdr w:val="none" w:sz="0" w:space="0" w:color="auto"/>
          <w:lang w:val="es-CO"/>
        </w:rPr>
        <w:t xml:space="preserve"> no </w:t>
      </w:r>
      <w:r w:rsidR="00743DC1">
        <w:rPr>
          <w:rFonts w:ascii="Cambria" w:eastAsia="MS Mincho" w:hAnsi="Cambria"/>
          <w:sz w:val="20"/>
          <w:szCs w:val="20"/>
          <w:bdr w:val="none" w:sz="0" w:space="0" w:color="auto"/>
          <w:lang w:val="es-CO"/>
        </w:rPr>
        <w:t xml:space="preserve">tuvo </w:t>
      </w:r>
      <w:r w:rsidRPr="009712EB">
        <w:rPr>
          <w:rFonts w:ascii="Cambria" w:eastAsia="MS Mincho" w:hAnsi="Cambria"/>
          <w:sz w:val="20"/>
          <w:szCs w:val="20"/>
          <w:bdr w:val="none" w:sz="0" w:space="0" w:color="auto"/>
          <w:lang w:val="es-CO"/>
        </w:rPr>
        <w:t>conocimiento sobre ella o su ubicación hasta que su cuerpo fue encontrado en la fosa común de Jardín de Paz</w:t>
      </w:r>
      <w:r w:rsidRPr="009712EB">
        <w:rPr>
          <w:rFonts w:ascii="Cambria" w:eastAsia="MS Mincho" w:hAnsi="Cambria"/>
          <w:sz w:val="20"/>
          <w:szCs w:val="20"/>
          <w:bdr w:val="none" w:sz="0" w:space="0" w:color="auto"/>
          <w:vertAlign w:val="superscript"/>
        </w:rPr>
        <w:footnoteReference w:id="200"/>
      </w:r>
      <w:r w:rsidRPr="009712EB">
        <w:rPr>
          <w:rFonts w:ascii="Cambria" w:eastAsia="MS Mincho" w:hAnsi="Cambria"/>
          <w:sz w:val="20"/>
          <w:szCs w:val="20"/>
          <w:bdr w:val="none" w:sz="0" w:space="0" w:color="auto"/>
          <w:lang w:val="es-CO"/>
        </w:rPr>
        <w:t>. Según su certificado de defunción, Elizabeth Ramos habría fallecido el 20 de diciembre de 1989 a causa de heridas por proyectil de arma de fuego</w:t>
      </w:r>
      <w:r w:rsidRPr="009712EB">
        <w:rPr>
          <w:rFonts w:ascii="Cambria" w:eastAsia="MS Mincho" w:hAnsi="Cambria"/>
          <w:sz w:val="20"/>
          <w:szCs w:val="20"/>
          <w:bdr w:val="none" w:sz="0" w:space="0" w:color="auto"/>
          <w:vertAlign w:val="superscript"/>
        </w:rPr>
        <w:footnoteReference w:id="201"/>
      </w:r>
    </w:p>
    <w:p w:rsidR="004C3025" w:rsidRDefault="004C3025" w:rsidP="004C302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CO"/>
        </w:rPr>
      </w:pPr>
    </w:p>
    <w:p w:rsidR="00612DD3" w:rsidRPr="009712EB"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 xml:space="preserve">Rosa Victoria Vanegas Marín </w:t>
      </w:r>
      <w:r w:rsidRPr="009712EB">
        <w:rPr>
          <w:rFonts w:ascii="Cambria" w:eastAsia="MS Mincho" w:hAnsi="Cambria"/>
          <w:sz w:val="20"/>
          <w:szCs w:val="20"/>
          <w:bdr w:val="none" w:sz="0" w:space="0" w:color="auto"/>
          <w:lang w:val="es-CO"/>
        </w:rPr>
        <w:t>identificada en el caso No. 61, era una mujer de 69 años de edad de nacionalidad panameña</w:t>
      </w:r>
      <w:r w:rsidRPr="009712EB">
        <w:rPr>
          <w:rFonts w:ascii="Cambria" w:eastAsia="MS Mincho" w:hAnsi="Cambria"/>
          <w:sz w:val="20"/>
          <w:szCs w:val="20"/>
          <w:bdr w:val="none" w:sz="0" w:space="0" w:color="auto"/>
          <w:vertAlign w:val="superscript"/>
        </w:rPr>
        <w:footnoteReference w:id="202"/>
      </w:r>
      <w:r w:rsidRPr="009712EB">
        <w:rPr>
          <w:rFonts w:ascii="Cambria" w:eastAsia="MS Mincho" w:hAnsi="Cambria"/>
          <w:sz w:val="20"/>
          <w:szCs w:val="20"/>
          <w:bdr w:val="none" w:sz="0" w:space="0" w:color="auto"/>
          <w:lang w:val="es-CO"/>
        </w:rPr>
        <w:t xml:space="preserve">. Según relato de su hijo quien </w:t>
      </w:r>
      <w:r w:rsidR="00B0187A">
        <w:rPr>
          <w:rFonts w:ascii="Cambria" w:eastAsia="MS Mincho" w:hAnsi="Cambria"/>
          <w:sz w:val="20"/>
          <w:szCs w:val="20"/>
          <w:bdr w:val="none" w:sz="0" w:space="0" w:color="auto"/>
          <w:lang w:val="es-CO"/>
        </w:rPr>
        <w:t>presenció lo ocurrido</w:t>
      </w:r>
      <w:r w:rsidRPr="009712EB">
        <w:rPr>
          <w:rFonts w:ascii="Cambria" w:eastAsia="MS Mincho" w:hAnsi="Cambria"/>
          <w:sz w:val="20"/>
          <w:szCs w:val="20"/>
          <w:bdr w:val="none" w:sz="0" w:space="0" w:color="auto"/>
          <w:lang w:val="es-CO"/>
        </w:rPr>
        <w:t>, el 24 de diciembre de 1989 alrededor de las 5 pm, la señora Rosa Vanegas, enferma y en compañía de su hijo, estaba siendo trasladada a un hospital en un vehículo de la Cruz Roja</w:t>
      </w:r>
      <w:r w:rsidRPr="009712EB">
        <w:rPr>
          <w:rFonts w:ascii="Cambria" w:eastAsia="MS Mincho" w:hAnsi="Cambria"/>
          <w:sz w:val="20"/>
          <w:szCs w:val="20"/>
          <w:bdr w:val="none" w:sz="0" w:space="0" w:color="auto"/>
          <w:vertAlign w:val="superscript"/>
        </w:rPr>
        <w:footnoteReference w:id="203"/>
      </w:r>
      <w:r w:rsidRPr="009712EB">
        <w:rPr>
          <w:rFonts w:ascii="Cambria" w:eastAsia="MS Mincho" w:hAnsi="Cambria"/>
          <w:sz w:val="20"/>
          <w:szCs w:val="20"/>
          <w:bdr w:val="none" w:sz="0" w:space="0" w:color="auto"/>
          <w:lang w:val="es-CO"/>
        </w:rPr>
        <w:t>. Cuando se encontraban a la altura de la Nunciatura, de acuerdo con el hijo Fabio Vanegas, soldados estadounidenses dispararon en contra del vehículo hiriendo gravemente a su madre</w:t>
      </w:r>
      <w:r w:rsidRPr="009712EB">
        <w:rPr>
          <w:rFonts w:ascii="Cambria" w:eastAsia="MS Mincho" w:hAnsi="Cambria"/>
          <w:sz w:val="20"/>
          <w:szCs w:val="20"/>
          <w:bdr w:val="none" w:sz="0" w:space="0" w:color="auto"/>
          <w:vertAlign w:val="superscript"/>
        </w:rPr>
        <w:footnoteReference w:id="204"/>
      </w:r>
      <w:r w:rsidRPr="009712EB">
        <w:rPr>
          <w:rFonts w:ascii="Cambria" w:eastAsia="MS Mincho" w:hAnsi="Cambria"/>
          <w:sz w:val="20"/>
          <w:szCs w:val="20"/>
          <w:bdr w:val="none" w:sz="0" w:space="0" w:color="auto"/>
          <w:lang w:val="es-CO"/>
        </w:rPr>
        <w:t xml:space="preserve">. </w:t>
      </w:r>
    </w:p>
    <w:p w:rsidR="00612DD3" w:rsidRPr="009712EB" w:rsidRDefault="00612DD3" w:rsidP="00560D6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612DD3"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sz w:val="20"/>
          <w:szCs w:val="20"/>
          <w:bdr w:val="none" w:sz="0" w:space="0" w:color="auto"/>
          <w:lang w:val="es-CO"/>
        </w:rPr>
        <w:t xml:space="preserve">La Sra. Rosa Vanegas fue enterrada en la fosa común </w:t>
      </w:r>
      <w:r w:rsidR="00B0187A">
        <w:rPr>
          <w:rFonts w:ascii="Cambria" w:eastAsia="MS Mincho" w:hAnsi="Cambria"/>
          <w:sz w:val="20"/>
          <w:szCs w:val="20"/>
          <w:bdr w:val="none" w:sz="0" w:space="0" w:color="auto"/>
          <w:lang w:val="es-CO"/>
        </w:rPr>
        <w:t xml:space="preserve">de </w:t>
      </w:r>
      <w:r w:rsidRPr="009712EB">
        <w:rPr>
          <w:rFonts w:ascii="Cambria" w:eastAsia="MS Mincho" w:hAnsi="Cambria"/>
          <w:sz w:val="20"/>
          <w:szCs w:val="20"/>
          <w:bdr w:val="none" w:sz="0" w:space="0" w:color="auto"/>
          <w:lang w:val="es-CO"/>
        </w:rPr>
        <w:t xml:space="preserve">Jardín de Paz antes de que los familiares pudieran reclamar sus restos, aun cuando </w:t>
      </w:r>
      <w:r w:rsidR="00B0187A">
        <w:rPr>
          <w:rFonts w:ascii="Cambria" w:eastAsia="MS Mincho" w:hAnsi="Cambria"/>
          <w:sz w:val="20"/>
          <w:szCs w:val="20"/>
          <w:bdr w:val="none" w:sz="0" w:space="0" w:color="auto"/>
          <w:lang w:val="es-CO"/>
        </w:rPr>
        <w:t>había sido</w:t>
      </w:r>
      <w:r w:rsidRPr="009712EB">
        <w:rPr>
          <w:rFonts w:ascii="Cambria" w:eastAsia="MS Mincho" w:hAnsi="Cambria"/>
          <w:sz w:val="20"/>
          <w:szCs w:val="20"/>
          <w:bdr w:val="none" w:sz="0" w:space="0" w:color="auto"/>
          <w:lang w:val="es-CO"/>
        </w:rPr>
        <w:t xml:space="preserve"> identificada en la morgue del Hospital Santo Tomás</w:t>
      </w:r>
      <w:r w:rsidRPr="009712EB">
        <w:rPr>
          <w:rFonts w:ascii="Cambria" w:eastAsia="MS Mincho" w:hAnsi="Cambria"/>
          <w:sz w:val="20"/>
          <w:szCs w:val="20"/>
          <w:bdr w:val="none" w:sz="0" w:space="0" w:color="auto"/>
          <w:vertAlign w:val="superscript"/>
        </w:rPr>
        <w:footnoteReference w:id="205"/>
      </w:r>
      <w:r w:rsidRPr="009712EB">
        <w:rPr>
          <w:rFonts w:ascii="Cambria" w:eastAsia="MS Mincho" w:hAnsi="Cambria"/>
          <w:sz w:val="20"/>
          <w:szCs w:val="20"/>
          <w:bdr w:val="none" w:sz="0" w:space="0" w:color="auto"/>
          <w:lang w:val="es-CO"/>
        </w:rPr>
        <w:t xml:space="preserve">. Es importante destacar que en el certificado de defunción presentado por la parte peticionaria se </w:t>
      </w:r>
      <w:r w:rsidRPr="009712EB">
        <w:rPr>
          <w:rFonts w:ascii="Cambria" w:eastAsia="MS Mincho" w:hAnsi="Cambria"/>
          <w:sz w:val="20"/>
          <w:szCs w:val="20"/>
          <w:bdr w:val="none" w:sz="0" w:space="0" w:color="auto"/>
          <w:lang w:val="es-CO"/>
        </w:rPr>
        <w:lastRenderedPageBreak/>
        <w:t>indica que murió a causa de un cáncer metástasis pulmonar</w:t>
      </w:r>
      <w:r w:rsidR="00B0187A">
        <w:rPr>
          <w:rFonts w:ascii="Cambria" w:eastAsia="MS Mincho" w:hAnsi="Cambria"/>
          <w:sz w:val="20"/>
          <w:szCs w:val="20"/>
          <w:bdr w:val="none" w:sz="0" w:space="0" w:color="auto"/>
          <w:lang w:val="es-CO"/>
        </w:rPr>
        <w:t>.</w:t>
      </w:r>
      <w:r w:rsidRPr="009712EB">
        <w:rPr>
          <w:rFonts w:ascii="Cambria" w:eastAsia="MS Mincho" w:hAnsi="Cambria"/>
          <w:sz w:val="20"/>
          <w:szCs w:val="20"/>
          <w:bdr w:val="none" w:sz="0" w:space="0" w:color="auto"/>
          <w:lang w:val="es-CO"/>
        </w:rPr>
        <w:t xml:space="preserve"> </w:t>
      </w:r>
      <w:r w:rsidR="00B0187A">
        <w:rPr>
          <w:rFonts w:ascii="Cambria" w:eastAsia="MS Mincho" w:hAnsi="Cambria"/>
          <w:sz w:val="20"/>
          <w:szCs w:val="20"/>
          <w:bdr w:val="none" w:sz="0" w:space="0" w:color="auto"/>
          <w:lang w:val="es-CO"/>
        </w:rPr>
        <w:t xml:space="preserve">Una fotografía de sus restos también fue presentada, </w:t>
      </w:r>
      <w:r w:rsidRPr="009712EB">
        <w:rPr>
          <w:rFonts w:ascii="Cambria" w:eastAsia="MS Mincho" w:hAnsi="Cambria"/>
          <w:sz w:val="20"/>
          <w:szCs w:val="20"/>
          <w:bdr w:val="none" w:sz="0" w:space="0" w:color="auto"/>
          <w:lang w:val="es-CO"/>
        </w:rPr>
        <w:t xml:space="preserve">en </w:t>
      </w:r>
      <w:r w:rsidR="00B0187A">
        <w:rPr>
          <w:rFonts w:ascii="Cambria" w:eastAsia="MS Mincho" w:hAnsi="Cambria"/>
          <w:sz w:val="20"/>
          <w:szCs w:val="20"/>
          <w:bdr w:val="none" w:sz="0" w:space="0" w:color="auto"/>
          <w:lang w:val="es-CO"/>
        </w:rPr>
        <w:t>la cual a</w:t>
      </w:r>
      <w:r w:rsidRPr="009712EB">
        <w:rPr>
          <w:rFonts w:ascii="Cambria" w:eastAsia="MS Mincho" w:hAnsi="Cambria"/>
          <w:sz w:val="20"/>
          <w:szCs w:val="20"/>
          <w:bdr w:val="none" w:sz="0" w:space="0" w:color="auto"/>
          <w:lang w:val="es-CO"/>
        </w:rPr>
        <w:t xml:space="preserve">parece </w:t>
      </w:r>
      <w:r w:rsidR="00B0187A">
        <w:rPr>
          <w:rFonts w:ascii="Cambria" w:eastAsia="MS Mincho" w:hAnsi="Cambria"/>
          <w:sz w:val="20"/>
          <w:szCs w:val="20"/>
          <w:bdr w:val="none" w:sz="0" w:space="0" w:color="auto"/>
          <w:lang w:val="es-CO"/>
        </w:rPr>
        <w:t xml:space="preserve">sin ropa  y </w:t>
      </w:r>
      <w:r w:rsidRPr="009712EB">
        <w:rPr>
          <w:rFonts w:ascii="Cambria" w:eastAsia="MS Mincho" w:hAnsi="Cambria"/>
          <w:sz w:val="20"/>
          <w:szCs w:val="20"/>
          <w:bdr w:val="none" w:sz="0" w:space="0" w:color="auto"/>
          <w:lang w:val="es-CO"/>
        </w:rPr>
        <w:t>en una bolsa negra</w:t>
      </w:r>
      <w:r w:rsidR="00B0187A">
        <w:rPr>
          <w:rFonts w:ascii="Cambria" w:eastAsia="MS Mincho" w:hAnsi="Cambria"/>
          <w:sz w:val="20"/>
          <w:szCs w:val="20"/>
          <w:bdr w:val="none" w:sz="0" w:space="0" w:color="auto"/>
          <w:lang w:val="es-CO"/>
        </w:rPr>
        <w:t>. Un</w:t>
      </w:r>
      <w:r w:rsidRPr="009712EB">
        <w:rPr>
          <w:rFonts w:ascii="Cambria" w:eastAsia="MS Mincho" w:hAnsi="Cambria"/>
          <w:sz w:val="20"/>
          <w:szCs w:val="20"/>
          <w:bdr w:val="none" w:sz="0" w:space="0" w:color="auto"/>
          <w:lang w:val="es-CO"/>
        </w:rPr>
        <w:t xml:space="preserve"> certificado de defunción </w:t>
      </w:r>
      <w:r w:rsidR="00B0187A">
        <w:rPr>
          <w:rFonts w:ascii="Cambria" w:eastAsia="MS Mincho" w:hAnsi="Cambria"/>
          <w:sz w:val="20"/>
          <w:szCs w:val="20"/>
          <w:bdr w:val="none" w:sz="0" w:space="0" w:color="auto"/>
          <w:lang w:val="es-CO"/>
        </w:rPr>
        <w:t xml:space="preserve">diferente indica que la </w:t>
      </w:r>
      <w:r w:rsidRPr="009712EB">
        <w:rPr>
          <w:rFonts w:ascii="Cambria" w:eastAsia="MS Mincho" w:hAnsi="Cambria"/>
          <w:sz w:val="20"/>
          <w:szCs w:val="20"/>
          <w:bdr w:val="none" w:sz="0" w:space="0" w:color="auto"/>
          <w:lang w:val="es-CO"/>
        </w:rPr>
        <w:t xml:space="preserve">causa de muerte </w:t>
      </w:r>
      <w:r w:rsidR="00B0187A">
        <w:rPr>
          <w:rFonts w:ascii="Cambria" w:eastAsia="MS Mincho" w:hAnsi="Cambria"/>
          <w:sz w:val="20"/>
          <w:szCs w:val="20"/>
          <w:bdr w:val="none" w:sz="0" w:space="0" w:color="auto"/>
          <w:lang w:val="es-CO"/>
        </w:rPr>
        <w:t xml:space="preserve">fue un </w:t>
      </w:r>
      <w:r w:rsidRPr="009712EB">
        <w:rPr>
          <w:rFonts w:ascii="Cambria" w:eastAsia="MS Mincho" w:hAnsi="Cambria"/>
          <w:sz w:val="20"/>
          <w:szCs w:val="20"/>
          <w:bdr w:val="none" w:sz="0" w:space="0" w:color="auto"/>
          <w:lang w:val="es-CO"/>
        </w:rPr>
        <w:t>“traumatismo toraco cerrado” en el contexto de “guerra”.</w:t>
      </w:r>
      <w:r w:rsidRPr="009712EB">
        <w:rPr>
          <w:rFonts w:ascii="Cambria" w:eastAsia="MS Mincho" w:hAnsi="Cambria"/>
          <w:sz w:val="20"/>
          <w:szCs w:val="20"/>
          <w:bdr w:val="none" w:sz="0" w:space="0" w:color="auto"/>
          <w:vertAlign w:val="superscript"/>
        </w:rPr>
        <w:footnoteReference w:id="206"/>
      </w:r>
      <w:r w:rsidRPr="009712EB">
        <w:rPr>
          <w:rFonts w:ascii="Cambria" w:eastAsia="MS Mincho" w:hAnsi="Cambria"/>
          <w:sz w:val="20"/>
          <w:szCs w:val="20"/>
          <w:bdr w:val="none" w:sz="0" w:space="0" w:color="auto"/>
          <w:lang w:val="es-CO"/>
        </w:rPr>
        <w:t xml:space="preserve"> </w:t>
      </w:r>
    </w:p>
    <w:p w:rsidR="00612DD3" w:rsidRPr="00612DD3" w:rsidRDefault="00612DD3" w:rsidP="00560D6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612DD3" w:rsidRPr="00612DD3"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 xml:space="preserve">Luis Gustavo Torreglosa Estrada </w:t>
      </w:r>
      <w:r w:rsidRPr="009712EB">
        <w:rPr>
          <w:rFonts w:ascii="Cambria" w:eastAsia="MS Mincho" w:hAnsi="Cambria"/>
          <w:sz w:val="20"/>
          <w:szCs w:val="20"/>
          <w:bdr w:val="none" w:sz="0" w:space="0" w:color="auto"/>
          <w:lang w:val="es-CO"/>
        </w:rPr>
        <w:t>identificado en el caso No. 63, era un hombre de 35 años de edad de nacionalidad panameña</w:t>
      </w:r>
      <w:r w:rsidRPr="009712EB">
        <w:rPr>
          <w:rFonts w:ascii="Cambria" w:eastAsia="MS Mincho" w:hAnsi="Cambria"/>
          <w:sz w:val="20"/>
          <w:szCs w:val="20"/>
          <w:bdr w:val="none" w:sz="0" w:space="0" w:color="auto"/>
          <w:vertAlign w:val="superscript"/>
        </w:rPr>
        <w:footnoteReference w:id="207"/>
      </w:r>
      <w:r w:rsidRPr="009712EB">
        <w:rPr>
          <w:rFonts w:ascii="Cambria" w:eastAsia="MS Mincho" w:hAnsi="Cambria"/>
          <w:sz w:val="20"/>
          <w:szCs w:val="20"/>
          <w:bdr w:val="none" w:sz="0" w:space="0" w:color="auto"/>
          <w:lang w:val="es-CO"/>
        </w:rPr>
        <w:t>. Según relato presentado, en la noche del 19 de diciembre de 1989 salió en un vehículo acompañado de otras 2 personas no identificadas y cuando pasaban a la altura de la Iglesia de San José, “un grupo de norteamericanos vestidos de civiles” comenzó a disparar en contra del vehículo</w:t>
      </w:r>
      <w:r w:rsidRPr="009712EB">
        <w:rPr>
          <w:rFonts w:ascii="Cambria" w:eastAsia="MS Mincho" w:hAnsi="Cambria"/>
          <w:sz w:val="20"/>
          <w:szCs w:val="20"/>
          <w:bdr w:val="none" w:sz="0" w:space="0" w:color="auto"/>
          <w:vertAlign w:val="superscript"/>
        </w:rPr>
        <w:footnoteReference w:id="208"/>
      </w:r>
      <w:r w:rsidRPr="009712EB">
        <w:rPr>
          <w:rFonts w:ascii="Cambria" w:eastAsia="MS Mincho" w:hAnsi="Cambria"/>
          <w:sz w:val="20"/>
          <w:szCs w:val="20"/>
          <w:bdr w:val="none" w:sz="0" w:space="0" w:color="auto"/>
          <w:lang w:val="es-CO"/>
        </w:rPr>
        <w:t>. Sus familiares tuvieron cono</w:t>
      </w:r>
      <w:r w:rsidR="003F3CE1">
        <w:rPr>
          <w:rFonts w:ascii="Cambria" w:eastAsia="MS Mincho" w:hAnsi="Cambria"/>
          <w:sz w:val="20"/>
          <w:szCs w:val="20"/>
          <w:bdr w:val="none" w:sz="0" w:space="0" w:color="auto"/>
          <w:lang w:val="es-CO"/>
        </w:rPr>
        <w:t xml:space="preserve">cimiento del hecho por la radio. Como consecuencia, </w:t>
      </w:r>
      <w:r w:rsidRPr="009712EB">
        <w:rPr>
          <w:rFonts w:ascii="Cambria" w:eastAsia="MS Mincho" w:hAnsi="Cambria"/>
          <w:sz w:val="20"/>
          <w:szCs w:val="20"/>
          <w:bdr w:val="none" w:sz="0" w:space="0" w:color="auto"/>
          <w:lang w:val="es-CO"/>
        </w:rPr>
        <w:t xml:space="preserve">el 20 de diciembre 1989 </w:t>
      </w:r>
      <w:r w:rsidR="003F3CE1" w:rsidRPr="009712EB">
        <w:rPr>
          <w:rFonts w:ascii="Cambria" w:eastAsia="MS Mincho" w:hAnsi="Cambria"/>
          <w:sz w:val="20"/>
          <w:szCs w:val="20"/>
          <w:bdr w:val="none" w:sz="0" w:space="0" w:color="auto"/>
          <w:lang w:val="es-CO"/>
        </w:rPr>
        <w:t xml:space="preserve">su hermano </w:t>
      </w:r>
      <w:r w:rsidRPr="009712EB">
        <w:rPr>
          <w:rFonts w:ascii="Cambria" w:eastAsia="MS Mincho" w:hAnsi="Cambria"/>
          <w:sz w:val="20"/>
          <w:szCs w:val="20"/>
          <w:bdr w:val="none" w:sz="0" w:space="0" w:color="auto"/>
          <w:lang w:val="es-CO"/>
        </w:rPr>
        <w:t>lo reconoció en el suelo de la morgue “con un disparo en la nuca con salida en la frente y uno en la pierna”</w:t>
      </w:r>
      <w:r w:rsidRPr="009712EB">
        <w:rPr>
          <w:rFonts w:ascii="Cambria" w:eastAsia="MS Mincho" w:hAnsi="Cambria"/>
          <w:sz w:val="20"/>
          <w:szCs w:val="20"/>
          <w:bdr w:val="none" w:sz="0" w:space="0" w:color="auto"/>
          <w:vertAlign w:val="superscript"/>
        </w:rPr>
        <w:footnoteReference w:id="209"/>
      </w:r>
      <w:r w:rsidRPr="009712EB">
        <w:rPr>
          <w:rFonts w:ascii="Cambria" w:eastAsia="MS Mincho" w:hAnsi="Cambria"/>
          <w:sz w:val="20"/>
          <w:szCs w:val="20"/>
          <w:bdr w:val="none" w:sz="0" w:space="0" w:color="auto"/>
          <w:lang w:val="es-CO"/>
        </w:rPr>
        <w:t>. De acuerdo a certificado de defunción presentado, el señor Luis Torreglosa murió de una “herida traumática craneoencefálica por proyectil de arma de fuego” en Calidonia alrededor de la 1 am del 20 de diciembre de 1989</w:t>
      </w:r>
      <w:r w:rsidRPr="009712EB">
        <w:rPr>
          <w:rFonts w:ascii="Cambria" w:eastAsia="MS Mincho" w:hAnsi="Cambria"/>
          <w:sz w:val="20"/>
          <w:szCs w:val="20"/>
          <w:bdr w:val="none" w:sz="0" w:space="0" w:color="auto"/>
          <w:vertAlign w:val="superscript"/>
        </w:rPr>
        <w:footnoteReference w:id="210"/>
      </w:r>
      <w:r w:rsidRPr="009712EB">
        <w:rPr>
          <w:rFonts w:ascii="Cambria" w:eastAsia="MS Mincho" w:hAnsi="Cambria"/>
          <w:sz w:val="20"/>
          <w:szCs w:val="20"/>
          <w:bdr w:val="none" w:sz="0" w:space="0" w:color="auto"/>
          <w:lang w:val="es-CO"/>
        </w:rPr>
        <w:t xml:space="preserve">. </w:t>
      </w:r>
    </w:p>
    <w:p w:rsidR="00612DD3" w:rsidRPr="00612DD3" w:rsidRDefault="00612DD3" w:rsidP="00612DD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 xml:space="preserve">Juan Luis Marcicq Brun </w:t>
      </w:r>
      <w:r w:rsidRPr="009712EB">
        <w:rPr>
          <w:rFonts w:ascii="Cambria" w:eastAsia="MS Mincho" w:hAnsi="Cambria"/>
          <w:sz w:val="20"/>
          <w:szCs w:val="20"/>
          <w:bdr w:val="none" w:sz="0" w:space="0" w:color="auto"/>
          <w:lang w:val="es-CO"/>
        </w:rPr>
        <w:t>identificado en el caso No. 66, era un hombre de 50 años de edad, de nacionalidad panameña y residente de Paso Blanco, Pacora</w:t>
      </w:r>
      <w:r w:rsidRPr="009712EB">
        <w:rPr>
          <w:rFonts w:ascii="Cambria" w:eastAsia="MS Mincho" w:hAnsi="Cambria"/>
          <w:sz w:val="20"/>
          <w:szCs w:val="20"/>
          <w:bdr w:val="none" w:sz="0" w:space="0" w:color="auto"/>
          <w:vertAlign w:val="superscript"/>
        </w:rPr>
        <w:footnoteReference w:id="211"/>
      </w:r>
      <w:r w:rsidRPr="009712EB">
        <w:rPr>
          <w:rFonts w:ascii="Cambria" w:eastAsia="MS Mincho" w:hAnsi="Cambria"/>
          <w:sz w:val="20"/>
          <w:szCs w:val="20"/>
          <w:bdr w:val="none" w:sz="0" w:space="0" w:color="auto"/>
          <w:lang w:val="es-CO"/>
        </w:rPr>
        <w:t>. Conforme a información presentada, su familia fue notificada de su muerte el 20 de d</w:t>
      </w:r>
      <w:r w:rsidR="005E2ED1">
        <w:rPr>
          <w:rFonts w:ascii="Cambria" w:eastAsia="MS Mincho" w:hAnsi="Cambria"/>
          <w:sz w:val="20"/>
          <w:szCs w:val="20"/>
          <w:bdr w:val="none" w:sz="0" w:space="0" w:color="auto"/>
          <w:lang w:val="es-CO"/>
        </w:rPr>
        <w:t>iciembre de 1989</w:t>
      </w:r>
      <w:r w:rsidRPr="009712EB">
        <w:rPr>
          <w:rFonts w:ascii="Cambria" w:eastAsia="MS Mincho" w:hAnsi="Cambria"/>
          <w:sz w:val="20"/>
          <w:szCs w:val="20"/>
          <w:bdr w:val="none" w:sz="0" w:space="0" w:color="auto"/>
          <w:vertAlign w:val="superscript"/>
        </w:rPr>
        <w:footnoteReference w:id="212"/>
      </w:r>
      <w:r w:rsidR="005E2ED1" w:rsidRPr="00713E68">
        <w:rPr>
          <w:rFonts w:ascii="Cambria" w:eastAsia="MS Mincho" w:hAnsi="Cambria"/>
          <w:sz w:val="20"/>
          <w:szCs w:val="20"/>
          <w:bdr w:val="none" w:sz="0" w:space="0" w:color="auto"/>
          <w:lang w:val="es-ES"/>
        </w:rPr>
        <w:t xml:space="preserve">. </w:t>
      </w:r>
      <w:r w:rsidRPr="009712EB">
        <w:rPr>
          <w:rFonts w:ascii="Cambria" w:eastAsia="MS Mincho" w:hAnsi="Cambria"/>
          <w:sz w:val="20"/>
          <w:szCs w:val="20"/>
          <w:bdr w:val="none" w:sz="0" w:space="0" w:color="auto"/>
          <w:lang w:val="es-CO"/>
        </w:rPr>
        <w:t xml:space="preserve">Al comenzar la invasión él se encontraba en la Ciudad de Panamá, sin embargo, hasta la fecha desconocen las circunstancias de su muerte. Vale destacar que el certificado de defunción presentado, indica como causa de su muerte una herida por proyectil de arma </w:t>
      </w:r>
      <w:r w:rsidR="005F4DC5" w:rsidRPr="009712EB">
        <w:rPr>
          <w:rFonts w:ascii="Cambria" w:eastAsia="MS Mincho" w:hAnsi="Cambria"/>
          <w:sz w:val="20"/>
          <w:szCs w:val="20"/>
          <w:bdr w:val="none" w:sz="0" w:space="0" w:color="auto"/>
          <w:lang w:val="es-CO"/>
        </w:rPr>
        <w:t>de fuego penetrante a la cabeza</w:t>
      </w:r>
      <w:r w:rsidRPr="009712EB">
        <w:rPr>
          <w:rFonts w:ascii="Cambria" w:eastAsia="MS Mincho" w:hAnsi="Cambria"/>
          <w:sz w:val="20"/>
          <w:szCs w:val="20"/>
          <w:bdr w:val="none" w:sz="0" w:space="0" w:color="auto"/>
          <w:vertAlign w:val="superscript"/>
        </w:rPr>
        <w:footnoteReference w:id="213"/>
      </w:r>
      <w:r w:rsidRPr="009712EB">
        <w:rPr>
          <w:rFonts w:ascii="Cambria" w:eastAsia="MS Mincho" w:hAnsi="Cambria"/>
          <w:sz w:val="20"/>
          <w:szCs w:val="20"/>
          <w:bdr w:val="none" w:sz="0" w:space="0" w:color="auto"/>
          <w:lang w:val="es-CO"/>
        </w:rPr>
        <w:t xml:space="preserve"> </w:t>
      </w:r>
      <w:r w:rsidR="005F4DC5" w:rsidRPr="009712EB">
        <w:rPr>
          <w:rFonts w:ascii="Cambria" w:eastAsia="MS Mincho" w:hAnsi="Cambria"/>
          <w:sz w:val="20"/>
          <w:szCs w:val="20"/>
          <w:bdr w:val="none" w:sz="0" w:space="0" w:color="auto"/>
          <w:lang w:val="es-CO"/>
        </w:rPr>
        <w:t>.</w:t>
      </w:r>
    </w:p>
    <w:p w:rsidR="005F4DC5" w:rsidRPr="009712EB" w:rsidRDefault="005F4DC5" w:rsidP="009712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Claudio Alejandro de Roux Figueroa</w:t>
      </w:r>
      <w:r w:rsidRPr="009712EB">
        <w:rPr>
          <w:rFonts w:ascii="Cambria" w:eastAsia="MS Mincho" w:hAnsi="Cambria"/>
          <w:sz w:val="20"/>
          <w:szCs w:val="20"/>
          <w:bdr w:val="none" w:sz="0" w:space="0" w:color="auto"/>
          <w:lang w:val="es-CO"/>
        </w:rPr>
        <w:t xml:space="preserve"> identificado en el caso No. 67, era un hombre de 21 años de edad de nacionalidad panameña al momento de los hechos.</w:t>
      </w:r>
      <w:r w:rsidRPr="009712EB">
        <w:rPr>
          <w:rFonts w:ascii="Cambria" w:eastAsia="MS Mincho" w:hAnsi="Cambria"/>
          <w:sz w:val="20"/>
          <w:szCs w:val="20"/>
          <w:bdr w:val="none" w:sz="0" w:space="0" w:color="auto"/>
          <w:vertAlign w:val="superscript"/>
        </w:rPr>
        <w:footnoteReference w:id="214"/>
      </w:r>
      <w:r w:rsidRPr="009712EB">
        <w:rPr>
          <w:rFonts w:ascii="Cambria" w:eastAsia="MS Mincho" w:hAnsi="Cambria"/>
          <w:sz w:val="20"/>
          <w:szCs w:val="20"/>
          <w:bdr w:val="none" w:sz="0" w:space="0" w:color="auto"/>
          <w:lang w:val="es-CO"/>
        </w:rPr>
        <w:t xml:space="preserve"> Conforme a la información presentada, Claudio de Roux ingresó a la urgencia del Hospital Santo Tomás el 24 de diciembre de 1989 a las 12.05 am con heridas múltiples por arma de </w:t>
      </w:r>
      <w:r w:rsidR="00D83A6D">
        <w:rPr>
          <w:rFonts w:ascii="Cambria" w:eastAsia="MS Mincho" w:hAnsi="Cambria"/>
          <w:sz w:val="20"/>
          <w:szCs w:val="20"/>
          <w:bdr w:val="none" w:sz="0" w:space="0" w:color="auto"/>
          <w:lang w:val="es-CO"/>
        </w:rPr>
        <w:t>fuego en la espalda y falleció por un</w:t>
      </w:r>
      <w:r w:rsidRPr="009712EB">
        <w:rPr>
          <w:rFonts w:ascii="Cambria" w:eastAsia="MS Mincho" w:hAnsi="Cambria"/>
          <w:sz w:val="20"/>
          <w:szCs w:val="20"/>
          <w:bdr w:val="none" w:sz="0" w:space="0" w:color="auto"/>
          <w:lang w:val="es-CO"/>
        </w:rPr>
        <w:t xml:space="preserve"> paro cardiorrespiratorio a las 2.45 am</w:t>
      </w:r>
      <w:r w:rsidRPr="009712EB">
        <w:rPr>
          <w:rFonts w:ascii="Cambria" w:eastAsia="MS Mincho" w:hAnsi="Cambria"/>
          <w:sz w:val="20"/>
          <w:szCs w:val="20"/>
          <w:bdr w:val="none" w:sz="0" w:space="0" w:color="auto"/>
          <w:vertAlign w:val="superscript"/>
        </w:rPr>
        <w:footnoteReference w:id="215"/>
      </w:r>
      <w:r w:rsidRPr="009712EB">
        <w:rPr>
          <w:rFonts w:ascii="Cambria" w:eastAsia="MS Mincho" w:hAnsi="Cambria"/>
          <w:sz w:val="20"/>
          <w:szCs w:val="20"/>
          <w:bdr w:val="none" w:sz="0" w:space="0" w:color="auto"/>
          <w:lang w:val="es-CO"/>
        </w:rPr>
        <w:t xml:space="preserve">. Según certificado de defunción presentado por la parte peticionaria, </w:t>
      </w:r>
      <w:r w:rsidR="00AE304B">
        <w:rPr>
          <w:rFonts w:ascii="Cambria" w:eastAsia="MS Mincho" w:hAnsi="Cambria"/>
          <w:sz w:val="20"/>
          <w:szCs w:val="20"/>
          <w:bdr w:val="none" w:sz="0" w:space="0" w:color="auto"/>
          <w:lang w:val="es-CO"/>
        </w:rPr>
        <w:t>el señor de Roux</w:t>
      </w:r>
      <w:r w:rsidR="00AE304B" w:rsidRPr="009712EB">
        <w:rPr>
          <w:rFonts w:ascii="Cambria" w:eastAsia="MS Mincho" w:hAnsi="Cambria"/>
          <w:sz w:val="20"/>
          <w:szCs w:val="20"/>
          <w:bdr w:val="none" w:sz="0" w:space="0" w:color="auto"/>
          <w:lang w:val="es-CO"/>
        </w:rPr>
        <w:t xml:space="preserve"> </w:t>
      </w:r>
      <w:r w:rsidRPr="009712EB">
        <w:rPr>
          <w:rFonts w:ascii="Cambria" w:eastAsia="MS Mincho" w:hAnsi="Cambria"/>
          <w:sz w:val="20"/>
          <w:szCs w:val="20"/>
          <w:bdr w:val="none" w:sz="0" w:space="0" w:color="auto"/>
          <w:lang w:val="es-CO"/>
        </w:rPr>
        <w:t>fue enterrado en la fosa común de Jardín de Paz</w:t>
      </w:r>
      <w:r w:rsidRPr="009712EB">
        <w:rPr>
          <w:rFonts w:ascii="Cambria" w:eastAsia="MS Mincho" w:hAnsi="Cambria"/>
          <w:sz w:val="20"/>
          <w:szCs w:val="20"/>
          <w:bdr w:val="none" w:sz="0" w:space="0" w:color="auto"/>
          <w:vertAlign w:val="superscript"/>
        </w:rPr>
        <w:footnoteReference w:id="216"/>
      </w:r>
      <w:r w:rsidRPr="009712EB">
        <w:rPr>
          <w:rFonts w:ascii="Cambria" w:eastAsia="MS Mincho" w:hAnsi="Cambria"/>
          <w:sz w:val="20"/>
          <w:szCs w:val="20"/>
          <w:bdr w:val="none" w:sz="0" w:space="0" w:color="auto"/>
          <w:lang w:val="es-CO"/>
        </w:rPr>
        <w:t xml:space="preserve">. </w:t>
      </w:r>
    </w:p>
    <w:p w:rsidR="005F4DC5" w:rsidRPr="009712EB" w:rsidRDefault="005F4DC5" w:rsidP="00560D6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sz w:val="20"/>
          <w:szCs w:val="20"/>
          <w:bdr w:val="none" w:sz="0" w:space="0" w:color="auto"/>
          <w:lang w:val="es-CO"/>
        </w:rPr>
        <w:t xml:space="preserve">De acuerdo con información presentada para el Informe Anual 1990-1991 de la CIDH, esta víctima falleció en las circunstancias descritas </w:t>
      </w:r>
      <w:r w:rsidR="00D83A6D">
        <w:rPr>
          <w:rFonts w:ascii="Cambria" w:eastAsia="MS Mincho" w:hAnsi="Cambria"/>
          <w:sz w:val="20"/>
          <w:szCs w:val="20"/>
          <w:bdr w:val="none" w:sz="0" w:space="0" w:color="auto"/>
          <w:lang w:val="es-CO"/>
        </w:rPr>
        <w:t xml:space="preserve">por las </w:t>
      </w:r>
      <w:r w:rsidRPr="009712EB">
        <w:rPr>
          <w:rFonts w:ascii="Cambria" w:eastAsia="MS Mincho" w:hAnsi="Cambria"/>
          <w:sz w:val="20"/>
          <w:szCs w:val="20"/>
          <w:bdr w:val="none" w:sz="0" w:space="0" w:color="auto"/>
          <w:lang w:val="es-CO"/>
        </w:rPr>
        <w:t>declaraciones refer</w:t>
      </w:r>
      <w:r w:rsidR="00D83A6D">
        <w:rPr>
          <w:rFonts w:ascii="Cambria" w:eastAsia="MS Mincho" w:hAnsi="Cambria"/>
          <w:sz w:val="20"/>
          <w:szCs w:val="20"/>
          <w:bdr w:val="none" w:sz="0" w:space="0" w:color="auto"/>
          <w:lang w:val="es-CO"/>
        </w:rPr>
        <w:t xml:space="preserve">idas en </w:t>
      </w:r>
      <w:r w:rsidRPr="009712EB">
        <w:rPr>
          <w:rFonts w:ascii="Cambria" w:eastAsia="MS Mincho" w:hAnsi="Cambria"/>
          <w:sz w:val="20"/>
          <w:szCs w:val="20"/>
          <w:bdr w:val="none" w:sz="0" w:space="0" w:color="auto"/>
          <w:lang w:val="es-CO"/>
        </w:rPr>
        <w:t xml:space="preserve">los casos No. 10, No. 20 y No.93, No. 78, y No. 86. Sin embargo, </w:t>
      </w:r>
      <w:r w:rsidR="00D83A6D">
        <w:rPr>
          <w:rFonts w:ascii="Cambria" w:eastAsia="MS Mincho" w:hAnsi="Cambria"/>
          <w:sz w:val="20"/>
          <w:szCs w:val="20"/>
          <w:bdr w:val="none" w:sz="0" w:space="0" w:color="auto"/>
          <w:lang w:val="es-CO"/>
        </w:rPr>
        <w:t>en este caso en particular</w:t>
      </w:r>
      <w:r w:rsidRPr="009712EB">
        <w:rPr>
          <w:rFonts w:ascii="Cambria" w:eastAsia="MS Mincho" w:hAnsi="Cambria"/>
          <w:sz w:val="20"/>
          <w:szCs w:val="20"/>
          <w:bdr w:val="none" w:sz="0" w:space="0" w:color="auto"/>
          <w:lang w:val="es-CO"/>
        </w:rPr>
        <w:t>, la CID</w:t>
      </w:r>
      <w:r w:rsidR="00DB44D3">
        <w:rPr>
          <w:rFonts w:ascii="Cambria" w:eastAsia="MS Mincho" w:hAnsi="Cambria"/>
          <w:sz w:val="20"/>
          <w:szCs w:val="20"/>
          <w:bdr w:val="none" w:sz="0" w:space="0" w:color="auto"/>
          <w:lang w:val="es-CO"/>
        </w:rPr>
        <w:t>H</w:t>
      </w:r>
      <w:r w:rsidRPr="009712EB">
        <w:rPr>
          <w:rFonts w:ascii="Cambria" w:eastAsia="MS Mincho" w:hAnsi="Cambria"/>
          <w:sz w:val="20"/>
          <w:szCs w:val="20"/>
          <w:bdr w:val="none" w:sz="0" w:space="0" w:color="auto"/>
          <w:lang w:val="es-CO"/>
        </w:rPr>
        <w:t xml:space="preserve"> cuenta </w:t>
      </w:r>
      <w:r w:rsidR="00DB44D3">
        <w:rPr>
          <w:rFonts w:ascii="Cambria" w:eastAsia="MS Mincho" w:hAnsi="Cambria"/>
          <w:sz w:val="20"/>
          <w:szCs w:val="20"/>
          <w:bdr w:val="none" w:sz="0" w:space="0" w:color="auto"/>
          <w:lang w:val="es-CO"/>
        </w:rPr>
        <w:t xml:space="preserve">únicamente con los documentos señalados y no </w:t>
      </w:r>
      <w:r w:rsidR="00D83A6D">
        <w:rPr>
          <w:rFonts w:ascii="Cambria" w:eastAsia="MS Mincho" w:hAnsi="Cambria"/>
          <w:sz w:val="20"/>
          <w:szCs w:val="20"/>
          <w:bdr w:val="none" w:sz="0" w:space="0" w:color="auto"/>
          <w:lang w:val="es-CO"/>
        </w:rPr>
        <w:t xml:space="preserve">cuenta </w:t>
      </w:r>
      <w:r w:rsidRPr="009712EB">
        <w:rPr>
          <w:rFonts w:ascii="Cambria" w:eastAsia="MS Mincho" w:hAnsi="Cambria"/>
          <w:sz w:val="20"/>
          <w:szCs w:val="20"/>
          <w:bdr w:val="none" w:sz="0" w:space="0" w:color="auto"/>
          <w:lang w:val="es-CO"/>
        </w:rPr>
        <w:t xml:space="preserve">con una declaración </w:t>
      </w:r>
      <w:r w:rsidR="00D83A6D">
        <w:rPr>
          <w:rFonts w:ascii="Cambria" w:eastAsia="MS Mincho" w:hAnsi="Cambria"/>
          <w:sz w:val="20"/>
          <w:szCs w:val="20"/>
          <w:bdr w:val="none" w:sz="0" w:space="0" w:color="auto"/>
          <w:lang w:val="es-CO"/>
        </w:rPr>
        <w:t xml:space="preserve">específica </w:t>
      </w:r>
      <w:r w:rsidRPr="009712EB">
        <w:rPr>
          <w:rFonts w:ascii="Cambria" w:eastAsia="MS Mincho" w:hAnsi="Cambria"/>
          <w:sz w:val="20"/>
          <w:szCs w:val="20"/>
          <w:bdr w:val="none" w:sz="0" w:space="0" w:color="auto"/>
          <w:lang w:val="es-CO"/>
        </w:rPr>
        <w:t xml:space="preserve">en referencia a esta víctima. </w:t>
      </w:r>
    </w:p>
    <w:p w:rsidR="005F4DC5" w:rsidRPr="009712EB" w:rsidRDefault="005F4DC5" w:rsidP="00560D6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lastRenderedPageBreak/>
        <w:t>Rosa Stanford Fardines</w:t>
      </w:r>
      <w:r w:rsidRPr="009712EB">
        <w:rPr>
          <w:rFonts w:ascii="Cambria" w:eastAsia="MS Mincho" w:hAnsi="Cambria"/>
          <w:sz w:val="20"/>
          <w:szCs w:val="20"/>
          <w:bdr w:val="none" w:sz="0" w:space="0" w:color="auto"/>
          <w:lang w:val="es-CO"/>
        </w:rPr>
        <w:t xml:space="preserve"> identificada </w:t>
      </w:r>
      <w:r w:rsidR="00D83A6D">
        <w:rPr>
          <w:rFonts w:ascii="Cambria" w:eastAsia="MS Mincho" w:hAnsi="Cambria"/>
          <w:sz w:val="20"/>
          <w:szCs w:val="20"/>
          <w:bdr w:val="none" w:sz="0" w:space="0" w:color="auto"/>
          <w:lang w:val="es-CO"/>
        </w:rPr>
        <w:t xml:space="preserve">en </w:t>
      </w:r>
      <w:r w:rsidRPr="009712EB">
        <w:rPr>
          <w:rFonts w:ascii="Cambria" w:eastAsia="MS Mincho" w:hAnsi="Cambria"/>
          <w:sz w:val="20"/>
          <w:szCs w:val="20"/>
          <w:bdr w:val="none" w:sz="0" w:space="0" w:color="auto"/>
          <w:lang w:val="es-CO"/>
        </w:rPr>
        <w:t>el caso No. 68, era una mujer panameña de 58 años.</w:t>
      </w:r>
      <w:r w:rsidRPr="009712EB">
        <w:rPr>
          <w:rFonts w:ascii="Cambria" w:eastAsia="MS Mincho" w:hAnsi="Cambria"/>
          <w:sz w:val="20"/>
          <w:szCs w:val="20"/>
          <w:bdr w:val="none" w:sz="0" w:space="0" w:color="auto"/>
          <w:vertAlign w:val="superscript"/>
        </w:rPr>
        <w:footnoteReference w:id="217"/>
      </w:r>
      <w:r w:rsidRPr="009712EB">
        <w:rPr>
          <w:rFonts w:ascii="Cambria" w:eastAsia="MS Mincho" w:hAnsi="Cambria"/>
          <w:sz w:val="20"/>
          <w:szCs w:val="20"/>
          <w:bdr w:val="none" w:sz="0" w:space="0" w:color="auto"/>
          <w:lang w:val="es-CO"/>
        </w:rPr>
        <w:t xml:space="preserve"> El 23 de diciembre de 1989, conforme a declaración presentada por su esposo Joseph Pile, Rosa Stanford salió aproximadamente </w:t>
      </w:r>
      <w:r w:rsidR="00432D24">
        <w:rPr>
          <w:rFonts w:ascii="Cambria" w:eastAsia="MS Mincho" w:hAnsi="Cambria"/>
          <w:sz w:val="20"/>
          <w:szCs w:val="20"/>
          <w:bdr w:val="none" w:sz="0" w:space="0" w:color="auto"/>
          <w:lang w:val="es-CO"/>
        </w:rPr>
        <w:t xml:space="preserve">a las </w:t>
      </w:r>
      <w:r w:rsidRPr="009712EB">
        <w:rPr>
          <w:rFonts w:ascii="Cambria" w:eastAsia="MS Mincho" w:hAnsi="Cambria"/>
          <w:sz w:val="20"/>
          <w:szCs w:val="20"/>
          <w:bdr w:val="none" w:sz="0" w:space="0" w:color="auto"/>
          <w:lang w:val="es-CO"/>
        </w:rPr>
        <w:t>11.30 am a comprar cuando, en la zona de Pedregal San Joaquín, le dispararon en la mandíbula y fue llevada al Hospital Santo Tomás</w:t>
      </w:r>
      <w:r w:rsidRPr="009712EB">
        <w:rPr>
          <w:rFonts w:ascii="Cambria" w:eastAsia="MS Mincho" w:hAnsi="Cambria"/>
          <w:sz w:val="20"/>
          <w:szCs w:val="20"/>
          <w:bdr w:val="none" w:sz="0" w:space="0" w:color="auto"/>
          <w:vertAlign w:val="superscript"/>
        </w:rPr>
        <w:footnoteReference w:id="218"/>
      </w:r>
      <w:r w:rsidRPr="009712EB">
        <w:rPr>
          <w:rFonts w:ascii="Cambria" w:eastAsia="MS Mincho" w:hAnsi="Cambria"/>
          <w:sz w:val="20"/>
          <w:szCs w:val="20"/>
          <w:bdr w:val="none" w:sz="0" w:space="0" w:color="auto"/>
          <w:lang w:val="es-CO"/>
        </w:rPr>
        <w:t xml:space="preserve">. Su esposo agrega que “ellos mismos se encargaron de </w:t>
      </w:r>
      <w:r w:rsidR="00D83A6D">
        <w:rPr>
          <w:rFonts w:ascii="Cambria" w:eastAsia="MS Mincho" w:hAnsi="Cambria"/>
          <w:sz w:val="20"/>
          <w:szCs w:val="20"/>
          <w:bdr w:val="none" w:sz="0" w:space="0" w:color="auto"/>
          <w:lang w:val="es-CO"/>
        </w:rPr>
        <w:t>enterrarlos en la fosa común de</w:t>
      </w:r>
      <w:r w:rsidRPr="009712EB">
        <w:rPr>
          <w:rFonts w:ascii="Cambria" w:eastAsia="MS Mincho" w:hAnsi="Cambria"/>
          <w:sz w:val="20"/>
          <w:szCs w:val="20"/>
          <w:bdr w:val="none" w:sz="0" w:space="0" w:color="auto"/>
          <w:lang w:val="es-CO"/>
        </w:rPr>
        <w:t xml:space="preserve"> Jardín de Paz”</w:t>
      </w:r>
      <w:r w:rsidRPr="009712EB">
        <w:rPr>
          <w:rFonts w:ascii="Cambria" w:eastAsia="MS Mincho" w:hAnsi="Cambria"/>
          <w:sz w:val="20"/>
          <w:szCs w:val="20"/>
          <w:bdr w:val="none" w:sz="0" w:space="0" w:color="auto"/>
          <w:vertAlign w:val="superscript"/>
        </w:rPr>
        <w:footnoteReference w:id="219"/>
      </w:r>
      <w:r w:rsidRPr="009712EB">
        <w:rPr>
          <w:rFonts w:ascii="Cambria" w:eastAsia="MS Mincho" w:hAnsi="Cambria"/>
          <w:sz w:val="20"/>
          <w:szCs w:val="20"/>
          <w:bdr w:val="none" w:sz="0" w:space="0" w:color="auto"/>
          <w:lang w:val="es-CO"/>
        </w:rPr>
        <w:t>. De acuerdo con su certificado de defunción, ella falleció por herida por proyectil de arma de fuego en el abdomen, el 23 de diciembre a las 11 y 30 am</w:t>
      </w:r>
      <w:r w:rsidRPr="009712EB">
        <w:rPr>
          <w:rFonts w:ascii="Cambria" w:eastAsia="MS Mincho" w:hAnsi="Cambria"/>
          <w:sz w:val="20"/>
          <w:szCs w:val="20"/>
          <w:bdr w:val="none" w:sz="0" w:space="0" w:color="auto"/>
          <w:vertAlign w:val="superscript"/>
        </w:rPr>
        <w:footnoteReference w:id="220"/>
      </w:r>
      <w:r w:rsidRPr="009712EB">
        <w:rPr>
          <w:rFonts w:ascii="Cambria" w:eastAsia="MS Mincho" w:hAnsi="Cambria"/>
          <w:sz w:val="20"/>
          <w:szCs w:val="20"/>
          <w:bdr w:val="none" w:sz="0" w:space="0" w:color="auto"/>
          <w:lang w:val="es-CO"/>
        </w:rPr>
        <w:t>.</w:t>
      </w:r>
    </w:p>
    <w:p w:rsidR="005F4DC5" w:rsidRPr="009712EB" w:rsidRDefault="005F4DC5" w:rsidP="00560D6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5F4DC5"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Bellatriz Mercedes Galván Serrano</w:t>
      </w:r>
      <w:r w:rsidRPr="009712EB">
        <w:rPr>
          <w:rFonts w:ascii="Cambria" w:eastAsia="MS Mincho" w:hAnsi="Cambria"/>
          <w:sz w:val="20"/>
          <w:szCs w:val="20"/>
          <w:bdr w:val="none" w:sz="0" w:space="0" w:color="auto"/>
          <w:lang w:val="es-CO"/>
        </w:rPr>
        <w:t xml:space="preserve"> identificada</w:t>
      </w:r>
      <w:r w:rsidR="00D83A6D">
        <w:rPr>
          <w:rFonts w:ascii="Cambria" w:eastAsia="MS Mincho" w:hAnsi="Cambria"/>
          <w:sz w:val="20"/>
          <w:szCs w:val="20"/>
          <w:bdr w:val="none" w:sz="0" w:space="0" w:color="auto"/>
          <w:lang w:val="es-CO"/>
        </w:rPr>
        <w:t xml:space="preserve"> en</w:t>
      </w:r>
      <w:r w:rsidRPr="009712EB">
        <w:rPr>
          <w:rFonts w:ascii="Cambria" w:eastAsia="MS Mincho" w:hAnsi="Cambria"/>
          <w:sz w:val="20"/>
          <w:szCs w:val="20"/>
          <w:bdr w:val="none" w:sz="0" w:space="0" w:color="auto"/>
          <w:lang w:val="es-CO"/>
        </w:rPr>
        <w:t xml:space="preserve"> el caso No. 70, era mujer residente de El Chorrillo de nacionalida</w:t>
      </w:r>
      <w:r w:rsidR="005E2ED1">
        <w:rPr>
          <w:rFonts w:ascii="Cambria" w:eastAsia="MS Mincho" w:hAnsi="Cambria"/>
          <w:sz w:val="20"/>
          <w:szCs w:val="20"/>
          <w:bdr w:val="none" w:sz="0" w:space="0" w:color="auto"/>
          <w:lang w:val="es-CO"/>
        </w:rPr>
        <w:t>d panameña y de 32 años de edad</w:t>
      </w:r>
      <w:r w:rsidRPr="009712EB">
        <w:rPr>
          <w:rFonts w:ascii="Cambria" w:eastAsia="MS Mincho" w:hAnsi="Cambria"/>
          <w:sz w:val="20"/>
          <w:szCs w:val="20"/>
          <w:bdr w:val="none" w:sz="0" w:space="0" w:color="auto"/>
          <w:vertAlign w:val="superscript"/>
        </w:rPr>
        <w:footnoteReference w:id="221"/>
      </w:r>
      <w:r w:rsidR="005E2ED1">
        <w:rPr>
          <w:rFonts w:ascii="Cambria" w:eastAsia="MS Mincho" w:hAnsi="Cambria"/>
          <w:sz w:val="20"/>
          <w:szCs w:val="20"/>
          <w:bdr w:val="none" w:sz="0" w:space="0" w:color="auto"/>
          <w:lang w:val="es-CO"/>
        </w:rPr>
        <w:t>.</w:t>
      </w:r>
      <w:r w:rsidRPr="009712EB">
        <w:rPr>
          <w:rFonts w:ascii="Cambria" w:eastAsia="MS Mincho" w:hAnsi="Cambria"/>
          <w:sz w:val="20"/>
          <w:szCs w:val="20"/>
          <w:bdr w:val="none" w:sz="0" w:space="0" w:color="auto"/>
          <w:lang w:val="es-CO"/>
        </w:rPr>
        <w:t xml:space="preserve"> A la 1.45 am del 20 de diciembre de 1989 sus familiares tuvieron conocimiento de los hechos ocurridos en El Chorrillo razón por la cual intentaron tener comunicación con ella</w:t>
      </w:r>
      <w:r w:rsidRPr="009712EB">
        <w:rPr>
          <w:rFonts w:ascii="Cambria" w:eastAsia="MS Mincho" w:hAnsi="Cambria"/>
          <w:sz w:val="20"/>
          <w:szCs w:val="20"/>
          <w:bdr w:val="none" w:sz="0" w:space="0" w:color="auto"/>
          <w:vertAlign w:val="superscript"/>
        </w:rPr>
        <w:footnoteReference w:id="222"/>
      </w:r>
      <w:r w:rsidRPr="009712EB">
        <w:rPr>
          <w:rFonts w:ascii="Cambria" w:eastAsia="MS Mincho" w:hAnsi="Cambria"/>
          <w:sz w:val="20"/>
          <w:szCs w:val="20"/>
          <w:bdr w:val="none" w:sz="0" w:space="0" w:color="auto"/>
          <w:lang w:val="es-CO"/>
        </w:rPr>
        <w:t xml:space="preserve">. Su familia la buscó sin éxito por centros destinados </w:t>
      </w:r>
      <w:r w:rsidR="00D83A6D">
        <w:rPr>
          <w:rFonts w:ascii="Cambria" w:eastAsia="MS Mincho" w:hAnsi="Cambria"/>
          <w:sz w:val="20"/>
          <w:szCs w:val="20"/>
          <w:bdr w:val="none" w:sz="0" w:space="0" w:color="auto"/>
          <w:lang w:val="es-CO"/>
        </w:rPr>
        <w:t>para aquellos desplazados por el combate</w:t>
      </w:r>
      <w:r w:rsidRPr="009712EB">
        <w:rPr>
          <w:rFonts w:ascii="Cambria" w:eastAsia="MS Mincho" w:hAnsi="Cambria"/>
          <w:sz w:val="20"/>
          <w:szCs w:val="20"/>
          <w:bdr w:val="none" w:sz="0" w:space="0" w:color="auto"/>
          <w:lang w:val="es-CO"/>
        </w:rPr>
        <w:t>, hospitales y morgues. Según relato presentado, el 29 de diciembre en el Hospital de Gorgas la madre Mercedes Serrano luego de comunicarse con militares estadounidense</w:t>
      </w:r>
      <w:r w:rsidR="002F72E7" w:rsidRPr="009712EB">
        <w:rPr>
          <w:rFonts w:ascii="Cambria" w:eastAsia="MS Mincho" w:hAnsi="Cambria"/>
          <w:sz w:val="20"/>
          <w:szCs w:val="20"/>
          <w:bdr w:val="none" w:sz="0" w:space="0" w:color="auto"/>
          <w:lang w:val="es-CO"/>
        </w:rPr>
        <w:t>s</w:t>
      </w:r>
      <w:r w:rsidRPr="009712EB">
        <w:rPr>
          <w:rFonts w:ascii="Cambria" w:eastAsia="MS Mincho" w:hAnsi="Cambria"/>
          <w:sz w:val="20"/>
          <w:szCs w:val="20"/>
          <w:bdr w:val="none" w:sz="0" w:space="0" w:color="auto"/>
          <w:lang w:val="es-CO"/>
        </w:rPr>
        <w:t xml:space="preserve"> ahí presentes, logró obtener información de una secretaria quien le notificó que Bellatriz Galván había sido enterrada e</w:t>
      </w:r>
      <w:r w:rsidR="00D83A6D">
        <w:rPr>
          <w:rFonts w:ascii="Cambria" w:eastAsia="MS Mincho" w:hAnsi="Cambria"/>
          <w:sz w:val="20"/>
          <w:szCs w:val="20"/>
          <w:bdr w:val="none" w:sz="0" w:space="0" w:color="auto"/>
          <w:lang w:val="es-CO"/>
        </w:rPr>
        <w:t xml:space="preserve">n la fosa común de </w:t>
      </w:r>
      <w:r w:rsidRPr="009712EB">
        <w:rPr>
          <w:rFonts w:ascii="Cambria" w:eastAsia="MS Mincho" w:hAnsi="Cambria"/>
          <w:sz w:val="20"/>
          <w:szCs w:val="20"/>
          <w:bdr w:val="none" w:sz="0" w:space="0" w:color="auto"/>
          <w:lang w:val="es-CO"/>
        </w:rPr>
        <w:t>Jardín de Paz el día 24 de diciembre</w:t>
      </w:r>
      <w:r w:rsidRPr="009712EB">
        <w:rPr>
          <w:rFonts w:ascii="Cambria" w:eastAsia="MS Mincho" w:hAnsi="Cambria"/>
          <w:sz w:val="20"/>
          <w:szCs w:val="20"/>
          <w:bdr w:val="none" w:sz="0" w:space="0" w:color="auto"/>
          <w:vertAlign w:val="superscript"/>
        </w:rPr>
        <w:footnoteReference w:id="223"/>
      </w:r>
      <w:r w:rsidRPr="009712EB">
        <w:rPr>
          <w:rFonts w:ascii="Cambria" w:eastAsia="MS Mincho" w:hAnsi="Cambria"/>
          <w:sz w:val="20"/>
          <w:szCs w:val="20"/>
          <w:bdr w:val="none" w:sz="0" w:space="0" w:color="auto"/>
          <w:lang w:val="es-CO"/>
        </w:rPr>
        <w:t xml:space="preserve">. </w:t>
      </w:r>
      <w:r w:rsidR="00D83A6D">
        <w:rPr>
          <w:rFonts w:ascii="Cambria" w:eastAsia="MS Mincho" w:hAnsi="Cambria"/>
          <w:sz w:val="20"/>
          <w:szCs w:val="20"/>
          <w:bdr w:val="none" w:sz="0" w:space="0" w:color="auto"/>
          <w:lang w:val="es-CO"/>
        </w:rPr>
        <w:t>B</w:t>
      </w:r>
      <w:r w:rsidRPr="009712EB">
        <w:rPr>
          <w:rFonts w:ascii="Cambria" w:eastAsia="MS Mincho" w:hAnsi="Cambria"/>
          <w:sz w:val="20"/>
          <w:szCs w:val="20"/>
          <w:bdr w:val="none" w:sz="0" w:space="0" w:color="auto"/>
          <w:lang w:val="es-CO"/>
        </w:rPr>
        <w:t xml:space="preserve">ajo la enumeración asignada a su hija, </w:t>
      </w:r>
      <w:r w:rsidR="00D83A6D">
        <w:rPr>
          <w:rFonts w:ascii="Cambria" w:eastAsia="MS Mincho" w:hAnsi="Cambria"/>
          <w:sz w:val="20"/>
          <w:szCs w:val="20"/>
          <w:bdr w:val="none" w:sz="0" w:space="0" w:color="auto"/>
          <w:lang w:val="es-CO"/>
        </w:rPr>
        <w:t>l</w:t>
      </w:r>
      <w:r w:rsidR="00D83A6D" w:rsidRPr="009712EB">
        <w:rPr>
          <w:rFonts w:ascii="Cambria" w:eastAsia="MS Mincho" w:hAnsi="Cambria"/>
          <w:sz w:val="20"/>
          <w:szCs w:val="20"/>
          <w:bdr w:val="none" w:sz="0" w:space="0" w:color="auto"/>
          <w:lang w:val="es-CO"/>
        </w:rPr>
        <w:t xml:space="preserve">a madre </w:t>
      </w:r>
      <w:r w:rsidR="00D83A6D">
        <w:rPr>
          <w:rFonts w:ascii="Cambria" w:eastAsia="MS Mincho" w:hAnsi="Cambria"/>
          <w:sz w:val="20"/>
          <w:szCs w:val="20"/>
          <w:bdr w:val="none" w:sz="0" w:space="0" w:color="auto"/>
          <w:lang w:val="es-CO"/>
        </w:rPr>
        <w:t xml:space="preserve">pudo retirar ciertas </w:t>
      </w:r>
      <w:r w:rsidRPr="009712EB">
        <w:rPr>
          <w:rFonts w:ascii="Cambria" w:eastAsia="MS Mincho" w:hAnsi="Cambria"/>
          <w:sz w:val="20"/>
          <w:szCs w:val="20"/>
          <w:bdr w:val="none" w:sz="0" w:space="0" w:color="auto"/>
          <w:lang w:val="es-CO"/>
        </w:rPr>
        <w:t xml:space="preserve">pertenencias de Bellatriz </w:t>
      </w:r>
      <w:r w:rsidR="00D83A6D">
        <w:rPr>
          <w:rFonts w:ascii="Cambria" w:eastAsia="MS Mincho" w:hAnsi="Cambria"/>
          <w:sz w:val="20"/>
          <w:szCs w:val="20"/>
          <w:bdr w:val="none" w:sz="0" w:space="0" w:color="auto"/>
          <w:lang w:val="es-CO"/>
        </w:rPr>
        <w:t xml:space="preserve">Galván, </w:t>
      </w:r>
      <w:r w:rsidRPr="009712EB">
        <w:rPr>
          <w:rFonts w:ascii="Cambria" w:eastAsia="MS Mincho" w:hAnsi="Cambria"/>
          <w:sz w:val="20"/>
          <w:szCs w:val="20"/>
          <w:bdr w:val="none" w:sz="0" w:space="0" w:color="auto"/>
          <w:lang w:val="es-CO"/>
        </w:rPr>
        <w:t>entre las cuales recibió sus documentos de identidad y hasta los certificados de nacimiento de sus hijos</w:t>
      </w:r>
      <w:r w:rsidRPr="009712EB">
        <w:rPr>
          <w:rFonts w:ascii="Cambria" w:eastAsia="MS Mincho" w:hAnsi="Cambria"/>
          <w:sz w:val="20"/>
          <w:szCs w:val="20"/>
          <w:bdr w:val="none" w:sz="0" w:space="0" w:color="auto"/>
          <w:vertAlign w:val="superscript"/>
        </w:rPr>
        <w:footnoteReference w:id="224"/>
      </w:r>
      <w:r w:rsidRPr="009712EB">
        <w:rPr>
          <w:rFonts w:ascii="Cambria" w:eastAsia="MS Mincho" w:hAnsi="Cambria"/>
          <w:sz w:val="20"/>
          <w:szCs w:val="20"/>
          <w:bdr w:val="none" w:sz="0" w:space="0" w:color="auto"/>
          <w:lang w:val="es-CO"/>
        </w:rPr>
        <w:t>. Si bien el certificado de defunción indica que murió como consecuencia de una herida de arma de fuego el 21 de diciembre de 1989 en la zona de Albrook</w:t>
      </w:r>
      <w:r w:rsidRPr="009712EB">
        <w:rPr>
          <w:rFonts w:ascii="Cambria" w:eastAsia="MS Mincho" w:hAnsi="Cambria"/>
          <w:sz w:val="20"/>
          <w:szCs w:val="20"/>
          <w:bdr w:val="none" w:sz="0" w:space="0" w:color="auto"/>
          <w:vertAlign w:val="superscript"/>
        </w:rPr>
        <w:footnoteReference w:id="225"/>
      </w:r>
      <w:r w:rsidRPr="009712EB">
        <w:rPr>
          <w:rFonts w:ascii="Cambria" w:eastAsia="MS Mincho" w:hAnsi="Cambria"/>
          <w:sz w:val="20"/>
          <w:szCs w:val="20"/>
          <w:bdr w:val="none" w:sz="0" w:space="0" w:color="auto"/>
          <w:lang w:val="es-CO"/>
        </w:rPr>
        <w:t xml:space="preserve">, hasta la fecha la familia desconoce las circunstancias </w:t>
      </w:r>
      <w:r w:rsidR="00D83A6D">
        <w:rPr>
          <w:rFonts w:ascii="Cambria" w:eastAsia="MS Mincho" w:hAnsi="Cambria"/>
          <w:sz w:val="20"/>
          <w:szCs w:val="20"/>
          <w:bdr w:val="none" w:sz="0" w:space="0" w:color="auto"/>
          <w:lang w:val="es-CO"/>
        </w:rPr>
        <w:t xml:space="preserve">exactas </w:t>
      </w:r>
      <w:r w:rsidRPr="009712EB">
        <w:rPr>
          <w:rFonts w:ascii="Cambria" w:eastAsia="MS Mincho" w:hAnsi="Cambria"/>
          <w:sz w:val="20"/>
          <w:szCs w:val="20"/>
          <w:bdr w:val="none" w:sz="0" w:space="0" w:color="auto"/>
          <w:lang w:val="es-CO"/>
        </w:rPr>
        <w:t xml:space="preserve">de su muerte. </w:t>
      </w:r>
    </w:p>
    <w:p w:rsidR="00612DD3" w:rsidRDefault="00612DD3" w:rsidP="00612DD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CO"/>
        </w:rPr>
      </w:pPr>
    </w:p>
    <w:p w:rsidR="00612DD3" w:rsidRPr="009712EB"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 xml:space="preserve">Adolfo Lara Acosta </w:t>
      </w:r>
      <w:r w:rsidRPr="009712EB">
        <w:rPr>
          <w:rFonts w:ascii="Cambria" w:eastAsia="MS Mincho" w:hAnsi="Cambria"/>
          <w:sz w:val="20"/>
          <w:szCs w:val="20"/>
          <w:bdr w:val="none" w:sz="0" w:space="0" w:color="auto"/>
          <w:lang w:val="es-CO"/>
        </w:rPr>
        <w:t xml:space="preserve">identificado </w:t>
      </w:r>
      <w:r w:rsidR="00D83A6D">
        <w:rPr>
          <w:rFonts w:ascii="Cambria" w:eastAsia="MS Mincho" w:hAnsi="Cambria"/>
          <w:sz w:val="20"/>
          <w:szCs w:val="20"/>
          <w:bdr w:val="none" w:sz="0" w:space="0" w:color="auto"/>
          <w:lang w:val="es-CO"/>
        </w:rPr>
        <w:t>en</w:t>
      </w:r>
      <w:r w:rsidRPr="009712EB">
        <w:rPr>
          <w:rFonts w:ascii="Cambria" w:eastAsia="MS Mincho" w:hAnsi="Cambria"/>
          <w:sz w:val="20"/>
          <w:szCs w:val="20"/>
          <w:bdr w:val="none" w:sz="0" w:space="0" w:color="auto"/>
          <w:lang w:val="es-CO"/>
        </w:rPr>
        <w:t xml:space="preserve"> el caso No. 73, era un hombre de nacionalidad panameña cuyo oficio era operador de equipo en el aeropuerto de Tocumen</w:t>
      </w:r>
      <w:r w:rsidRPr="009712EB">
        <w:rPr>
          <w:rFonts w:ascii="Cambria" w:eastAsia="MS Mincho" w:hAnsi="Cambria"/>
          <w:sz w:val="20"/>
          <w:szCs w:val="20"/>
          <w:bdr w:val="none" w:sz="0" w:space="0" w:color="auto"/>
          <w:vertAlign w:val="superscript"/>
        </w:rPr>
        <w:footnoteReference w:id="226"/>
      </w:r>
      <w:r w:rsidRPr="009712EB">
        <w:rPr>
          <w:rFonts w:ascii="Cambria" w:eastAsia="MS Mincho" w:hAnsi="Cambria"/>
          <w:sz w:val="20"/>
          <w:szCs w:val="20"/>
          <w:bdr w:val="none" w:sz="0" w:space="0" w:color="auto"/>
          <w:lang w:val="es-CO"/>
        </w:rPr>
        <w:t xml:space="preserve">. Según relato presentado, </w:t>
      </w:r>
      <w:r w:rsidRPr="009712EB">
        <w:rPr>
          <w:rFonts w:ascii="Cambria" w:eastAsia="MS Mincho" w:hAnsi="Cambria"/>
          <w:sz w:val="20"/>
          <w:szCs w:val="20"/>
          <w:bdr w:val="none" w:sz="0" w:space="0" w:color="auto"/>
          <w:lang w:val="es-VE"/>
        </w:rPr>
        <w:t>el 19 de diciembre de 1989 llegó a su trabajo</w:t>
      </w:r>
      <w:r w:rsidRPr="009712EB">
        <w:rPr>
          <w:rFonts w:ascii="Cambria" w:eastAsia="MS Mincho" w:hAnsi="Cambria"/>
          <w:sz w:val="20"/>
          <w:szCs w:val="20"/>
          <w:bdr w:val="none" w:sz="0" w:space="0" w:color="auto"/>
          <w:lang w:val="es-CO"/>
        </w:rPr>
        <w:t xml:space="preserve"> a las 10 pm y a la 1 de la mañana se encontraba atendiendo vuelos de carga de Aeronica y de Ecuatoriana cuando él y otros trabajadores fueron sorprendidos por “bombas y balas” del ejército estadounidense</w:t>
      </w:r>
      <w:r w:rsidRPr="009712EB">
        <w:rPr>
          <w:rFonts w:ascii="Cambria" w:eastAsia="MS Mincho" w:hAnsi="Cambria"/>
          <w:sz w:val="20"/>
          <w:szCs w:val="20"/>
          <w:bdr w:val="none" w:sz="0" w:space="0" w:color="auto"/>
          <w:vertAlign w:val="superscript"/>
        </w:rPr>
        <w:footnoteReference w:id="227"/>
      </w:r>
      <w:r w:rsidRPr="009712EB">
        <w:rPr>
          <w:rFonts w:ascii="Cambria" w:eastAsia="MS Mincho" w:hAnsi="Cambria"/>
          <w:sz w:val="20"/>
          <w:szCs w:val="20"/>
          <w:bdr w:val="none" w:sz="0" w:space="0" w:color="auto"/>
          <w:lang w:val="es-CO"/>
        </w:rPr>
        <w:t>. En busca de refugio, los trabajadores se dispersaron y el señor Adolfo Acosta resultó herido fatalmente por un proyectil de arma de fuego</w:t>
      </w:r>
      <w:r w:rsidRPr="009712EB">
        <w:rPr>
          <w:rFonts w:ascii="Cambria" w:eastAsia="MS Mincho" w:hAnsi="Cambria"/>
          <w:sz w:val="20"/>
          <w:szCs w:val="20"/>
          <w:bdr w:val="none" w:sz="0" w:space="0" w:color="auto"/>
          <w:vertAlign w:val="superscript"/>
        </w:rPr>
        <w:footnoteReference w:id="228"/>
      </w:r>
      <w:r w:rsidRPr="009712EB">
        <w:rPr>
          <w:rFonts w:ascii="Cambria" w:eastAsia="MS Mincho" w:hAnsi="Cambria"/>
          <w:sz w:val="20"/>
          <w:szCs w:val="20"/>
          <w:bdr w:val="none" w:sz="0" w:space="0" w:color="auto"/>
          <w:lang w:val="es-CO"/>
        </w:rPr>
        <w:t>. De acuerdo con la información, su cuerpo fue llevado “a la base de Howard, depositado en una bolsa negra y enterrado en fosa común”</w:t>
      </w:r>
      <w:r w:rsidRPr="009712EB">
        <w:rPr>
          <w:rFonts w:ascii="Cambria" w:eastAsia="MS Mincho" w:hAnsi="Cambria"/>
          <w:sz w:val="20"/>
          <w:szCs w:val="20"/>
          <w:bdr w:val="none" w:sz="0" w:space="0" w:color="auto"/>
          <w:vertAlign w:val="superscript"/>
        </w:rPr>
        <w:footnoteReference w:id="229"/>
      </w:r>
      <w:r w:rsidRPr="009712EB">
        <w:rPr>
          <w:rFonts w:ascii="Cambria" w:eastAsia="MS Mincho" w:hAnsi="Cambria"/>
          <w:sz w:val="20"/>
          <w:szCs w:val="20"/>
          <w:bdr w:val="none" w:sz="0" w:space="0" w:color="auto"/>
          <w:lang w:val="es-CO"/>
        </w:rPr>
        <w:t>. Su cuerpo fue recuperado durante la</w:t>
      </w:r>
      <w:r w:rsidR="00E36457">
        <w:rPr>
          <w:rFonts w:ascii="Cambria" w:eastAsia="MS Mincho" w:hAnsi="Cambria"/>
          <w:sz w:val="20"/>
          <w:szCs w:val="20"/>
          <w:bdr w:val="none" w:sz="0" w:space="0" w:color="auto"/>
          <w:lang w:val="es-CO"/>
        </w:rPr>
        <w:t xml:space="preserve"> exhumación de la fosa común de</w:t>
      </w:r>
      <w:r w:rsidRPr="009712EB">
        <w:rPr>
          <w:rFonts w:ascii="Cambria" w:eastAsia="MS Mincho" w:hAnsi="Cambria"/>
          <w:sz w:val="20"/>
          <w:szCs w:val="20"/>
          <w:bdr w:val="none" w:sz="0" w:space="0" w:color="auto"/>
          <w:lang w:val="es-CO"/>
        </w:rPr>
        <w:t xml:space="preserve"> Jardín de Paz el 5 de mayo de 1990</w:t>
      </w:r>
      <w:r w:rsidRPr="009712EB">
        <w:rPr>
          <w:rFonts w:ascii="Cambria" w:eastAsia="MS Mincho" w:hAnsi="Cambria"/>
          <w:sz w:val="20"/>
          <w:szCs w:val="20"/>
          <w:bdr w:val="none" w:sz="0" w:space="0" w:color="auto"/>
          <w:vertAlign w:val="superscript"/>
        </w:rPr>
        <w:footnoteReference w:id="230"/>
      </w:r>
      <w:r w:rsidRPr="009712EB">
        <w:rPr>
          <w:rFonts w:ascii="Cambria" w:eastAsia="MS Mincho" w:hAnsi="Cambria"/>
          <w:sz w:val="20"/>
          <w:szCs w:val="20"/>
          <w:bdr w:val="none" w:sz="0" w:space="0" w:color="auto"/>
          <w:lang w:val="es-CO"/>
        </w:rPr>
        <w:t>.</w:t>
      </w:r>
    </w:p>
    <w:p w:rsidR="00612DD3" w:rsidRPr="009712EB" w:rsidRDefault="00612DD3" w:rsidP="00612DD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CO"/>
        </w:rPr>
      </w:pPr>
    </w:p>
    <w:p w:rsidR="00612DD3" w:rsidRPr="009712EB" w:rsidRDefault="00E36457"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Pr>
          <w:rFonts w:ascii="Cambria" w:eastAsia="MS Mincho" w:hAnsi="Cambria"/>
          <w:sz w:val="20"/>
          <w:szCs w:val="20"/>
          <w:bdr w:val="none" w:sz="0" w:space="0" w:color="auto"/>
          <w:lang w:val="es-CO"/>
        </w:rPr>
        <w:lastRenderedPageBreak/>
        <w:t>De acuerdo con el r</w:t>
      </w:r>
      <w:r w:rsidR="00612DD3" w:rsidRPr="009712EB">
        <w:rPr>
          <w:rFonts w:ascii="Cambria" w:eastAsia="MS Mincho" w:hAnsi="Cambria"/>
          <w:sz w:val="20"/>
          <w:szCs w:val="20"/>
          <w:bdr w:val="none" w:sz="0" w:space="0" w:color="auto"/>
          <w:lang w:val="es-CO"/>
        </w:rPr>
        <w:t>econocimiento d</w:t>
      </w:r>
      <w:r>
        <w:rPr>
          <w:rFonts w:ascii="Cambria" w:eastAsia="MS Mincho" w:hAnsi="Cambria"/>
          <w:sz w:val="20"/>
          <w:szCs w:val="20"/>
          <w:bdr w:val="none" w:sz="0" w:space="0" w:color="auto"/>
          <w:lang w:val="es-CO"/>
        </w:rPr>
        <w:t xml:space="preserve">el Instituto de Medicina Legal </w:t>
      </w:r>
      <w:r w:rsidR="00612DD3" w:rsidRPr="009712EB">
        <w:rPr>
          <w:rFonts w:ascii="Cambria" w:eastAsia="MS Mincho" w:hAnsi="Cambria"/>
          <w:sz w:val="20"/>
          <w:szCs w:val="20"/>
          <w:bdr w:val="none" w:sz="0" w:space="0" w:color="auto"/>
          <w:lang w:val="es-CO"/>
        </w:rPr>
        <w:t>y el certificado de defunción presentado, Adolfo Lara falleció en su uniforme de la compañía de carga del Aeropuerto de Tocumen</w:t>
      </w:r>
      <w:r w:rsidR="00612DD3" w:rsidRPr="009712EB">
        <w:rPr>
          <w:rFonts w:ascii="Cambria" w:eastAsia="MS Mincho" w:hAnsi="Cambria"/>
          <w:sz w:val="20"/>
          <w:szCs w:val="20"/>
          <w:bdr w:val="none" w:sz="0" w:space="0" w:color="auto"/>
          <w:vertAlign w:val="superscript"/>
        </w:rPr>
        <w:footnoteReference w:id="231"/>
      </w:r>
      <w:r w:rsidR="00612DD3" w:rsidRPr="009712EB">
        <w:rPr>
          <w:rFonts w:ascii="Cambria" w:eastAsia="MS Mincho" w:hAnsi="Cambria"/>
          <w:sz w:val="20"/>
          <w:szCs w:val="20"/>
          <w:bdr w:val="none" w:sz="0" w:space="0" w:color="auto"/>
          <w:lang w:val="es-CO"/>
        </w:rPr>
        <w:t xml:space="preserve"> por herida de proyectil de arma de fuego en el cráneo y brazo derecho</w:t>
      </w:r>
      <w:r w:rsidR="00612DD3" w:rsidRPr="009712EB">
        <w:rPr>
          <w:rFonts w:ascii="Cambria" w:eastAsia="MS Mincho" w:hAnsi="Cambria"/>
          <w:sz w:val="20"/>
          <w:szCs w:val="20"/>
          <w:bdr w:val="none" w:sz="0" w:space="0" w:color="auto"/>
          <w:vertAlign w:val="superscript"/>
        </w:rPr>
        <w:footnoteReference w:id="232"/>
      </w:r>
      <w:r w:rsidR="00612DD3" w:rsidRPr="009712EB">
        <w:rPr>
          <w:rFonts w:ascii="Cambria" w:eastAsia="MS Mincho" w:hAnsi="Cambria"/>
          <w:sz w:val="20"/>
          <w:szCs w:val="20"/>
          <w:bdr w:val="none" w:sz="0" w:space="0" w:color="auto"/>
          <w:lang w:val="es-CO"/>
        </w:rPr>
        <w:t>.</w:t>
      </w:r>
    </w:p>
    <w:p w:rsidR="00612DD3" w:rsidRPr="009712EB" w:rsidRDefault="00612DD3" w:rsidP="00A0743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612DD3" w:rsidRPr="00E36457"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ES"/>
        </w:rPr>
      </w:pPr>
      <w:r w:rsidRPr="009712EB">
        <w:rPr>
          <w:rFonts w:ascii="Cambria" w:eastAsia="MS Mincho" w:hAnsi="Cambria"/>
          <w:sz w:val="20"/>
          <w:szCs w:val="20"/>
          <w:bdr w:val="none" w:sz="0" w:space="0" w:color="auto"/>
          <w:lang w:val="es-CO"/>
        </w:rPr>
        <w:t xml:space="preserve">En lo relativo al </w:t>
      </w:r>
      <w:r w:rsidR="00E36457">
        <w:rPr>
          <w:rFonts w:ascii="Cambria" w:eastAsia="MS Mincho" w:hAnsi="Cambria"/>
          <w:sz w:val="20"/>
          <w:szCs w:val="20"/>
          <w:bdr w:val="none" w:sz="0" w:space="0" w:color="auto"/>
          <w:lang w:val="es-CO"/>
        </w:rPr>
        <w:t>mismo caso</w:t>
      </w:r>
      <w:r w:rsidRPr="009712EB">
        <w:rPr>
          <w:rFonts w:ascii="Cambria" w:eastAsia="MS Mincho" w:hAnsi="Cambria"/>
          <w:sz w:val="20"/>
          <w:szCs w:val="20"/>
          <w:bdr w:val="none" w:sz="0" w:space="0" w:color="auto"/>
          <w:lang w:val="es-CO"/>
        </w:rPr>
        <w:t>, el señor Sebastián Vergara Pino, hijo del compañero de trabajo de Adolfo Lara, Sebastián Vergara Hinestroza quien también falleció en el marco de los mismos hechos, presentó denuncia fiscal ante Fiscalía Segunda Superior del Primer Distrito Judicial</w:t>
      </w:r>
      <w:r w:rsidRPr="009712EB">
        <w:rPr>
          <w:rFonts w:ascii="Cambria" w:eastAsia="MS Mincho" w:hAnsi="Cambria"/>
          <w:sz w:val="20"/>
          <w:szCs w:val="20"/>
          <w:bdr w:val="none" w:sz="0" w:space="0" w:color="auto"/>
          <w:vertAlign w:val="superscript"/>
        </w:rPr>
        <w:footnoteReference w:id="233"/>
      </w:r>
      <w:r w:rsidRPr="009712EB">
        <w:rPr>
          <w:rFonts w:ascii="Cambria" w:eastAsia="MS Mincho" w:hAnsi="Cambria"/>
          <w:sz w:val="20"/>
          <w:szCs w:val="20"/>
          <w:bdr w:val="none" w:sz="0" w:space="0" w:color="auto"/>
          <w:lang w:val="es-CO"/>
        </w:rPr>
        <w:t xml:space="preserve">. </w:t>
      </w:r>
      <w:r w:rsidRPr="00E36457">
        <w:rPr>
          <w:rFonts w:ascii="Cambria" w:eastAsia="MS Mincho" w:hAnsi="Cambria"/>
          <w:sz w:val="20"/>
          <w:szCs w:val="20"/>
          <w:bdr w:val="none" w:sz="0" w:space="0" w:color="auto"/>
          <w:lang w:val="es-ES"/>
        </w:rPr>
        <w:t>Esta autoridad declaró el sobreseimiento provisional el 29 de junio 1990</w:t>
      </w:r>
      <w:r w:rsidRPr="009712EB">
        <w:rPr>
          <w:rFonts w:ascii="Cambria" w:eastAsia="MS Mincho" w:hAnsi="Cambria"/>
          <w:sz w:val="20"/>
          <w:szCs w:val="20"/>
          <w:bdr w:val="none" w:sz="0" w:space="0" w:color="auto"/>
          <w:vertAlign w:val="superscript"/>
        </w:rPr>
        <w:footnoteReference w:id="234"/>
      </w:r>
      <w:r w:rsidRPr="00E36457">
        <w:rPr>
          <w:rFonts w:ascii="Cambria" w:eastAsia="MS Mincho" w:hAnsi="Cambria"/>
          <w:sz w:val="20"/>
          <w:szCs w:val="20"/>
          <w:bdr w:val="none" w:sz="0" w:space="0" w:color="auto"/>
          <w:lang w:val="es-ES"/>
        </w:rPr>
        <w:t xml:space="preserve">. </w:t>
      </w:r>
    </w:p>
    <w:p w:rsidR="00612DD3" w:rsidRPr="00E36457" w:rsidRDefault="00612DD3" w:rsidP="00A0743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ES"/>
        </w:rPr>
      </w:pPr>
    </w:p>
    <w:p w:rsidR="00612DD3" w:rsidRPr="009712EB"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Ariel Reimar Martínez Achon y Humberto Achon Arauz</w:t>
      </w:r>
      <w:r w:rsidRPr="009712EB">
        <w:rPr>
          <w:rFonts w:ascii="Cambria" w:eastAsia="MS Mincho" w:hAnsi="Cambria"/>
          <w:sz w:val="20"/>
          <w:szCs w:val="20"/>
          <w:bdr w:val="none" w:sz="0" w:space="0" w:color="auto"/>
          <w:lang w:val="es-CO"/>
        </w:rPr>
        <w:t xml:space="preserve"> identificados </w:t>
      </w:r>
      <w:r w:rsidR="00E36457">
        <w:rPr>
          <w:rFonts w:ascii="Cambria" w:eastAsia="MS Mincho" w:hAnsi="Cambria"/>
          <w:sz w:val="20"/>
          <w:szCs w:val="20"/>
          <w:bdr w:val="none" w:sz="0" w:space="0" w:color="auto"/>
          <w:lang w:val="es-CO"/>
        </w:rPr>
        <w:t>en</w:t>
      </w:r>
      <w:r w:rsidRPr="009712EB">
        <w:rPr>
          <w:rFonts w:ascii="Cambria" w:eastAsia="MS Mincho" w:hAnsi="Cambria"/>
          <w:sz w:val="20"/>
          <w:szCs w:val="20"/>
          <w:bdr w:val="none" w:sz="0" w:space="0" w:color="auto"/>
          <w:lang w:val="es-CO"/>
        </w:rPr>
        <w:t xml:space="preserve"> el caso No. 74, eran hombres de nacionalidad panameña</w:t>
      </w:r>
      <w:r w:rsidRPr="009712EB">
        <w:rPr>
          <w:rFonts w:ascii="Cambria" w:eastAsia="MS Mincho" w:hAnsi="Cambria"/>
          <w:sz w:val="20"/>
          <w:szCs w:val="20"/>
          <w:bdr w:val="none" w:sz="0" w:space="0" w:color="auto"/>
          <w:vertAlign w:val="superscript"/>
        </w:rPr>
        <w:footnoteReference w:id="235"/>
      </w:r>
      <w:r w:rsidRPr="009712EB">
        <w:rPr>
          <w:rFonts w:ascii="Cambria" w:eastAsia="MS Mincho" w:hAnsi="Cambria"/>
          <w:sz w:val="20"/>
          <w:szCs w:val="20"/>
          <w:bdr w:val="none" w:sz="0" w:space="0" w:color="auto"/>
          <w:lang w:val="es-CO"/>
        </w:rPr>
        <w:t xml:space="preserve">. Según declaración rendida por el </w:t>
      </w:r>
      <w:r w:rsidR="00E36457" w:rsidRPr="009712EB">
        <w:rPr>
          <w:rFonts w:ascii="Cambria" w:eastAsia="MS Mincho" w:hAnsi="Cambria"/>
          <w:sz w:val="20"/>
          <w:szCs w:val="20"/>
          <w:bdr w:val="none" w:sz="0" w:space="0" w:color="auto"/>
          <w:lang w:val="es-CO"/>
        </w:rPr>
        <w:t xml:space="preserve">padre de Ariel </w:t>
      </w:r>
      <w:r w:rsidR="00E36457">
        <w:rPr>
          <w:rFonts w:ascii="Cambria" w:eastAsia="MS Mincho" w:hAnsi="Cambria"/>
          <w:sz w:val="20"/>
          <w:szCs w:val="20"/>
          <w:bdr w:val="none" w:sz="0" w:space="0" w:color="auto"/>
          <w:lang w:val="es-CO"/>
        </w:rPr>
        <w:t xml:space="preserve">Martínez, el </w:t>
      </w:r>
      <w:r w:rsidRPr="009712EB">
        <w:rPr>
          <w:rFonts w:ascii="Cambria" w:eastAsia="MS Mincho" w:hAnsi="Cambria"/>
          <w:sz w:val="20"/>
          <w:szCs w:val="20"/>
          <w:bdr w:val="none" w:sz="0" w:space="0" w:color="auto"/>
          <w:lang w:val="es-CO"/>
        </w:rPr>
        <w:t>señor Fabio Martínez, en horas de la noche del 22 de diciembre de 1989 Ariel y su primo Humberto fueron heridos mortalmente con balas provenientes de un equipo de combate de las fuerzas militares estadounidenses apodados “asesinos de la noche”</w:t>
      </w:r>
      <w:r w:rsidRPr="009712EB">
        <w:rPr>
          <w:rFonts w:ascii="Cambria" w:eastAsia="MS Mincho" w:hAnsi="Cambria"/>
          <w:sz w:val="20"/>
          <w:szCs w:val="20"/>
          <w:bdr w:val="none" w:sz="0" w:space="0" w:color="auto"/>
          <w:vertAlign w:val="superscript"/>
        </w:rPr>
        <w:footnoteReference w:id="236"/>
      </w:r>
      <w:r w:rsidR="005E2ED1">
        <w:rPr>
          <w:rFonts w:ascii="Cambria" w:eastAsia="MS Mincho" w:hAnsi="Cambria"/>
          <w:sz w:val="20"/>
          <w:szCs w:val="20"/>
          <w:bdr w:val="none" w:sz="0" w:space="0" w:color="auto"/>
          <w:lang w:val="es-CO"/>
        </w:rPr>
        <w:t xml:space="preserve"> </w:t>
      </w:r>
      <w:r w:rsidRPr="009712EB">
        <w:rPr>
          <w:rFonts w:ascii="Cambria" w:eastAsia="MS Mincho" w:hAnsi="Cambria"/>
          <w:sz w:val="20"/>
          <w:szCs w:val="20"/>
          <w:bdr w:val="none" w:sz="0" w:space="0" w:color="auto"/>
          <w:lang w:val="es-CO"/>
        </w:rPr>
        <w:t xml:space="preserve">quienes habrían disparado indiscriminadamente a los moradores de la barriada de Altos del Chase. </w:t>
      </w:r>
    </w:p>
    <w:p w:rsidR="00612DD3" w:rsidRDefault="00612DD3" w:rsidP="00A0743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612DD3" w:rsidRPr="009712EB"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sz w:val="20"/>
          <w:szCs w:val="20"/>
          <w:bdr w:val="none" w:sz="0" w:space="0" w:color="auto"/>
          <w:lang w:val="es-CO"/>
        </w:rPr>
        <w:t xml:space="preserve">Según el testimonio del señor </w:t>
      </w:r>
      <w:r w:rsidR="00432D24">
        <w:rPr>
          <w:rFonts w:ascii="Cambria" w:eastAsia="MS Mincho" w:hAnsi="Cambria"/>
          <w:sz w:val="20"/>
          <w:szCs w:val="20"/>
          <w:bdr w:val="none" w:sz="0" w:space="0" w:color="auto"/>
          <w:lang w:val="es-CO"/>
        </w:rPr>
        <w:t>Martínez</w:t>
      </w:r>
      <w:r w:rsidRPr="009712EB">
        <w:rPr>
          <w:rFonts w:ascii="Cambria" w:eastAsia="MS Mincho" w:hAnsi="Cambria"/>
          <w:sz w:val="20"/>
          <w:szCs w:val="20"/>
          <w:bdr w:val="none" w:sz="0" w:space="0" w:color="auto"/>
          <w:lang w:val="es-CO"/>
        </w:rPr>
        <w:t>, en horas anteriores, estas víctimas y otros civiles residentes de Altos del Chase, incluyendo el padre de Humberto</w:t>
      </w:r>
      <w:r w:rsidR="00E36457">
        <w:rPr>
          <w:rFonts w:ascii="Cambria" w:eastAsia="MS Mincho" w:hAnsi="Cambria"/>
          <w:sz w:val="20"/>
          <w:szCs w:val="20"/>
          <w:bdr w:val="none" w:sz="0" w:space="0" w:color="auto"/>
          <w:lang w:val="es-CO"/>
        </w:rPr>
        <w:t xml:space="preserve"> Achón</w:t>
      </w:r>
      <w:r w:rsidRPr="009712EB">
        <w:rPr>
          <w:rFonts w:ascii="Cambria" w:eastAsia="MS Mincho" w:hAnsi="Cambria"/>
          <w:sz w:val="20"/>
          <w:szCs w:val="20"/>
          <w:bdr w:val="none" w:sz="0" w:space="0" w:color="auto"/>
          <w:lang w:val="es-CO"/>
        </w:rPr>
        <w:t xml:space="preserve">, habrían creado un comité de vigilancia con el objetivo de cuidar la barriada y </w:t>
      </w:r>
      <w:r w:rsidR="00E36457">
        <w:rPr>
          <w:rFonts w:ascii="Cambria" w:eastAsia="MS Mincho" w:hAnsi="Cambria"/>
          <w:sz w:val="20"/>
          <w:szCs w:val="20"/>
          <w:bdr w:val="none" w:sz="0" w:space="0" w:color="auto"/>
          <w:lang w:val="es-CO"/>
        </w:rPr>
        <w:t>prevenir</w:t>
      </w:r>
      <w:r w:rsidRPr="009712EB">
        <w:rPr>
          <w:rFonts w:ascii="Cambria" w:eastAsia="MS Mincho" w:hAnsi="Cambria"/>
          <w:sz w:val="20"/>
          <w:szCs w:val="20"/>
          <w:bdr w:val="none" w:sz="0" w:space="0" w:color="auto"/>
          <w:lang w:val="es-CO"/>
        </w:rPr>
        <w:t xml:space="preserve"> asaltos por parte de los Batallones de Dignidad, siguiendo la dirección dada por radio por el Ministro de Gobierno y Justicia del gobierno del Presidente End</w:t>
      </w:r>
      <w:r w:rsidR="005E2ED1">
        <w:rPr>
          <w:rFonts w:ascii="Cambria" w:eastAsia="MS Mincho" w:hAnsi="Cambria"/>
          <w:sz w:val="20"/>
          <w:szCs w:val="20"/>
          <w:bdr w:val="none" w:sz="0" w:space="0" w:color="auto"/>
          <w:lang w:val="es-CO"/>
        </w:rPr>
        <w:t>ara, Ricardo Arias Calderón</w:t>
      </w:r>
      <w:r w:rsidRPr="009712EB">
        <w:rPr>
          <w:rFonts w:ascii="Cambria" w:eastAsia="MS Mincho" w:hAnsi="Cambria"/>
          <w:sz w:val="20"/>
          <w:szCs w:val="20"/>
          <w:bdr w:val="none" w:sz="0" w:space="0" w:color="auto"/>
          <w:vertAlign w:val="superscript"/>
        </w:rPr>
        <w:footnoteReference w:id="237"/>
      </w:r>
      <w:r w:rsidR="005E2ED1" w:rsidRPr="00713E68">
        <w:rPr>
          <w:rFonts w:ascii="Cambria" w:eastAsia="MS Mincho" w:hAnsi="Cambria"/>
          <w:sz w:val="20"/>
          <w:szCs w:val="20"/>
          <w:bdr w:val="none" w:sz="0" w:space="0" w:color="auto"/>
          <w:lang w:val="es-ES"/>
        </w:rPr>
        <w:t>.</w:t>
      </w:r>
      <w:r w:rsidRPr="009712EB">
        <w:rPr>
          <w:rFonts w:ascii="Cambria" w:eastAsia="MS Mincho" w:hAnsi="Cambria"/>
          <w:sz w:val="20"/>
          <w:szCs w:val="20"/>
          <w:bdr w:val="none" w:sz="0" w:space="0" w:color="auto"/>
          <w:lang w:val="es-CO"/>
        </w:rPr>
        <w:t xml:space="preserve"> Mientras se encontraban reunidos en la calle durante el día, “los estadounidenses con tanquetas” les recomendaron que se colocaran cintas blancas en el brazo izquierdo y en el muslo derecho para ser reconocidos como individuos</w:t>
      </w:r>
      <w:r w:rsidR="005E2ED1">
        <w:rPr>
          <w:rFonts w:ascii="Cambria" w:eastAsia="MS Mincho" w:hAnsi="Cambria"/>
          <w:sz w:val="20"/>
          <w:szCs w:val="20"/>
          <w:bdr w:val="none" w:sz="0" w:space="0" w:color="auto"/>
          <w:lang w:val="es-CO"/>
        </w:rPr>
        <w:t xml:space="preserve"> no combatientes</w:t>
      </w:r>
      <w:r w:rsidRPr="009712EB">
        <w:rPr>
          <w:rFonts w:ascii="Cambria" w:eastAsia="MS Mincho" w:hAnsi="Cambria"/>
          <w:sz w:val="20"/>
          <w:szCs w:val="20"/>
          <w:bdr w:val="none" w:sz="0" w:space="0" w:color="auto"/>
          <w:vertAlign w:val="superscript"/>
        </w:rPr>
        <w:footnoteReference w:id="238"/>
      </w:r>
      <w:r w:rsidR="005E2ED1">
        <w:rPr>
          <w:rFonts w:ascii="Cambria" w:eastAsia="MS Mincho" w:hAnsi="Cambria"/>
          <w:sz w:val="20"/>
          <w:szCs w:val="20"/>
          <w:bdr w:val="none" w:sz="0" w:space="0" w:color="auto"/>
          <w:lang w:val="es-CO"/>
        </w:rPr>
        <w:t>.</w:t>
      </w:r>
    </w:p>
    <w:p w:rsidR="00612DD3" w:rsidRPr="009712EB" w:rsidRDefault="00612DD3" w:rsidP="00A0743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612DD3" w:rsidRPr="009712EB" w:rsidRDefault="00E36457"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Pr>
          <w:rFonts w:ascii="Cambria" w:eastAsia="MS Mincho" w:hAnsi="Cambria"/>
          <w:sz w:val="20"/>
          <w:szCs w:val="20"/>
          <w:bdr w:val="none" w:sz="0" w:space="0" w:color="auto"/>
          <w:lang w:val="es-CO"/>
        </w:rPr>
        <w:t>A</w:t>
      </w:r>
      <w:r w:rsidRPr="009712EB">
        <w:rPr>
          <w:rFonts w:ascii="Cambria" w:eastAsia="MS Mincho" w:hAnsi="Cambria"/>
          <w:sz w:val="20"/>
          <w:szCs w:val="20"/>
          <w:bdr w:val="none" w:sz="0" w:space="0" w:color="auto"/>
          <w:lang w:val="es-CO"/>
        </w:rPr>
        <w:t xml:space="preserve">l momento de los hechos, </w:t>
      </w:r>
      <w:r>
        <w:rPr>
          <w:rFonts w:ascii="Cambria" w:eastAsia="MS Mincho" w:hAnsi="Cambria"/>
          <w:sz w:val="20"/>
          <w:szCs w:val="20"/>
          <w:bdr w:val="none" w:sz="0" w:space="0" w:color="auto"/>
          <w:lang w:val="es-CO"/>
        </w:rPr>
        <w:t>l</w:t>
      </w:r>
      <w:r w:rsidR="00612DD3" w:rsidRPr="009712EB">
        <w:rPr>
          <w:rFonts w:ascii="Cambria" w:eastAsia="MS Mincho" w:hAnsi="Cambria"/>
          <w:sz w:val="20"/>
          <w:szCs w:val="20"/>
          <w:bdr w:val="none" w:sz="0" w:space="0" w:color="auto"/>
          <w:lang w:val="es-CO"/>
        </w:rPr>
        <w:t xml:space="preserve">os civiles reunidos en la barriada de Altos de Chase tenían las cintas blancas y estaban armados con palos, machete, hierro, </w:t>
      </w:r>
      <w:r w:rsidR="009E1491">
        <w:rPr>
          <w:rFonts w:ascii="Cambria" w:eastAsia="MS Mincho" w:hAnsi="Cambria"/>
          <w:sz w:val="20"/>
          <w:szCs w:val="20"/>
          <w:bdr w:val="none" w:sz="0" w:space="0" w:color="auto"/>
          <w:lang w:val="es-CO"/>
        </w:rPr>
        <w:t xml:space="preserve">y </w:t>
      </w:r>
      <w:r w:rsidR="00612DD3" w:rsidRPr="009712EB">
        <w:rPr>
          <w:rFonts w:ascii="Cambria" w:eastAsia="MS Mincho" w:hAnsi="Cambria"/>
          <w:sz w:val="20"/>
          <w:szCs w:val="20"/>
          <w:bdr w:val="none" w:sz="0" w:space="0" w:color="auto"/>
          <w:lang w:val="es-CO"/>
        </w:rPr>
        <w:t>pistolas de calibre menor de uso personal</w:t>
      </w:r>
      <w:r w:rsidR="00612DD3" w:rsidRPr="009712EB">
        <w:rPr>
          <w:rFonts w:ascii="Cambria" w:eastAsia="MS Mincho" w:hAnsi="Cambria"/>
          <w:sz w:val="20"/>
          <w:szCs w:val="20"/>
          <w:bdr w:val="none" w:sz="0" w:space="0" w:color="auto"/>
          <w:vertAlign w:val="superscript"/>
        </w:rPr>
        <w:footnoteReference w:id="239"/>
      </w:r>
      <w:r w:rsidR="00612DD3" w:rsidRPr="009712EB">
        <w:rPr>
          <w:rFonts w:ascii="Cambria" w:eastAsia="MS Mincho" w:hAnsi="Cambria"/>
          <w:sz w:val="20"/>
          <w:szCs w:val="20"/>
          <w:bdr w:val="none" w:sz="0" w:space="0" w:color="auto"/>
          <w:lang w:val="es-CO"/>
        </w:rPr>
        <w:t xml:space="preserve"> </w:t>
      </w:r>
      <w:r w:rsidR="009E1491">
        <w:rPr>
          <w:rFonts w:ascii="Cambria" w:eastAsia="MS Mincho" w:hAnsi="Cambria"/>
          <w:sz w:val="20"/>
          <w:szCs w:val="20"/>
          <w:bdr w:val="none" w:sz="0" w:space="0" w:color="auto"/>
          <w:lang w:val="es-CO"/>
        </w:rPr>
        <w:t>. A</w:t>
      </w:r>
      <w:r w:rsidR="00612DD3" w:rsidRPr="009712EB">
        <w:rPr>
          <w:rFonts w:ascii="Cambria" w:eastAsia="MS Mincho" w:hAnsi="Cambria"/>
          <w:sz w:val="20"/>
          <w:szCs w:val="20"/>
          <w:bdr w:val="none" w:sz="0" w:space="0" w:color="auto"/>
          <w:lang w:val="es-CO"/>
        </w:rPr>
        <w:t xml:space="preserve">lrededor de las 9.30 pm </w:t>
      </w:r>
      <w:r w:rsidR="009E1491">
        <w:rPr>
          <w:rFonts w:ascii="Cambria" w:eastAsia="MS Mincho" w:hAnsi="Cambria"/>
          <w:sz w:val="20"/>
          <w:szCs w:val="20"/>
          <w:bdr w:val="none" w:sz="0" w:space="0" w:color="auto"/>
          <w:lang w:val="es-CO"/>
        </w:rPr>
        <w:t xml:space="preserve">“los asesinos de la noche” se presentaron con tanquetas, </w:t>
      </w:r>
      <w:r w:rsidR="00612DD3" w:rsidRPr="009712EB">
        <w:rPr>
          <w:rFonts w:ascii="Cambria" w:eastAsia="MS Mincho" w:hAnsi="Cambria"/>
          <w:sz w:val="20"/>
          <w:szCs w:val="20"/>
          <w:bdr w:val="none" w:sz="0" w:space="0" w:color="auto"/>
          <w:lang w:val="es-CO"/>
        </w:rPr>
        <w:t>quienes suspendieron el fuego cuando un vecino identificado como el señor Cruz</w:t>
      </w:r>
      <w:r w:rsidR="009E1491">
        <w:rPr>
          <w:rFonts w:ascii="Cambria" w:eastAsia="MS Mincho" w:hAnsi="Cambria"/>
          <w:sz w:val="20"/>
          <w:szCs w:val="20"/>
          <w:bdr w:val="none" w:sz="0" w:space="0" w:color="auto"/>
          <w:lang w:val="es-CO"/>
        </w:rPr>
        <w:t>,</w:t>
      </w:r>
      <w:r w:rsidR="00612DD3" w:rsidRPr="009712EB">
        <w:rPr>
          <w:rFonts w:ascii="Cambria" w:eastAsia="MS Mincho" w:hAnsi="Cambria"/>
          <w:sz w:val="20"/>
          <w:szCs w:val="20"/>
          <w:bdr w:val="none" w:sz="0" w:space="0" w:color="auto"/>
          <w:lang w:val="es-CO"/>
        </w:rPr>
        <w:t xml:space="preserve"> quien era de nacionalidad puertorriqueña y jubilado del ejército estadounidense</w:t>
      </w:r>
      <w:r w:rsidR="009E1491">
        <w:rPr>
          <w:rFonts w:ascii="Cambria" w:eastAsia="MS Mincho" w:hAnsi="Cambria"/>
          <w:sz w:val="20"/>
          <w:szCs w:val="20"/>
          <w:bdr w:val="none" w:sz="0" w:space="0" w:color="auto"/>
          <w:lang w:val="es-CO"/>
        </w:rPr>
        <w:t>,</w:t>
      </w:r>
      <w:r w:rsidR="00612DD3" w:rsidRPr="009712EB">
        <w:rPr>
          <w:rFonts w:ascii="Cambria" w:eastAsia="MS Mincho" w:hAnsi="Cambria"/>
          <w:sz w:val="20"/>
          <w:szCs w:val="20"/>
          <w:bdr w:val="none" w:sz="0" w:space="0" w:color="auto"/>
          <w:lang w:val="es-CO"/>
        </w:rPr>
        <w:t xml:space="preserve"> “les comunicó en inglés que ellos eran gente de paz”</w:t>
      </w:r>
      <w:r w:rsidR="00612DD3" w:rsidRPr="009712EB">
        <w:rPr>
          <w:rFonts w:ascii="Cambria" w:eastAsia="MS Mincho" w:hAnsi="Cambria"/>
          <w:sz w:val="20"/>
          <w:szCs w:val="20"/>
          <w:bdr w:val="none" w:sz="0" w:space="0" w:color="auto"/>
          <w:vertAlign w:val="superscript"/>
        </w:rPr>
        <w:footnoteReference w:id="240"/>
      </w:r>
      <w:r w:rsidR="005E2ED1">
        <w:rPr>
          <w:rFonts w:ascii="Cambria" w:eastAsia="MS Mincho" w:hAnsi="Cambria"/>
          <w:sz w:val="20"/>
          <w:szCs w:val="20"/>
          <w:bdr w:val="none" w:sz="0" w:space="0" w:color="auto"/>
          <w:lang w:val="es-CO"/>
        </w:rPr>
        <w:t>.</w:t>
      </w:r>
      <w:r w:rsidR="00612DD3" w:rsidRPr="009712EB">
        <w:rPr>
          <w:rFonts w:ascii="Cambria" w:eastAsia="MS Mincho" w:hAnsi="Cambria"/>
          <w:sz w:val="20"/>
          <w:szCs w:val="20"/>
          <w:bdr w:val="none" w:sz="0" w:space="0" w:color="auto"/>
          <w:lang w:val="es-CO"/>
        </w:rPr>
        <w:t xml:space="preserve">  Los sobrevivientes, incluido el padre de Humberto</w:t>
      </w:r>
      <w:r w:rsidR="009E1491">
        <w:rPr>
          <w:rFonts w:ascii="Cambria" w:eastAsia="MS Mincho" w:hAnsi="Cambria"/>
          <w:sz w:val="20"/>
          <w:szCs w:val="20"/>
          <w:bdr w:val="none" w:sz="0" w:space="0" w:color="auto"/>
          <w:lang w:val="es-CO"/>
        </w:rPr>
        <w:t xml:space="preserve"> Achón</w:t>
      </w:r>
      <w:r w:rsidR="00612DD3" w:rsidRPr="009712EB">
        <w:rPr>
          <w:rFonts w:ascii="Cambria" w:eastAsia="MS Mincho" w:hAnsi="Cambria"/>
          <w:sz w:val="20"/>
          <w:szCs w:val="20"/>
          <w:bdr w:val="none" w:sz="0" w:space="0" w:color="auto"/>
          <w:lang w:val="es-CO"/>
        </w:rPr>
        <w:t xml:space="preserve">, fueron detenidos, trasladados a Clayton, y liberados al día siguiente luego </w:t>
      </w:r>
      <w:r w:rsidR="00612DD3" w:rsidRPr="009712EB">
        <w:rPr>
          <w:rFonts w:ascii="Cambria" w:eastAsia="MS Mincho" w:hAnsi="Cambria"/>
          <w:sz w:val="20"/>
          <w:szCs w:val="20"/>
          <w:bdr w:val="none" w:sz="0" w:space="0" w:color="auto"/>
          <w:lang w:val="es-CO"/>
        </w:rPr>
        <w:lastRenderedPageBreak/>
        <w:t>de rendir declaración</w:t>
      </w:r>
      <w:r w:rsidR="00612DD3" w:rsidRPr="009712EB">
        <w:rPr>
          <w:rFonts w:ascii="Cambria" w:eastAsia="MS Mincho" w:hAnsi="Cambria"/>
          <w:sz w:val="20"/>
          <w:szCs w:val="20"/>
          <w:bdr w:val="none" w:sz="0" w:space="0" w:color="auto"/>
          <w:vertAlign w:val="superscript"/>
        </w:rPr>
        <w:footnoteReference w:id="241"/>
      </w:r>
      <w:r w:rsidR="00612DD3" w:rsidRPr="009712EB">
        <w:rPr>
          <w:rFonts w:ascii="Cambria" w:eastAsia="MS Mincho" w:hAnsi="Cambria"/>
          <w:sz w:val="20"/>
          <w:szCs w:val="20"/>
          <w:bdr w:val="none" w:sz="0" w:space="0" w:color="auto"/>
          <w:lang w:val="es-CO"/>
        </w:rPr>
        <w:t>. En Clayton fueron informados que “los cuerpos de los fallecidos estaban en el Hospital Gorgas</w:t>
      </w:r>
      <w:r w:rsidR="00612DD3" w:rsidRPr="009712EB">
        <w:rPr>
          <w:rFonts w:ascii="Cambria" w:eastAsia="MS Mincho" w:hAnsi="Cambria"/>
          <w:sz w:val="20"/>
          <w:szCs w:val="20"/>
          <w:bdr w:val="none" w:sz="0" w:space="0" w:color="auto"/>
          <w:vertAlign w:val="superscript"/>
        </w:rPr>
        <w:footnoteReference w:id="242"/>
      </w:r>
      <w:r w:rsidR="00612DD3" w:rsidRPr="009712EB">
        <w:rPr>
          <w:rFonts w:ascii="Cambria" w:eastAsia="MS Mincho" w:hAnsi="Cambria"/>
          <w:sz w:val="20"/>
          <w:szCs w:val="20"/>
          <w:bdr w:val="none" w:sz="0" w:space="0" w:color="auto"/>
          <w:lang w:val="es-CO"/>
        </w:rPr>
        <w:t xml:space="preserve"> y que ellos iban a comunicar</w:t>
      </w:r>
      <w:r w:rsidR="005E2ED1">
        <w:rPr>
          <w:rFonts w:ascii="Cambria" w:eastAsia="MS Mincho" w:hAnsi="Cambria"/>
          <w:sz w:val="20"/>
          <w:szCs w:val="20"/>
          <w:bdr w:val="none" w:sz="0" w:space="0" w:color="auto"/>
          <w:lang w:val="es-CO"/>
        </w:rPr>
        <w:t>se cuando fueron a entregarlos”</w:t>
      </w:r>
      <w:r w:rsidR="00612DD3" w:rsidRPr="009712EB">
        <w:rPr>
          <w:rFonts w:ascii="Cambria" w:eastAsia="MS Mincho" w:hAnsi="Cambria"/>
          <w:sz w:val="20"/>
          <w:szCs w:val="20"/>
          <w:bdr w:val="none" w:sz="0" w:space="0" w:color="auto"/>
          <w:vertAlign w:val="superscript"/>
        </w:rPr>
        <w:footnoteReference w:id="243"/>
      </w:r>
      <w:r w:rsidR="005E2ED1" w:rsidRPr="00713E68">
        <w:rPr>
          <w:rFonts w:ascii="Cambria" w:eastAsia="MS Mincho" w:hAnsi="Cambria"/>
          <w:sz w:val="20"/>
          <w:szCs w:val="20"/>
          <w:bdr w:val="none" w:sz="0" w:space="0" w:color="auto"/>
          <w:lang w:val="es-ES"/>
        </w:rPr>
        <w:t>.</w:t>
      </w:r>
    </w:p>
    <w:p w:rsidR="00612DD3" w:rsidRPr="009712EB" w:rsidRDefault="00612DD3" w:rsidP="00A0743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612DD3" w:rsidRPr="00A07436"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sz w:val="20"/>
          <w:szCs w:val="20"/>
          <w:bdr w:val="none" w:sz="0" w:space="0" w:color="auto"/>
          <w:lang w:val="es-CO"/>
        </w:rPr>
        <w:t>El 25 de diciembre de 1989, conforme al relato de Sr. Martínez, un coronel de las Fuerzas Armadas de Estados Unidos acompañado de una soldada y una abogada identificada como Julie Torres, se prese</w:t>
      </w:r>
      <w:r w:rsidRPr="00A07436">
        <w:rPr>
          <w:rFonts w:ascii="Cambria" w:eastAsia="MS Mincho" w:hAnsi="Cambria"/>
          <w:sz w:val="20"/>
          <w:szCs w:val="20"/>
          <w:bdr w:val="none" w:sz="0" w:space="0" w:color="auto"/>
          <w:lang w:val="es-CO"/>
        </w:rPr>
        <w:t>ntó en su residencia a comunicarles que los restos habían sido enterrados en el Jardín de Paz, por lo cual les fue entregado un papel amarillo con</w:t>
      </w:r>
      <w:r w:rsidR="009E1491">
        <w:rPr>
          <w:rFonts w:ascii="Cambria" w:eastAsia="MS Mincho" w:hAnsi="Cambria"/>
          <w:sz w:val="20"/>
          <w:szCs w:val="20"/>
          <w:bdr w:val="none" w:sz="0" w:space="0" w:color="auto"/>
          <w:lang w:val="es-CO"/>
        </w:rPr>
        <w:t xml:space="preserve"> el nombre y el número asignado</w:t>
      </w:r>
      <w:r w:rsidRPr="00A07436">
        <w:rPr>
          <w:rFonts w:ascii="Cambria" w:eastAsia="MS Mincho" w:hAnsi="Cambria"/>
          <w:sz w:val="20"/>
          <w:szCs w:val="20"/>
          <w:bdr w:val="none" w:sz="0" w:space="0" w:color="auto"/>
          <w:vertAlign w:val="superscript"/>
        </w:rPr>
        <w:footnoteReference w:id="244"/>
      </w:r>
      <w:r w:rsidR="009E1491">
        <w:rPr>
          <w:rFonts w:ascii="Cambria" w:eastAsia="MS Mincho" w:hAnsi="Cambria"/>
          <w:sz w:val="20"/>
          <w:szCs w:val="20"/>
          <w:bdr w:val="none" w:sz="0" w:space="0" w:color="auto"/>
          <w:lang w:val="es-CO"/>
        </w:rPr>
        <w:t>.</w:t>
      </w:r>
      <w:r w:rsidRPr="00A07436">
        <w:rPr>
          <w:rFonts w:ascii="Cambria" w:eastAsia="MS Mincho" w:hAnsi="Cambria"/>
          <w:sz w:val="20"/>
          <w:szCs w:val="20"/>
          <w:bdr w:val="none" w:sz="0" w:space="0" w:color="auto"/>
          <w:lang w:val="es-CO"/>
        </w:rPr>
        <w:t xml:space="preserve"> En ese momento, dichas personas “expresaron sus condolencias e informaron</w:t>
      </w:r>
      <w:r w:rsidR="009E1491">
        <w:rPr>
          <w:rFonts w:ascii="Cambria" w:eastAsia="MS Mincho" w:hAnsi="Cambria"/>
          <w:sz w:val="20"/>
          <w:szCs w:val="20"/>
          <w:bdr w:val="none" w:sz="0" w:space="0" w:color="auto"/>
          <w:lang w:val="es-CO"/>
        </w:rPr>
        <w:t xml:space="preserve"> que se había cometido un</w:t>
      </w:r>
      <w:r w:rsidRPr="00A07436">
        <w:rPr>
          <w:rFonts w:ascii="Cambria" w:eastAsia="MS Mincho" w:hAnsi="Cambria"/>
          <w:sz w:val="20"/>
          <w:szCs w:val="20"/>
          <w:bdr w:val="none" w:sz="0" w:space="0" w:color="auto"/>
          <w:lang w:val="es-CO"/>
        </w:rPr>
        <w:t xml:space="preserve"> error táctico”</w:t>
      </w:r>
      <w:r w:rsidRPr="00A07436">
        <w:rPr>
          <w:rFonts w:ascii="Cambria" w:eastAsia="MS Mincho" w:hAnsi="Cambria"/>
          <w:sz w:val="20"/>
          <w:szCs w:val="20"/>
          <w:bdr w:val="none" w:sz="0" w:space="0" w:color="auto"/>
          <w:vertAlign w:val="superscript"/>
        </w:rPr>
        <w:footnoteReference w:id="245"/>
      </w:r>
      <w:r w:rsidRPr="00A07436">
        <w:rPr>
          <w:rFonts w:ascii="Cambria" w:eastAsia="MS Mincho" w:hAnsi="Cambria"/>
          <w:sz w:val="20"/>
          <w:szCs w:val="20"/>
          <w:bdr w:val="none" w:sz="0" w:space="0" w:color="auto"/>
          <w:lang w:val="es-CO"/>
        </w:rPr>
        <w:t>.</w:t>
      </w:r>
    </w:p>
    <w:p w:rsidR="00612DD3" w:rsidRPr="00A07436" w:rsidRDefault="00612DD3" w:rsidP="00A0743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612DD3" w:rsidRPr="00A07436"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A07436">
        <w:rPr>
          <w:rFonts w:ascii="Cambria" w:eastAsia="MS Mincho" w:hAnsi="Cambria"/>
          <w:i/>
          <w:sz w:val="20"/>
          <w:szCs w:val="20"/>
          <w:bdr w:val="none" w:sz="0" w:space="0" w:color="auto"/>
          <w:lang w:val="es-CO"/>
        </w:rPr>
        <w:t xml:space="preserve">Ricardo Aurelio Arana Riquelme </w:t>
      </w:r>
      <w:r w:rsidRPr="00A07436">
        <w:rPr>
          <w:rFonts w:ascii="Cambria" w:eastAsia="MS Mincho" w:hAnsi="Cambria"/>
          <w:sz w:val="20"/>
          <w:szCs w:val="20"/>
          <w:bdr w:val="none" w:sz="0" w:space="0" w:color="auto"/>
          <w:lang w:val="es-CO"/>
        </w:rPr>
        <w:t xml:space="preserve">y </w:t>
      </w:r>
      <w:r w:rsidRPr="00A07436">
        <w:rPr>
          <w:rFonts w:ascii="Cambria" w:eastAsia="MS Mincho" w:hAnsi="Cambria"/>
          <w:i/>
          <w:sz w:val="20"/>
          <w:szCs w:val="20"/>
          <w:bdr w:val="none" w:sz="0" w:space="0" w:color="auto"/>
          <w:lang w:val="es-CO"/>
        </w:rPr>
        <w:t>Luis Antonio Guadamuz Branda</w:t>
      </w:r>
      <w:r w:rsidRPr="00A07436">
        <w:rPr>
          <w:rFonts w:ascii="Cambria" w:eastAsia="MS Mincho" w:hAnsi="Cambria"/>
          <w:sz w:val="20"/>
          <w:szCs w:val="20"/>
          <w:bdr w:val="none" w:sz="0" w:space="0" w:color="auto"/>
          <w:lang w:val="es-CO"/>
        </w:rPr>
        <w:t xml:space="preserve"> identificados con los casos No. 77 y No. 98, respectivamente, eran de nacionalidad panameña</w:t>
      </w:r>
      <w:r w:rsidRPr="00A07436">
        <w:rPr>
          <w:rFonts w:ascii="Cambria" w:eastAsia="MS Mincho" w:hAnsi="Cambria"/>
          <w:sz w:val="20"/>
          <w:szCs w:val="20"/>
          <w:bdr w:val="none" w:sz="0" w:space="0" w:color="auto"/>
          <w:vertAlign w:val="superscript"/>
        </w:rPr>
        <w:footnoteReference w:id="246"/>
      </w:r>
      <w:r w:rsidRPr="00A07436">
        <w:rPr>
          <w:rFonts w:ascii="Cambria" w:eastAsia="MS Mincho" w:hAnsi="Cambria"/>
          <w:sz w:val="20"/>
          <w:szCs w:val="20"/>
          <w:bdr w:val="none" w:sz="0" w:space="0" w:color="auto"/>
          <w:lang w:val="es-CO"/>
        </w:rPr>
        <w:t>.</w:t>
      </w:r>
      <w:r w:rsidR="000035C2" w:rsidRPr="00A07436">
        <w:rPr>
          <w:rFonts w:ascii="Cambria" w:eastAsia="MS Mincho" w:hAnsi="Cambria"/>
          <w:sz w:val="20"/>
          <w:szCs w:val="20"/>
          <w:bdr w:val="none" w:sz="0" w:space="0" w:color="auto"/>
          <w:lang w:val="es-CO"/>
        </w:rPr>
        <w:t xml:space="preserve"> </w:t>
      </w:r>
      <w:r w:rsidRPr="00A07436">
        <w:rPr>
          <w:rFonts w:ascii="Cambria" w:eastAsia="MS Mincho" w:hAnsi="Cambria"/>
          <w:sz w:val="20"/>
          <w:szCs w:val="20"/>
          <w:bdr w:val="none" w:sz="0" w:space="0" w:color="auto"/>
          <w:lang w:val="es-CO"/>
        </w:rPr>
        <w:t>Conforme a las declaraciones presentadas, el 22 de diciembre de 1989</w:t>
      </w:r>
      <w:r w:rsidR="00971ACE">
        <w:rPr>
          <w:rFonts w:ascii="Cambria" w:eastAsia="MS Mincho" w:hAnsi="Cambria"/>
          <w:sz w:val="20"/>
          <w:szCs w:val="20"/>
          <w:bdr w:val="none" w:sz="0" w:space="0" w:color="auto"/>
          <w:lang w:val="es-CO"/>
        </w:rPr>
        <w:t xml:space="preserve"> ellos</w:t>
      </w:r>
      <w:r w:rsidRPr="00A07436">
        <w:rPr>
          <w:rFonts w:ascii="Cambria" w:eastAsia="MS Mincho" w:hAnsi="Cambria"/>
          <w:sz w:val="20"/>
          <w:szCs w:val="20"/>
          <w:bdr w:val="none" w:sz="0" w:space="0" w:color="auto"/>
          <w:lang w:val="es-CO"/>
        </w:rPr>
        <w:t xml:space="preserve"> salieron hacia el almacén “El Chance” en Cal</w:t>
      </w:r>
      <w:r w:rsidR="00432D24" w:rsidRPr="00A07436">
        <w:rPr>
          <w:rFonts w:ascii="Cambria" w:eastAsia="MS Mincho" w:hAnsi="Cambria"/>
          <w:sz w:val="20"/>
          <w:szCs w:val="20"/>
          <w:bdr w:val="none" w:sz="0" w:space="0" w:color="auto"/>
          <w:lang w:val="es-CO"/>
        </w:rPr>
        <w:t>i</w:t>
      </w:r>
      <w:r w:rsidRPr="00A07436">
        <w:rPr>
          <w:rFonts w:ascii="Cambria" w:eastAsia="MS Mincho" w:hAnsi="Cambria"/>
          <w:sz w:val="20"/>
          <w:szCs w:val="20"/>
          <w:bdr w:val="none" w:sz="0" w:space="0" w:color="auto"/>
          <w:lang w:val="es-CO"/>
        </w:rPr>
        <w:t>donia para retirar unos juguetes</w:t>
      </w:r>
      <w:r w:rsidRPr="00A07436">
        <w:rPr>
          <w:rFonts w:ascii="Cambria" w:eastAsia="MS Mincho" w:hAnsi="Cambria"/>
          <w:sz w:val="20"/>
          <w:szCs w:val="20"/>
          <w:bdr w:val="none" w:sz="0" w:space="0" w:color="auto"/>
          <w:vertAlign w:val="superscript"/>
        </w:rPr>
        <w:footnoteReference w:id="247"/>
      </w:r>
      <w:r w:rsidRPr="00A07436">
        <w:rPr>
          <w:rFonts w:ascii="Cambria" w:eastAsia="MS Mincho" w:hAnsi="Cambria"/>
          <w:sz w:val="20"/>
          <w:szCs w:val="20"/>
          <w:bdr w:val="none" w:sz="0" w:space="0" w:color="auto"/>
          <w:lang w:val="es-CO"/>
        </w:rPr>
        <w:t xml:space="preserve">. Si bien un familiar pudo comunicarse con ellos y conocer que </w:t>
      </w:r>
      <w:r w:rsidR="00971ACE">
        <w:rPr>
          <w:rFonts w:ascii="Cambria" w:eastAsia="MS Mincho" w:hAnsi="Cambria"/>
          <w:sz w:val="20"/>
          <w:szCs w:val="20"/>
          <w:bdr w:val="none" w:sz="0" w:space="0" w:color="auto"/>
          <w:lang w:val="es-CO"/>
        </w:rPr>
        <w:t xml:space="preserve">ellos </w:t>
      </w:r>
      <w:r w:rsidRPr="00A07436">
        <w:rPr>
          <w:rFonts w:ascii="Cambria" w:eastAsia="MS Mincho" w:hAnsi="Cambria"/>
          <w:sz w:val="20"/>
          <w:szCs w:val="20"/>
          <w:bdr w:val="none" w:sz="0" w:space="0" w:color="auto"/>
          <w:lang w:val="es-CO"/>
        </w:rPr>
        <w:t xml:space="preserve">se dirigían de regreso a sus residencias, no se </w:t>
      </w:r>
      <w:r w:rsidR="00971ACE">
        <w:rPr>
          <w:rFonts w:ascii="Cambria" w:eastAsia="MS Mincho" w:hAnsi="Cambria"/>
          <w:sz w:val="20"/>
          <w:szCs w:val="20"/>
          <w:bdr w:val="none" w:sz="0" w:space="0" w:color="auto"/>
          <w:lang w:val="es-CO"/>
        </w:rPr>
        <w:t xml:space="preserve">tuvo más información sobre </w:t>
      </w:r>
      <w:r w:rsidRPr="00A07436">
        <w:rPr>
          <w:rFonts w:ascii="Cambria" w:eastAsia="MS Mincho" w:hAnsi="Cambria"/>
          <w:sz w:val="20"/>
          <w:szCs w:val="20"/>
          <w:bdr w:val="none" w:sz="0" w:space="0" w:color="auto"/>
          <w:lang w:val="es-CO"/>
        </w:rPr>
        <w:t>su paradero y destino</w:t>
      </w:r>
      <w:r w:rsidRPr="00A07436">
        <w:rPr>
          <w:rFonts w:ascii="Cambria" w:eastAsia="MS Mincho" w:hAnsi="Cambria"/>
          <w:sz w:val="20"/>
          <w:szCs w:val="20"/>
          <w:bdr w:val="none" w:sz="0" w:space="0" w:color="auto"/>
          <w:vertAlign w:val="superscript"/>
        </w:rPr>
        <w:footnoteReference w:id="248"/>
      </w:r>
      <w:r w:rsidRPr="00A07436">
        <w:rPr>
          <w:rFonts w:ascii="Cambria" w:eastAsia="MS Mincho" w:hAnsi="Cambria"/>
          <w:sz w:val="20"/>
          <w:szCs w:val="20"/>
          <w:bdr w:val="none" w:sz="0" w:space="0" w:color="auto"/>
          <w:lang w:val="es-CO"/>
        </w:rPr>
        <w:t xml:space="preserve">. </w:t>
      </w:r>
    </w:p>
    <w:p w:rsidR="00612DD3" w:rsidRPr="00A07436" w:rsidRDefault="00612DD3" w:rsidP="00A0743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612DD3" w:rsidRPr="00A07436"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A07436">
        <w:rPr>
          <w:rFonts w:ascii="Cambria" w:eastAsia="MS Mincho" w:hAnsi="Cambria"/>
          <w:sz w:val="20"/>
          <w:szCs w:val="20"/>
          <w:bdr w:val="none" w:sz="0" w:space="0" w:color="auto"/>
          <w:lang w:val="es-CO"/>
        </w:rPr>
        <w:t xml:space="preserve">De copias del expediente ante el Segundo Tribunal Superior de Justicia, se conoce que las víctimas fueron identificadas en la morgue del Hospital Santo Tomás con heridas por proyectil de armas de fuego en la cabeza y en el tórax, respectivamente, </w:t>
      </w:r>
      <w:r w:rsidR="00971ACE">
        <w:rPr>
          <w:rFonts w:ascii="Cambria" w:eastAsia="MS Mincho" w:hAnsi="Cambria"/>
          <w:sz w:val="20"/>
          <w:szCs w:val="20"/>
          <w:bdr w:val="none" w:sz="0" w:space="0" w:color="auto"/>
          <w:lang w:val="es-CO"/>
        </w:rPr>
        <w:t xml:space="preserve">heridas recibidas </w:t>
      </w:r>
      <w:r w:rsidRPr="00A07436">
        <w:rPr>
          <w:rFonts w:ascii="Cambria" w:eastAsia="MS Mincho" w:hAnsi="Cambria"/>
          <w:sz w:val="20"/>
          <w:szCs w:val="20"/>
          <w:bdr w:val="none" w:sz="0" w:space="0" w:color="auto"/>
          <w:lang w:val="es-CO"/>
        </w:rPr>
        <w:t xml:space="preserve">el mismo </w:t>
      </w:r>
      <w:r w:rsidR="00971ACE">
        <w:rPr>
          <w:rFonts w:ascii="Cambria" w:eastAsia="MS Mincho" w:hAnsi="Cambria"/>
          <w:sz w:val="20"/>
          <w:szCs w:val="20"/>
          <w:bdr w:val="none" w:sz="0" w:space="0" w:color="auto"/>
          <w:lang w:val="es-CO"/>
        </w:rPr>
        <w:t xml:space="preserve">día, el </w:t>
      </w:r>
      <w:r w:rsidRPr="00A07436">
        <w:rPr>
          <w:rFonts w:ascii="Cambria" w:eastAsia="MS Mincho" w:hAnsi="Cambria"/>
          <w:sz w:val="20"/>
          <w:szCs w:val="20"/>
          <w:bdr w:val="none" w:sz="0" w:space="0" w:color="auto"/>
          <w:lang w:val="es-CO"/>
        </w:rPr>
        <w:t>22 de diciembre</w:t>
      </w:r>
      <w:r w:rsidRPr="00A07436">
        <w:rPr>
          <w:rFonts w:ascii="Cambria" w:eastAsia="MS Mincho" w:hAnsi="Cambria"/>
          <w:sz w:val="20"/>
          <w:szCs w:val="20"/>
          <w:bdr w:val="none" w:sz="0" w:space="0" w:color="auto"/>
          <w:vertAlign w:val="superscript"/>
        </w:rPr>
        <w:footnoteReference w:id="249"/>
      </w:r>
      <w:r w:rsidRPr="00A07436">
        <w:rPr>
          <w:rFonts w:ascii="Cambria" w:eastAsia="MS Mincho" w:hAnsi="Cambria"/>
          <w:sz w:val="20"/>
          <w:szCs w:val="20"/>
          <w:bdr w:val="none" w:sz="0" w:space="0" w:color="auto"/>
          <w:lang w:val="es-CO"/>
        </w:rPr>
        <w:t>.</w:t>
      </w:r>
      <w:r w:rsidR="00971ACE">
        <w:rPr>
          <w:rFonts w:ascii="Cambria" w:eastAsia="MS Mincho" w:hAnsi="Cambria"/>
          <w:sz w:val="20"/>
          <w:szCs w:val="20"/>
          <w:bdr w:val="none" w:sz="0" w:space="0" w:color="auto"/>
          <w:lang w:val="es-CO"/>
        </w:rPr>
        <w:t xml:space="preserve"> Cabe señalar que copias de los permisos para la exhumación de los restos de Ricardo Arana y Luis Guadamuz el día 27 de abril de 1990 </w:t>
      </w:r>
      <w:r w:rsidR="00971ACE" w:rsidRPr="00A07436">
        <w:rPr>
          <w:rFonts w:ascii="Cambria" w:eastAsia="MS Mincho" w:hAnsi="Cambria"/>
          <w:sz w:val="20"/>
          <w:szCs w:val="20"/>
          <w:bdr w:val="none" w:sz="0" w:space="0" w:color="auto"/>
          <w:lang w:val="es-CO"/>
        </w:rPr>
        <w:t>en el cementerio Jardín de Paz</w:t>
      </w:r>
      <w:r w:rsidRPr="00A07436">
        <w:rPr>
          <w:rFonts w:ascii="Cambria" w:eastAsia="MS Mincho" w:hAnsi="Cambria"/>
          <w:sz w:val="20"/>
          <w:szCs w:val="20"/>
          <w:bdr w:val="none" w:sz="0" w:space="0" w:color="auto"/>
          <w:lang w:val="es-CO"/>
        </w:rPr>
        <w:t>, fueron presentados ante la Comisión</w:t>
      </w:r>
      <w:r w:rsidRPr="00A07436">
        <w:rPr>
          <w:rFonts w:ascii="Cambria" w:eastAsia="MS Mincho" w:hAnsi="Cambria"/>
          <w:sz w:val="20"/>
          <w:szCs w:val="20"/>
          <w:bdr w:val="none" w:sz="0" w:space="0" w:color="auto"/>
          <w:vertAlign w:val="superscript"/>
        </w:rPr>
        <w:footnoteReference w:id="250"/>
      </w:r>
      <w:r w:rsidRPr="00A07436">
        <w:rPr>
          <w:rFonts w:ascii="Cambria" w:eastAsia="MS Mincho" w:hAnsi="Cambria"/>
          <w:sz w:val="20"/>
          <w:szCs w:val="20"/>
          <w:bdr w:val="none" w:sz="0" w:space="0" w:color="auto"/>
          <w:lang w:val="es-CO"/>
        </w:rPr>
        <w:t>.  E</w:t>
      </w:r>
      <w:r w:rsidR="00CD1CE0">
        <w:rPr>
          <w:rFonts w:ascii="Cambria" w:eastAsia="MS Mincho" w:hAnsi="Cambria"/>
          <w:sz w:val="20"/>
          <w:szCs w:val="20"/>
          <w:bdr w:val="none" w:sz="0" w:space="0" w:color="auto"/>
          <w:lang w:val="es-CO"/>
        </w:rPr>
        <w:t xml:space="preserve">stos permisos igualmente indican </w:t>
      </w:r>
      <w:r w:rsidRPr="00A07436">
        <w:rPr>
          <w:rFonts w:ascii="Cambria" w:eastAsia="MS Mincho" w:hAnsi="Cambria"/>
          <w:sz w:val="20"/>
          <w:szCs w:val="20"/>
          <w:bdr w:val="none" w:sz="0" w:space="0" w:color="auto"/>
          <w:lang w:val="es-CO"/>
        </w:rPr>
        <w:t>como fecha de defunción el 22 de diciembre de 1989</w:t>
      </w:r>
      <w:r w:rsidRPr="00A07436">
        <w:rPr>
          <w:rFonts w:ascii="Cambria" w:eastAsia="MS Mincho" w:hAnsi="Cambria"/>
          <w:sz w:val="20"/>
          <w:szCs w:val="20"/>
          <w:bdr w:val="none" w:sz="0" w:space="0" w:color="auto"/>
          <w:vertAlign w:val="superscript"/>
        </w:rPr>
        <w:footnoteReference w:id="251"/>
      </w:r>
      <w:r w:rsidRPr="00A07436">
        <w:rPr>
          <w:rFonts w:ascii="Cambria" w:eastAsia="MS Mincho" w:hAnsi="Cambria"/>
          <w:sz w:val="20"/>
          <w:szCs w:val="20"/>
          <w:bdr w:val="none" w:sz="0" w:space="0" w:color="auto"/>
          <w:lang w:val="es-CO"/>
        </w:rPr>
        <w:t>.</w:t>
      </w:r>
    </w:p>
    <w:p w:rsidR="00612DD3" w:rsidRPr="00A07436" w:rsidRDefault="00612DD3" w:rsidP="00A0743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5F4DC5"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A07436">
        <w:rPr>
          <w:rFonts w:ascii="Cambria" w:eastAsia="MS Mincho" w:hAnsi="Cambria"/>
          <w:i/>
          <w:sz w:val="20"/>
          <w:szCs w:val="20"/>
          <w:bdr w:val="none" w:sz="0" w:space="0" w:color="auto"/>
          <w:lang w:val="es-CO"/>
        </w:rPr>
        <w:t>Azael Barcasnegras Caballero</w:t>
      </w:r>
      <w:r w:rsidRPr="00A07436">
        <w:rPr>
          <w:rFonts w:ascii="Cambria" w:eastAsia="MS Mincho" w:hAnsi="Cambria"/>
          <w:sz w:val="20"/>
          <w:szCs w:val="20"/>
          <w:bdr w:val="none" w:sz="0" w:space="0" w:color="auto"/>
          <w:lang w:val="es-CO"/>
        </w:rPr>
        <w:t xml:space="preserve"> identificado </w:t>
      </w:r>
      <w:r w:rsidR="00CD1CE0">
        <w:rPr>
          <w:rFonts w:ascii="Cambria" w:eastAsia="MS Mincho" w:hAnsi="Cambria"/>
          <w:sz w:val="20"/>
          <w:szCs w:val="20"/>
          <w:bdr w:val="none" w:sz="0" w:space="0" w:color="auto"/>
          <w:lang w:val="es-CO"/>
        </w:rPr>
        <w:t xml:space="preserve">en </w:t>
      </w:r>
      <w:r w:rsidRPr="00A07436">
        <w:rPr>
          <w:rFonts w:ascii="Cambria" w:eastAsia="MS Mincho" w:hAnsi="Cambria"/>
          <w:sz w:val="20"/>
          <w:szCs w:val="20"/>
          <w:bdr w:val="none" w:sz="0" w:space="0" w:color="auto"/>
          <w:lang w:val="es-CO"/>
        </w:rPr>
        <w:t>el caso No.79, era un joven de 18 años de edad de nacionalidad panameña</w:t>
      </w:r>
      <w:r w:rsidRPr="00A07436">
        <w:rPr>
          <w:rFonts w:ascii="Cambria" w:eastAsia="MS Mincho" w:hAnsi="Cambria"/>
          <w:sz w:val="20"/>
          <w:szCs w:val="20"/>
          <w:bdr w:val="none" w:sz="0" w:space="0" w:color="auto"/>
          <w:vertAlign w:val="superscript"/>
        </w:rPr>
        <w:footnoteReference w:id="252"/>
      </w:r>
      <w:r w:rsidRPr="00A07436">
        <w:rPr>
          <w:rFonts w:ascii="Cambria" w:eastAsia="MS Mincho" w:hAnsi="Cambria"/>
          <w:sz w:val="20"/>
          <w:szCs w:val="20"/>
          <w:bdr w:val="none" w:sz="0" w:space="0" w:color="auto"/>
          <w:lang w:val="es-CO"/>
        </w:rPr>
        <w:t>. Conforme a la declaración presentada, el 22 de diciembre de 1989 a las 5.30 pm Azael</w:t>
      </w:r>
      <w:r w:rsidR="00CD1CE0">
        <w:rPr>
          <w:rFonts w:ascii="Cambria" w:eastAsia="MS Mincho" w:hAnsi="Cambria"/>
          <w:sz w:val="20"/>
          <w:szCs w:val="20"/>
          <w:bdr w:val="none" w:sz="0" w:space="0" w:color="auto"/>
          <w:lang w:val="es-CO"/>
        </w:rPr>
        <w:t xml:space="preserve"> Barcasnegras</w:t>
      </w:r>
      <w:r w:rsidRPr="00A07436">
        <w:rPr>
          <w:rFonts w:ascii="Cambria" w:eastAsia="MS Mincho" w:hAnsi="Cambria"/>
          <w:sz w:val="20"/>
          <w:szCs w:val="20"/>
          <w:bdr w:val="none" w:sz="0" w:space="0" w:color="auto"/>
          <w:lang w:val="es-CO"/>
        </w:rPr>
        <w:t xml:space="preserve"> salió de su residencia ubicada en Panamá Viejo a una tienda cuando </w:t>
      </w:r>
      <w:r w:rsidR="00CD1CE0">
        <w:rPr>
          <w:rFonts w:ascii="Cambria" w:eastAsia="MS Mincho" w:hAnsi="Cambria"/>
          <w:sz w:val="20"/>
          <w:szCs w:val="20"/>
          <w:bdr w:val="none" w:sz="0" w:space="0" w:color="auto"/>
          <w:lang w:val="es-CO"/>
        </w:rPr>
        <w:t>fue</w:t>
      </w:r>
      <w:r w:rsidRPr="00A07436">
        <w:rPr>
          <w:rFonts w:ascii="Cambria" w:eastAsia="MS Mincho" w:hAnsi="Cambria"/>
          <w:sz w:val="20"/>
          <w:szCs w:val="20"/>
          <w:bdr w:val="none" w:sz="0" w:space="0" w:color="auto"/>
          <w:lang w:val="es-CO"/>
        </w:rPr>
        <w:t xml:space="preserve"> sorprendido por disparos de los estadounidenses y herido por un proyectil proveniente de una tanqueta</w:t>
      </w:r>
      <w:r w:rsidRPr="00A07436">
        <w:rPr>
          <w:rFonts w:ascii="Cambria" w:eastAsia="MS Mincho" w:hAnsi="Cambria"/>
          <w:sz w:val="20"/>
          <w:szCs w:val="20"/>
          <w:bdr w:val="none" w:sz="0" w:space="0" w:color="auto"/>
          <w:vertAlign w:val="superscript"/>
        </w:rPr>
        <w:footnoteReference w:id="253"/>
      </w:r>
      <w:r w:rsidRPr="00A07436">
        <w:rPr>
          <w:rFonts w:ascii="Cambria" w:eastAsia="MS Mincho" w:hAnsi="Cambria"/>
          <w:sz w:val="20"/>
          <w:szCs w:val="20"/>
          <w:bdr w:val="none" w:sz="0" w:space="0" w:color="auto"/>
          <w:lang w:val="es-CO"/>
        </w:rPr>
        <w:t xml:space="preserve">. Dos días después, </w:t>
      </w:r>
      <w:r w:rsidRPr="00A07436">
        <w:rPr>
          <w:rFonts w:ascii="Cambria" w:eastAsia="MS Mincho" w:hAnsi="Cambria"/>
          <w:sz w:val="20"/>
          <w:szCs w:val="20"/>
          <w:bdr w:val="none" w:sz="0" w:space="0" w:color="auto"/>
          <w:lang w:val="es-CO"/>
        </w:rPr>
        <w:lastRenderedPageBreak/>
        <w:t>el 24 de diciembre, los familiares lo encontraron</w:t>
      </w:r>
      <w:r w:rsidRPr="009712EB">
        <w:rPr>
          <w:rFonts w:ascii="Cambria" w:eastAsia="MS Mincho" w:hAnsi="Cambria"/>
          <w:sz w:val="20"/>
          <w:szCs w:val="20"/>
          <w:bdr w:val="none" w:sz="0" w:space="0" w:color="auto"/>
          <w:lang w:val="es-CO"/>
        </w:rPr>
        <w:t xml:space="preserve"> en la morgue del Hospital Santo Tomás, y fue</w:t>
      </w:r>
      <w:r w:rsidR="00CD1CE0">
        <w:rPr>
          <w:rFonts w:ascii="Cambria" w:eastAsia="MS Mincho" w:hAnsi="Cambria"/>
          <w:sz w:val="20"/>
          <w:szCs w:val="20"/>
          <w:bdr w:val="none" w:sz="0" w:space="0" w:color="auto"/>
          <w:lang w:val="es-CO"/>
        </w:rPr>
        <w:t xml:space="preserve"> enterrado en la fosa común de </w:t>
      </w:r>
      <w:r w:rsidRPr="009712EB">
        <w:rPr>
          <w:rFonts w:ascii="Cambria" w:eastAsia="MS Mincho" w:hAnsi="Cambria"/>
          <w:sz w:val="20"/>
          <w:szCs w:val="20"/>
          <w:bdr w:val="none" w:sz="0" w:space="0" w:color="auto"/>
          <w:lang w:val="es-CO"/>
        </w:rPr>
        <w:t>Jardín de Paz</w:t>
      </w:r>
      <w:r w:rsidRPr="009712EB">
        <w:rPr>
          <w:rFonts w:ascii="Cambria" w:eastAsia="MS Mincho" w:hAnsi="Cambria"/>
          <w:sz w:val="20"/>
          <w:szCs w:val="20"/>
          <w:bdr w:val="none" w:sz="0" w:space="0" w:color="auto"/>
          <w:vertAlign w:val="superscript"/>
        </w:rPr>
        <w:footnoteReference w:id="254"/>
      </w:r>
      <w:r w:rsidRPr="009712EB">
        <w:rPr>
          <w:rFonts w:ascii="Cambria" w:eastAsia="MS Mincho" w:hAnsi="Cambria"/>
          <w:sz w:val="20"/>
          <w:szCs w:val="20"/>
          <w:bdr w:val="none" w:sz="0" w:space="0" w:color="auto"/>
          <w:lang w:val="es-CO"/>
        </w:rPr>
        <w:t xml:space="preserve">. </w:t>
      </w:r>
    </w:p>
    <w:p w:rsidR="00612DD3" w:rsidRDefault="00612DD3" w:rsidP="00612DD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CO"/>
        </w:rPr>
      </w:pPr>
    </w:p>
    <w:p w:rsidR="00612DD3" w:rsidRPr="009712EB"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Augustus Arturo Willis Baker</w:t>
      </w:r>
      <w:r w:rsidRPr="009712EB">
        <w:rPr>
          <w:rFonts w:ascii="Cambria" w:eastAsia="MS Mincho" w:hAnsi="Cambria"/>
          <w:sz w:val="20"/>
          <w:szCs w:val="20"/>
          <w:bdr w:val="none" w:sz="0" w:space="0" w:color="auto"/>
          <w:lang w:val="es-CO"/>
        </w:rPr>
        <w:t xml:space="preserve"> identificado en el caso No. 80, era un hombre de 33 años de edad de nacionalidad panameña</w:t>
      </w:r>
      <w:r w:rsidRPr="009712EB">
        <w:rPr>
          <w:rFonts w:ascii="Cambria" w:eastAsia="MS Mincho" w:hAnsi="Cambria"/>
          <w:sz w:val="20"/>
          <w:szCs w:val="20"/>
          <w:bdr w:val="none" w:sz="0" w:space="0" w:color="auto"/>
          <w:vertAlign w:val="superscript"/>
        </w:rPr>
        <w:footnoteReference w:id="255"/>
      </w:r>
      <w:r w:rsidRPr="009712EB">
        <w:rPr>
          <w:rFonts w:ascii="Cambria" w:eastAsia="MS Mincho" w:hAnsi="Cambria"/>
          <w:sz w:val="20"/>
          <w:szCs w:val="20"/>
          <w:bdr w:val="none" w:sz="0" w:space="0" w:color="auto"/>
          <w:lang w:val="es-CO"/>
        </w:rPr>
        <w:t>. Conforme a la información presentada, el 22 de diciembre de 1989 se encontraba en la Plaza “5 de mayo” cuando fue “abaleado por las tropas estadounidenses”</w:t>
      </w:r>
      <w:r w:rsidRPr="009712EB">
        <w:rPr>
          <w:rFonts w:ascii="Cambria" w:eastAsia="MS Mincho" w:hAnsi="Cambria"/>
          <w:sz w:val="20"/>
          <w:szCs w:val="20"/>
          <w:bdr w:val="none" w:sz="0" w:space="0" w:color="auto"/>
          <w:vertAlign w:val="superscript"/>
        </w:rPr>
        <w:footnoteReference w:id="256"/>
      </w:r>
      <w:r w:rsidRPr="009712EB">
        <w:rPr>
          <w:rFonts w:ascii="Cambria" w:eastAsia="MS Mincho" w:hAnsi="Cambria"/>
          <w:sz w:val="20"/>
          <w:szCs w:val="20"/>
          <w:bdr w:val="none" w:sz="0" w:space="0" w:color="auto"/>
          <w:lang w:val="es-CO"/>
        </w:rPr>
        <w:t xml:space="preserve">. </w:t>
      </w:r>
    </w:p>
    <w:p w:rsidR="00612DD3" w:rsidRPr="009712EB" w:rsidRDefault="00612DD3" w:rsidP="00A0743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612DD3" w:rsidRPr="009712EB"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sz w:val="20"/>
          <w:szCs w:val="20"/>
          <w:bdr w:val="none" w:sz="0" w:space="0" w:color="auto"/>
          <w:lang w:val="es-CO"/>
        </w:rPr>
        <w:t xml:space="preserve">Según relato de su esposa, la víctima se dirigía el 22 de diciembre de 1989 a buscar su vehículo que había quedado sin gasolina en la vía Brasil en compañía de su amigo “Tito”, el hermano de Tito quien tenía 11 años y dos mujeres, en un vehículo Lada blanco propiedad de </w:t>
      </w:r>
      <w:r w:rsidR="00432D24">
        <w:rPr>
          <w:rFonts w:ascii="Cambria" w:eastAsia="MS Mincho" w:hAnsi="Cambria"/>
          <w:sz w:val="20"/>
          <w:szCs w:val="20"/>
          <w:bdr w:val="none" w:sz="0" w:space="0" w:color="auto"/>
          <w:lang w:val="es-CO"/>
        </w:rPr>
        <w:t>T</w:t>
      </w:r>
      <w:r w:rsidRPr="009712EB">
        <w:rPr>
          <w:rFonts w:ascii="Cambria" w:eastAsia="MS Mincho" w:hAnsi="Cambria"/>
          <w:sz w:val="20"/>
          <w:szCs w:val="20"/>
          <w:bdr w:val="none" w:sz="0" w:space="0" w:color="auto"/>
          <w:lang w:val="es-CO"/>
        </w:rPr>
        <w:t>ito</w:t>
      </w:r>
      <w:r w:rsidRPr="009712EB">
        <w:rPr>
          <w:rFonts w:ascii="Cambria" w:eastAsia="MS Mincho" w:hAnsi="Cambria"/>
          <w:sz w:val="20"/>
          <w:szCs w:val="20"/>
          <w:bdr w:val="none" w:sz="0" w:space="0" w:color="auto"/>
          <w:vertAlign w:val="superscript"/>
        </w:rPr>
        <w:footnoteReference w:id="257"/>
      </w:r>
      <w:r w:rsidRPr="009712EB">
        <w:rPr>
          <w:rFonts w:ascii="Cambria" w:eastAsia="MS Mincho" w:hAnsi="Cambria"/>
          <w:sz w:val="20"/>
          <w:szCs w:val="20"/>
          <w:bdr w:val="none" w:sz="0" w:space="0" w:color="auto"/>
          <w:lang w:val="es-CO"/>
        </w:rPr>
        <w:t>. Al l</w:t>
      </w:r>
      <w:r w:rsidR="00CD1CE0">
        <w:rPr>
          <w:rFonts w:ascii="Cambria" w:eastAsia="MS Mincho" w:hAnsi="Cambria"/>
          <w:sz w:val="20"/>
          <w:szCs w:val="20"/>
          <w:bdr w:val="none" w:sz="0" w:space="0" w:color="auto"/>
          <w:lang w:val="es-CO"/>
        </w:rPr>
        <w:t>l</w:t>
      </w:r>
      <w:r w:rsidRPr="009712EB">
        <w:rPr>
          <w:rFonts w:ascii="Cambria" w:eastAsia="MS Mincho" w:hAnsi="Cambria"/>
          <w:sz w:val="20"/>
          <w:szCs w:val="20"/>
          <w:bdr w:val="none" w:sz="0" w:space="0" w:color="auto"/>
          <w:lang w:val="es-CO"/>
        </w:rPr>
        <w:t xml:space="preserve">egar a la esquina de la Plaza “5 de mayo”, soldados estadounidenses les gritaron que se </w:t>
      </w:r>
      <w:r w:rsidR="000035C2" w:rsidRPr="009712EB">
        <w:rPr>
          <w:rFonts w:ascii="Cambria" w:eastAsia="MS Mincho" w:hAnsi="Cambria"/>
          <w:sz w:val="20"/>
          <w:szCs w:val="20"/>
          <w:bdr w:val="none" w:sz="0" w:space="0" w:color="auto"/>
          <w:lang w:val="es-CO"/>
        </w:rPr>
        <w:t>detuvieran,</w:t>
      </w:r>
      <w:r w:rsidRPr="009712EB">
        <w:rPr>
          <w:rFonts w:ascii="Cambria" w:eastAsia="MS Mincho" w:hAnsi="Cambria"/>
          <w:sz w:val="20"/>
          <w:szCs w:val="20"/>
          <w:bdr w:val="none" w:sz="0" w:space="0" w:color="auto"/>
          <w:lang w:val="es-CO"/>
        </w:rPr>
        <w:t xml:space="preserve"> pero “al no detenerse inmediatamente” l</w:t>
      </w:r>
      <w:r w:rsidR="00CD1CE0">
        <w:rPr>
          <w:rFonts w:ascii="Cambria" w:eastAsia="MS Mincho" w:hAnsi="Cambria"/>
          <w:sz w:val="20"/>
          <w:szCs w:val="20"/>
          <w:bdr w:val="none" w:sz="0" w:space="0" w:color="auto"/>
          <w:lang w:val="es-CO"/>
        </w:rPr>
        <w:t>os soldados le</w:t>
      </w:r>
      <w:r w:rsidRPr="009712EB">
        <w:rPr>
          <w:rFonts w:ascii="Cambria" w:eastAsia="MS Mincho" w:hAnsi="Cambria"/>
          <w:sz w:val="20"/>
          <w:szCs w:val="20"/>
          <w:bdr w:val="none" w:sz="0" w:space="0" w:color="auto"/>
          <w:lang w:val="es-CO"/>
        </w:rPr>
        <w:t xml:space="preserve"> dispararon al automóvil</w:t>
      </w:r>
      <w:r w:rsidRPr="009712EB">
        <w:rPr>
          <w:rFonts w:ascii="Cambria" w:eastAsia="MS Mincho" w:hAnsi="Cambria"/>
          <w:sz w:val="20"/>
          <w:szCs w:val="20"/>
          <w:bdr w:val="none" w:sz="0" w:space="0" w:color="auto"/>
          <w:vertAlign w:val="superscript"/>
        </w:rPr>
        <w:footnoteReference w:id="258"/>
      </w:r>
      <w:r w:rsidRPr="009712EB">
        <w:rPr>
          <w:rFonts w:ascii="Cambria" w:eastAsia="MS Mincho" w:hAnsi="Cambria"/>
          <w:sz w:val="20"/>
          <w:szCs w:val="20"/>
          <w:bdr w:val="none" w:sz="0" w:space="0" w:color="auto"/>
          <w:lang w:val="es-CO"/>
        </w:rPr>
        <w:t xml:space="preserve">. El vehículo “quedó con todos los vidrios rotos, se veían impactos de balas por las puertas, como si </w:t>
      </w:r>
      <w:r w:rsidR="00E70A7A">
        <w:rPr>
          <w:rFonts w:ascii="Cambria" w:eastAsia="MS Mincho" w:hAnsi="Cambria"/>
          <w:sz w:val="20"/>
          <w:szCs w:val="20"/>
          <w:bdr w:val="none" w:sz="0" w:space="0" w:color="auto"/>
          <w:lang w:val="es-CO"/>
        </w:rPr>
        <w:t xml:space="preserve">las balas hubiesen sido una </w:t>
      </w:r>
      <w:r w:rsidRPr="009712EB">
        <w:rPr>
          <w:rFonts w:ascii="Cambria" w:eastAsia="MS Mincho" w:hAnsi="Cambria"/>
          <w:sz w:val="20"/>
          <w:szCs w:val="20"/>
          <w:bdr w:val="none" w:sz="0" w:space="0" w:color="auto"/>
          <w:lang w:val="es-CO"/>
        </w:rPr>
        <w:t>ráfaga de fuego”</w:t>
      </w:r>
      <w:r w:rsidRPr="009712EB">
        <w:rPr>
          <w:rFonts w:ascii="Cambria" w:eastAsia="MS Mincho" w:hAnsi="Cambria"/>
          <w:sz w:val="20"/>
          <w:szCs w:val="20"/>
          <w:bdr w:val="none" w:sz="0" w:space="0" w:color="auto"/>
          <w:vertAlign w:val="superscript"/>
        </w:rPr>
        <w:footnoteReference w:id="259"/>
      </w:r>
      <w:r w:rsidR="004C4A1D">
        <w:rPr>
          <w:rFonts w:ascii="Cambria" w:eastAsia="MS Mincho" w:hAnsi="Cambria"/>
          <w:sz w:val="20"/>
          <w:szCs w:val="20"/>
          <w:bdr w:val="none" w:sz="0" w:space="0" w:color="auto"/>
          <w:lang w:val="es-CO"/>
        </w:rPr>
        <w:t>.</w:t>
      </w:r>
      <w:r w:rsidRPr="009712EB">
        <w:rPr>
          <w:rFonts w:ascii="Cambria" w:eastAsia="MS Mincho" w:hAnsi="Cambria"/>
          <w:sz w:val="20"/>
          <w:szCs w:val="20"/>
          <w:bdr w:val="none" w:sz="0" w:space="0" w:color="auto"/>
          <w:lang w:val="es-CO"/>
        </w:rPr>
        <w:t xml:space="preserve"> La familia no encontró el cuerpo luego de buscarlo “por las morgues del Hospital Santo Tomás, el Gorgas, y el Hospital de la Caja de Seguro Social”</w:t>
      </w:r>
      <w:r w:rsidRPr="009712EB">
        <w:rPr>
          <w:rFonts w:ascii="Cambria" w:eastAsia="MS Mincho" w:hAnsi="Cambria"/>
          <w:sz w:val="20"/>
          <w:szCs w:val="20"/>
          <w:bdr w:val="none" w:sz="0" w:space="0" w:color="auto"/>
          <w:vertAlign w:val="superscript"/>
        </w:rPr>
        <w:footnoteReference w:id="260"/>
      </w:r>
      <w:r w:rsidRPr="009712EB">
        <w:rPr>
          <w:rFonts w:ascii="Cambria" w:eastAsia="MS Mincho" w:hAnsi="Cambria"/>
          <w:sz w:val="20"/>
          <w:szCs w:val="20"/>
          <w:bdr w:val="none" w:sz="0" w:space="0" w:color="auto"/>
          <w:lang w:val="es-CO"/>
        </w:rPr>
        <w:t xml:space="preserve">. </w:t>
      </w:r>
    </w:p>
    <w:p w:rsidR="00612DD3" w:rsidRPr="009712EB" w:rsidRDefault="00612DD3" w:rsidP="00A0743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612DD3" w:rsidRPr="009712EB"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lang w:val="es-CO"/>
        </w:rPr>
      </w:pPr>
      <w:r w:rsidRPr="009712EB">
        <w:rPr>
          <w:rFonts w:ascii="Cambria" w:eastAsia="MS Mincho" w:hAnsi="Cambria"/>
          <w:sz w:val="20"/>
          <w:szCs w:val="20"/>
          <w:bdr w:val="none" w:sz="0" w:space="0" w:color="auto"/>
          <w:lang w:val="es-CO"/>
        </w:rPr>
        <w:t>De acuerdo con el mismo relato, se localizó el cuerpo 5 o 6 días después en la base militar de Howard, y llevado a una fosa común en el cementerio de Jardín de Paz</w:t>
      </w:r>
      <w:r w:rsidRPr="009712EB">
        <w:rPr>
          <w:rFonts w:ascii="Cambria" w:eastAsia="MS Mincho" w:hAnsi="Cambria"/>
          <w:sz w:val="20"/>
          <w:szCs w:val="20"/>
          <w:bdr w:val="none" w:sz="0" w:space="0" w:color="auto"/>
          <w:vertAlign w:val="superscript"/>
        </w:rPr>
        <w:footnoteReference w:id="261"/>
      </w:r>
      <w:r w:rsidRPr="009712EB">
        <w:rPr>
          <w:rFonts w:ascii="Cambria" w:eastAsia="MS Mincho" w:hAnsi="Cambria"/>
          <w:sz w:val="20"/>
          <w:szCs w:val="20"/>
          <w:bdr w:val="none" w:sz="0" w:space="0" w:color="auto"/>
          <w:lang w:val="es-CO"/>
        </w:rPr>
        <w:t xml:space="preserve">. </w:t>
      </w:r>
      <w:r w:rsidR="00432D24">
        <w:rPr>
          <w:rFonts w:ascii="Cambria" w:eastAsia="MS Mincho" w:hAnsi="Cambria"/>
          <w:sz w:val="20"/>
          <w:szCs w:val="20"/>
          <w:bdr w:val="none" w:sz="0" w:space="0" w:color="auto"/>
          <w:lang w:val="es-CO"/>
        </w:rPr>
        <w:t xml:space="preserve"> Su madre y hermano insistieron que fue solo </w:t>
      </w:r>
      <w:r w:rsidR="00E70A7A">
        <w:rPr>
          <w:rFonts w:ascii="Cambria" w:eastAsia="MS Mincho" w:hAnsi="Cambria"/>
          <w:sz w:val="20"/>
          <w:szCs w:val="20"/>
          <w:bdr w:val="none" w:sz="0" w:space="0" w:color="auto"/>
          <w:lang w:val="es-CO"/>
        </w:rPr>
        <w:t xml:space="preserve">cuando sus restos fueron exhumados, </w:t>
      </w:r>
      <w:r w:rsidR="00432D24">
        <w:rPr>
          <w:rFonts w:ascii="Cambria" w:eastAsia="MS Mincho" w:hAnsi="Cambria"/>
          <w:sz w:val="20"/>
          <w:szCs w:val="20"/>
          <w:bdr w:val="none" w:sz="0" w:space="0" w:color="auto"/>
          <w:lang w:val="es-CO"/>
        </w:rPr>
        <w:t xml:space="preserve">pudo </w:t>
      </w:r>
      <w:r w:rsidR="00A07436">
        <w:rPr>
          <w:rFonts w:ascii="Cambria" w:eastAsia="MS Mincho" w:hAnsi="Cambria"/>
          <w:sz w:val="20"/>
          <w:szCs w:val="20"/>
          <w:bdr w:val="none" w:sz="0" w:space="0" w:color="auto"/>
          <w:lang w:val="es-CO"/>
        </w:rPr>
        <w:t>ser identificado</w:t>
      </w:r>
      <w:r w:rsidR="00432D24">
        <w:rPr>
          <w:rFonts w:ascii="Cambria" w:eastAsia="MS Mincho" w:hAnsi="Cambria"/>
          <w:sz w:val="20"/>
          <w:szCs w:val="20"/>
          <w:bdr w:val="none" w:sz="0" w:space="0" w:color="auto"/>
          <w:lang w:val="es-CO"/>
        </w:rPr>
        <w:t xml:space="preserve"> </w:t>
      </w:r>
      <w:r w:rsidRPr="009712EB">
        <w:rPr>
          <w:rFonts w:ascii="Cambria" w:eastAsia="MS Mincho" w:hAnsi="Cambria"/>
          <w:sz w:val="20"/>
          <w:szCs w:val="20"/>
          <w:bdr w:val="none" w:sz="0" w:space="0" w:color="auto"/>
          <w:lang w:val="es-CO"/>
        </w:rPr>
        <w:t>en una bolsa negra identificado con el número 028</w:t>
      </w:r>
      <w:r w:rsidRPr="009712EB">
        <w:rPr>
          <w:rFonts w:ascii="Cambria" w:eastAsia="MS Mincho" w:hAnsi="Cambria"/>
          <w:sz w:val="20"/>
          <w:szCs w:val="20"/>
          <w:bdr w:val="none" w:sz="0" w:space="0" w:color="auto"/>
          <w:vertAlign w:val="superscript"/>
        </w:rPr>
        <w:footnoteReference w:id="262"/>
      </w:r>
      <w:r w:rsidRPr="009712EB">
        <w:rPr>
          <w:rFonts w:ascii="Cambria" w:eastAsia="MS Mincho" w:hAnsi="Cambria"/>
          <w:sz w:val="20"/>
          <w:szCs w:val="20"/>
          <w:bdr w:val="none" w:sz="0" w:space="0" w:color="auto"/>
          <w:lang w:val="es-CO"/>
        </w:rPr>
        <w:t>.</w:t>
      </w:r>
    </w:p>
    <w:p w:rsidR="00612DD3" w:rsidRPr="00612DD3" w:rsidRDefault="00612DD3" w:rsidP="00612DD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CO"/>
        </w:rPr>
      </w:pPr>
    </w:p>
    <w:p w:rsidR="005F4DC5"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Ángel Benítez Córdoba</w:t>
      </w:r>
      <w:r w:rsidRPr="009712EB">
        <w:rPr>
          <w:rFonts w:ascii="Cambria" w:eastAsia="MS Mincho" w:hAnsi="Cambria"/>
          <w:sz w:val="20"/>
          <w:szCs w:val="20"/>
          <w:bdr w:val="none" w:sz="0" w:space="0" w:color="auto"/>
          <w:lang w:val="es-CO"/>
        </w:rPr>
        <w:t xml:space="preserve"> identificado</w:t>
      </w:r>
      <w:r w:rsidR="00E70A7A">
        <w:rPr>
          <w:rFonts w:ascii="Cambria" w:eastAsia="MS Mincho" w:hAnsi="Cambria"/>
          <w:sz w:val="20"/>
          <w:szCs w:val="20"/>
          <w:bdr w:val="none" w:sz="0" w:space="0" w:color="auto"/>
          <w:lang w:val="es-CO"/>
        </w:rPr>
        <w:t xml:space="preserve"> en</w:t>
      </w:r>
      <w:r w:rsidRPr="009712EB">
        <w:rPr>
          <w:rFonts w:ascii="Cambria" w:eastAsia="MS Mincho" w:hAnsi="Cambria"/>
          <w:sz w:val="20"/>
          <w:szCs w:val="20"/>
          <w:bdr w:val="none" w:sz="0" w:space="0" w:color="auto"/>
          <w:lang w:val="es-CO"/>
        </w:rPr>
        <w:t xml:space="preserve"> el caso No. 82, era un hombre de 43 años de edad de nacionalidad panameña</w:t>
      </w:r>
      <w:r w:rsidRPr="009712EB">
        <w:rPr>
          <w:rFonts w:ascii="Cambria" w:eastAsia="MS Mincho" w:hAnsi="Cambria"/>
          <w:sz w:val="20"/>
          <w:szCs w:val="20"/>
          <w:bdr w:val="none" w:sz="0" w:space="0" w:color="auto"/>
          <w:vertAlign w:val="superscript"/>
        </w:rPr>
        <w:footnoteReference w:id="263"/>
      </w:r>
      <w:r w:rsidRPr="009712EB">
        <w:rPr>
          <w:rFonts w:ascii="Cambria" w:eastAsia="MS Mincho" w:hAnsi="Cambria"/>
          <w:sz w:val="20"/>
          <w:szCs w:val="20"/>
          <w:bdr w:val="none" w:sz="0" w:space="0" w:color="auto"/>
          <w:lang w:val="es-CO"/>
        </w:rPr>
        <w:t>. Conforme a la información presentada, la familia desconoce las circunstancias de su muerte y denuncian que fue ubicado por diligencias hechas ante la Fiscalía</w:t>
      </w:r>
      <w:r w:rsidRPr="009712EB">
        <w:rPr>
          <w:rFonts w:ascii="Cambria" w:eastAsia="MS Mincho" w:hAnsi="Cambria"/>
          <w:sz w:val="20"/>
          <w:szCs w:val="20"/>
          <w:bdr w:val="none" w:sz="0" w:space="0" w:color="auto"/>
          <w:vertAlign w:val="superscript"/>
        </w:rPr>
        <w:footnoteReference w:id="264"/>
      </w:r>
      <w:r w:rsidRPr="009712EB">
        <w:rPr>
          <w:rFonts w:ascii="Cambria" w:eastAsia="MS Mincho" w:hAnsi="Cambria"/>
          <w:sz w:val="20"/>
          <w:szCs w:val="20"/>
          <w:bdr w:val="none" w:sz="0" w:space="0" w:color="auto"/>
          <w:lang w:val="es-CO"/>
        </w:rPr>
        <w:t>. De acuerdo con su certificado de defunción, resultó herido por una bala en la zona de Albrook el 20 de diciembre de 1989</w:t>
      </w:r>
      <w:r w:rsidRPr="009712EB">
        <w:rPr>
          <w:rFonts w:ascii="Cambria" w:eastAsia="MS Mincho" w:hAnsi="Cambria"/>
          <w:sz w:val="20"/>
          <w:szCs w:val="20"/>
          <w:bdr w:val="none" w:sz="0" w:space="0" w:color="auto"/>
          <w:vertAlign w:val="superscript"/>
        </w:rPr>
        <w:footnoteReference w:id="265"/>
      </w:r>
      <w:r w:rsidRPr="009712EB">
        <w:rPr>
          <w:rFonts w:ascii="Cambria" w:eastAsia="MS Mincho" w:hAnsi="Cambria"/>
          <w:sz w:val="20"/>
          <w:szCs w:val="20"/>
          <w:bdr w:val="none" w:sz="0" w:space="0" w:color="auto"/>
          <w:lang w:val="es-CO"/>
        </w:rPr>
        <w:t>. Sus restos fueron encontrados en la fosa común del Jardín de Paz. Es importante destacar que, según información presentada por la parte peticionaria, el Estado identificó al Sr. Ángel Benítez como miembro de los Batallones de Dignidad y determinó la recuperación de sus restos en el “Commandant Headquaters” el 20 de diciembre de 1989</w:t>
      </w:r>
      <w:r w:rsidRPr="009712EB">
        <w:rPr>
          <w:rFonts w:ascii="Cambria" w:eastAsia="MS Mincho" w:hAnsi="Cambria"/>
          <w:sz w:val="20"/>
          <w:szCs w:val="20"/>
          <w:bdr w:val="none" w:sz="0" w:space="0" w:color="auto"/>
          <w:vertAlign w:val="superscript"/>
        </w:rPr>
        <w:footnoteReference w:id="266"/>
      </w:r>
      <w:r w:rsidRPr="009712EB">
        <w:rPr>
          <w:rFonts w:ascii="Cambria" w:eastAsia="MS Mincho" w:hAnsi="Cambria"/>
          <w:sz w:val="20"/>
          <w:szCs w:val="20"/>
          <w:bdr w:val="none" w:sz="0" w:space="0" w:color="auto"/>
          <w:lang w:val="es-CO"/>
        </w:rPr>
        <w:t>.</w:t>
      </w:r>
    </w:p>
    <w:p w:rsidR="00612DD3" w:rsidRDefault="00612DD3" w:rsidP="00A0743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612DD3" w:rsidRPr="009712EB"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 xml:space="preserve">Yaneth Lisbet Castillo </w:t>
      </w:r>
      <w:r w:rsidRPr="009712EB">
        <w:rPr>
          <w:rFonts w:ascii="Cambria" w:eastAsia="MS Mincho" w:hAnsi="Cambria"/>
          <w:sz w:val="20"/>
          <w:szCs w:val="20"/>
          <w:bdr w:val="none" w:sz="0" w:space="0" w:color="auto"/>
          <w:lang w:val="es-CO"/>
        </w:rPr>
        <w:t>identificada en el caso No.85, era una mujer de 26 años de edad de nacionalidad panameña</w:t>
      </w:r>
      <w:r w:rsidRPr="009712EB">
        <w:rPr>
          <w:rFonts w:ascii="Cambria" w:eastAsia="MS Mincho" w:hAnsi="Cambria"/>
          <w:sz w:val="20"/>
          <w:szCs w:val="20"/>
          <w:bdr w:val="none" w:sz="0" w:space="0" w:color="auto"/>
          <w:vertAlign w:val="superscript"/>
        </w:rPr>
        <w:footnoteReference w:id="267"/>
      </w:r>
      <w:r w:rsidRPr="009712EB">
        <w:rPr>
          <w:rFonts w:ascii="Cambria" w:eastAsia="MS Mincho" w:hAnsi="Cambria"/>
          <w:sz w:val="20"/>
          <w:szCs w:val="20"/>
          <w:bdr w:val="none" w:sz="0" w:space="0" w:color="auto"/>
          <w:lang w:val="es-CO"/>
        </w:rPr>
        <w:t xml:space="preserve">. Conforme a la declaración presentada, el 20 de diciembre 1989 Yaneth Castillo se encontraba en su residencia ubicada en El Chorrillo junto con sus familiares cuando comenzó la invasión. Alrededor de la 1.30 am, testigos recuentan que se escuchó una detonación dentro de la casa y al buscarla, la </w:t>
      </w:r>
      <w:r w:rsidRPr="009712EB">
        <w:rPr>
          <w:rFonts w:ascii="Cambria" w:eastAsia="MS Mincho" w:hAnsi="Cambria"/>
          <w:sz w:val="20"/>
          <w:szCs w:val="20"/>
          <w:bdr w:val="none" w:sz="0" w:space="0" w:color="auto"/>
          <w:lang w:val="es-CO"/>
        </w:rPr>
        <w:lastRenderedPageBreak/>
        <w:t>encontraron en el piso “inerte” junto a su hijo.</w:t>
      </w:r>
      <w:r w:rsidRPr="009712EB">
        <w:rPr>
          <w:rFonts w:ascii="Cambria" w:eastAsia="MS Mincho" w:hAnsi="Cambria"/>
          <w:sz w:val="20"/>
          <w:szCs w:val="20"/>
          <w:bdr w:val="none" w:sz="0" w:space="0" w:color="auto"/>
          <w:vertAlign w:val="superscript"/>
        </w:rPr>
        <w:footnoteReference w:id="268"/>
      </w:r>
      <w:r w:rsidRPr="009712EB">
        <w:rPr>
          <w:rFonts w:ascii="Cambria" w:eastAsia="MS Mincho" w:hAnsi="Cambria"/>
          <w:sz w:val="20"/>
          <w:szCs w:val="20"/>
          <w:bdr w:val="none" w:sz="0" w:space="0" w:color="auto"/>
          <w:lang w:val="es-CO"/>
        </w:rPr>
        <w:t xml:space="preserve"> De acuerdo con el certificado de defunción presentado, la causa atribuida a su muerte fue “trauma craneoencefálico por herida por proyectil de arma de fuego”</w:t>
      </w:r>
      <w:r w:rsidRPr="009712EB">
        <w:rPr>
          <w:rFonts w:ascii="Cambria" w:eastAsia="MS Mincho" w:hAnsi="Cambria"/>
          <w:sz w:val="20"/>
          <w:szCs w:val="20"/>
          <w:bdr w:val="none" w:sz="0" w:space="0" w:color="auto"/>
          <w:vertAlign w:val="superscript"/>
        </w:rPr>
        <w:footnoteReference w:id="269"/>
      </w:r>
      <w:r w:rsidRPr="009712EB">
        <w:rPr>
          <w:rFonts w:ascii="Cambria" w:eastAsia="MS Mincho" w:hAnsi="Cambria"/>
          <w:sz w:val="20"/>
          <w:szCs w:val="20"/>
          <w:bdr w:val="none" w:sz="0" w:space="0" w:color="auto"/>
          <w:lang w:val="es-CO"/>
        </w:rPr>
        <w:t>.</w:t>
      </w:r>
    </w:p>
    <w:p w:rsidR="00612DD3" w:rsidRPr="009712EB" w:rsidRDefault="00612DD3" w:rsidP="00A0743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612DD3" w:rsidRPr="005C381D"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sz w:val="20"/>
          <w:szCs w:val="20"/>
          <w:bdr w:val="none" w:sz="0" w:space="0" w:color="auto"/>
          <w:lang w:val="es-CO"/>
        </w:rPr>
        <w:t>De acuerdo con información presentada, la Fiscalía 2da Superior del Primer Distrito Judicial inició una averiguación “de las causas del homicidio de Janeth Lisbeth Castillo”</w:t>
      </w:r>
      <w:r w:rsidRPr="009712EB">
        <w:rPr>
          <w:rFonts w:ascii="Cambria" w:eastAsia="MS Mincho" w:hAnsi="Cambria"/>
          <w:sz w:val="20"/>
          <w:szCs w:val="20"/>
          <w:bdr w:val="none" w:sz="0" w:space="0" w:color="auto"/>
          <w:vertAlign w:val="superscript"/>
        </w:rPr>
        <w:footnoteReference w:id="270"/>
      </w:r>
      <w:r w:rsidRPr="009712EB">
        <w:rPr>
          <w:rFonts w:ascii="Cambria" w:eastAsia="MS Mincho" w:hAnsi="Cambria"/>
          <w:sz w:val="20"/>
          <w:szCs w:val="20"/>
          <w:bdr w:val="none" w:sz="0" w:space="0" w:color="auto"/>
          <w:lang w:val="es-CO"/>
        </w:rPr>
        <w:t>, luego de que la Personería Tercera Municipal de Panamá practicara diligencia de reconocimiento de su cadáver en la morgue del Hospital Santo Tomás el 20 de diciembre de 1989</w:t>
      </w:r>
      <w:r w:rsidRPr="009712EB">
        <w:rPr>
          <w:rFonts w:ascii="Cambria" w:eastAsia="MS Mincho" w:hAnsi="Cambria"/>
          <w:sz w:val="20"/>
          <w:szCs w:val="20"/>
          <w:bdr w:val="none" w:sz="0" w:space="0" w:color="auto"/>
          <w:vertAlign w:val="superscript"/>
        </w:rPr>
        <w:footnoteReference w:id="271"/>
      </w:r>
      <w:r w:rsidRPr="009712EB">
        <w:rPr>
          <w:rFonts w:ascii="Cambria" w:eastAsia="MS Mincho" w:hAnsi="Cambria"/>
          <w:sz w:val="20"/>
          <w:szCs w:val="20"/>
          <w:bdr w:val="none" w:sz="0" w:space="0" w:color="auto"/>
          <w:lang w:val="es-CO"/>
        </w:rPr>
        <w:t xml:space="preserve"> y seguidamente realizara esfuerzos sin éxito para conseguir a parientes o conocidos con el objetivo de identificar y suministrar cualquier información</w:t>
      </w:r>
      <w:r w:rsidRPr="009712EB">
        <w:rPr>
          <w:rFonts w:ascii="Cambria" w:eastAsia="MS Mincho" w:hAnsi="Cambria"/>
          <w:sz w:val="20"/>
          <w:szCs w:val="20"/>
          <w:bdr w:val="none" w:sz="0" w:space="0" w:color="auto"/>
          <w:vertAlign w:val="superscript"/>
        </w:rPr>
        <w:footnoteReference w:id="272"/>
      </w:r>
      <w:r w:rsidRPr="009712EB">
        <w:rPr>
          <w:rFonts w:ascii="Cambria" w:eastAsia="MS Mincho" w:hAnsi="Cambria"/>
          <w:sz w:val="20"/>
          <w:szCs w:val="20"/>
          <w:bdr w:val="none" w:sz="0" w:space="0" w:color="auto"/>
          <w:lang w:val="es-CO"/>
        </w:rPr>
        <w:t>. En el sumario de la investigación, esta autoridad conclu</w:t>
      </w:r>
      <w:r w:rsidRPr="005C381D">
        <w:rPr>
          <w:rFonts w:ascii="Cambria" w:eastAsia="MS Mincho" w:hAnsi="Cambria"/>
          <w:sz w:val="20"/>
          <w:szCs w:val="20"/>
          <w:bdr w:val="none" w:sz="0" w:space="0" w:color="auto"/>
          <w:lang w:val="es-CO"/>
        </w:rPr>
        <w:t>yó que la muerte se “debió a consecuencia de los trágicos sucesos ocurridos el 19 de diciembre amanecer del 20 […]” y por tales razones, solicitaron “proferir un auto de sobreseimiento provisional”</w:t>
      </w:r>
      <w:r w:rsidRPr="005C381D">
        <w:rPr>
          <w:rFonts w:ascii="Cambria" w:eastAsia="MS Mincho" w:hAnsi="Cambria"/>
          <w:sz w:val="20"/>
          <w:szCs w:val="20"/>
          <w:bdr w:val="none" w:sz="0" w:space="0" w:color="auto"/>
          <w:vertAlign w:val="superscript"/>
        </w:rPr>
        <w:footnoteReference w:id="273"/>
      </w:r>
      <w:r w:rsidRPr="005C381D">
        <w:rPr>
          <w:rFonts w:ascii="Cambria" w:eastAsia="MS Mincho" w:hAnsi="Cambria"/>
          <w:sz w:val="20"/>
          <w:szCs w:val="20"/>
          <w:bdr w:val="none" w:sz="0" w:space="0" w:color="auto"/>
          <w:lang w:val="es-CO"/>
        </w:rPr>
        <w:t>.</w:t>
      </w:r>
    </w:p>
    <w:p w:rsidR="00612DD3" w:rsidRPr="005C381D" w:rsidRDefault="00612DD3" w:rsidP="00612DD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CO"/>
        </w:rPr>
      </w:pPr>
    </w:p>
    <w:p w:rsidR="00612DD3" w:rsidRPr="005C381D"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lang w:val="es-CO"/>
        </w:rPr>
      </w:pPr>
      <w:r w:rsidRPr="005C381D">
        <w:rPr>
          <w:rFonts w:ascii="Cambria" w:eastAsia="MS Mincho" w:hAnsi="Cambria"/>
          <w:sz w:val="20"/>
          <w:szCs w:val="20"/>
          <w:bdr w:val="none" w:sz="0" w:space="0" w:color="auto"/>
          <w:lang w:val="es-CO"/>
        </w:rPr>
        <w:t>Por su parte el Segundo Tribunal Superior de Justicia, el 9 de octubre de 1990, determinó que “frente a la realidad procesal y ante la falta de información, deb[ía] acogerse la petición del Ministerio Público en el sentido de cerrar la encuesta con un sobreseimiento provisional […]</w:t>
      </w:r>
      <w:r w:rsidRPr="005C381D">
        <w:rPr>
          <w:rFonts w:ascii="Cambria" w:eastAsia="MS Mincho" w:hAnsi="Cambria"/>
          <w:sz w:val="20"/>
          <w:szCs w:val="22"/>
          <w:bdr w:val="none" w:sz="0" w:space="0" w:color="auto"/>
          <w:lang w:val="es-US"/>
        </w:rPr>
        <w:t>. En su opinión se concebía como “</w:t>
      </w:r>
      <w:r w:rsidRPr="005C381D">
        <w:rPr>
          <w:rFonts w:ascii="Cambria" w:eastAsia="MS Mincho" w:hAnsi="Cambria"/>
          <w:sz w:val="20"/>
          <w:szCs w:val="20"/>
          <w:bdr w:val="none" w:sz="0" w:space="0" w:color="auto"/>
          <w:lang w:val="es-CO"/>
        </w:rPr>
        <w:t>casi seguro que la muerte se debió a los trágicos sucesos ocurridos en el país desde la media noche del 19 diciembre del año pasado”</w:t>
      </w:r>
      <w:r w:rsidRPr="005C381D">
        <w:rPr>
          <w:rFonts w:ascii="Cambria" w:eastAsia="MS Mincho" w:hAnsi="Cambria"/>
          <w:sz w:val="20"/>
          <w:szCs w:val="20"/>
          <w:bdr w:val="none" w:sz="0" w:space="0" w:color="auto"/>
          <w:vertAlign w:val="superscript"/>
        </w:rPr>
        <w:footnoteReference w:id="274"/>
      </w:r>
      <w:r w:rsidRPr="005C381D">
        <w:rPr>
          <w:rFonts w:ascii="Cambria" w:eastAsia="MS Mincho" w:hAnsi="Cambria"/>
          <w:sz w:val="20"/>
          <w:szCs w:val="20"/>
          <w:bdr w:val="none" w:sz="0" w:space="0" w:color="auto"/>
          <w:lang w:val="es-CO"/>
        </w:rPr>
        <w:t>.</w:t>
      </w:r>
    </w:p>
    <w:p w:rsidR="00612DD3" w:rsidRPr="005C381D" w:rsidRDefault="00612DD3" w:rsidP="005C381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MS Mincho"/>
          <w:sz w:val="20"/>
          <w:szCs w:val="20"/>
          <w:bdr w:val="none" w:sz="0" w:space="0" w:color="auto"/>
          <w:lang w:val="es-CO"/>
        </w:rPr>
      </w:pPr>
    </w:p>
    <w:p w:rsidR="00612DD3" w:rsidRPr="00612DD3"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Roger Alexis Cedeño Hidalgo</w:t>
      </w:r>
      <w:r w:rsidRPr="009712EB">
        <w:rPr>
          <w:rFonts w:ascii="Cambria" w:eastAsia="MS Mincho" w:hAnsi="Cambria"/>
          <w:sz w:val="20"/>
          <w:szCs w:val="20"/>
          <w:bdr w:val="none" w:sz="0" w:space="0" w:color="auto"/>
          <w:lang w:val="es-CO"/>
        </w:rPr>
        <w:t xml:space="preserve"> identificado en el caso No. 87, era un hombre de 28 años de nacionalidad panameño</w:t>
      </w:r>
      <w:r w:rsidRPr="009712EB">
        <w:rPr>
          <w:rFonts w:ascii="Cambria" w:eastAsia="MS Mincho" w:hAnsi="Cambria"/>
          <w:sz w:val="20"/>
          <w:szCs w:val="20"/>
          <w:bdr w:val="none" w:sz="0" w:space="0" w:color="auto"/>
          <w:vertAlign w:val="superscript"/>
        </w:rPr>
        <w:footnoteReference w:id="275"/>
      </w:r>
      <w:r w:rsidRPr="009712EB">
        <w:rPr>
          <w:rFonts w:ascii="Cambria" w:eastAsia="MS Mincho" w:hAnsi="Cambria"/>
          <w:sz w:val="20"/>
          <w:szCs w:val="20"/>
          <w:bdr w:val="none" w:sz="0" w:space="0" w:color="auto"/>
          <w:lang w:val="es-CO"/>
        </w:rPr>
        <w:t>. El 20 de diciembre de 1989 se encontraba en las cercanías de la Base Militar de Río Hato, cuando fue víctima de 21 disparos y trasladado al Hospital de Penonomé en donde falleció</w:t>
      </w:r>
      <w:r w:rsidRPr="009712EB">
        <w:rPr>
          <w:rFonts w:ascii="Cambria" w:eastAsia="MS Mincho" w:hAnsi="Cambria"/>
          <w:sz w:val="20"/>
          <w:szCs w:val="20"/>
          <w:bdr w:val="none" w:sz="0" w:space="0" w:color="auto"/>
          <w:vertAlign w:val="superscript"/>
        </w:rPr>
        <w:footnoteReference w:id="276"/>
      </w:r>
      <w:r w:rsidRPr="009712EB">
        <w:rPr>
          <w:rFonts w:ascii="Cambria" w:eastAsia="MS Mincho" w:hAnsi="Cambria"/>
          <w:sz w:val="20"/>
          <w:szCs w:val="20"/>
          <w:bdr w:val="none" w:sz="0" w:space="0" w:color="auto"/>
          <w:lang w:val="es-CO"/>
        </w:rPr>
        <w:t>.</w:t>
      </w:r>
    </w:p>
    <w:p w:rsidR="00612DD3" w:rsidRPr="00612DD3" w:rsidRDefault="00612DD3" w:rsidP="005C381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Antonio Núñez Vargas</w:t>
      </w:r>
      <w:r w:rsidRPr="009712EB">
        <w:rPr>
          <w:rFonts w:ascii="Cambria" w:eastAsia="MS Mincho" w:hAnsi="Cambria"/>
          <w:sz w:val="20"/>
          <w:szCs w:val="20"/>
          <w:bdr w:val="none" w:sz="0" w:space="0" w:color="auto"/>
          <w:lang w:val="es-CO"/>
        </w:rPr>
        <w:t xml:space="preserve"> identificado en el caso No. 88, era un hombre de nacionalidad panameña de 43 años de edad residente del sector San Miguelito al momento de la invasión en Panamá.</w:t>
      </w:r>
      <w:r w:rsidRPr="009712EB">
        <w:rPr>
          <w:rFonts w:ascii="Cambria" w:eastAsia="MS Mincho" w:hAnsi="Cambria"/>
          <w:sz w:val="20"/>
          <w:szCs w:val="20"/>
          <w:bdr w:val="none" w:sz="0" w:space="0" w:color="auto"/>
          <w:vertAlign w:val="superscript"/>
        </w:rPr>
        <w:footnoteReference w:id="277"/>
      </w:r>
      <w:r w:rsidRPr="009712EB">
        <w:rPr>
          <w:rFonts w:ascii="Cambria" w:eastAsia="MS Mincho" w:hAnsi="Cambria"/>
          <w:sz w:val="20"/>
          <w:szCs w:val="20"/>
          <w:bdr w:val="none" w:sz="0" w:space="0" w:color="auto"/>
          <w:lang w:val="es-CO"/>
        </w:rPr>
        <w:t xml:space="preserve"> Conforme con la declaración presentada por su esposa, en la noche del 19 de diciembre de 1989 salió de su residencia con dirección a la zona Torrijos-Carter con la intención de asistir a su madre enferma</w:t>
      </w:r>
      <w:r w:rsidRPr="009712EB">
        <w:rPr>
          <w:rFonts w:ascii="Cambria" w:eastAsia="MS Mincho" w:hAnsi="Cambria"/>
          <w:sz w:val="20"/>
          <w:szCs w:val="20"/>
          <w:bdr w:val="none" w:sz="0" w:space="0" w:color="auto"/>
          <w:vertAlign w:val="superscript"/>
        </w:rPr>
        <w:footnoteReference w:id="278"/>
      </w:r>
      <w:r w:rsidRPr="009712EB">
        <w:rPr>
          <w:rFonts w:ascii="Cambria" w:eastAsia="MS Mincho" w:hAnsi="Cambria"/>
          <w:sz w:val="20"/>
          <w:szCs w:val="20"/>
          <w:bdr w:val="none" w:sz="0" w:space="0" w:color="auto"/>
          <w:lang w:val="es-CO"/>
        </w:rPr>
        <w:t xml:space="preserve">. En vista de su desaparición y después de intentos sin éxito de ubicarlo, su esposa obtuvo información de </w:t>
      </w:r>
      <w:r w:rsidR="00E70A7A">
        <w:rPr>
          <w:rFonts w:ascii="Cambria" w:eastAsia="MS Mincho" w:hAnsi="Cambria"/>
          <w:sz w:val="20"/>
          <w:szCs w:val="20"/>
          <w:bdr w:val="none" w:sz="0" w:space="0" w:color="auto"/>
          <w:lang w:val="es-CO"/>
        </w:rPr>
        <w:t xml:space="preserve">los </w:t>
      </w:r>
      <w:r w:rsidRPr="009712EB">
        <w:rPr>
          <w:rFonts w:ascii="Cambria" w:eastAsia="MS Mincho" w:hAnsi="Cambria"/>
          <w:sz w:val="20"/>
          <w:szCs w:val="20"/>
          <w:bdr w:val="none" w:sz="0" w:space="0" w:color="auto"/>
          <w:lang w:val="es-CO"/>
        </w:rPr>
        <w:t>vecinos de la zona</w:t>
      </w:r>
      <w:r w:rsidR="00E70A7A">
        <w:rPr>
          <w:rFonts w:ascii="Cambria" w:eastAsia="MS Mincho" w:hAnsi="Cambria"/>
          <w:sz w:val="20"/>
          <w:szCs w:val="20"/>
          <w:bdr w:val="none" w:sz="0" w:space="0" w:color="auto"/>
          <w:lang w:val="es-CO"/>
        </w:rPr>
        <w:t xml:space="preserve">, indicándole </w:t>
      </w:r>
      <w:r w:rsidRPr="009712EB">
        <w:rPr>
          <w:rFonts w:ascii="Cambria" w:eastAsia="MS Mincho" w:hAnsi="Cambria"/>
          <w:sz w:val="20"/>
          <w:szCs w:val="20"/>
          <w:bdr w:val="none" w:sz="0" w:space="0" w:color="auto"/>
          <w:lang w:val="es-CO"/>
        </w:rPr>
        <w:t xml:space="preserve">que durante la noche </w:t>
      </w:r>
      <w:r w:rsidR="00E70A7A">
        <w:rPr>
          <w:rFonts w:ascii="Cambria" w:eastAsia="MS Mincho" w:hAnsi="Cambria"/>
          <w:sz w:val="20"/>
          <w:szCs w:val="20"/>
          <w:bdr w:val="none" w:sz="0" w:space="0" w:color="auto"/>
          <w:lang w:val="es-CO"/>
        </w:rPr>
        <w:t xml:space="preserve">él </w:t>
      </w:r>
      <w:r w:rsidRPr="009712EB">
        <w:rPr>
          <w:rFonts w:ascii="Cambria" w:eastAsia="MS Mincho" w:hAnsi="Cambria"/>
          <w:sz w:val="20"/>
          <w:szCs w:val="20"/>
          <w:bdr w:val="none" w:sz="0" w:space="0" w:color="auto"/>
          <w:lang w:val="es-CO"/>
        </w:rPr>
        <w:t>había sido visto en búsqueda de refugio cuando fue sorprendido por disparos</w:t>
      </w:r>
      <w:r w:rsidR="005E2ED1">
        <w:rPr>
          <w:rFonts w:ascii="Cambria" w:eastAsia="MS Mincho" w:hAnsi="Cambria"/>
          <w:sz w:val="20"/>
          <w:szCs w:val="20"/>
          <w:bdr w:val="none" w:sz="0" w:space="0" w:color="auto"/>
          <w:lang w:val="es-CO"/>
        </w:rPr>
        <w:t xml:space="preserve"> provenientes de un helicóptero</w:t>
      </w:r>
      <w:r w:rsidRPr="009712EB">
        <w:rPr>
          <w:rFonts w:ascii="Cambria" w:eastAsia="MS Mincho" w:hAnsi="Cambria"/>
          <w:sz w:val="20"/>
          <w:szCs w:val="20"/>
          <w:bdr w:val="none" w:sz="0" w:space="0" w:color="auto"/>
          <w:vertAlign w:val="superscript"/>
        </w:rPr>
        <w:footnoteReference w:id="279"/>
      </w:r>
      <w:r w:rsidR="005E2ED1" w:rsidRPr="00713E68">
        <w:rPr>
          <w:rFonts w:ascii="Cambria" w:eastAsia="MS Mincho" w:hAnsi="Cambria"/>
          <w:sz w:val="20"/>
          <w:szCs w:val="20"/>
          <w:bdr w:val="none" w:sz="0" w:space="0" w:color="auto"/>
          <w:lang w:val="es-ES"/>
        </w:rPr>
        <w:t>.</w:t>
      </w:r>
      <w:r w:rsidRPr="009712EB">
        <w:rPr>
          <w:rFonts w:ascii="Cambria" w:eastAsia="MS Mincho" w:hAnsi="Cambria"/>
          <w:sz w:val="20"/>
          <w:szCs w:val="20"/>
          <w:bdr w:val="none" w:sz="0" w:space="0" w:color="auto"/>
          <w:lang w:val="es-CO"/>
        </w:rPr>
        <w:t xml:space="preserve"> Sus restos fueron ubicados en abril de 1990 durante la exhumación de </w:t>
      </w:r>
      <w:r w:rsidR="005E2ED1">
        <w:rPr>
          <w:rFonts w:ascii="Cambria" w:eastAsia="MS Mincho" w:hAnsi="Cambria"/>
          <w:sz w:val="20"/>
          <w:szCs w:val="20"/>
          <w:bdr w:val="none" w:sz="0" w:space="0" w:color="auto"/>
          <w:lang w:val="es-CO"/>
        </w:rPr>
        <w:t>la fosa común del Jardín de Paz</w:t>
      </w:r>
      <w:r w:rsidRPr="009712EB">
        <w:rPr>
          <w:rFonts w:ascii="Cambria" w:eastAsia="MS Mincho" w:hAnsi="Cambria"/>
          <w:sz w:val="20"/>
          <w:szCs w:val="20"/>
          <w:bdr w:val="none" w:sz="0" w:space="0" w:color="auto"/>
          <w:vertAlign w:val="superscript"/>
        </w:rPr>
        <w:footnoteReference w:id="280"/>
      </w:r>
      <w:r w:rsidR="005E2ED1" w:rsidRPr="00713E68">
        <w:rPr>
          <w:rFonts w:ascii="Cambria" w:eastAsia="MS Mincho" w:hAnsi="Cambria"/>
          <w:sz w:val="20"/>
          <w:szCs w:val="20"/>
          <w:bdr w:val="none" w:sz="0" w:space="0" w:color="auto"/>
          <w:lang w:val="es-ES"/>
        </w:rPr>
        <w:t>.</w:t>
      </w:r>
      <w:r w:rsidRPr="009712EB">
        <w:rPr>
          <w:rFonts w:ascii="Cambria" w:eastAsia="MS Mincho" w:hAnsi="Cambria"/>
          <w:sz w:val="20"/>
          <w:szCs w:val="20"/>
          <w:bdr w:val="none" w:sz="0" w:space="0" w:color="auto"/>
          <w:lang w:val="es-CO"/>
        </w:rPr>
        <w:t xml:space="preserve"> En el certificado de defunción presentado, se atribuye como causa de defunción una herida por proyectil de arma de fuego ocurrida el 20 de diciembre de 1989</w:t>
      </w:r>
      <w:r w:rsidRPr="009712EB">
        <w:rPr>
          <w:rFonts w:ascii="Cambria" w:eastAsia="MS Mincho" w:hAnsi="Cambria"/>
          <w:sz w:val="20"/>
          <w:szCs w:val="20"/>
          <w:bdr w:val="none" w:sz="0" w:space="0" w:color="auto"/>
          <w:vertAlign w:val="superscript"/>
        </w:rPr>
        <w:footnoteReference w:id="281"/>
      </w:r>
      <w:r w:rsidR="005E2ED1">
        <w:rPr>
          <w:rFonts w:ascii="Cambria" w:eastAsia="MS Mincho" w:hAnsi="Cambria"/>
          <w:sz w:val="20"/>
          <w:szCs w:val="20"/>
          <w:bdr w:val="none" w:sz="0" w:space="0" w:color="auto"/>
          <w:lang w:val="es-CO"/>
        </w:rPr>
        <w:t>.</w:t>
      </w:r>
    </w:p>
    <w:p w:rsidR="00612DD3" w:rsidRPr="00612DD3" w:rsidRDefault="00612DD3" w:rsidP="005C381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612DD3" w:rsidRPr="00612DD3"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Luis Gilberto Sánchez</w:t>
      </w:r>
      <w:r w:rsidRPr="009712EB">
        <w:rPr>
          <w:rFonts w:ascii="Cambria" w:eastAsia="MS Mincho" w:hAnsi="Cambria"/>
          <w:sz w:val="20"/>
          <w:szCs w:val="20"/>
          <w:bdr w:val="none" w:sz="0" w:space="0" w:color="auto"/>
          <w:lang w:val="es-CO"/>
        </w:rPr>
        <w:t xml:space="preserve"> identificado en el caso No. 90, era un panameño de 30 años de edad quien residía en la zona de San Miguelito</w:t>
      </w:r>
      <w:r w:rsidRPr="009712EB">
        <w:rPr>
          <w:rFonts w:ascii="Cambria" w:eastAsia="MS Mincho" w:hAnsi="Cambria"/>
          <w:sz w:val="20"/>
          <w:szCs w:val="20"/>
          <w:bdr w:val="none" w:sz="0" w:space="0" w:color="auto"/>
          <w:vertAlign w:val="superscript"/>
        </w:rPr>
        <w:footnoteReference w:id="282"/>
      </w:r>
      <w:r w:rsidRPr="009712EB">
        <w:rPr>
          <w:rFonts w:ascii="Cambria" w:eastAsia="MS Mincho" w:hAnsi="Cambria"/>
          <w:sz w:val="20"/>
          <w:szCs w:val="20"/>
          <w:bdr w:val="none" w:sz="0" w:space="0" w:color="auto"/>
          <w:lang w:val="es-CO"/>
        </w:rPr>
        <w:t>. La familia hasta la fecha desconoce las circunstancias de su muerte. Según información exhibida, los familiares conocieron el 24 de diciembre de 1989 que Luis Sánchez se encontraba sin vida en una calle</w:t>
      </w:r>
      <w:r w:rsidRPr="009712EB">
        <w:rPr>
          <w:rFonts w:ascii="Cambria" w:eastAsia="MS Mincho" w:hAnsi="Cambria"/>
          <w:sz w:val="20"/>
          <w:szCs w:val="20"/>
          <w:bdr w:val="none" w:sz="0" w:space="0" w:color="auto"/>
          <w:vertAlign w:val="superscript"/>
        </w:rPr>
        <w:footnoteReference w:id="283"/>
      </w:r>
      <w:r w:rsidRPr="009712EB">
        <w:rPr>
          <w:rFonts w:ascii="Cambria" w:eastAsia="MS Mincho" w:hAnsi="Cambria"/>
          <w:sz w:val="20"/>
          <w:szCs w:val="20"/>
          <w:bdr w:val="none" w:sz="0" w:space="0" w:color="auto"/>
          <w:lang w:val="es-CO"/>
        </w:rPr>
        <w:t>. De acuerdo con el certificado de defunción, falleció el 24 de diciembre en el supermercado “Las Colinas” ubicado en San Miguelito por una herida por proyectil de arma de fuego en la cadera izquierda</w:t>
      </w:r>
      <w:r w:rsidRPr="009712EB">
        <w:rPr>
          <w:rFonts w:ascii="Cambria" w:eastAsia="MS Mincho" w:hAnsi="Cambria"/>
          <w:sz w:val="20"/>
          <w:szCs w:val="20"/>
          <w:bdr w:val="none" w:sz="0" w:space="0" w:color="auto"/>
          <w:vertAlign w:val="superscript"/>
        </w:rPr>
        <w:footnoteReference w:id="284"/>
      </w:r>
      <w:r w:rsidRPr="009712EB">
        <w:rPr>
          <w:rFonts w:ascii="Cambria" w:eastAsia="MS Mincho" w:hAnsi="Cambria"/>
          <w:sz w:val="20"/>
          <w:szCs w:val="20"/>
          <w:bdr w:val="none" w:sz="0" w:space="0" w:color="auto"/>
          <w:lang w:val="es-CO"/>
        </w:rPr>
        <w:t>.</w:t>
      </w:r>
    </w:p>
    <w:p w:rsidR="005F4DC5" w:rsidRPr="009712EB" w:rsidRDefault="005F4DC5" w:rsidP="009712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CO"/>
        </w:rPr>
      </w:pPr>
    </w:p>
    <w:p w:rsidR="00451B0F"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Yesenia del Carmen Quintana Álvarez</w:t>
      </w:r>
      <w:r w:rsidRPr="009712EB">
        <w:rPr>
          <w:rFonts w:ascii="Cambria" w:eastAsia="MS Mincho" w:hAnsi="Cambria"/>
          <w:sz w:val="20"/>
          <w:szCs w:val="20"/>
          <w:bdr w:val="none" w:sz="0" w:space="0" w:color="auto"/>
          <w:lang w:val="es-CO"/>
        </w:rPr>
        <w:t xml:space="preserve">, identificada </w:t>
      </w:r>
      <w:r w:rsidR="004B0DD0">
        <w:rPr>
          <w:rFonts w:ascii="Cambria" w:eastAsia="MS Mincho" w:hAnsi="Cambria"/>
          <w:sz w:val="20"/>
          <w:szCs w:val="20"/>
          <w:bdr w:val="none" w:sz="0" w:space="0" w:color="auto"/>
          <w:lang w:val="es-CO"/>
        </w:rPr>
        <w:t xml:space="preserve">en </w:t>
      </w:r>
      <w:r w:rsidRPr="009712EB">
        <w:rPr>
          <w:rFonts w:ascii="Cambria" w:eastAsia="MS Mincho" w:hAnsi="Cambria"/>
          <w:sz w:val="20"/>
          <w:szCs w:val="20"/>
          <w:bdr w:val="none" w:sz="0" w:space="0" w:color="auto"/>
          <w:lang w:val="es-CO"/>
        </w:rPr>
        <w:t>el caso No. 94, era una joven de 17 años de nacionalidad panameña al momento de los hechos</w:t>
      </w:r>
      <w:r w:rsidRPr="009712EB">
        <w:rPr>
          <w:rFonts w:ascii="Cambria" w:eastAsia="MS Mincho" w:hAnsi="Cambria"/>
          <w:sz w:val="20"/>
          <w:szCs w:val="20"/>
          <w:bdr w:val="none" w:sz="0" w:space="0" w:color="auto"/>
          <w:vertAlign w:val="superscript"/>
        </w:rPr>
        <w:footnoteReference w:id="285"/>
      </w:r>
      <w:r w:rsidRPr="009712EB">
        <w:rPr>
          <w:rFonts w:ascii="Cambria" w:eastAsia="MS Mincho" w:hAnsi="Cambria"/>
          <w:sz w:val="20"/>
          <w:szCs w:val="20"/>
          <w:bdr w:val="none" w:sz="0" w:space="0" w:color="auto"/>
          <w:lang w:val="es-CO"/>
        </w:rPr>
        <w:t>. El 20 de diciembre de 1989, según información presentada, salió de su residencia ubicada en San Miguel de Cal</w:t>
      </w:r>
      <w:r w:rsidR="00432D24">
        <w:rPr>
          <w:rFonts w:ascii="Cambria" w:eastAsia="MS Mincho" w:hAnsi="Cambria"/>
          <w:sz w:val="20"/>
          <w:szCs w:val="20"/>
          <w:bdr w:val="none" w:sz="0" w:space="0" w:color="auto"/>
          <w:lang w:val="es-CO"/>
        </w:rPr>
        <w:t>i</w:t>
      </w:r>
      <w:r w:rsidRPr="009712EB">
        <w:rPr>
          <w:rFonts w:ascii="Cambria" w:eastAsia="MS Mincho" w:hAnsi="Cambria"/>
          <w:sz w:val="20"/>
          <w:szCs w:val="20"/>
          <w:bdr w:val="none" w:sz="0" w:space="0" w:color="auto"/>
          <w:lang w:val="es-CO"/>
        </w:rPr>
        <w:t>donia y no regresó</w:t>
      </w:r>
      <w:r w:rsidRPr="009712EB">
        <w:rPr>
          <w:rFonts w:ascii="Cambria" w:eastAsia="MS Mincho" w:hAnsi="Cambria"/>
          <w:sz w:val="20"/>
          <w:szCs w:val="20"/>
          <w:bdr w:val="none" w:sz="0" w:space="0" w:color="auto"/>
          <w:vertAlign w:val="superscript"/>
        </w:rPr>
        <w:footnoteReference w:id="286"/>
      </w:r>
      <w:r w:rsidRPr="009712EB">
        <w:rPr>
          <w:rFonts w:ascii="Cambria" w:eastAsia="MS Mincho" w:hAnsi="Cambria"/>
          <w:sz w:val="20"/>
          <w:szCs w:val="20"/>
          <w:bdr w:val="none" w:sz="0" w:space="0" w:color="auto"/>
          <w:lang w:val="es-CO"/>
        </w:rPr>
        <w:t xml:space="preserve">. Su familia </w:t>
      </w:r>
      <w:r w:rsidR="004B0DD0">
        <w:rPr>
          <w:rFonts w:ascii="Cambria" w:eastAsia="MS Mincho" w:hAnsi="Cambria"/>
          <w:sz w:val="20"/>
          <w:szCs w:val="20"/>
          <w:bdr w:val="none" w:sz="0" w:space="0" w:color="auto"/>
          <w:lang w:val="es-CO"/>
        </w:rPr>
        <w:t>pudo</w:t>
      </w:r>
      <w:r w:rsidRPr="009712EB">
        <w:rPr>
          <w:rFonts w:ascii="Cambria" w:eastAsia="MS Mincho" w:hAnsi="Cambria"/>
          <w:sz w:val="20"/>
          <w:szCs w:val="20"/>
          <w:bdr w:val="none" w:sz="0" w:space="0" w:color="auto"/>
          <w:lang w:val="es-CO"/>
        </w:rPr>
        <w:t xml:space="preserve"> identificarla tiempo después a través de una fotografía y en ese momento tuvieron conocimiento que se encontraba en la fosa común del Jardín de Paz</w:t>
      </w:r>
      <w:r w:rsidRPr="009712EB">
        <w:rPr>
          <w:rFonts w:ascii="Cambria" w:eastAsia="MS Mincho" w:hAnsi="Cambria"/>
          <w:sz w:val="20"/>
          <w:szCs w:val="20"/>
          <w:bdr w:val="none" w:sz="0" w:space="0" w:color="auto"/>
          <w:vertAlign w:val="superscript"/>
        </w:rPr>
        <w:footnoteReference w:id="287"/>
      </w:r>
      <w:r w:rsidRPr="009712EB">
        <w:rPr>
          <w:rFonts w:ascii="Cambria" w:eastAsia="MS Mincho" w:hAnsi="Cambria"/>
          <w:sz w:val="20"/>
          <w:szCs w:val="20"/>
          <w:bdr w:val="none" w:sz="0" w:space="0" w:color="auto"/>
          <w:lang w:val="es-CO"/>
        </w:rPr>
        <w:t>. Hasta la fecha no conocen las circun</w:t>
      </w:r>
      <w:r w:rsidR="005E2ED1">
        <w:rPr>
          <w:rFonts w:ascii="Cambria" w:eastAsia="MS Mincho" w:hAnsi="Cambria"/>
          <w:sz w:val="20"/>
          <w:szCs w:val="20"/>
          <w:bdr w:val="none" w:sz="0" w:space="0" w:color="auto"/>
          <w:lang w:val="es-CO"/>
        </w:rPr>
        <w:t>stancias ni el día de su muerte</w:t>
      </w:r>
      <w:r w:rsidRPr="009712EB">
        <w:rPr>
          <w:rFonts w:ascii="Cambria" w:eastAsia="MS Mincho" w:hAnsi="Cambria"/>
          <w:sz w:val="20"/>
          <w:szCs w:val="20"/>
          <w:bdr w:val="none" w:sz="0" w:space="0" w:color="auto"/>
          <w:vertAlign w:val="superscript"/>
        </w:rPr>
        <w:footnoteReference w:id="288"/>
      </w:r>
      <w:r w:rsidR="005E2ED1" w:rsidRPr="00713E68">
        <w:rPr>
          <w:rFonts w:ascii="Cambria" w:eastAsia="MS Mincho" w:hAnsi="Cambria"/>
          <w:sz w:val="20"/>
          <w:szCs w:val="20"/>
          <w:bdr w:val="none" w:sz="0" w:space="0" w:color="auto"/>
          <w:lang w:val="es-ES"/>
        </w:rPr>
        <w:t>.</w:t>
      </w:r>
      <w:r w:rsidRPr="009712EB">
        <w:rPr>
          <w:rFonts w:ascii="Cambria" w:eastAsia="MS Mincho" w:hAnsi="Cambria"/>
          <w:sz w:val="20"/>
          <w:szCs w:val="20"/>
          <w:bdr w:val="none" w:sz="0" w:space="0" w:color="auto"/>
          <w:lang w:val="es-CO"/>
        </w:rPr>
        <w:t xml:space="preserve">  </w:t>
      </w:r>
    </w:p>
    <w:p w:rsidR="00612DD3" w:rsidRDefault="00612DD3" w:rsidP="005C381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612DD3" w:rsidRPr="009712EB"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José Alberto Quetzada</w:t>
      </w:r>
      <w:r w:rsidRPr="009712EB">
        <w:rPr>
          <w:rFonts w:ascii="Cambria" w:eastAsia="MS Mincho" w:hAnsi="Cambria"/>
          <w:sz w:val="20"/>
          <w:szCs w:val="20"/>
          <w:bdr w:val="none" w:sz="0" w:space="0" w:color="auto"/>
          <w:lang w:val="es-CO"/>
        </w:rPr>
        <w:t xml:space="preserve"> identificado en el caso No. 95, era un hombre de nacionali</w:t>
      </w:r>
      <w:r w:rsidR="005E2ED1">
        <w:rPr>
          <w:rFonts w:ascii="Cambria" w:eastAsia="MS Mincho" w:hAnsi="Cambria"/>
          <w:sz w:val="20"/>
          <w:szCs w:val="20"/>
          <w:bdr w:val="none" w:sz="0" w:space="0" w:color="auto"/>
          <w:lang w:val="es-CO"/>
        </w:rPr>
        <w:t>dad panameña de 50 años de edad</w:t>
      </w:r>
      <w:r w:rsidRPr="009712EB">
        <w:rPr>
          <w:rFonts w:ascii="Cambria" w:eastAsia="MS Mincho" w:hAnsi="Cambria"/>
          <w:sz w:val="20"/>
          <w:szCs w:val="20"/>
          <w:bdr w:val="none" w:sz="0" w:space="0" w:color="auto"/>
          <w:vertAlign w:val="superscript"/>
        </w:rPr>
        <w:footnoteReference w:id="289"/>
      </w:r>
      <w:r w:rsidR="005E2ED1" w:rsidRPr="00713E68">
        <w:rPr>
          <w:rFonts w:ascii="Cambria" w:eastAsia="MS Mincho" w:hAnsi="Cambria"/>
          <w:sz w:val="20"/>
          <w:szCs w:val="20"/>
          <w:bdr w:val="none" w:sz="0" w:space="0" w:color="auto"/>
          <w:lang w:val="es-ES"/>
        </w:rPr>
        <w:t>.</w:t>
      </w:r>
      <w:r w:rsidRPr="009712EB">
        <w:rPr>
          <w:rFonts w:ascii="Cambria" w:eastAsia="MS Mincho" w:hAnsi="Cambria"/>
          <w:sz w:val="20"/>
          <w:szCs w:val="20"/>
          <w:bdr w:val="none" w:sz="0" w:space="0" w:color="auto"/>
          <w:lang w:val="es-CO"/>
        </w:rPr>
        <w:t xml:space="preserve"> De la declaración proporcionada, José Quetzada, “preocupado por los tiroteos, bombas y balas”, salió a buscar a su hijo y no regresó</w:t>
      </w:r>
      <w:r w:rsidRPr="009712EB">
        <w:rPr>
          <w:rFonts w:ascii="Cambria" w:eastAsia="MS Mincho" w:hAnsi="Cambria"/>
          <w:sz w:val="20"/>
          <w:szCs w:val="20"/>
          <w:bdr w:val="none" w:sz="0" w:space="0" w:color="auto"/>
          <w:vertAlign w:val="superscript"/>
        </w:rPr>
        <w:footnoteReference w:id="290"/>
      </w:r>
      <w:r w:rsidRPr="009712EB">
        <w:rPr>
          <w:rFonts w:ascii="Cambria" w:eastAsia="MS Mincho" w:hAnsi="Cambria"/>
          <w:sz w:val="20"/>
          <w:szCs w:val="20"/>
          <w:bdr w:val="none" w:sz="0" w:space="0" w:color="auto"/>
          <w:lang w:val="es-CO"/>
        </w:rPr>
        <w:t>. Días después, sus restos fueron encontrados en la morgue del Hospital Santo Tomás con una herida de bala en el flanco izquierdo y con la pierna amputada</w:t>
      </w:r>
      <w:r w:rsidRPr="009712EB">
        <w:rPr>
          <w:rFonts w:ascii="Cambria" w:eastAsia="MS Mincho" w:hAnsi="Cambria"/>
          <w:sz w:val="20"/>
          <w:szCs w:val="20"/>
          <w:bdr w:val="none" w:sz="0" w:space="0" w:color="auto"/>
          <w:vertAlign w:val="superscript"/>
        </w:rPr>
        <w:footnoteReference w:id="291"/>
      </w:r>
      <w:r w:rsidRPr="009712EB">
        <w:rPr>
          <w:rFonts w:ascii="Cambria" w:eastAsia="MS Mincho" w:hAnsi="Cambria"/>
          <w:sz w:val="20"/>
          <w:szCs w:val="20"/>
          <w:bdr w:val="none" w:sz="0" w:space="0" w:color="auto"/>
          <w:lang w:val="es-CO"/>
        </w:rPr>
        <w:t xml:space="preserve">.  El certificado de defunción presentado </w:t>
      </w:r>
      <w:r w:rsidR="004B0DD0">
        <w:rPr>
          <w:rFonts w:ascii="Cambria" w:eastAsia="MS Mincho" w:hAnsi="Cambria"/>
          <w:sz w:val="20"/>
          <w:szCs w:val="20"/>
          <w:bdr w:val="none" w:sz="0" w:space="0" w:color="auto"/>
          <w:lang w:val="es-CO"/>
        </w:rPr>
        <w:t xml:space="preserve">indica </w:t>
      </w:r>
      <w:r w:rsidRPr="009712EB">
        <w:rPr>
          <w:rFonts w:ascii="Cambria" w:eastAsia="MS Mincho" w:hAnsi="Cambria"/>
          <w:sz w:val="20"/>
          <w:szCs w:val="20"/>
          <w:bdr w:val="none" w:sz="0" w:space="0" w:color="auto"/>
          <w:lang w:val="es-CO"/>
        </w:rPr>
        <w:t>que</w:t>
      </w:r>
      <w:r w:rsidR="004B0DD0">
        <w:rPr>
          <w:rFonts w:ascii="Cambria" w:eastAsia="MS Mincho" w:hAnsi="Cambria"/>
          <w:sz w:val="20"/>
          <w:szCs w:val="20"/>
          <w:bdr w:val="none" w:sz="0" w:space="0" w:color="auto"/>
          <w:lang w:val="es-CO"/>
        </w:rPr>
        <w:t xml:space="preserve"> él</w:t>
      </w:r>
      <w:r w:rsidRPr="009712EB">
        <w:rPr>
          <w:rFonts w:ascii="Cambria" w:eastAsia="MS Mincho" w:hAnsi="Cambria"/>
          <w:sz w:val="20"/>
          <w:szCs w:val="20"/>
          <w:bdr w:val="none" w:sz="0" w:space="0" w:color="auto"/>
          <w:lang w:val="es-CO"/>
        </w:rPr>
        <w:t xml:space="preserve"> murió en el mismo Hospital como consecuencia de un “shock séptico y herida por proyectil en flanco izquierdo” el 21 de diciembre a las 9.18 pm</w:t>
      </w:r>
      <w:r w:rsidRPr="009712EB">
        <w:rPr>
          <w:rFonts w:ascii="Cambria" w:eastAsia="MS Mincho" w:hAnsi="Cambria"/>
          <w:sz w:val="20"/>
          <w:szCs w:val="20"/>
          <w:bdr w:val="none" w:sz="0" w:space="0" w:color="auto"/>
          <w:vertAlign w:val="superscript"/>
        </w:rPr>
        <w:footnoteReference w:id="292"/>
      </w:r>
      <w:r w:rsidRPr="009712EB">
        <w:rPr>
          <w:rFonts w:ascii="Cambria" w:eastAsia="MS Mincho" w:hAnsi="Cambria"/>
          <w:sz w:val="20"/>
          <w:szCs w:val="20"/>
          <w:bdr w:val="none" w:sz="0" w:space="0" w:color="auto"/>
          <w:lang w:val="es-CO"/>
        </w:rPr>
        <w:t xml:space="preserve">. </w:t>
      </w:r>
      <w:r w:rsidRPr="009712EB">
        <w:rPr>
          <w:rFonts w:ascii="Cambria" w:eastAsia="MS Mincho" w:hAnsi="Cambria"/>
          <w:sz w:val="20"/>
          <w:szCs w:val="20"/>
          <w:highlight w:val="green"/>
          <w:bdr w:val="none" w:sz="0" w:space="0" w:color="auto"/>
          <w:lang w:val="es-CO"/>
        </w:rPr>
        <w:t xml:space="preserve"> </w:t>
      </w:r>
    </w:p>
    <w:p w:rsidR="005F4DC5" w:rsidRPr="00612DD3" w:rsidRDefault="005F4DC5" w:rsidP="00612DD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Antonio Pérez Torres</w:t>
      </w:r>
      <w:r w:rsidRPr="009712EB">
        <w:rPr>
          <w:rFonts w:ascii="Cambria" w:eastAsia="MS Mincho" w:hAnsi="Cambria"/>
          <w:sz w:val="20"/>
          <w:szCs w:val="20"/>
          <w:bdr w:val="none" w:sz="0" w:space="0" w:color="auto"/>
          <w:lang w:val="es-CO"/>
        </w:rPr>
        <w:t xml:space="preserve"> identificado </w:t>
      </w:r>
      <w:r w:rsidR="004B0DD0">
        <w:rPr>
          <w:rFonts w:ascii="Cambria" w:eastAsia="MS Mincho" w:hAnsi="Cambria"/>
          <w:sz w:val="20"/>
          <w:szCs w:val="20"/>
          <w:bdr w:val="none" w:sz="0" w:space="0" w:color="auto"/>
          <w:lang w:val="es-CO"/>
        </w:rPr>
        <w:t>en</w:t>
      </w:r>
      <w:r w:rsidR="00432D24">
        <w:rPr>
          <w:rFonts w:ascii="Cambria" w:eastAsia="MS Mincho" w:hAnsi="Cambria"/>
          <w:sz w:val="20"/>
          <w:szCs w:val="20"/>
          <w:bdr w:val="none" w:sz="0" w:space="0" w:color="auto"/>
          <w:lang w:val="es-CO"/>
        </w:rPr>
        <w:t xml:space="preserve"> el</w:t>
      </w:r>
      <w:r w:rsidRPr="009712EB">
        <w:rPr>
          <w:rFonts w:ascii="Cambria" w:eastAsia="MS Mincho" w:hAnsi="Cambria"/>
          <w:sz w:val="20"/>
          <w:szCs w:val="20"/>
          <w:bdr w:val="none" w:sz="0" w:space="0" w:color="auto"/>
          <w:lang w:val="es-CO"/>
        </w:rPr>
        <w:t xml:space="preserve"> caso No. 96, era un hombre panameño de 39 años de edad</w:t>
      </w:r>
      <w:r w:rsidRPr="009712EB">
        <w:rPr>
          <w:rFonts w:ascii="Cambria" w:eastAsia="MS Mincho" w:hAnsi="Cambria"/>
          <w:sz w:val="20"/>
          <w:szCs w:val="20"/>
          <w:bdr w:val="none" w:sz="0" w:space="0" w:color="auto"/>
          <w:vertAlign w:val="superscript"/>
        </w:rPr>
        <w:footnoteReference w:id="293"/>
      </w:r>
      <w:r w:rsidRPr="009712EB">
        <w:rPr>
          <w:rFonts w:ascii="Cambria" w:eastAsia="MS Mincho" w:hAnsi="Cambria"/>
          <w:sz w:val="20"/>
          <w:szCs w:val="20"/>
          <w:bdr w:val="none" w:sz="0" w:space="0" w:color="auto"/>
          <w:lang w:val="es-CO"/>
        </w:rPr>
        <w:t>. En base a información presentada, el Sr. Antonio Pérez murió el 20 de diciembre de 1989 en Rio Hato cuando se dirigía hacia Agua Dulce</w:t>
      </w:r>
      <w:r w:rsidRPr="009712EB">
        <w:rPr>
          <w:rFonts w:ascii="Cambria" w:eastAsia="MS Mincho" w:hAnsi="Cambria"/>
          <w:sz w:val="20"/>
          <w:szCs w:val="20"/>
          <w:bdr w:val="none" w:sz="0" w:space="0" w:color="auto"/>
          <w:vertAlign w:val="superscript"/>
        </w:rPr>
        <w:footnoteReference w:id="294"/>
      </w:r>
      <w:r w:rsidRPr="009712EB">
        <w:rPr>
          <w:rFonts w:ascii="Cambria" w:eastAsia="MS Mincho" w:hAnsi="Cambria"/>
          <w:sz w:val="20"/>
          <w:szCs w:val="20"/>
          <w:bdr w:val="none" w:sz="0" w:space="0" w:color="auto"/>
          <w:lang w:val="es-CO"/>
        </w:rPr>
        <w:t>. Luego de</w:t>
      </w:r>
      <w:r w:rsidR="004B0DD0">
        <w:rPr>
          <w:rFonts w:ascii="Cambria" w:eastAsia="MS Mincho" w:hAnsi="Cambria"/>
          <w:sz w:val="20"/>
          <w:szCs w:val="20"/>
          <w:bdr w:val="none" w:sz="0" w:space="0" w:color="auto"/>
          <w:lang w:val="es-CO"/>
        </w:rPr>
        <w:t xml:space="preserve"> intentos </w:t>
      </w:r>
      <w:r w:rsidRPr="009712EB">
        <w:rPr>
          <w:rFonts w:ascii="Cambria" w:eastAsia="MS Mincho" w:hAnsi="Cambria"/>
          <w:sz w:val="20"/>
          <w:szCs w:val="20"/>
          <w:bdr w:val="none" w:sz="0" w:space="0" w:color="auto"/>
          <w:lang w:val="es-CO"/>
        </w:rPr>
        <w:t>sin éxito</w:t>
      </w:r>
      <w:r w:rsidR="004B0DD0">
        <w:rPr>
          <w:rFonts w:ascii="Cambria" w:eastAsia="MS Mincho" w:hAnsi="Cambria"/>
          <w:sz w:val="20"/>
          <w:szCs w:val="20"/>
          <w:bdr w:val="none" w:sz="0" w:space="0" w:color="auto"/>
          <w:lang w:val="es-CO"/>
        </w:rPr>
        <w:t xml:space="preserve"> para encontrarlo</w:t>
      </w:r>
      <w:r w:rsidRPr="009712EB">
        <w:rPr>
          <w:rFonts w:ascii="Cambria" w:eastAsia="MS Mincho" w:hAnsi="Cambria"/>
          <w:sz w:val="20"/>
          <w:szCs w:val="20"/>
          <w:bdr w:val="none" w:sz="0" w:space="0" w:color="auto"/>
          <w:lang w:val="es-CO"/>
        </w:rPr>
        <w:t>, fue recono</w:t>
      </w:r>
      <w:r w:rsidR="001120B3">
        <w:rPr>
          <w:rFonts w:ascii="Cambria" w:eastAsia="MS Mincho" w:hAnsi="Cambria"/>
          <w:sz w:val="20"/>
          <w:szCs w:val="20"/>
          <w:bdr w:val="none" w:sz="0" w:space="0" w:color="auto"/>
          <w:lang w:val="es-CO"/>
        </w:rPr>
        <w:t xml:space="preserve">cido por su pareja, </w:t>
      </w:r>
      <w:r w:rsidRPr="009712EB">
        <w:rPr>
          <w:rFonts w:ascii="Cambria" w:eastAsia="MS Mincho" w:hAnsi="Cambria"/>
          <w:sz w:val="20"/>
          <w:szCs w:val="20"/>
          <w:bdr w:val="none" w:sz="0" w:space="0" w:color="auto"/>
          <w:lang w:val="es-CO"/>
        </w:rPr>
        <w:t>la señora Juana Murillo durante la exhumación de la fosa común del Jardín de Paz el 5 de mayo de 1990</w:t>
      </w:r>
      <w:r w:rsidRPr="009712EB">
        <w:rPr>
          <w:rFonts w:ascii="Cambria" w:eastAsia="MS Mincho" w:hAnsi="Cambria"/>
          <w:sz w:val="20"/>
          <w:szCs w:val="20"/>
          <w:bdr w:val="none" w:sz="0" w:space="0" w:color="auto"/>
          <w:vertAlign w:val="superscript"/>
        </w:rPr>
        <w:footnoteReference w:id="295"/>
      </w:r>
      <w:r w:rsidRPr="009712EB">
        <w:rPr>
          <w:rFonts w:ascii="Cambria" w:eastAsia="MS Mincho" w:hAnsi="Cambria"/>
          <w:sz w:val="20"/>
          <w:szCs w:val="20"/>
          <w:bdr w:val="none" w:sz="0" w:space="0" w:color="auto"/>
          <w:lang w:val="es-CO"/>
        </w:rPr>
        <w:t>. Hasta la fecha se desconocen las circunstancias de su muerte. Su certificado de defun</w:t>
      </w:r>
      <w:r w:rsidRPr="005C381D">
        <w:rPr>
          <w:rFonts w:ascii="Cambria" w:eastAsia="MS Mincho" w:hAnsi="Cambria"/>
          <w:sz w:val="20"/>
          <w:szCs w:val="20"/>
          <w:bdr w:val="none" w:sz="0" w:space="0" w:color="auto"/>
          <w:lang w:val="es-CO"/>
        </w:rPr>
        <w:t xml:space="preserve">ción </w:t>
      </w:r>
      <w:r w:rsidR="002F72E7" w:rsidRPr="005C381D">
        <w:rPr>
          <w:rFonts w:ascii="Cambria" w:eastAsia="MS Mincho" w:hAnsi="Cambria"/>
          <w:sz w:val="20"/>
          <w:szCs w:val="20"/>
          <w:bdr w:val="none" w:sz="0" w:space="0" w:color="auto"/>
          <w:lang w:val="es-CO"/>
        </w:rPr>
        <w:t xml:space="preserve">lista </w:t>
      </w:r>
      <w:r w:rsidR="000035C2" w:rsidRPr="005C381D">
        <w:rPr>
          <w:rFonts w:ascii="Cambria" w:eastAsia="MS Mincho" w:hAnsi="Cambria"/>
          <w:sz w:val="20"/>
          <w:szCs w:val="20"/>
          <w:bdr w:val="none" w:sz="0" w:space="0" w:color="auto"/>
          <w:lang w:val="es-CO"/>
        </w:rPr>
        <w:t xml:space="preserve">como </w:t>
      </w:r>
      <w:r w:rsidRPr="005C381D">
        <w:rPr>
          <w:rFonts w:ascii="Cambria" w:eastAsia="MS Mincho" w:hAnsi="Cambria"/>
          <w:sz w:val="20"/>
          <w:szCs w:val="20"/>
          <w:bdr w:val="none" w:sz="0" w:space="0" w:color="auto"/>
          <w:lang w:val="es-CO"/>
        </w:rPr>
        <w:t xml:space="preserve">causa de su muerte </w:t>
      </w:r>
      <w:r w:rsidR="001120B3">
        <w:rPr>
          <w:rFonts w:ascii="Cambria" w:eastAsia="MS Mincho" w:hAnsi="Cambria"/>
          <w:sz w:val="20"/>
          <w:szCs w:val="20"/>
          <w:bdr w:val="none" w:sz="0" w:space="0" w:color="auto"/>
          <w:lang w:val="es-CO"/>
        </w:rPr>
        <w:t xml:space="preserve">una </w:t>
      </w:r>
      <w:r w:rsidRPr="005C381D">
        <w:rPr>
          <w:rFonts w:ascii="Cambria" w:eastAsia="MS Mincho" w:hAnsi="Cambria"/>
          <w:sz w:val="20"/>
          <w:szCs w:val="20"/>
          <w:bdr w:val="none" w:sz="0" w:space="0" w:color="auto"/>
          <w:lang w:val="es-CO"/>
        </w:rPr>
        <w:t xml:space="preserve">herida por arma de fuego sufrida el 22 de diciembre de 1989 en la zona </w:t>
      </w:r>
      <w:r w:rsidRPr="009712EB">
        <w:rPr>
          <w:rFonts w:ascii="Cambria" w:eastAsia="MS Mincho" w:hAnsi="Cambria"/>
          <w:sz w:val="20"/>
          <w:szCs w:val="20"/>
          <w:bdr w:val="none" w:sz="0" w:space="0" w:color="auto"/>
          <w:lang w:val="es-CO"/>
        </w:rPr>
        <w:t>de Howard</w:t>
      </w:r>
      <w:r w:rsidRPr="009712EB">
        <w:rPr>
          <w:rFonts w:ascii="Cambria" w:eastAsia="MS Mincho" w:hAnsi="Cambria"/>
          <w:sz w:val="20"/>
          <w:szCs w:val="20"/>
          <w:bdr w:val="none" w:sz="0" w:space="0" w:color="auto"/>
          <w:vertAlign w:val="superscript"/>
        </w:rPr>
        <w:footnoteReference w:id="296"/>
      </w:r>
      <w:r w:rsidRPr="009712EB">
        <w:rPr>
          <w:rFonts w:ascii="Cambria" w:eastAsia="MS Mincho" w:hAnsi="Cambria"/>
          <w:sz w:val="20"/>
          <w:szCs w:val="20"/>
          <w:bdr w:val="none" w:sz="0" w:space="0" w:color="auto"/>
          <w:lang w:val="es-CO"/>
        </w:rPr>
        <w:t>.</w:t>
      </w:r>
    </w:p>
    <w:p w:rsidR="005F4DC5" w:rsidRPr="009712EB" w:rsidRDefault="005F4DC5" w:rsidP="005C381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lastRenderedPageBreak/>
        <w:t>Joseph Frederick</w:t>
      </w:r>
      <w:r w:rsidRPr="009712EB">
        <w:rPr>
          <w:rFonts w:ascii="Cambria" w:eastAsia="MS Mincho" w:hAnsi="Cambria"/>
          <w:sz w:val="20"/>
          <w:szCs w:val="20"/>
          <w:bdr w:val="none" w:sz="0" w:space="0" w:color="auto"/>
          <w:lang w:val="es-CO"/>
        </w:rPr>
        <w:t xml:space="preserve"> identificado</w:t>
      </w:r>
      <w:r w:rsidR="004B0DD0">
        <w:rPr>
          <w:rFonts w:ascii="Cambria" w:eastAsia="MS Mincho" w:hAnsi="Cambria"/>
          <w:sz w:val="20"/>
          <w:szCs w:val="20"/>
          <w:bdr w:val="none" w:sz="0" w:space="0" w:color="auto"/>
          <w:lang w:val="es-CO"/>
        </w:rPr>
        <w:t xml:space="preserve"> en</w:t>
      </w:r>
      <w:r w:rsidRPr="009712EB">
        <w:rPr>
          <w:rFonts w:ascii="Cambria" w:eastAsia="MS Mincho" w:hAnsi="Cambria"/>
          <w:sz w:val="20"/>
          <w:szCs w:val="20"/>
          <w:bdr w:val="none" w:sz="0" w:space="0" w:color="auto"/>
          <w:lang w:val="es-CO"/>
        </w:rPr>
        <w:t xml:space="preserve"> el caso No. 97, era un hombre de nacionalidad panameña</w:t>
      </w:r>
      <w:r w:rsidRPr="009712EB">
        <w:rPr>
          <w:rFonts w:ascii="Cambria" w:eastAsia="MS Mincho" w:hAnsi="Cambria"/>
          <w:sz w:val="20"/>
          <w:szCs w:val="20"/>
          <w:bdr w:val="none" w:sz="0" w:space="0" w:color="auto"/>
          <w:vertAlign w:val="superscript"/>
        </w:rPr>
        <w:footnoteReference w:id="297"/>
      </w:r>
      <w:r w:rsidRPr="009712EB">
        <w:rPr>
          <w:rFonts w:ascii="Cambria" w:eastAsia="MS Mincho" w:hAnsi="Cambria"/>
          <w:sz w:val="20"/>
          <w:szCs w:val="20"/>
          <w:bdr w:val="none" w:sz="0" w:space="0" w:color="auto"/>
          <w:lang w:val="es-CO"/>
        </w:rPr>
        <w:t xml:space="preserve">. A las 5 am del 20 de diciembre de 1989 según declaración presentada, se dirigía de vuelta a su residencia en compañía de su vecino Roberto Caijor cuando fue </w:t>
      </w:r>
      <w:r w:rsidR="00A425C3" w:rsidRPr="009712EB">
        <w:rPr>
          <w:rFonts w:ascii="Cambria" w:eastAsia="MS Mincho" w:hAnsi="Cambria"/>
          <w:sz w:val="20"/>
          <w:szCs w:val="20"/>
          <w:bdr w:val="none" w:sz="0" w:space="0" w:color="auto"/>
          <w:lang w:val="es-CO"/>
        </w:rPr>
        <w:t>“</w:t>
      </w:r>
      <w:r w:rsidRPr="009712EB">
        <w:rPr>
          <w:rFonts w:ascii="Cambria" w:eastAsia="MS Mincho" w:hAnsi="Cambria"/>
          <w:sz w:val="20"/>
          <w:szCs w:val="20"/>
          <w:bdr w:val="none" w:sz="0" w:space="0" w:color="auto"/>
          <w:lang w:val="es-CO"/>
        </w:rPr>
        <w:t>abaleado</w:t>
      </w:r>
      <w:r w:rsidR="00A425C3" w:rsidRPr="009712EB">
        <w:rPr>
          <w:rFonts w:ascii="Cambria" w:eastAsia="MS Mincho" w:hAnsi="Cambria"/>
          <w:sz w:val="20"/>
          <w:szCs w:val="20"/>
          <w:bdr w:val="none" w:sz="0" w:space="0" w:color="auto"/>
          <w:lang w:val="es-CO"/>
        </w:rPr>
        <w:t>”</w:t>
      </w:r>
      <w:r w:rsidRPr="009712EB">
        <w:rPr>
          <w:rFonts w:ascii="Cambria" w:eastAsia="MS Mincho" w:hAnsi="Cambria"/>
          <w:sz w:val="20"/>
          <w:szCs w:val="20"/>
          <w:bdr w:val="none" w:sz="0" w:space="0" w:color="auto"/>
          <w:lang w:val="es-CO"/>
        </w:rPr>
        <w:t xml:space="preserve"> por 4 personas vestidas de civiles</w:t>
      </w:r>
      <w:r w:rsidRPr="009712EB">
        <w:rPr>
          <w:rFonts w:ascii="Cambria" w:eastAsia="MS Mincho" w:hAnsi="Cambria"/>
          <w:sz w:val="20"/>
          <w:szCs w:val="20"/>
          <w:bdr w:val="none" w:sz="0" w:space="0" w:color="auto"/>
          <w:vertAlign w:val="superscript"/>
        </w:rPr>
        <w:footnoteReference w:id="298"/>
      </w:r>
      <w:r w:rsidR="005E2ED1">
        <w:rPr>
          <w:rFonts w:ascii="Cambria" w:eastAsia="MS Mincho" w:hAnsi="Cambria"/>
          <w:sz w:val="20"/>
          <w:szCs w:val="20"/>
          <w:bdr w:val="none" w:sz="0" w:space="0" w:color="auto"/>
          <w:lang w:val="es-CO"/>
        </w:rPr>
        <w:t>.</w:t>
      </w:r>
      <w:r w:rsidRPr="009712EB">
        <w:rPr>
          <w:rFonts w:ascii="Cambria" w:eastAsia="MS Mincho" w:hAnsi="Cambria"/>
          <w:sz w:val="20"/>
          <w:szCs w:val="20"/>
          <w:bdr w:val="none" w:sz="0" w:space="0" w:color="auto"/>
          <w:lang w:val="es-CO"/>
        </w:rPr>
        <w:t xml:space="preserve">  De acuerdo con información incluida en el expediente, sus restos fueron encontrados en la fosa común del Jardín de Paz</w:t>
      </w:r>
      <w:r w:rsidRPr="009712EB">
        <w:rPr>
          <w:rFonts w:ascii="Cambria" w:eastAsia="MS Mincho" w:hAnsi="Cambria"/>
          <w:sz w:val="20"/>
          <w:szCs w:val="20"/>
          <w:bdr w:val="none" w:sz="0" w:space="0" w:color="auto"/>
          <w:vertAlign w:val="superscript"/>
        </w:rPr>
        <w:footnoteReference w:id="299"/>
      </w:r>
      <w:r w:rsidR="005E2ED1">
        <w:rPr>
          <w:rFonts w:ascii="Cambria" w:eastAsia="MS Mincho" w:hAnsi="Cambria"/>
          <w:sz w:val="20"/>
          <w:szCs w:val="20"/>
          <w:bdr w:val="none" w:sz="0" w:space="0" w:color="auto"/>
          <w:lang w:val="es-CO"/>
        </w:rPr>
        <w:t>.</w:t>
      </w:r>
    </w:p>
    <w:p w:rsidR="005F4DC5" w:rsidRPr="009712EB" w:rsidRDefault="005F4DC5" w:rsidP="005C381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1120B3" w:rsidRPr="009712EB" w:rsidRDefault="001120B3" w:rsidP="001120B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Miguel Henríquez Castillo</w:t>
      </w:r>
      <w:r w:rsidRPr="009712EB">
        <w:rPr>
          <w:rFonts w:ascii="Cambria" w:eastAsia="MS Mincho" w:hAnsi="Cambria"/>
          <w:sz w:val="20"/>
          <w:szCs w:val="20"/>
          <w:bdr w:val="none" w:sz="0" w:space="0" w:color="auto"/>
          <w:lang w:val="es-CO"/>
        </w:rPr>
        <w:t xml:space="preserve"> identificado bajo los casos No. 11 y 99, era un hombre panameño de 69 años de edad</w:t>
      </w:r>
      <w:r w:rsidRPr="009712EB">
        <w:rPr>
          <w:rFonts w:ascii="Cambria" w:eastAsia="MS Mincho" w:hAnsi="Cambria"/>
          <w:sz w:val="20"/>
          <w:szCs w:val="20"/>
          <w:bdr w:val="none" w:sz="0" w:space="0" w:color="auto"/>
          <w:vertAlign w:val="superscript"/>
        </w:rPr>
        <w:footnoteReference w:id="300"/>
      </w:r>
      <w:r w:rsidRPr="009712EB">
        <w:rPr>
          <w:rFonts w:ascii="Cambria" w:eastAsia="MS Mincho" w:hAnsi="Cambria"/>
          <w:sz w:val="20"/>
          <w:szCs w:val="20"/>
          <w:bdr w:val="none" w:sz="0" w:space="0" w:color="auto"/>
          <w:lang w:val="es-CO"/>
        </w:rPr>
        <w:t>. De acuerdo a los datos aportados, a la 1 am del 20 de diciembre de 1989 Miguel Henríquez en compañía de Teofilin Vargas, salió en un vehículo con dirección a El Chorrillo para buscar a su madre</w:t>
      </w:r>
      <w:r w:rsidRPr="009712EB">
        <w:rPr>
          <w:rFonts w:ascii="Cambria" w:eastAsia="MS Mincho" w:hAnsi="Cambria"/>
          <w:sz w:val="20"/>
          <w:szCs w:val="20"/>
          <w:bdr w:val="none" w:sz="0" w:space="0" w:color="auto"/>
          <w:vertAlign w:val="superscript"/>
        </w:rPr>
        <w:footnoteReference w:id="301"/>
      </w:r>
      <w:r w:rsidRPr="009712EB">
        <w:rPr>
          <w:rFonts w:ascii="Cambria" w:eastAsia="MS Mincho" w:hAnsi="Cambria"/>
          <w:sz w:val="20"/>
          <w:szCs w:val="20"/>
          <w:bdr w:val="none" w:sz="0" w:space="0" w:color="auto"/>
          <w:lang w:val="es-CO"/>
        </w:rPr>
        <w:t>. Luego de pasar el Mercado de Abastos, soldados estadounidens</w:t>
      </w:r>
      <w:r>
        <w:rPr>
          <w:rFonts w:ascii="Cambria" w:eastAsia="MS Mincho" w:hAnsi="Cambria"/>
          <w:sz w:val="20"/>
          <w:szCs w:val="20"/>
          <w:bdr w:val="none" w:sz="0" w:space="0" w:color="auto"/>
          <w:lang w:val="es-CO"/>
        </w:rPr>
        <w:t xml:space="preserve">es “tiraron luces de bengala”, las puertas del </w:t>
      </w:r>
      <w:r w:rsidRPr="009712EB">
        <w:rPr>
          <w:rFonts w:ascii="Cambria" w:eastAsia="MS Mincho" w:hAnsi="Cambria"/>
          <w:sz w:val="20"/>
          <w:szCs w:val="20"/>
          <w:bdr w:val="none" w:sz="0" w:space="0" w:color="auto"/>
          <w:lang w:val="es-CO"/>
        </w:rPr>
        <w:t xml:space="preserve">vehículo </w:t>
      </w:r>
      <w:r w:rsidR="007C3A33">
        <w:rPr>
          <w:rFonts w:ascii="Cambria" w:eastAsia="MS Mincho" w:hAnsi="Cambria"/>
          <w:sz w:val="20"/>
          <w:szCs w:val="20"/>
          <w:bdr w:val="none" w:sz="0" w:space="0" w:color="auto"/>
          <w:lang w:val="es-CO"/>
        </w:rPr>
        <w:t xml:space="preserve">se abrieron </w:t>
      </w:r>
      <w:r w:rsidRPr="009712EB">
        <w:rPr>
          <w:rFonts w:ascii="Cambria" w:eastAsia="MS Mincho" w:hAnsi="Cambria"/>
          <w:sz w:val="20"/>
          <w:szCs w:val="20"/>
          <w:bdr w:val="none" w:sz="0" w:space="0" w:color="auto"/>
          <w:lang w:val="es-CO"/>
        </w:rPr>
        <w:t xml:space="preserve">y </w:t>
      </w:r>
      <w:r>
        <w:rPr>
          <w:rFonts w:ascii="Cambria" w:eastAsia="MS Mincho" w:hAnsi="Cambria"/>
          <w:sz w:val="20"/>
          <w:szCs w:val="20"/>
          <w:bdr w:val="none" w:sz="0" w:space="0" w:color="auto"/>
          <w:lang w:val="es-CO"/>
        </w:rPr>
        <w:t>el señor Henríquez</w:t>
      </w:r>
      <w:r w:rsidRPr="009712EB">
        <w:rPr>
          <w:rFonts w:ascii="Cambria" w:eastAsia="MS Mincho" w:hAnsi="Cambria"/>
          <w:sz w:val="20"/>
          <w:szCs w:val="20"/>
          <w:bdr w:val="none" w:sz="0" w:space="0" w:color="auto"/>
          <w:lang w:val="es-CO"/>
        </w:rPr>
        <w:t xml:space="preserve"> salió del vehículo mientras </w:t>
      </w:r>
      <w:r>
        <w:rPr>
          <w:rFonts w:ascii="Cambria" w:eastAsia="MS Mincho" w:hAnsi="Cambria"/>
          <w:sz w:val="20"/>
          <w:szCs w:val="20"/>
          <w:bdr w:val="none" w:sz="0" w:space="0" w:color="auto"/>
          <w:lang w:val="es-CO"/>
        </w:rPr>
        <w:t>el señor Vargas</w:t>
      </w:r>
      <w:r w:rsidRPr="009712EB">
        <w:rPr>
          <w:rFonts w:ascii="Cambria" w:eastAsia="MS Mincho" w:hAnsi="Cambria"/>
          <w:sz w:val="20"/>
          <w:szCs w:val="20"/>
          <w:bdr w:val="none" w:sz="0" w:space="0" w:color="auto"/>
          <w:lang w:val="es-CO"/>
        </w:rPr>
        <w:t xml:space="preserve"> se quedó escondido dentro del mismo</w:t>
      </w:r>
      <w:r w:rsidRPr="009712EB">
        <w:rPr>
          <w:rFonts w:ascii="Cambria" w:eastAsia="MS Mincho" w:hAnsi="Cambria"/>
          <w:sz w:val="20"/>
          <w:szCs w:val="20"/>
          <w:bdr w:val="none" w:sz="0" w:space="0" w:color="auto"/>
          <w:vertAlign w:val="superscript"/>
        </w:rPr>
        <w:footnoteReference w:id="302"/>
      </w:r>
      <w:r w:rsidRPr="009712EB">
        <w:rPr>
          <w:rFonts w:ascii="Cambria" w:eastAsia="MS Mincho" w:hAnsi="Cambria"/>
          <w:sz w:val="20"/>
          <w:szCs w:val="20"/>
          <w:bdr w:val="none" w:sz="0" w:space="0" w:color="auto"/>
          <w:lang w:val="es-CO"/>
        </w:rPr>
        <w:t xml:space="preserve">. </w:t>
      </w:r>
      <w:r w:rsidR="007C3A33">
        <w:rPr>
          <w:rFonts w:ascii="Cambria" w:eastAsia="MS Mincho" w:hAnsi="Cambria"/>
          <w:sz w:val="20"/>
          <w:szCs w:val="20"/>
          <w:bdr w:val="none" w:sz="0" w:space="0" w:color="auto"/>
          <w:lang w:val="es-CO"/>
        </w:rPr>
        <w:t>E</w:t>
      </w:r>
      <w:r>
        <w:rPr>
          <w:rFonts w:ascii="Cambria" w:eastAsia="MS Mincho" w:hAnsi="Cambria"/>
          <w:sz w:val="20"/>
          <w:szCs w:val="20"/>
          <w:bdr w:val="none" w:sz="0" w:space="0" w:color="auto"/>
          <w:lang w:val="es-CO"/>
        </w:rPr>
        <w:t>l señor Vargas</w:t>
      </w:r>
      <w:r w:rsidRPr="009712EB">
        <w:rPr>
          <w:rFonts w:ascii="Cambria" w:eastAsia="MS Mincho" w:hAnsi="Cambria"/>
          <w:sz w:val="20"/>
          <w:szCs w:val="20"/>
          <w:bdr w:val="none" w:sz="0" w:space="0" w:color="auto"/>
          <w:lang w:val="es-CO"/>
        </w:rPr>
        <w:t xml:space="preserve"> fue detenido y llevado a Nuevo Emperador</w:t>
      </w:r>
      <w:r w:rsidRPr="009712EB">
        <w:rPr>
          <w:rFonts w:ascii="Cambria" w:eastAsia="MS Mincho" w:hAnsi="Cambria"/>
          <w:sz w:val="20"/>
          <w:szCs w:val="20"/>
          <w:bdr w:val="none" w:sz="0" w:space="0" w:color="auto"/>
          <w:vertAlign w:val="superscript"/>
        </w:rPr>
        <w:footnoteReference w:id="303"/>
      </w:r>
      <w:r w:rsidRPr="009712EB">
        <w:rPr>
          <w:rFonts w:ascii="Cambria" w:eastAsia="MS Mincho" w:hAnsi="Cambria"/>
          <w:sz w:val="20"/>
          <w:szCs w:val="20"/>
          <w:bdr w:val="none" w:sz="0" w:space="0" w:color="auto"/>
          <w:lang w:val="es-CO"/>
        </w:rPr>
        <w:t>. Conforme a la declaración presentada,</w:t>
      </w:r>
      <w:r w:rsidR="007C3A33">
        <w:rPr>
          <w:rFonts w:ascii="Cambria" w:eastAsia="MS Mincho" w:hAnsi="Cambria"/>
          <w:sz w:val="20"/>
          <w:szCs w:val="20"/>
          <w:bdr w:val="none" w:sz="0" w:space="0" w:color="auto"/>
          <w:lang w:val="es-CO"/>
        </w:rPr>
        <w:t xml:space="preserve"> los restos del señor Henríquez Castillo </w:t>
      </w:r>
      <w:r w:rsidRPr="009712EB">
        <w:rPr>
          <w:rFonts w:ascii="Cambria" w:eastAsia="MS Mincho" w:hAnsi="Cambria"/>
          <w:sz w:val="20"/>
          <w:szCs w:val="20"/>
          <w:bdr w:val="none" w:sz="0" w:space="0" w:color="auto"/>
          <w:lang w:val="es-CO"/>
        </w:rPr>
        <w:t>aparecieron en la fosa común del Jardín de Paz el 20 de mayo de 1990, sin que hasta la fecha se conozcan las circunstancias de su muerte</w:t>
      </w:r>
      <w:r w:rsidRPr="009712EB">
        <w:rPr>
          <w:rFonts w:ascii="Cambria" w:eastAsia="MS Mincho" w:hAnsi="Cambria"/>
          <w:sz w:val="20"/>
          <w:szCs w:val="20"/>
          <w:bdr w:val="none" w:sz="0" w:space="0" w:color="auto"/>
          <w:vertAlign w:val="superscript"/>
        </w:rPr>
        <w:footnoteReference w:id="304"/>
      </w:r>
      <w:r w:rsidRPr="009712EB">
        <w:rPr>
          <w:rFonts w:ascii="Cambria" w:eastAsia="MS Mincho" w:hAnsi="Cambria"/>
          <w:sz w:val="20"/>
          <w:szCs w:val="20"/>
          <w:bdr w:val="none" w:sz="0" w:space="0" w:color="auto"/>
          <w:lang w:val="es-CO"/>
        </w:rPr>
        <w:t xml:space="preserve">. </w:t>
      </w:r>
      <w:r w:rsidR="007C3A33">
        <w:rPr>
          <w:rFonts w:ascii="Cambria" w:eastAsia="MS Mincho" w:hAnsi="Cambria"/>
          <w:sz w:val="20"/>
          <w:szCs w:val="20"/>
          <w:bdr w:val="none" w:sz="0" w:space="0" w:color="auto"/>
          <w:lang w:val="es-CO"/>
        </w:rPr>
        <w:t xml:space="preserve">De la </w:t>
      </w:r>
      <w:r w:rsidRPr="009712EB">
        <w:rPr>
          <w:rFonts w:ascii="Cambria" w:eastAsia="MS Mincho" w:hAnsi="Cambria"/>
          <w:sz w:val="20"/>
          <w:szCs w:val="20"/>
          <w:bdr w:val="none" w:sz="0" w:space="0" w:color="auto"/>
          <w:lang w:val="es-CO"/>
        </w:rPr>
        <w:t xml:space="preserve"> información </w:t>
      </w:r>
      <w:r w:rsidR="007C3A33">
        <w:rPr>
          <w:rFonts w:ascii="Cambria" w:eastAsia="MS Mincho" w:hAnsi="Cambria"/>
          <w:sz w:val="20"/>
          <w:szCs w:val="20"/>
          <w:bdr w:val="none" w:sz="0" w:space="0" w:color="auto"/>
          <w:lang w:val="es-CO"/>
        </w:rPr>
        <w:t>contenida</w:t>
      </w:r>
      <w:r w:rsidRPr="009712EB">
        <w:rPr>
          <w:rFonts w:ascii="Cambria" w:eastAsia="MS Mincho" w:hAnsi="Cambria"/>
          <w:sz w:val="20"/>
          <w:szCs w:val="20"/>
          <w:bdr w:val="none" w:sz="0" w:space="0" w:color="auto"/>
          <w:lang w:val="es-CO"/>
        </w:rPr>
        <w:t xml:space="preserve"> en </w:t>
      </w:r>
      <w:r w:rsidR="007C3A33">
        <w:rPr>
          <w:rFonts w:ascii="Cambria" w:eastAsia="MS Mincho" w:hAnsi="Cambria"/>
          <w:sz w:val="20"/>
          <w:szCs w:val="20"/>
          <w:bdr w:val="none" w:sz="0" w:space="0" w:color="auto"/>
          <w:lang w:val="es-CO"/>
        </w:rPr>
        <w:t>su certificado de defunción, él</w:t>
      </w:r>
      <w:r w:rsidRPr="009712EB">
        <w:rPr>
          <w:rFonts w:ascii="Cambria" w:eastAsia="MS Mincho" w:hAnsi="Cambria"/>
          <w:sz w:val="20"/>
          <w:szCs w:val="20"/>
          <w:bdr w:val="none" w:sz="0" w:space="0" w:color="auto"/>
          <w:lang w:val="es-CO"/>
        </w:rPr>
        <w:t xml:space="preserve"> murió </w:t>
      </w:r>
      <w:r w:rsidR="007C3A33">
        <w:rPr>
          <w:rFonts w:ascii="Cambria" w:eastAsia="MS Mincho" w:hAnsi="Cambria"/>
          <w:sz w:val="20"/>
          <w:szCs w:val="20"/>
          <w:bdr w:val="none" w:sz="0" w:space="0" w:color="auto"/>
          <w:lang w:val="es-CO"/>
        </w:rPr>
        <w:t>a raíz de</w:t>
      </w:r>
      <w:r w:rsidRPr="009712EB">
        <w:rPr>
          <w:rFonts w:ascii="Cambria" w:eastAsia="MS Mincho" w:hAnsi="Cambria"/>
          <w:sz w:val="20"/>
          <w:szCs w:val="20"/>
          <w:bdr w:val="none" w:sz="0" w:space="0" w:color="auto"/>
          <w:lang w:val="es-CO"/>
        </w:rPr>
        <w:t xml:space="preserve"> una herida por proyectil de bala</w:t>
      </w:r>
      <w:r w:rsidR="007C3A33">
        <w:rPr>
          <w:rFonts w:ascii="Cambria" w:eastAsia="MS Mincho" w:hAnsi="Cambria"/>
          <w:sz w:val="20"/>
          <w:szCs w:val="20"/>
          <w:bdr w:val="none" w:sz="0" w:space="0" w:color="auto"/>
          <w:lang w:val="es-CO"/>
        </w:rPr>
        <w:t xml:space="preserve"> </w:t>
      </w:r>
      <w:r w:rsidR="007C3A33" w:rsidRPr="009712EB">
        <w:rPr>
          <w:rFonts w:ascii="Cambria" w:eastAsia="MS Mincho" w:hAnsi="Cambria"/>
          <w:sz w:val="20"/>
          <w:szCs w:val="20"/>
          <w:bdr w:val="none" w:sz="0" w:space="0" w:color="auto"/>
          <w:lang w:val="es-CO"/>
        </w:rPr>
        <w:t>el día de su desaparición en l</w:t>
      </w:r>
      <w:r w:rsidR="007C3A33">
        <w:rPr>
          <w:rFonts w:ascii="Cambria" w:eastAsia="MS Mincho" w:hAnsi="Cambria"/>
          <w:sz w:val="20"/>
          <w:szCs w:val="20"/>
          <w:bdr w:val="none" w:sz="0" w:space="0" w:color="auto"/>
          <w:lang w:val="es-CO"/>
        </w:rPr>
        <w:t>a zona conocida como Santa Rita</w:t>
      </w:r>
      <w:r w:rsidRPr="009712EB">
        <w:rPr>
          <w:rFonts w:ascii="Cambria" w:eastAsia="MS Mincho" w:hAnsi="Cambria"/>
          <w:sz w:val="20"/>
          <w:szCs w:val="20"/>
          <w:bdr w:val="none" w:sz="0" w:space="0" w:color="auto"/>
          <w:vertAlign w:val="superscript"/>
        </w:rPr>
        <w:footnoteReference w:id="305"/>
      </w:r>
      <w:r w:rsidRPr="009712EB">
        <w:rPr>
          <w:rFonts w:ascii="Cambria" w:eastAsia="MS Mincho" w:hAnsi="Cambria"/>
          <w:sz w:val="20"/>
          <w:szCs w:val="20"/>
          <w:bdr w:val="none" w:sz="0" w:space="0" w:color="auto"/>
          <w:lang w:val="es-CO"/>
        </w:rPr>
        <w:t>.</w:t>
      </w:r>
    </w:p>
    <w:p w:rsidR="001120B3" w:rsidRPr="009712EB" w:rsidRDefault="001120B3" w:rsidP="001120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1120B3" w:rsidRDefault="001120B3" w:rsidP="001120B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sz w:val="20"/>
          <w:szCs w:val="20"/>
          <w:bdr w:val="none" w:sz="0" w:space="0" w:color="auto"/>
          <w:lang w:val="es-CO"/>
        </w:rPr>
        <w:t>Conforme a información presentada, su esposa Basilia Meléndez presentó denuncias por la desaparición de Miguel Henríquez Castillo ante la Comisión Nacional de Derechos Humanos y ante la Fiscalía Cuarta Superior del Primer Distrito Judicial, los días 20 de febrero</w:t>
      </w:r>
      <w:r w:rsidRPr="009712EB">
        <w:rPr>
          <w:rFonts w:ascii="Cambria" w:eastAsia="MS Mincho" w:hAnsi="Cambria"/>
          <w:sz w:val="20"/>
          <w:szCs w:val="20"/>
          <w:bdr w:val="none" w:sz="0" w:space="0" w:color="auto"/>
          <w:vertAlign w:val="superscript"/>
        </w:rPr>
        <w:footnoteReference w:id="306"/>
      </w:r>
      <w:r w:rsidRPr="009712EB">
        <w:rPr>
          <w:rFonts w:ascii="Cambria" w:eastAsia="MS Mincho" w:hAnsi="Cambria"/>
          <w:sz w:val="20"/>
          <w:szCs w:val="20"/>
          <w:bdr w:val="none" w:sz="0" w:space="0" w:color="auto"/>
          <w:lang w:val="es-CO"/>
        </w:rPr>
        <w:t xml:space="preserve"> y 4 de abril de 1990</w:t>
      </w:r>
      <w:r w:rsidRPr="009712EB">
        <w:rPr>
          <w:rFonts w:ascii="Cambria" w:eastAsia="MS Mincho" w:hAnsi="Cambria"/>
          <w:sz w:val="20"/>
          <w:szCs w:val="20"/>
          <w:bdr w:val="none" w:sz="0" w:space="0" w:color="auto"/>
          <w:vertAlign w:val="superscript"/>
        </w:rPr>
        <w:footnoteReference w:id="307"/>
      </w:r>
      <w:r w:rsidRPr="009712EB">
        <w:rPr>
          <w:rFonts w:ascii="Cambria" w:eastAsia="MS Mincho" w:hAnsi="Cambria"/>
          <w:sz w:val="20"/>
          <w:szCs w:val="20"/>
          <w:bdr w:val="none" w:sz="0" w:space="0" w:color="auto"/>
          <w:lang w:val="es-CO"/>
        </w:rPr>
        <w:t xml:space="preserve">, respectivamente. Frente a la Fiscalía, </w:t>
      </w:r>
      <w:r w:rsidR="007C3A33">
        <w:rPr>
          <w:rFonts w:ascii="Cambria" w:eastAsia="MS Mincho" w:hAnsi="Cambria"/>
          <w:sz w:val="20"/>
          <w:szCs w:val="20"/>
          <w:bdr w:val="none" w:sz="0" w:space="0" w:color="auto"/>
          <w:lang w:val="es-CO"/>
        </w:rPr>
        <w:t xml:space="preserve">ella </w:t>
      </w:r>
      <w:r w:rsidRPr="009712EB">
        <w:rPr>
          <w:rFonts w:ascii="Cambria" w:eastAsia="MS Mincho" w:hAnsi="Cambria"/>
          <w:sz w:val="20"/>
          <w:szCs w:val="20"/>
          <w:bdr w:val="none" w:sz="0" w:space="0" w:color="auto"/>
          <w:lang w:val="es-CO"/>
        </w:rPr>
        <w:t xml:space="preserve">insistió que su esposo no aparecía en los listados publicados en Medicina Legal del Ministerio de </w:t>
      </w:r>
      <w:r>
        <w:rPr>
          <w:rFonts w:ascii="Cambria" w:eastAsia="MS Mincho" w:hAnsi="Cambria"/>
          <w:sz w:val="20"/>
          <w:szCs w:val="20"/>
          <w:bdr w:val="none" w:sz="0" w:space="0" w:color="auto"/>
          <w:lang w:val="es-CO"/>
        </w:rPr>
        <w:t>E</w:t>
      </w:r>
      <w:r w:rsidRPr="009712EB">
        <w:rPr>
          <w:rFonts w:ascii="Cambria" w:eastAsia="MS Mincho" w:hAnsi="Cambria"/>
          <w:sz w:val="20"/>
          <w:szCs w:val="20"/>
          <w:bdr w:val="none" w:sz="0" w:space="0" w:color="auto"/>
          <w:lang w:val="es-CO"/>
        </w:rPr>
        <w:t>ducación</w:t>
      </w:r>
      <w:r w:rsidRPr="009712EB">
        <w:rPr>
          <w:rFonts w:ascii="Cambria" w:eastAsia="MS Mincho" w:hAnsi="Cambria"/>
          <w:sz w:val="20"/>
          <w:szCs w:val="20"/>
          <w:bdr w:val="none" w:sz="0" w:space="0" w:color="auto"/>
          <w:vertAlign w:val="superscript"/>
        </w:rPr>
        <w:footnoteReference w:id="308"/>
      </w:r>
      <w:r w:rsidRPr="009712EB">
        <w:rPr>
          <w:rFonts w:ascii="Cambria" w:eastAsia="MS Mincho" w:hAnsi="Cambria"/>
          <w:sz w:val="20"/>
          <w:szCs w:val="20"/>
          <w:bdr w:val="none" w:sz="0" w:space="0" w:color="auto"/>
          <w:lang w:val="es-CO"/>
        </w:rPr>
        <w:t>.</w:t>
      </w:r>
    </w:p>
    <w:p w:rsidR="007C3A33" w:rsidRDefault="007C3A33" w:rsidP="007C3A3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CO"/>
        </w:rPr>
      </w:pPr>
    </w:p>
    <w:p w:rsidR="00612DD3" w:rsidRPr="008A5210" w:rsidRDefault="00612DD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8A5210">
        <w:rPr>
          <w:rFonts w:ascii="Cambria" w:eastAsia="MS Mincho" w:hAnsi="Cambria"/>
          <w:i/>
          <w:sz w:val="20"/>
          <w:szCs w:val="20"/>
          <w:bdr w:val="none" w:sz="0" w:space="0" w:color="auto"/>
          <w:lang w:val="es-CO"/>
        </w:rPr>
        <w:t>Luis Alberto Murillo Castillo</w:t>
      </w:r>
      <w:r w:rsidRPr="008A5210">
        <w:rPr>
          <w:rFonts w:ascii="Cambria" w:eastAsia="MS Mincho" w:hAnsi="Cambria"/>
          <w:sz w:val="20"/>
          <w:szCs w:val="20"/>
          <w:bdr w:val="none" w:sz="0" w:space="0" w:color="auto"/>
          <w:lang w:val="es-CO"/>
        </w:rPr>
        <w:t xml:space="preserve"> identificado en el caso No. 102, era un hombre de 27 años de edad de nacionalidad panameña y residente de Los Andes Villa Esperanza</w:t>
      </w:r>
      <w:r w:rsidRPr="008A5210">
        <w:rPr>
          <w:rFonts w:ascii="Cambria" w:eastAsia="MS Mincho" w:hAnsi="Cambria"/>
          <w:sz w:val="20"/>
          <w:szCs w:val="20"/>
          <w:bdr w:val="none" w:sz="0" w:space="0" w:color="auto"/>
          <w:vertAlign w:val="superscript"/>
        </w:rPr>
        <w:footnoteReference w:id="309"/>
      </w:r>
      <w:r w:rsidRPr="008A5210">
        <w:rPr>
          <w:rFonts w:ascii="Cambria" w:eastAsia="MS Mincho" w:hAnsi="Cambria"/>
          <w:sz w:val="20"/>
          <w:szCs w:val="20"/>
          <w:bdr w:val="none" w:sz="0" w:space="0" w:color="auto"/>
          <w:lang w:val="es-CO"/>
        </w:rPr>
        <w:t>. Según información aportada, el 24 de diciembre de 1989 Luis Murillo, en compañía de su madrasta Telma Yolanda González de Murillo, se dirigía hacia la zona de San Miguelito donde se encontraban desde el día anterior su esposa e hijos, luego de haber evacuado su residencia por alerta de “bombardeo”</w:t>
      </w:r>
      <w:r w:rsidRPr="008A5210">
        <w:rPr>
          <w:rFonts w:ascii="Cambria" w:eastAsia="MS Mincho" w:hAnsi="Cambria"/>
          <w:sz w:val="20"/>
          <w:szCs w:val="20"/>
          <w:bdr w:val="none" w:sz="0" w:space="0" w:color="auto"/>
          <w:vertAlign w:val="superscript"/>
        </w:rPr>
        <w:footnoteReference w:id="310"/>
      </w:r>
      <w:r w:rsidRPr="008A5210">
        <w:rPr>
          <w:rFonts w:ascii="Cambria" w:eastAsia="MS Mincho" w:hAnsi="Cambria"/>
          <w:sz w:val="20"/>
          <w:szCs w:val="20"/>
          <w:bdr w:val="none" w:sz="0" w:space="0" w:color="auto"/>
          <w:lang w:val="es-CO"/>
        </w:rPr>
        <w:t xml:space="preserve">. En presencia de su madrastra y otro testigo, fue víctima </w:t>
      </w:r>
      <w:r w:rsidRPr="008A5210">
        <w:rPr>
          <w:rFonts w:ascii="Cambria" w:eastAsia="MS Mincho" w:hAnsi="Cambria"/>
          <w:sz w:val="20"/>
          <w:szCs w:val="20"/>
          <w:bdr w:val="none" w:sz="0" w:space="0" w:color="auto"/>
          <w:lang w:val="es-CO"/>
        </w:rPr>
        <w:lastRenderedPageBreak/>
        <w:t>de un disparo en la cadera izquierda proveniente de tanquetas en la zona de Auto Motor, Villa Guadalupe San Miguelito</w:t>
      </w:r>
      <w:r w:rsidRPr="008A5210">
        <w:rPr>
          <w:rFonts w:ascii="Cambria" w:eastAsia="MS Mincho" w:hAnsi="Cambria"/>
          <w:sz w:val="20"/>
          <w:szCs w:val="20"/>
          <w:bdr w:val="none" w:sz="0" w:space="0" w:color="auto"/>
          <w:vertAlign w:val="superscript"/>
        </w:rPr>
        <w:footnoteReference w:id="311"/>
      </w:r>
      <w:r w:rsidRPr="008A5210">
        <w:rPr>
          <w:rFonts w:ascii="Cambria" w:eastAsia="MS Mincho" w:hAnsi="Cambria"/>
          <w:sz w:val="20"/>
          <w:szCs w:val="20"/>
          <w:bdr w:val="none" w:sz="0" w:space="0" w:color="auto"/>
          <w:lang w:val="es-CO"/>
        </w:rPr>
        <w:t xml:space="preserve">. Este fue sepultado </w:t>
      </w:r>
      <w:r w:rsidR="005E2ED1">
        <w:rPr>
          <w:rFonts w:ascii="Cambria" w:eastAsia="MS Mincho" w:hAnsi="Cambria"/>
          <w:sz w:val="20"/>
          <w:szCs w:val="20"/>
          <w:bdr w:val="none" w:sz="0" w:space="0" w:color="auto"/>
          <w:lang w:val="es-CO"/>
        </w:rPr>
        <w:t>en fosa común del Jardín de Paz</w:t>
      </w:r>
      <w:r w:rsidRPr="008A5210">
        <w:rPr>
          <w:rFonts w:ascii="Cambria" w:eastAsia="MS Mincho" w:hAnsi="Cambria"/>
          <w:sz w:val="20"/>
          <w:szCs w:val="20"/>
          <w:bdr w:val="none" w:sz="0" w:space="0" w:color="auto"/>
          <w:vertAlign w:val="superscript"/>
        </w:rPr>
        <w:footnoteReference w:id="312"/>
      </w:r>
      <w:r w:rsidR="005E2ED1" w:rsidRPr="00713E68">
        <w:rPr>
          <w:rFonts w:ascii="Cambria" w:eastAsia="MS Mincho" w:hAnsi="Cambria"/>
          <w:sz w:val="20"/>
          <w:szCs w:val="20"/>
          <w:bdr w:val="none" w:sz="0" w:space="0" w:color="auto"/>
          <w:lang w:val="es-ES"/>
        </w:rPr>
        <w:t>.</w:t>
      </w:r>
    </w:p>
    <w:p w:rsidR="005F4DC5" w:rsidRPr="008A5210" w:rsidRDefault="005F4DC5" w:rsidP="008A521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5F4DC5" w:rsidRPr="008A5210"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8A5210">
        <w:rPr>
          <w:rFonts w:ascii="Cambria" w:eastAsia="MS Mincho" w:hAnsi="Cambria"/>
          <w:i/>
          <w:sz w:val="20"/>
          <w:szCs w:val="20"/>
          <w:bdr w:val="none" w:sz="0" w:space="0" w:color="auto"/>
          <w:lang w:val="es-CO"/>
        </w:rPr>
        <w:t>Luis Alberto Quintero Sianca</w:t>
      </w:r>
      <w:r w:rsidRPr="008A5210">
        <w:rPr>
          <w:rFonts w:ascii="Cambria" w:eastAsia="MS Mincho" w:hAnsi="Cambria"/>
          <w:sz w:val="20"/>
          <w:szCs w:val="20"/>
          <w:bdr w:val="none" w:sz="0" w:space="0" w:color="auto"/>
          <w:lang w:val="es-CO"/>
        </w:rPr>
        <w:t xml:space="preserve"> identificado </w:t>
      </w:r>
      <w:r w:rsidR="007C3A33">
        <w:rPr>
          <w:rFonts w:ascii="Cambria" w:eastAsia="MS Mincho" w:hAnsi="Cambria"/>
          <w:sz w:val="20"/>
          <w:szCs w:val="20"/>
          <w:bdr w:val="none" w:sz="0" w:space="0" w:color="auto"/>
          <w:lang w:val="es-CO"/>
        </w:rPr>
        <w:t xml:space="preserve">en el </w:t>
      </w:r>
      <w:r w:rsidRPr="008A5210">
        <w:rPr>
          <w:rFonts w:ascii="Cambria" w:eastAsia="MS Mincho" w:hAnsi="Cambria"/>
          <w:sz w:val="20"/>
          <w:szCs w:val="20"/>
          <w:bdr w:val="none" w:sz="0" w:space="0" w:color="auto"/>
          <w:lang w:val="es-CO"/>
        </w:rPr>
        <w:t>caso No.107, era un joven de 20 años de nacionalidad panameña</w:t>
      </w:r>
      <w:r w:rsidRPr="008A5210">
        <w:rPr>
          <w:rFonts w:ascii="Cambria" w:eastAsia="MS Mincho" w:hAnsi="Cambria"/>
          <w:sz w:val="20"/>
          <w:szCs w:val="20"/>
          <w:bdr w:val="none" w:sz="0" w:space="0" w:color="auto"/>
          <w:vertAlign w:val="superscript"/>
        </w:rPr>
        <w:footnoteReference w:id="313"/>
      </w:r>
      <w:r w:rsidR="005E2ED1">
        <w:rPr>
          <w:rFonts w:ascii="Cambria" w:eastAsia="MS Mincho" w:hAnsi="Cambria"/>
          <w:sz w:val="20"/>
          <w:szCs w:val="20"/>
          <w:bdr w:val="none" w:sz="0" w:space="0" w:color="auto"/>
          <w:lang w:val="es-CO"/>
        </w:rPr>
        <w:t>.</w:t>
      </w:r>
      <w:r w:rsidRPr="008A5210">
        <w:rPr>
          <w:rFonts w:ascii="Cambria" w:eastAsia="MS Mincho" w:hAnsi="Cambria"/>
          <w:sz w:val="20"/>
          <w:szCs w:val="20"/>
          <w:bdr w:val="none" w:sz="0" w:space="0" w:color="auto"/>
          <w:lang w:val="es-CO"/>
        </w:rPr>
        <w:t xml:space="preserve"> Conforme a la declaración presentada, el 22 de diciembre </w:t>
      </w:r>
      <w:r w:rsidR="000E62C3">
        <w:rPr>
          <w:rFonts w:ascii="Cambria" w:eastAsia="MS Mincho" w:hAnsi="Cambria"/>
          <w:sz w:val="20"/>
          <w:szCs w:val="20"/>
          <w:bdr w:val="none" w:sz="0" w:space="0" w:color="auto"/>
          <w:lang w:val="es-CO"/>
        </w:rPr>
        <w:t xml:space="preserve">1989 </w:t>
      </w:r>
      <w:r w:rsidRPr="008A5210">
        <w:rPr>
          <w:rFonts w:ascii="Cambria" w:eastAsia="MS Mincho" w:hAnsi="Cambria"/>
          <w:sz w:val="20"/>
          <w:szCs w:val="20"/>
          <w:bdr w:val="none" w:sz="0" w:space="0" w:color="auto"/>
          <w:lang w:val="es-CO"/>
        </w:rPr>
        <w:t>en horas de la tarde Luis Quintero estaba en compañía de su tío en la avenida Peró cuando el auto en el que viajaban recibió impactos de bala</w:t>
      </w:r>
      <w:r w:rsidRPr="008A5210">
        <w:rPr>
          <w:rFonts w:ascii="Cambria" w:eastAsia="MS Mincho" w:hAnsi="Cambria"/>
          <w:sz w:val="20"/>
          <w:szCs w:val="20"/>
          <w:bdr w:val="none" w:sz="0" w:space="0" w:color="auto"/>
          <w:vertAlign w:val="superscript"/>
        </w:rPr>
        <w:footnoteReference w:id="314"/>
      </w:r>
      <w:r w:rsidRPr="008A5210">
        <w:rPr>
          <w:rFonts w:ascii="Cambria" w:eastAsia="MS Mincho" w:hAnsi="Cambria"/>
          <w:sz w:val="20"/>
          <w:szCs w:val="20"/>
          <w:bdr w:val="none" w:sz="0" w:space="0" w:color="auto"/>
          <w:lang w:val="es-CO"/>
        </w:rPr>
        <w:t xml:space="preserve">. </w:t>
      </w:r>
      <w:r w:rsidR="000E62C3">
        <w:rPr>
          <w:rFonts w:ascii="Cambria" w:eastAsia="MS Mincho" w:hAnsi="Cambria"/>
          <w:sz w:val="20"/>
          <w:szCs w:val="20"/>
          <w:bdr w:val="none" w:sz="0" w:space="0" w:color="auto"/>
          <w:lang w:val="es-CO"/>
        </w:rPr>
        <w:t>F</w:t>
      </w:r>
      <w:r w:rsidRPr="008A5210">
        <w:rPr>
          <w:rFonts w:ascii="Cambria" w:eastAsia="MS Mincho" w:hAnsi="Cambria"/>
          <w:sz w:val="20"/>
          <w:szCs w:val="20"/>
          <w:bdr w:val="none" w:sz="0" w:space="0" w:color="auto"/>
          <w:lang w:val="es-CO"/>
        </w:rPr>
        <w:t>ue trasladado al Hospital Santo Tomás sin vida, de acuerdo con la informaci</w:t>
      </w:r>
      <w:r w:rsidR="000E62C3">
        <w:rPr>
          <w:rFonts w:ascii="Cambria" w:eastAsia="MS Mincho" w:hAnsi="Cambria"/>
          <w:sz w:val="20"/>
          <w:szCs w:val="20"/>
          <w:bdr w:val="none" w:sz="0" w:space="0" w:color="auto"/>
          <w:lang w:val="es-CO"/>
        </w:rPr>
        <w:t xml:space="preserve">ón aportada. Cuando su familia busco reclamar sus restos el 26 de diciembre, no </w:t>
      </w:r>
      <w:r w:rsidRPr="008A5210">
        <w:rPr>
          <w:rFonts w:ascii="Cambria" w:eastAsia="MS Mincho" w:hAnsi="Cambria"/>
          <w:sz w:val="20"/>
          <w:szCs w:val="20"/>
          <w:bdr w:val="none" w:sz="0" w:space="0" w:color="auto"/>
          <w:lang w:val="es-CO"/>
        </w:rPr>
        <w:t xml:space="preserve">tuvieron oportunidad </w:t>
      </w:r>
      <w:r w:rsidR="000E62C3">
        <w:rPr>
          <w:rFonts w:ascii="Cambria" w:eastAsia="MS Mincho" w:hAnsi="Cambria"/>
          <w:sz w:val="20"/>
          <w:szCs w:val="20"/>
          <w:bdr w:val="none" w:sz="0" w:space="0" w:color="auto"/>
          <w:lang w:val="es-CO"/>
        </w:rPr>
        <w:t xml:space="preserve">para hacerlo </w:t>
      </w:r>
      <w:r w:rsidRPr="008A5210">
        <w:rPr>
          <w:rFonts w:ascii="Cambria" w:eastAsia="MS Mincho" w:hAnsi="Cambria"/>
          <w:sz w:val="20"/>
          <w:szCs w:val="20"/>
          <w:bdr w:val="none" w:sz="0" w:space="0" w:color="auto"/>
          <w:lang w:val="es-CO"/>
        </w:rPr>
        <w:t xml:space="preserve">ya que </w:t>
      </w:r>
      <w:r w:rsidR="000E62C3">
        <w:rPr>
          <w:rFonts w:ascii="Cambria" w:eastAsia="MS Mincho" w:hAnsi="Cambria"/>
          <w:sz w:val="20"/>
          <w:szCs w:val="20"/>
          <w:bdr w:val="none" w:sz="0" w:space="0" w:color="auto"/>
          <w:lang w:val="es-CO"/>
        </w:rPr>
        <w:t xml:space="preserve">sus restos ya </w:t>
      </w:r>
      <w:r w:rsidRPr="008A5210">
        <w:rPr>
          <w:rFonts w:ascii="Cambria" w:eastAsia="MS Mincho" w:hAnsi="Cambria"/>
          <w:sz w:val="20"/>
          <w:szCs w:val="20"/>
          <w:bdr w:val="none" w:sz="0" w:space="0" w:color="auto"/>
          <w:lang w:val="es-CO"/>
        </w:rPr>
        <w:t>habían sido enterrados en la fosa común del J</w:t>
      </w:r>
      <w:r w:rsidR="005E2ED1">
        <w:rPr>
          <w:rFonts w:ascii="Cambria" w:eastAsia="MS Mincho" w:hAnsi="Cambria"/>
          <w:sz w:val="20"/>
          <w:szCs w:val="20"/>
          <w:bdr w:val="none" w:sz="0" w:space="0" w:color="auto"/>
          <w:lang w:val="es-CO"/>
        </w:rPr>
        <w:t>ardín de Paz el 24 de diciembre</w:t>
      </w:r>
      <w:r w:rsidRPr="008A5210">
        <w:rPr>
          <w:rFonts w:ascii="Cambria" w:eastAsia="MS Mincho" w:hAnsi="Cambria"/>
          <w:sz w:val="20"/>
          <w:szCs w:val="20"/>
          <w:bdr w:val="none" w:sz="0" w:space="0" w:color="auto"/>
          <w:vertAlign w:val="superscript"/>
        </w:rPr>
        <w:footnoteReference w:id="315"/>
      </w:r>
      <w:r w:rsidR="005E2ED1">
        <w:rPr>
          <w:rFonts w:ascii="Cambria" w:eastAsia="MS Mincho" w:hAnsi="Cambria"/>
          <w:sz w:val="20"/>
          <w:szCs w:val="20"/>
          <w:bdr w:val="none" w:sz="0" w:space="0" w:color="auto"/>
          <w:lang w:val="es-CO"/>
        </w:rPr>
        <w:t>.</w:t>
      </w:r>
    </w:p>
    <w:p w:rsidR="004A5E83" w:rsidRPr="008A5210" w:rsidRDefault="004A5E83" w:rsidP="008A521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A5E83" w:rsidRPr="008A5210" w:rsidRDefault="004A5E83"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8A5210">
        <w:rPr>
          <w:rFonts w:ascii="Cambria" w:eastAsia="MS Mincho" w:hAnsi="Cambria"/>
          <w:i/>
          <w:sz w:val="20"/>
          <w:szCs w:val="20"/>
          <w:bdr w:val="none" w:sz="0" w:space="0" w:color="auto"/>
          <w:lang w:val="es-CO"/>
        </w:rPr>
        <w:t xml:space="preserve">José René Noriega Meléndez </w:t>
      </w:r>
      <w:r w:rsidRPr="008A5210">
        <w:rPr>
          <w:rFonts w:ascii="Cambria" w:eastAsia="MS Mincho" w:hAnsi="Cambria"/>
          <w:sz w:val="20"/>
          <w:szCs w:val="20"/>
          <w:bdr w:val="none" w:sz="0" w:space="0" w:color="auto"/>
          <w:lang w:val="es-CO"/>
        </w:rPr>
        <w:t>identificado en el caso No. 218, era un hombre panameño de 39 años de edad</w:t>
      </w:r>
      <w:r w:rsidRPr="008A5210">
        <w:rPr>
          <w:rFonts w:ascii="Cambria" w:eastAsia="MS Mincho" w:hAnsi="Cambria"/>
          <w:sz w:val="20"/>
          <w:szCs w:val="20"/>
          <w:bdr w:val="none" w:sz="0" w:space="0" w:color="auto"/>
          <w:vertAlign w:val="superscript"/>
        </w:rPr>
        <w:footnoteReference w:id="316"/>
      </w:r>
      <w:r w:rsidRPr="008A5210">
        <w:rPr>
          <w:rFonts w:ascii="Cambria" w:eastAsia="MS Mincho" w:hAnsi="Cambria"/>
          <w:sz w:val="20"/>
          <w:szCs w:val="20"/>
          <w:bdr w:val="none" w:sz="0" w:space="0" w:color="auto"/>
          <w:lang w:val="es-CO"/>
        </w:rPr>
        <w:t>. Conforme a la información presentada, el Sr. Noriega falleció el 25 de diciembre de 1989 en el patio trasero de su residencia ubicada en Ciudad de Panamá Corregimiento Juan Díaz, como consecuencia de “un estallido de cráneo”</w:t>
      </w:r>
      <w:r w:rsidRPr="008A5210">
        <w:rPr>
          <w:rFonts w:ascii="Cambria" w:eastAsia="MS Mincho" w:hAnsi="Cambria"/>
          <w:sz w:val="20"/>
          <w:szCs w:val="20"/>
          <w:bdr w:val="none" w:sz="0" w:space="0" w:color="auto"/>
          <w:vertAlign w:val="superscript"/>
        </w:rPr>
        <w:footnoteReference w:id="317"/>
      </w:r>
      <w:r w:rsidRPr="008A5210">
        <w:rPr>
          <w:rFonts w:ascii="Cambria" w:eastAsia="MS Mincho" w:hAnsi="Cambria"/>
          <w:sz w:val="20"/>
          <w:szCs w:val="20"/>
          <w:bdr w:val="none" w:sz="0" w:space="0" w:color="auto"/>
          <w:lang w:val="es-CO"/>
        </w:rPr>
        <w:t xml:space="preserve">. De acuerdo con su certificado de defunción, su caso </w:t>
      </w:r>
      <w:r w:rsidR="000E62C3">
        <w:rPr>
          <w:rFonts w:ascii="Cambria" w:eastAsia="MS Mincho" w:hAnsi="Cambria"/>
          <w:sz w:val="20"/>
          <w:szCs w:val="20"/>
          <w:bdr w:val="none" w:sz="0" w:space="0" w:color="auto"/>
          <w:lang w:val="es-CO"/>
        </w:rPr>
        <w:t xml:space="preserve">había estado </w:t>
      </w:r>
      <w:r w:rsidRPr="008A5210">
        <w:rPr>
          <w:rFonts w:ascii="Cambria" w:eastAsia="MS Mincho" w:hAnsi="Cambria"/>
          <w:sz w:val="20"/>
          <w:szCs w:val="20"/>
          <w:bdr w:val="none" w:sz="0" w:space="0" w:color="auto"/>
          <w:lang w:val="es-CO"/>
        </w:rPr>
        <w:t>bajo investigación</w:t>
      </w:r>
      <w:r w:rsidRPr="008A5210">
        <w:rPr>
          <w:rFonts w:ascii="Cambria" w:eastAsia="MS Mincho" w:hAnsi="Cambria"/>
          <w:sz w:val="20"/>
          <w:szCs w:val="20"/>
          <w:bdr w:val="none" w:sz="0" w:space="0" w:color="auto"/>
          <w:vertAlign w:val="superscript"/>
        </w:rPr>
        <w:footnoteReference w:id="318"/>
      </w:r>
      <w:r w:rsidRPr="008A5210">
        <w:rPr>
          <w:rFonts w:ascii="Cambria" w:eastAsia="MS Mincho" w:hAnsi="Cambria"/>
          <w:sz w:val="20"/>
          <w:szCs w:val="20"/>
          <w:bdr w:val="none" w:sz="0" w:space="0" w:color="auto"/>
          <w:lang w:val="es-CO"/>
        </w:rPr>
        <w:t xml:space="preserve">. Por su parte, la esposa Vielka Bellido declaró sin presentar detalle alguno que sus hijos </w:t>
      </w:r>
      <w:r w:rsidR="000E62C3">
        <w:rPr>
          <w:rFonts w:ascii="Cambria" w:eastAsia="MS Mincho" w:hAnsi="Cambria"/>
          <w:sz w:val="20"/>
          <w:szCs w:val="20"/>
          <w:bdr w:val="none" w:sz="0" w:space="0" w:color="auto"/>
          <w:lang w:val="es-CO"/>
        </w:rPr>
        <w:t xml:space="preserve"> habían perdido a </w:t>
      </w:r>
      <w:r w:rsidRPr="008A5210">
        <w:rPr>
          <w:rFonts w:ascii="Cambria" w:eastAsia="MS Mincho" w:hAnsi="Cambria"/>
          <w:sz w:val="20"/>
          <w:szCs w:val="20"/>
          <w:bdr w:val="none" w:sz="0" w:space="0" w:color="auto"/>
          <w:lang w:val="es-CO"/>
        </w:rPr>
        <w:t xml:space="preserve">su padre </w:t>
      </w:r>
      <w:r w:rsidR="000E62C3">
        <w:rPr>
          <w:rFonts w:ascii="Cambria" w:eastAsia="MS Mincho" w:hAnsi="Cambria"/>
          <w:sz w:val="20"/>
          <w:szCs w:val="22"/>
          <w:bdr w:val="none" w:sz="0" w:space="0" w:color="auto"/>
          <w:lang w:val="es-US"/>
        </w:rPr>
        <w:t xml:space="preserve"> “por</w:t>
      </w:r>
      <w:r w:rsidRPr="008A5210">
        <w:rPr>
          <w:rFonts w:ascii="Cambria" w:eastAsia="MS Mincho" w:hAnsi="Cambria"/>
          <w:sz w:val="20"/>
          <w:szCs w:val="22"/>
          <w:bdr w:val="none" w:sz="0" w:space="0" w:color="auto"/>
          <w:lang w:val="es-US"/>
        </w:rPr>
        <w:t>que lo [habían] asesina[do]”</w:t>
      </w:r>
      <w:r w:rsidRPr="008A5210">
        <w:rPr>
          <w:rFonts w:ascii="Cambria" w:eastAsia="MS Mincho" w:hAnsi="Cambria"/>
          <w:sz w:val="20"/>
          <w:szCs w:val="20"/>
          <w:bdr w:val="none" w:sz="0" w:space="0" w:color="auto"/>
          <w:vertAlign w:val="superscript"/>
        </w:rPr>
        <w:footnoteReference w:id="319"/>
      </w:r>
      <w:r w:rsidRPr="008A5210">
        <w:rPr>
          <w:rFonts w:ascii="Cambria" w:eastAsia="MS Mincho" w:hAnsi="Cambria"/>
          <w:sz w:val="20"/>
          <w:szCs w:val="20"/>
          <w:bdr w:val="none" w:sz="0" w:space="0" w:color="auto"/>
          <w:lang w:val="es-CO"/>
        </w:rPr>
        <w:t xml:space="preserve">.  </w:t>
      </w:r>
    </w:p>
    <w:p w:rsidR="004A5E83" w:rsidRPr="008A5210" w:rsidRDefault="004A5E83" w:rsidP="008A521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5F4DC5" w:rsidRPr="008A5210"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8A5210">
        <w:rPr>
          <w:rFonts w:ascii="Cambria" w:eastAsia="MS Mincho" w:hAnsi="Cambria"/>
          <w:i/>
          <w:sz w:val="20"/>
          <w:szCs w:val="20"/>
          <w:bdr w:val="none" w:sz="0" w:space="0" w:color="auto"/>
          <w:lang w:val="es-CO"/>
        </w:rPr>
        <w:t>Carlos Ariel Rivera</w:t>
      </w:r>
      <w:r w:rsidRPr="008A5210">
        <w:rPr>
          <w:rFonts w:ascii="Cambria" w:eastAsia="MS Mincho" w:hAnsi="Cambria"/>
          <w:sz w:val="20"/>
          <w:szCs w:val="20"/>
          <w:bdr w:val="none" w:sz="0" w:space="0" w:color="auto"/>
          <w:lang w:val="es-CO"/>
        </w:rPr>
        <w:t xml:space="preserve"> identificado en el caso No. 221, era un joven panameño de 23 años de edad identificado como un agente de las Fuerzas de Defensas panameñas</w:t>
      </w:r>
      <w:r w:rsidRPr="008A5210">
        <w:rPr>
          <w:rFonts w:ascii="Cambria" w:eastAsia="MS Mincho" w:hAnsi="Cambria"/>
          <w:sz w:val="20"/>
          <w:szCs w:val="20"/>
          <w:bdr w:val="none" w:sz="0" w:space="0" w:color="auto"/>
          <w:vertAlign w:val="superscript"/>
        </w:rPr>
        <w:footnoteReference w:id="320"/>
      </w:r>
      <w:r w:rsidRPr="008A5210">
        <w:rPr>
          <w:rFonts w:ascii="Cambria" w:eastAsia="MS Mincho" w:hAnsi="Cambria"/>
          <w:sz w:val="20"/>
          <w:szCs w:val="20"/>
          <w:bdr w:val="none" w:sz="0" w:space="0" w:color="auto"/>
          <w:lang w:val="es-CO"/>
        </w:rPr>
        <w:t>. Los familiares desconocen hasta la fecha las circunstancias de su muerte y solo tienen conocimiento, a raíz de declaraciones de compañeros de Carlos Rivera, que fue visto por última vez saliendo del escondite en el que estaban cuando luego se escuchó “una ráfaga de disparos “</w:t>
      </w:r>
      <w:r w:rsidRPr="008A5210">
        <w:rPr>
          <w:rFonts w:ascii="Cambria" w:eastAsia="MS Mincho" w:hAnsi="Cambria"/>
          <w:sz w:val="20"/>
          <w:szCs w:val="20"/>
          <w:bdr w:val="none" w:sz="0" w:space="0" w:color="auto"/>
          <w:vertAlign w:val="superscript"/>
        </w:rPr>
        <w:footnoteReference w:id="321"/>
      </w:r>
      <w:r w:rsidRPr="008A5210">
        <w:rPr>
          <w:rFonts w:ascii="Cambria" w:eastAsia="MS Mincho" w:hAnsi="Cambria"/>
          <w:sz w:val="20"/>
          <w:szCs w:val="20"/>
          <w:bdr w:val="none" w:sz="0" w:space="0" w:color="auto"/>
          <w:lang w:val="es-CO"/>
        </w:rPr>
        <w:t>. La familia tras intentos sin éxito para encontrarlo, fueron informados que sus restos fueron hallados en la fosa común del Jardín de Paz</w:t>
      </w:r>
      <w:r w:rsidRPr="008A5210">
        <w:rPr>
          <w:rFonts w:ascii="Cambria" w:eastAsia="MS Mincho" w:hAnsi="Cambria"/>
          <w:sz w:val="20"/>
          <w:szCs w:val="20"/>
          <w:bdr w:val="none" w:sz="0" w:space="0" w:color="auto"/>
          <w:vertAlign w:val="superscript"/>
        </w:rPr>
        <w:footnoteReference w:id="322"/>
      </w:r>
      <w:r w:rsidRPr="008A5210">
        <w:rPr>
          <w:rFonts w:ascii="Cambria" w:eastAsia="MS Mincho" w:hAnsi="Cambria"/>
          <w:sz w:val="20"/>
          <w:szCs w:val="20"/>
          <w:bdr w:val="none" w:sz="0" w:space="0" w:color="auto"/>
          <w:lang w:val="es-CO"/>
        </w:rPr>
        <w:t>. Conforme al certificado de defunción presentado, Carlos Rivera falleció el 20 de diciembre de 1989 en la zona de Amador a causa de una herida por proyectil de arma de fuego</w:t>
      </w:r>
      <w:r w:rsidRPr="008A5210">
        <w:rPr>
          <w:rFonts w:ascii="Cambria" w:eastAsia="MS Mincho" w:hAnsi="Cambria"/>
          <w:sz w:val="20"/>
          <w:szCs w:val="20"/>
          <w:bdr w:val="none" w:sz="0" w:space="0" w:color="auto"/>
          <w:vertAlign w:val="superscript"/>
        </w:rPr>
        <w:footnoteReference w:id="323"/>
      </w:r>
      <w:r w:rsidRPr="008A5210">
        <w:rPr>
          <w:rFonts w:ascii="Cambria" w:eastAsia="MS Mincho" w:hAnsi="Cambria"/>
          <w:sz w:val="20"/>
          <w:szCs w:val="20"/>
          <w:bdr w:val="none" w:sz="0" w:space="0" w:color="auto"/>
          <w:lang w:val="es-CO"/>
        </w:rPr>
        <w:t xml:space="preserve">.  </w:t>
      </w:r>
    </w:p>
    <w:p w:rsidR="00046A69" w:rsidRPr="008A5210" w:rsidRDefault="00046A69" w:rsidP="008A521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046A69" w:rsidRDefault="00046A6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lang w:val="es-CO"/>
        </w:rPr>
      </w:pPr>
      <w:r w:rsidRPr="008A5210">
        <w:rPr>
          <w:rFonts w:eastAsia="MS Mincho"/>
          <w:i/>
          <w:color w:val="auto"/>
          <w:sz w:val="20"/>
          <w:szCs w:val="20"/>
          <w:bdr w:val="none" w:sz="0" w:space="0" w:color="auto"/>
          <w:lang w:val="es-CO"/>
        </w:rPr>
        <w:t>María Bernuil Murillo de Rodríguez</w:t>
      </w:r>
      <w:r w:rsidRPr="008A5210">
        <w:rPr>
          <w:rFonts w:eastAsia="MS Mincho"/>
          <w:color w:val="auto"/>
          <w:sz w:val="20"/>
          <w:szCs w:val="20"/>
          <w:bdr w:val="none" w:sz="0" w:space="0" w:color="auto"/>
          <w:lang w:val="es-CO"/>
        </w:rPr>
        <w:t xml:space="preserve"> identificada en el caso No. 268, era una mujer de 3</w:t>
      </w:r>
      <w:r w:rsidRPr="009712EB">
        <w:rPr>
          <w:rFonts w:eastAsia="MS Mincho"/>
          <w:sz w:val="20"/>
          <w:szCs w:val="20"/>
          <w:bdr w:val="none" w:sz="0" w:space="0" w:color="auto"/>
          <w:lang w:val="es-CO"/>
        </w:rPr>
        <w:t>5 años de edad de nacionalidad panameña</w:t>
      </w:r>
      <w:r w:rsidRPr="009712EB">
        <w:rPr>
          <w:sz w:val="20"/>
          <w:szCs w:val="20"/>
          <w:bdr w:val="none" w:sz="0" w:space="0" w:color="auto"/>
          <w:vertAlign w:val="superscript"/>
        </w:rPr>
        <w:footnoteReference w:id="324"/>
      </w:r>
      <w:r w:rsidRPr="009712EB">
        <w:rPr>
          <w:rFonts w:eastAsia="MS Mincho"/>
          <w:sz w:val="20"/>
          <w:szCs w:val="20"/>
          <w:bdr w:val="none" w:sz="0" w:space="0" w:color="auto"/>
          <w:lang w:val="es-CO"/>
        </w:rPr>
        <w:t xml:space="preserve">. Conforme a la declaración presentada, el 20 de diciembre de 1989, María </w:t>
      </w:r>
      <w:r w:rsidRPr="009712EB">
        <w:rPr>
          <w:rFonts w:eastAsia="MS Mincho"/>
          <w:sz w:val="20"/>
          <w:szCs w:val="20"/>
          <w:bdr w:val="none" w:sz="0" w:space="0" w:color="auto"/>
          <w:lang w:val="es-CO"/>
        </w:rPr>
        <w:lastRenderedPageBreak/>
        <w:t>Bernuil Murillo murió a la 1 am en su residencia ubicada en Belisario Porras distrito de San Miguelito, a causa de infarto agudo al miocardio “por efectos del bombardeo en Tinajita”</w:t>
      </w:r>
      <w:r w:rsidRPr="009712EB">
        <w:rPr>
          <w:sz w:val="20"/>
          <w:szCs w:val="20"/>
          <w:bdr w:val="none" w:sz="0" w:space="0" w:color="auto"/>
          <w:vertAlign w:val="superscript"/>
        </w:rPr>
        <w:footnoteReference w:id="325"/>
      </w:r>
      <w:r w:rsidRPr="009712EB">
        <w:rPr>
          <w:rFonts w:eastAsia="MS Mincho"/>
          <w:sz w:val="20"/>
          <w:szCs w:val="20"/>
          <w:bdr w:val="none" w:sz="0" w:space="0" w:color="auto"/>
          <w:lang w:val="es-CO"/>
        </w:rPr>
        <w:t>.</w:t>
      </w:r>
    </w:p>
    <w:p w:rsidR="000035C2" w:rsidRPr="00046A69" w:rsidRDefault="000035C2" w:rsidP="000035C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sz w:val="20"/>
          <w:szCs w:val="20"/>
          <w:bdr w:val="none" w:sz="0" w:space="0" w:color="auto"/>
          <w:lang w:val="es-CO"/>
        </w:rPr>
      </w:pPr>
    </w:p>
    <w:p w:rsidR="00451B0F" w:rsidRPr="007017A2" w:rsidRDefault="008A2A90" w:rsidP="00D529F8">
      <w:pPr>
        <w:pStyle w:val="Heading3"/>
        <w:numPr>
          <w:ilvl w:val="0"/>
          <w:numId w:val="62"/>
        </w:numPr>
        <w:spacing w:before="0" w:after="0"/>
        <w:ind w:left="720" w:firstLine="0"/>
        <w:jc w:val="both"/>
        <w:rPr>
          <w:rFonts w:ascii="Cambria" w:eastAsia="MS Mincho" w:hAnsi="Cambria"/>
          <w:lang w:val="es-ES_tradnl"/>
        </w:rPr>
      </w:pPr>
      <w:bookmarkStart w:id="23" w:name="_Toc525294039"/>
      <w:r w:rsidRPr="007017A2">
        <w:rPr>
          <w:rFonts w:ascii="Cambria" w:eastAsia="MS Mincho" w:hAnsi="Cambria"/>
          <w:sz w:val="20"/>
          <w:lang w:val="es-ES_tradnl"/>
        </w:rPr>
        <w:t>Personas desaparecidas</w:t>
      </w:r>
      <w:bookmarkEnd w:id="23"/>
      <w:r w:rsidRPr="007017A2">
        <w:rPr>
          <w:rFonts w:ascii="Cambria" w:eastAsia="MS Mincho" w:hAnsi="Cambria"/>
          <w:lang w:val="es-ES_tradnl"/>
        </w:rPr>
        <w:t xml:space="preserve"> </w:t>
      </w:r>
    </w:p>
    <w:p w:rsidR="005F4DC5" w:rsidRPr="00D529F8" w:rsidRDefault="005F4DC5" w:rsidP="008A2A9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_tradnl"/>
        </w:rPr>
      </w:pPr>
    </w:p>
    <w:p w:rsidR="005443B4" w:rsidRPr="009712EB" w:rsidRDefault="005443B4"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432D24">
        <w:rPr>
          <w:sz w:val="20"/>
          <w:szCs w:val="20"/>
          <w:lang w:val="es-ES_tradnl"/>
        </w:rPr>
        <w:t xml:space="preserve">A continuación, la CIDH presenta la información disponible respecto de las personas desaparecidas a la luz de las declaraciones exhibidas por sus familiares. En particular </w:t>
      </w:r>
      <w:r w:rsidR="00B169A3">
        <w:rPr>
          <w:sz w:val="20"/>
          <w:szCs w:val="20"/>
          <w:lang w:val="es-ES_tradnl"/>
        </w:rPr>
        <w:t xml:space="preserve">la Comisión indica </w:t>
      </w:r>
      <w:r w:rsidRPr="00432D24">
        <w:rPr>
          <w:sz w:val="20"/>
          <w:szCs w:val="20"/>
          <w:lang w:val="es-ES_tradnl"/>
        </w:rPr>
        <w:t xml:space="preserve">que de las 272 peticiones recibidas, 4 de ellas están relacionadas con personas que, en el marco de los hechos del caso y conforme a la información disponible, desaparecieron </w:t>
      </w:r>
      <w:r w:rsidRPr="009712EB">
        <w:rPr>
          <w:sz w:val="20"/>
          <w:szCs w:val="20"/>
          <w:lang w:val="es-CO"/>
        </w:rPr>
        <w:t>y hasta la fecha no se tiene conocimien</w:t>
      </w:r>
      <w:r w:rsidRPr="008A5210">
        <w:rPr>
          <w:sz w:val="20"/>
          <w:szCs w:val="20"/>
          <w:lang w:val="es-CO"/>
        </w:rPr>
        <w:t>to</w:t>
      </w:r>
      <w:r w:rsidR="005A0A88" w:rsidRPr="008A5210">
        <w:rPr>
          <w:sz w:val="20"/>
          <w:szCs w:val="20"/>
          <w:lang w:val="es-CO"/>
        </w:rPr>
        <w:t xml:space="preserve"> cierto</w:t>
      </w:r>
      <w:r w:rsidRPr="009712EB">
        <w:rPr>
          <w:sz w:val="20"/>
          <w:szCs w:val="20"/>
          <w:lang w:val="es-CO"/>
        </w:rPr>
        <w:t xml:space="preserve"> sobre su </w:t>
      </w:r>
      <w:r w:rsidR="00432D24">
        <w:rPr>
          <w:sz w:val="20"/>
          <w:szCs w:val="20"/>
          <w:lang w:val="es-CO"/>
        </w:rPr>
        <w:t>situación</w:t>
      </w:r>
      <w:r w:rsidR="00432D24" w:rsidRPr="009712EB">
        <w:rPr>
          <w:sz w:val="20"/>
          <w:szCs w:val="20"/>
          <w:lang w:val="es-CO"/>
        </w:rPr>
        <w:t xml:space="preserve"> </w:t>
      </w:r>
      <w:r w:rsidRPr="009712EB">
        <w:rPr>
          <w:sz w:val="20"/>
          <w:szCs w:val="20"/>
          <w:lang w:val="es-CO"/>
        </w:rPr>
        <w:t>o paradero.</w:t>
      </w:r>
    </w:p>
    <w:p w:rsidR="005443B4" w:rsidRPr="009712EB" w:rsidRDefault="005443B4" w:rsidP="008A521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Omar Everto Martínez González</w:t>
      </w:r>
      <w:r w:rsidRPr="009712EB">
        <w:rPr>
          <w:rFonts w:ascii="Cambria" w:eastAsia="MS Mincho" w:hAnsi="Cambria"/>
          <w:sz w:val="20"/>
          <w:szCs w:val="20"/>
          <w:bdr w:val="none" w:sz="0" w:space="0" w:color="auto"/>
          <w:lang w:val="es-CO"/>
        </w:rPr>
        <w:t xml:space="preserve"> identificado en el caso No. 72, era un hombre de 47 años de edad de nacionalidad panameña</w:t>
      </w:r>
      <w:r w:rsidRPr="009712EB">
        <w:rPr>
          <w:rFonts w:ascii="Cambria" w:eastAsia="MS Mincho" w:hAnsi="Cambria"/>
          <w:sz w:val="20"/>
          <w:szCs w:val="20"/>
          <w:bdr w:val="none" w:sz="0" w:space="0" w:color="auto"/>
          <w:vertAlign w:val="superscript"/>
        </w:rPr>
        <w:footnoteReference w:id="326"/>
      </w:r>
      <w:r w:rsidRPr="009712EB">
        <w:rPr>
          <w:rFonts w:ascii="Cambria" w:eastAsia="MS Mincho" w:hAnsi="Cambria"/>
          <w:sz w:val="20"/>
          <w:szCs w:val="20"/>
          <w:bdr w:val="none" w:sz="0" w:space="0" w:color="auto"/>
          <w:lang w:val="es-CO"/>
        </w:rPr>
        <w:t>. Conforme a la información presentada, en las primeras horas del 20 de diciembre de 1989 se encontraba en la bodega “El Joice” en compañía de su vecino Daniel Ortiz cuando decidió regresar a su residencia ubicada en las cercanías del Cuartel Central en El Chorrillo, a buscar “una chapa”</w:t>
      </w:r>
      <w:r w:rsidRPr="009712EB">
        <w:rPr>
          <w:rFonts w:ascii="Cambria" w:eastAsia="MS Mincho" w:hAnsi="Cambria"/>
          <w:sz w:val="20"/>
          <w:szCs w:val="20"/>
          <w:bdr w:val="none" w:sz="0" w:space="0" w:color="auto"/>
          <w:vertAlign w:val="superscript"/>
        </w:rPr>
        <w:footnoteReference w:id="327"/>
      </w:r>
      <w:r w:rsidRPr="009712EB">
        <w:rPr>
          <w:rFonts w:ascii="Cambria" w:eastAsia="MS Mincho" w:hAnsi="Cambria"/>
          <w:sz w:val="20"/>
          <w:szCs w:val="20"/>
          <w:bdr w:val="none" w:sz="0" w:space="0" w:color="auto"/>
          <w:lang w:val="es-CO"/>
        </w:rPr>
        <w:t>. Mientras se encontraba dentro de su residencia, conforme a las declaraciones, helicópteros soltaron “bombas al Cuartel Central de las Fuerzas de Defensas” cayendo un</w:t>
      </w:r>
      <w:r w:rsidR="0028476D">
        <w:rPr>
          <w:rFonts w:ascii="Cambria" w:eastAsia="MS Mincho" w:hAnsi="Cambria"/>
          <w:sz w:val="20"/>
          <w:szCs w:val="20"/>
          <w:bdr w:val="none" w:sz="0" w:space="0" w:color="auto"/>
          <w:lang w:val="es-CO"/>
        </w:rPr>
        <w:t xml:space="preserve"> proyectil</w:t>
      </w:r>
      <w:r w:rsidRPr="009712EB">
        <w:rPr>
          <w:rFonts w:ascii="Cambria" w:eastAsia="MS Mincho" w:hAnsi="Cambria"/>
          <w:sz w:val="20"/>
          <w:szCs w:val="20"/>
          <w:bdr w:val="none" w:sz="0" w:space="0" w:color="auto"/>
          <w:lang w:val="es-CO"/>
        </w:rPr>
        <w:t xml:space="preserve"> sobre su casa</w:t>
      </w:r>
      <w:r w:rsidR="0028476D">
        <w:rPr>
          <w:rFonts w:ascii="Cambria" w:eastAsia="MS Mincho" w:hAnsi="Cambria"/>
          <w:sz w:val="20"/>
          <w:szCs w:val="20"/>
          <w:bdr w:val="none" w:sz="0" w:space="0" w:color="auto"/>
          <w:lang w:val="es-CO"/>
        </w:rPr>
        <w:t xml:space="preserve">. A raíz de esto, se dio inicio </w:t>
      </w:r>
      <w:r w:rsidRPr="009712EB">
        <w:rPr>
          <w:rFonts w:ascii="Cambria" w:eastAsia="MS Mincho" w:hAnsi="Cambria"/>
          <w:sz w:val="20"/>
          <w:szCs w:val="20"/>
          <w:bdr w:val="none" w:sz="0" w:space="0" w:color="auto"/>
          <w:lang w:val="es-CO"/>
        </w:rPr>
        <w:t>un incendio</w:t>
      </w:r>
      <w:r w:rsidR="0028476D">
        <w:rPr>
          <w:rFonts w:ascii="Cambria" w:eastAsia="MS Mincho" w:hAnsi="Cambria"/>
          <w:sz w:val="20"/>
          <w:szCs w:val="20"/>
          <w:bdr w:val="none" w:sz="0" w:space="0" w:color="auto"/>
          <w:lang w:val="es-CO"/>
        </w:rPr>
        <w:t xml:space="preserve"> en el cual quedó destruido el inmueble</w:t>
      </w:r>
      <w:r w:rsidRPr="009712EB">
        <w:rPr>
          <w:rFonts w:ascii="Cambria" w:eastAsia="MS Mincho" w:hAnsi="Cambria"/>
          <w:sz w:val="20"/>
          <w:szCs w:val="20"/>
          <w:bdr w:val="none" w:sz="0" w:space="0" w:color="auto"/>
          <w:vertAlign w:val="superscript"/>
        </w:rPr>
        <w:footnoteReference w:id="328"/>
      </w:r>
      <w:r w:rsidR="005E2ED1">
        <w:rPr>
          <w:rFonts w:ascii="Cambria" w:eastAsia="MS Mincho" w:hAnsi="Cambria"/>
          <w:sz w:val="20"/>
          <w:szCs w:val="20"/>
          <w:bdr w:val="none" w:sz="0" w:space="0" w:color="auto"/>
          <w:lang w:val="es-CO"/>
        </w:rPr>
        <w:t>.</w:t>
      </w:r>
      <w:r w:rsidRPr="009712EB">
        <w:rPr>
          <w:rFonts w:ascii="Cambria" w:eastAsia="MS Mincho" w:hAnsi="Cambria"/>
          <w:sz w:val="20"/>
          <w:szCs w:val="20"/>
          <w:bdr w:val="none" w:sz="0" w:space="0" w:color="auto"/>
          <w:lang w:val="es-CO"/>
        </w:rPr>
        <w:t xml:space="preserve"> </w:t>
      </w:r>
    </w:p>
    <w:p w:rsidR="005F4DC5" w:rsidRPr="009712EB" w:rsidRDefault="005F4DC5" w:rsidP="008A521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sz w:val="20"/>
          <w:szCs w:val="20"/>
          <w:bdr w:val="none" w:sz="0" w:space="0" w:color="auto"/>
          <w:lang w:val="es-CO"/>
        </w:rPr>
        <w:t>De acuerdo a información presentada por su hermano Fabio Martínez, los restos de Omar Martínez no pudieron ser re</w:t>
      </w:r>
      <w:r w:rsidR="00B169A3">
        <w:rPr>
          <w:rFonts w:ascii="Cambria" w:eastAsia="MS Mincho" w:hAnsi="Cambria"/>
          <w:sz w:val="20"/>
          <w:szCs w:val="20"/>
          <w:bdr w:val="none" w:sz="0" w:space="0" w:color="auto"/>
          <w:lang w:val="es-CO"/>
        </w:rPr>
        <w:t xml:space="preserve">cuperados </w:t>
      </w:r>
      <w:r w:rsidRPr="009712EB">
        <w:rPr>
          <w:rFonts w:ascii="Cambria" w:eastAsia="MS Mincho" w:hAnsi="Cambria"/>
          <w:sz w:val="20"/>
          <w:szCs w:val="20"/>
          <w:bdr w:val="none" w:sz="0" w:space="0" w:color="auto"/>
          <w:lang w:val="es-CO"/>
        </w:rPr>
        <w:t xml:space="preserve">debido a las restricciones de acceso a determinadas zonas impuestas por los soldados </w:t>
      </w:r>
      <w:r w:rsidR="00366A8E" w:rsidRPr="009712EB">
        <w:rPr>
          <w:rFonts w:ascii="Cambria" w:eastAsia="MS Mincho" w:hAnsi="Cambria"/>
          <w:sz w:val="20"/>
          <w:szCs w:val="20"/>
          <w:bdr w:val="none" w:sz="0" w:space="0" w:color="auto"/>
          <w:lang w:val="es-CO"/>
        </w:rPr>
        <w:t>estadounidenses</w:t>
      </w:r>
      <w:r w:rsidRPr="009712EB">
        <w:rPr>
          <w:rFonts w:ascii="Cambria" w:eastAsia="MS Mincho" w:hAnsi="Cambria"/>
          <w:sz w:val="20"/>
          <w:szCs w:val="20"/>
          <w:bdr w:val="none" w:sz="0" w:space="0" w:color="auto"/>
          <w:vertAlign w:val="superscript"/>
        </w:rPr>
        <w:footnoteReference w:id="329"/>
      </w:r>
      <w:r w:rsidRPr="009712EB">
        <w:rPr>
          <w:rFonts w:ascii="Cambria" w:eastAsia="MS Mincho" w:hAnsi="Cambria"/>
          <w:sz w:val="20"/>
          <w:szCs w:val="20"/>
          <w:bdr w:val="none" w:sz="0" w:space="0" w:color="auto"/>
          <w:lang w:val="es-CO"/>
        </w:rPr>
        <w:t>. A los días, cuando les fue otorgado acceso, éste no pudo ser encontrado debido a que</w:t>
      </w:r>
      <w:r w:rsidR="0028476D">
        <w:rPr>
          <w:rFonts w:ascii="Cambria" w:eastAsia="MS Mincho" w:hAnsi="Cambria"/>
          <w:sz w:val="20"/>
          <w:szCs w:val="20"/>
          <w:bdr w:val="none" w:sz="0" w:space="0" w:color="auto"/>
          <w:lang w:val="es-CO"/>
        </w:rPr>
        <w:t>, según el señor Martínez,</w:t>
      </w:r>
      <w:r w:rsidRPr="009712EB">
        <w:rPr>
          <w:rFonts w:ascii="Cambria" w:eastAsia="MS Mincho" w:hAnsi="Cambria"/>
          <w:sz w:val="20"/>
          <w:szCs w:val="20"/>
          <w:bdr w:val="none" w:sz="0" w:space="0" w:color="auto"/>
          <w:lang w:val="es-CO"/>
        </w:rPr>
        <w:t xml:space="preserve"> “los estadounidenses ya habían quemado 36 cadáveres”, los habrían metido en bolsas negras y llevado “al mar”</w:t>
      </w:r>
      <w:r w:rsidRPr="009712EB">
        <w:rPr>
          <w:rFonts w:ascii="Cambria" w:eastAsia="MS Mincho" w:hAnsi="Cambria"/>
          <w:sz w:val="20"/>
          <w:szCs w:val="20"/>
          <w:bdr w:val="none" w:sz="0" w:space="0" w:color="auto"/>
          <w:vertAlign w:val="superscript"/>
        </w:rPr>
        <w:footnoteReference w:id="330"/>
      </w:r>
      <w:r w:rsidR="005E2ED1">
        <w:rPr>
          <w:rFonts w:ascii="Cambria" w:eastAsia="MS Mincho" w:hAnsi="Cambria"/>
          <w:sz w:val="20"/>
          <w:szCs w:val="20"/>
          <w:bdr w:val="none" w:sz="0" w:space="0" w:color="auto"/>
          <w:lang w:val="es-CO"/>
        </w:rPr>
        <w:t>.</w:t>
      </w:r>
      <w:r w:rsidRPr="009712EB">
        <w:rPr>
          <w:rFonts w:ascii="Cambria" w:eastAsia="MS Mincho" w:hAnsi="Cambria"/>
          <w:sz w:val="20"/>
          <w:szCs w:val="20"/>
          <w:bdr w:val="none" w:sz="0" w:space="0" w:color="auto"/>
          <w:lang w:val="es-CO"/>
        </w:rPr>
        <w:t xml:space="preserve">  Hasta la fecha </w:t>
      </w:r>
      <w:r w:rsidR="00B169A3">
        <w:rPr>
          <w:rFonts w:ascii="Cambria" w:eastAsia="MS Mincho" w:hAnsi="Cambria"/>
          <w:sz w:val="20"/>
          <w:szCs w:val="20"/>
          <w:bdr w:val="none" w:sz="0" w:space="0" w:color="auto"/>
          <w:lang w:val="es-CO"/>
        </w:rPr>
        <w:t xml:space="preserve">sus restos </w:t>
      </w:r>
      <w:r w:rsidRPr="009712EB">
        <w:rPr>
          <w:rFonts w:ascii="Cambria" w:eastAsia="MS Mincho" w:hAnsi="Cambria"/>
          <w:sz w:val="20"/>
          <w:szCs w:val="20"/>
          <w:bdr w:val="none" w:sz="0" w:space="0" w:color="auto"/>
          <w:lang w:val="es-CO"/>
        </w:rPr>
        <w:t xml:space="preserve">no han sido </w:t>
      </w:r>
      <w:r w:rsidR="00B169A3">
        <w:rPr>
          <w:rFonts w:ascii="Cambria" w:eastAsia="MS Mincho" w:hAnsi="Cambria"/>
          <w:sz w:val="20"/>
          <w:szCs w:val="20"/>
          <w:bdr w:val="none" w:sz="0" w:space="0" w:color="auto"/>
          <w:lang w:val="es-CO"/>
        </w:rPr>
        <w:t>encontrados</w:t>
      </w:r>
      <w:r w:rsidRPr="009712EB">
        <w:rPr>
          <w:rFonts w:ascii="Cambria" w:eastAsia="MS Mincho" w:hAnsi="Cambria"/>
          <w:sz w:val="20"/>
          <w:szCs w:val="20"/>
          <w:bdr w:val="none" w:sz="0" w:space="0" w:color="auto"/>
          <w:lang w:val="es-CO"/>
        </w:rPr>
        <w:t xml:space="preserve">. </w:t>
      </w:r>
    </w:p>
    <w:p w:rsidR="005F4DC5" w:rsidRPr="009712EB" w:rsidRDefault="005F4DC5" w:rsidP="008A521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sz w:val="20"/>
          <w:szCs w:val="20"/>
          <w:bdr w:val="none" w:sz="0" w:space="0" w:color="auto"/>
          <w:lang w:val="es-CO"/>
        </w:rPr>
        <w:t xml:space="preserve">Según </w:t>
      </w:r>
      <w:bookmarkStart w:id="24" w:name="_Hlk496887052"/>
      <w:r w:rsidRPr="009712EB">
        <w:rPr>
          <w:rFonts w:ascii="Cambria" w:eastAsia="MS Mincho" w:hAnsi="Cambria"/>
          <w:sz w:val="20"/>
          <w:szCs w:val="20"/>
          <w:bdr w:val="none" w:sz="0" w:space="0" w:color="auto"/>
          <w:lang w:val="es-CO"/>
        </w:rPr>
        <w:t>testimonios rendidos ante la Fiscalía Tercera Superior del Primer Distrito Judicial</w:t>
      </w:r>
      <w:bookmarkEnd w:id="24"/>
      <w:r w:rsidRPr="009712EB">
        <w:rPr>
          <w:rFonts w:ascii="Cambria" w:eastAsia="MS Mincho" w:hAnsi="Cambria"/>
          <w:sz w:val="20"/>
          <w:szCs w:val="20"/>
          <w:bdr w:val="none" w:sz="0" w:space="0" w:color="auto"/>
          <w:lang w:val="es-CO"/>
        </w:rPr>
        <w:t>, testigos asevera</w:t>
      </w:r>
      <w:r w:rsidR="00A15831">
        <w:rPr>
          <w:rFonts w:ascii="Cambria" w:eastAsia="MS Mincho" w:hAnsi="Cambria"/>
          <w:sz w:val="20"/>
          <w:szCs w:val="20"/>
          <w:bdr w:val="none" w:sz="0" w:space="0" w:color="auto"/>
          <w:lang w:val="es-CO"/>
        </w:rPr>
        <w:t>ron</w:t>
      </w:r>
      <w:r w:rsidRPr="009712EB">
        <w:rPr>
          <w:rFonts w:ascii="Cambria" w:eastAsia="MS Mincho" w:hAnsi="Cambria"/>
          <w:sz w:val="20"/>
          <w:szCs w:val="20"/>
          <w:bdr w:val="none" w:sz="0" w:space="0" w:color="auto"/>
          <w:lang w:val="es-CO"/>
        </w:rPr>
        <w:t xml:space="preserve"> </w:t>
      </w:r>
      <w:r w:rsidR="00A15831">
        <w:rPr>
          <w:rFonts w:ascii="Cambria" w:eastAsia="MS Mincho" w:hAnsi="Cambria"/>
          <w:sz w:val="20"/>
          <w:szCs w:val="20"/>
          <w:bdr w:val="none" w:sz="0" w:space="0" w:color="auto"/>
          <w:lang w:val="es-CO"/>
        </w:rPr>
        <w:t xml:space="preserve">que </w:t>
      </w:r>
      <w:r w:rsidR="00D42CF1">
        <w:rPr>
          <w:rFonts w:ascii="Cambria" w:eastAsia="MS Mincho" w:hAnsi="Cambria"/>
          <w:sz w:val="20"/>
          <w:szCs w:val="20"/>
          <w:bdr w:val="none" w:sz="0" w:space="0" w:color="auto"/>
          <w:lang w:val="es-CO"/>
        </w:rPr>
        <w:t xml:space="preserve">él </w:t>
      </w:r>
      <w:r w:rsidR="00A15831">
        <w:rPr>
          <w:rFonts w:ascii="Cambria" w:eastAsia="MS Mincho" w:hAnsi="Cambria"/>
          <w:sz w:val="20"/>
          <w:szCs w:val="20"/>
          <w:bdr w:val="none" w:sz="0" w:space="0" w:color="auto"/>
          <w:lang w:val="es-CO"/>
        </w:rPr>
        <w:t>había recibido un disparo, no pudo</w:t>
      </w:r>
      <w:r w:rsidR="00D42CF1">
        <w:rPr>
          <w:rFonts w:ascii="Cambria" w:eastAsia="MS Mincho" w:hAnsi="Cambria"/>
          <w:sz w:val="20"/>
          <w:szCs w:val="20"/>
          <w:bdr w:val="none" w:sz="0" w:space="0" w:color="auto"/>
          <w:lang w:val="es-CO"/>
        </w:rPr>
        <w:t xml:space="preserve"> huir por su herida</w:t>
      </w:r>
      <w:r w:rsidRPr="009712EB">
        <w:rPr>
          <w:rFonts w:ascii="Cambria" w:eastAsia="MS Mincho" w:hAnsi="Cambria"/>
          <w:sz w:val="20"/>
          <w:szCs w:val="20"/>
          <w:bdr w:val="none" w:sz="0" w:space="0" w:color="auto"/>
          <w:lang w:val="es-CO"/>
        </w:rPr>
        <w:t xml:space="preserve"> </w:t>
      </w:r>
      <w:r w:rsidR="00D42CF1">
        <w:rPr>
          <w:rFonts w:ascii="Cambria" w:eastAsia="MS Mincho" w:hAnsi="Cambria"/>
          <w:sz w:val="20"/>
          <w:szCs w:val="20"/>
          <w:bdr w:val="none" w:sz="0" w:space="0" w:color="auto"/>
          <w:lang w:val="es-CO"/>
        </w:rPr>
        <w:t xml:space="preserve">y había muerto </w:t>
      </w:r>
      <w:r w:rsidRPr="009712EB">
        <w:rPr>
          <w:rFonts w:ascii="Cambria" w:eastAsia="MS Mincho" w:hAnsi="Cambria"/>
          <w:sz w:val="20"/>
          <w:szCs w:val="20"/>
          <w:bdr w:val="none" w:sz="0" w:space="0" w:color="auto"/>
          <w:lang w:val="es-CO"/>
        </w:rPr>
        <w:t>dentro de su residencia</w:t>
      </w:r>
      <w:r w:rsidRPr="009712EB">
        <w:rPr>
          <w:rFonts w:ascii="Cambria" w:eastAsia="MS Mincho" w:hAnsi="Cambria"/>
          <w:sz w:val="20"/>
          <w:szCs w:val="20"/>
          <w:bdr w:val="none" w:sz="0" w:space="0" w:color="auto"/>
          <w:vertAlign w:val="superscript"/>
        </w:rPr>
        <w:footnoteReference w:id="331"/>
      </w:r>
      <w:r w:rsidRPr="009712EB">
        <w:rPr>
          <w:rFonts w:ascii="Cambria" w:eastAsia="MS Mincho" w:hAnsi="Cambria"/>
          <w:sz w:val="20"/>
          <w:szCs w:val="20"/>
          <w:bdr w:val="none" w:sz="0" w:space="0" w:color="auto"/>
          <w:lang w:val="es-CO"/>
        </w:rPr>
        <w:t>. Agregan que vieron como “a los días estaban recogiendo cadáveres en El Chorrillo y los echaban en bolsas plásticas”</w:t>
      </w:r>
      <w:r w:rsidRPr="009712EB">
        <w:rPr>
          <w:rFonts w:ascii="Cambria" w:eastAsia="MS Mincho" w:hAnsi="Cambria"/>
          <w:sz w:val="20"/>
          <w:szCs w:val="20"/>
          <w:bdr w:val="none" w:sz="0" w:space="0" w:color="auto"/>
          <w:vertAlign w:val="superscript"/>
        </w:rPr>
        <w:footnoteReference w:id="332"/>
      </w:r>
      <w:r w:rsidRPr="009712EB">
        <w:rPr>
          <w:rFonts w:ascii="Cambria" w:eastAsia="MS Mincho" w:hAnsi="Cambria"/>
          <w:sz w:val="20"/>
          <w:szCs w:val="20"/>
          <w:bdr w:val="none" w:sz="0" w:space="0" w:color="auto"/>
          <w:lang w:val="es-CO"/>
        </w:rPr>
        <w:t xml:space="preserve">. </w:t>
      </w:r>
    </w:p>
    <w:p w:rsidR="005F4DC5" w:rsidRPr="009712EB" w:rsidRDefault="005F4DC5" w:rsidP="009712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CO"/>
        </w:rPr>
      </w:pPr>
    </w:p>
    <w:p w:rsidR="00451B0F" w:rsidRPr="009712EB" w:rsidRDefault="00451B0F" w:rsidP="003B6A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CO"/>
        </w:rPr>
      </w:pPr>
      <w:r w:rsidRPr="009712EB">
        <w:rPr>
          <w:rFonts w:ascii="Cambria" w:eastAsia="MS Mincho" w:hAnsi="Cambria"/>
          <w:i/>
          <w:sz w:val="20"/>
          <w:szCs w:val="20"/>
          <w:bdr w:val="none" w:sz="0" w:space="0" w:color="auto"/>
          <w:lang w:val="es-CO"/>
        </w:rPr>
        <w:t>Manuel Carol</w:t>
      </w:r>
      <w:r w:rsidRPr="009712EB">
        <w:rPr>
          <w:rFonts w:ascii="Cambria" w:eastAsia="MS Mincho" w:hAnsi="Cambria"/>
          <w:sz w:val="20"/>
          <w:szCs w:val="20"/>
          <w:bdr w:val="none" w:sz="0" w:space="0" w:color="auto"/>
          <w:lang w:val="es-CO"/>
        </w:rPr>
        <w:t xml:space="preserve"> identificado</w:t>
      </w:r>
      <w:r w:rsidR="00D42CF1">
        <w:rPr>
          <w:rFonts w:ascii="Cambria" w:eastAsia="MS Mincho" w:hAnsi="Cambria"/>
          <w:sz w:val="20"/>
          <w:szCs w:val="20"/>
          <w:bdr w:val="none" w:sz="0" w:space="0" w:color="auto"/>
          <w:lang w:val="es-CO"/>
        </w:rPr>
        <w:t xml:space="preserve"> en</w:t>
      </w:r>
      <w:r w:rsidRPr="009712EB">
        <w:rPr>
          <w:rFonts w:ascii="Cambria" w:eastAsia="MS Mincho" w:hAnsi="Cambria"/>
          <w:sz w:val="20"/>
          <w:szCs w:val="20"/>
          <w:bdr w:val="none" w:sz="0" w:space="0" w:color="auto"/>
          <w:lang w:val="es-CO"/>
        </w:rPr>
        <w:t xml:space="preserve"> el caso No. 84, era un panameño de 32 años de edad</w:t>
      </w:r>
      <w:r w:rsidRPr="009712EB">
        <w:rPr>
          <w:rFonts w:ascii="Cambria" w:eastAsia="MS Mincho" w:hAnsi="Cambria"/>
          <w:sz w:val="20"/>
          <w:szCs w:val="20"/>
          <w:bdr w:val="none" w:sz="0" w:space="0" w:color="auto"/>
          <w:vertAlign w:val="superscript"/>
        </w:rPr>
        <w:footnoteReference w:id="333"/>
      </w:r>
      <w:r w:rsidRPr="009712EB">
        <w:rPr>
          <w:rFonts w:ascii="Cambria" w:eastAsia="MS Mincho" w:hAnsi="Cambria"/>
          <w:sz w:val="20"/>
          <w:szCs w:val="20"/>
          <w:bdr w:val="none" w:sz="0" w:space="0" w:color="auto"/>
          <w:lang w:val="es-CO"/>
        </w:rPr>
        <w:t>. Conforme a la declaración presentada, Manuel salió a “defender a su patria” con dirección a El Chorrillo, cuando una “tanqueta traspasó su vehículo, dejándolo muerto ensangrentado”</w:t>
      </w:r>
      <w:r w:rsidRPr="009712EB">
        <w:rPr>
          <w:rFonts w:ascii="Cambria" w:eastAsia="MS Mincho" w:hAnsi="Cambria"/>
          <w:sz w:val="20"/>
          <w:szCs w:val="20"/>
          <w:bdr w:val="none" w:sz="0" w:space="0" w:color="auto"/>
          <w:vertAlign w:val="superscript"/>
        </w:rPr>
        <w:footnoteReference w:id="334"/>
      </w:r>
      <w:r w:rsidRPr="009712EB">
        <w:rPr>
          <w:rFonts w:ascii="Cambria" w:eastAsia="MS Mincho" w:hAnsi="Cambria"/>
          <w:sz w:val="20"/>
          <w:szCs w:val="20"/>
          <w:bdr w:val="none" w:sz="0" w:space="0" w:color="auto"/>
          <w:lang w:val="es-CO"/>
        </w:rPr>
        <w:t xml:space="preserve">. La información presentada </w:t>
      </w:r>
      <w:r w:rsidR="00D42CF1">
        <w:rPr>
          <w:rFonts w:ascii="Cambria" w:eastAsia="MS Mincho" w:hAnsi="Cambria"/>
          <w:sz w:val="20"/>
          <w:szCs w:val="20"/>
          <w:bdr w:val="none" w:sz="0" w:space="0" w:color="auto"/>
          <w:lang w:val="es-CO"/>
        </w:rPr>
        <w:t>indica</w:t>
      </w:r>
      <w:r w:rsidRPr="009712EB">
        <w:rPr>
          <w:rFonts w:ascii="Cambria" w:eastAsia="MS Mincho" w:hAnsi="Cambria"/>
          <w:sz w:val="20"/>
          <w:szCs w:val="20"/>
          <w:bdr w:val="none" w:sz="0" w:space="0" w:color="auto"/>
          <w:lang w:val="es-CO"/>
        </w:rPr>
        <w:t xml:space="preserve"> que</w:t>
      </w:r>
      <w:r w:rsidR="00D42CF1">
        <w:rPr>
          <w:rFonts w:ascii="Cambria" w:eastAsia="MS Mincho" w:hAnsi="Cambria"/>
          <w:sz w:val="20"/>
          <w:szCs w:val="20"/>
          <w:bdr w:val="none" w:sz="0" w:space="0" w:color="auto"/>
          <w:lang w:val="es-CO"/>
        </w:rPr>
        <w:t>,</w:t>
      </w:r>
      <w:r w:rsidRPr="009712EB">
        <w:rPr>
          <w:rFonts w:ascii="Cambria" w:eastAsia="MS Mincho" w:hAnsi="Cambria"/>
          <w:sz w:val="20"/>
          <w:szCs w:val="20"/>
          <w:bdr w:val="none" w:sz="0" w:space="0" w:color="auto"/>
          <w:lang w:val="es-CO"/>
        </w:rPr>
        <w:t xml:space="preserve"> luego de </w:t>
      </w:r>
      <w:r w:rsidR="00D42CF1">
        <w:rPr>
          <w:rFonts w:ascii="Cambria" w:eastAsia="MS Mincho" w:hAnsi="Cambria"/>
          <w:sz w:val="20"/>
          <w:szCs w:val="20"/>
          <w:bdr w:val="none" w:sz="0" w:space="0" w:color="auto"/>
          <w:lang w:val="es-CO"/>
        </w:rPr>
        <w:t xml:space="preserve">ese momento, </w:t>
      </w:r>
      <w:r w:rsidRPr="009712EB">
        <w:rPr>
          <w:rFonts w:ascii="Cambria" w:eastAsia="MS Mincho" w:hAnsi="Cambria"/>
          <w:sz w:val="20"/>
          <w:szCs w:val="20"/>
          <w:bdr w:val="none" w:sz="0" w:space="0" w:color="auto"/>
          <w:lang w:val="es-CO"/>
        </w:rPr>
        <w:t>no se tuvo más conocimiento de él, su vehículo o pertenencias</w:t>
      </w:r>
      <w:r w:rsidRPr="009712EB">
        <w:rPr>
          <w:rFonts w:ascii="Cambria" w:eastAsia="MS Mincho" w:hAnsi="Cambria"/>
          <w:sz w:val="20"/>
          <w:szCs w:val="20"/>
          <w:bdr w:val="none" w:sz="0" w:space="0" w:color="auto"/>
          <w:vertAlign w:val="superscript"/>
        </w:rPr>
        <w:footnoteReference w:id="335"/>
      </w:r>
      <w:r w:rsidRPr="009712EB">
        <w:rPr>
          <w:rFonts w:ascii="Cambria" w:eastAsia="MS Mincho" w:hAnsi="Cambria"/>
          <w:sz w:val="20"/>
          <w:szCs w:val="20"/>
          <w:bdr w:val="none" w:sz="0" w:space="0" w:color="auto"/>
          <w:lang w:val="es-CO"/>
        </w:rPr>
        <w:t xml:space="preserve"> . Debido a la </w:t>
      </w:r>
      <w:r w:rsidRPr="009712EB">
        <w:rPr>
          <w:rFonts w:ascii="Cambria" w:eastAsia="MS Mincho" w:hAnsi="Cambria"/>
          <w:sz w:val="20"/>
          <w:szCs w:val="20"/>
          <w:bdr w:val="none" w:sz="0" w:space="0" w:color="auto"/>
          <w:lang w:val="es-CO"/>
        </w:rPr>
        <w:lastRenderedPageBreak/>
        <w:t xml:space="preserve">imposibilidad de recuperar sus restos a pesar de los testigos encontrados, la solicitante presume </w:t>
      </w:r>
      <w:r w:rsidR="00D42CF1">
        <w:rPr>
          <w:rFonts w:ascii="Cambria" w:eastAsia="MS Mincho" w:hAnsi="Cambria"/>
          <w:sz w:val="20"/>
          <w:szCs w:val="20"/>
          <w:bdr w:val="none" w:sz="0" w:space="0" w:color="auto"/>
          <w:lang w:val="es-CO"/>
        </w:rPr>
        <w:t xml:space="preserve">que sus restos </w:t>
      </w:r>
      <w:r w:rsidRPr="009712EB">
        <w:rPr>
          <w:rFonts w:ascii="Cambria" w:eastAsia="MS Mincho" w:hAnsi="Cambria"/>
          <w:sz w:val="20"/>
          <w:szCs w:val="20"/>
          <w:bdr w:val="none" w:sz="0" w:space="0" w:color="auto"/>
          <w:lang w:val="es-CO"/>
        </w:rPr>
        <w:t>fue</w:t>
      </w:r>
      <w:r w:rsidR="00D42CF1">
        <w:rPr>
          <w:rFonts w:ascii="Cambria" w:eastAsia="MS Mincho" w:hAnsi="Cambria"/>
          <w:sz w:val="20"/>
          <w:szCs w:val="20"/>
          <w:bdr w:val="none" w:sz="0" w:space="0" w:color="auto"/>
          <w:lang w:val="es-CO"/>
        </w:rPr>
        <w:t xml:space="preserve">ron </w:t>
      </w:r>
      <w:r w:rsidRPr="009712EB">
        <w:rPr>
          <w:rFonts w:ascii="Cambria" w:eastAsia="MS Mincho" w:hAnsi="Cambria"/>
          <w:sz w:val="20"/>
          <w:szCs w:val="20"/>
          <w:bdr w:val="none" w:sz="0" w:space="0" w:color="auto"/>
          <w:lang w:val="es-CO"/>
        </w:rPr>
        <w:t xml:space="preserve"> incinerado</w:t>
      </w:r>
      <w:r w:rsidR="00D42CF1">
        <w:rPr>
          <w:rFonts w:ascii="Cambria" w:eastAsia="MS Mincho" w:hAnsi="Cambria"/>
          <w:sz w:val="20"/>
          <w:szCs w:val="20"/>
          <w:bdr w:val="none" w:sz="0" w:space="0" w:color="auto"/>
          <w:lang w:val="es-CO"/>
        </w:rPr>
        <w:t>s</w:t>
      </w:r>
      <w:r w:rsidRPr="009712EB">
        <w:rPr>
          <w:rFonts w:ascii="Cambria" w:eastAsia="MS Mincho" w:hAnsi="Cambria"/>
          <w:sz w:val="20"/>
          <w:szCs w:val="20"/>
          <w:bdr w:val="none" w:sz="0" w:space="0" w:color="auto"/>
          <w:vertAlign w:val="superscript"/>
        </w:rPr>
        <w:footnoteReference w:id="336"/>
      </w:r>
      <w:r w:rsidRPr="009712EB">
        <w:rPr>
          <w:rFonts w:ascii="Cambria" w:eastAsia="MS Mincho" w:hAnsi="Cambria"/>
          <w:sz w:val="20"/>
          <w:szCs w:val="20"/>
          <w:bdr w:val="none" w:sz="0" w:space="0" w:color="auto"/>
          <w:lang w:val="es-CO"/>
        </w:rPr>
        <w:t xml:space="preserve">. </w:t>
      </w:r>
    </w:p>
    <w:p w:rsidR="005F4DC5" w:rsidRPr="009712EB" w:rsidRDefault="005F4DC5" w:rsidP="008A521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CO"/>
        </w:rPr>
      </w:pPr>
    </w:p>
    <w:p w:rsidR="00366A8E" w:rsidRDefault="00451B0F" w:rsidP="00366A8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lang w:val="es-VE"/>
        </w:rPr>
      </w:pPr>
      <w:r w:rsidRPr="009712EB">
        <w:rPr>
          <w:rFonts w:ascii="Cambria" w:eastAsia="MS Mincho" w:hAnsi="Cambria"/>
          <w:i/>
          <w:sz w:val="20"/>
          <w:szCs w:val="20"/>
          <w:bdr w:val="none" w:sz="0" w:space="0" w:color="auto"/>
          <w:lang w:val="es-CO"/>
        </w:rPr>
        <w:t>Marta Morán</w:t>
      </w:r>
      <w:r w:rsidRPr="009712EB">
        <w:rPr>
          <w:rFonts w:ascii="Cambria" w:eastAsia="MS Mincho" w:hAnsi="Cambria"/>
          <w:sz w:val="20"/>
          <w:szCs w:val="20"/>
          <w:bdr w:val="none" w:sz="0" w:space="0" w:color="auto"/>
          <w:lang w:val="es-CO"/>
        </w:rPr>
        <w:t xml:space="preserve"> identificada </w:t>
      </w:r>
      <w:r w:rsidR="00D42CF1">
        <w:rPr>
          <w:rFonts w:ascii="Cambria" w:eastAsia="MS Mincho" w:hAnsi="Cambria"/>
          <w:sz w:val="20"/>
          <w:szCs w:val="20"/>
          <w:bdr w:val="none" w:sz="0" w:space="0" w:color="auto"/>
          <w:lang w:val="es-CO"/>
        </w:rPr>
        <w:t>en</w:t>
      </w:r>
      <w:r w:rsidRPr="009712EB">
        <w:rPr>
          <w:rFonts w:ascii="Cambria" w:eastAsia="MS Mincho" w:hAnsi="Cambria"/>
          <w:sz w:val="20"/>
          <w:szCs w:val="20"/>
          <w:bdr w:val="none" w:sz="0" w:space="0" w:color="auto"/>
          <w:lang w:val="es-CO"/>
        </w:rPr>
        <w:t xml:space="preserve"> el caso No. 127, era una mujer de 68 años de edad de nacionalidad panameña y residente de El Chorrillo</w:t>
      </w:r>
      <w:r w:rsidRPr="009712EB">
        <w:rPr>
          <w:rFonts w:ascii="Cambria" w:eastAsia="MS Mincho" w:hAnsi="Cambria"/>
          <w:sz w:val="20"/>
          <w:szCs w:val="20"/>
          <w:bdr w:val="none" w:sz="0" w:space="0" w:color="auto"/>
          <w:vertAlign w:val="superscript"/>
        </w:rPr>
        <w:footnoteReference w:id="337"/>
      </w:r>
      <w:r w:rsidRPr="009712EB">
        <w:rPr>
          <w:rFonts w:ascii="Cambria" w:eastAsia="MS Mincho" w:hAnsi="Cambria"/>
          <w:sz w:val="20"/>
          <w:szCs w:val="20"/>
          <w:bdr w:val="none" w:sz="0" w:space="0" w:color="auto"/>
          <w:lang w:val="es-CO"/>
        </w:rPr>
        <w:t xml:space="preserve">. Según información aportada, el 20 de diciembre de 1989 alrededor de la medianoche se encontraba durmiendo en su residencia junto con su familia cuando fueron sorprendidos por los soldados estadounidenses “a balas como lluvia, bombas y armamento bélico de rayos </w:t>
      </w:r>
      <w:r w:rsidRPr="00366A8E">
        <w:rPr>
          <w:rFonts w:ascii="Cambria" w:eastAsia="MS Mincho" w:hAnsi="Cambria"/>
          <w:sz w:val="20"/>
          <w:szCs w:val="20"/>
          <w:bdr w:val="none" w:sz="0" w:space="0" w:color="auto"/>
          <w:lang w:val="es-CO"/>
        </w:rPr>
        <w:t>láser”</w:t>
      </w:r>
      <w:r w:rsidRPr="00366A8E">
        <w:rPr>
          <w:rFonts w:ascii="Cambria" w:eastAsia="MS Mincho" w:hAnsi="Cambria"/>
          <w:sz w:val="20"/>
          <w:szCs w:val="20"/>
          <w:bdr w:val="none" w:sz="0" w:space="0" w:color="auto"/>
          <w:vertAlign w:val="superscript"/>
        </w:rPr>
        <w:footnoteReference w:id="338"/>
      </w:r>
      <w:r w:rsidRPr="00366A8E">
        <w:rPr>
          <w:rFonts w:ascii="Cambria" w:eastAsia="MS Mincho" w:hAnsi="Cambria"/>
          <w:sz w:val="20"/>
          <w:szCs w:val="20"/>
          <w:bdr w:val="none" w:sz="0" w:space="0" w:color="auto"/>
          <w:lang w:val="es-CO"/>
        </w:rPr>
        <w:t xml:space="preserve">. Tras dos horas de espera por una oportunidad de cese del fuego </w:t>
      </w:r>
      <w:r w:rsidR="00D42CF1">
        <w:rPr>
          <w:rFonts w:ascii="Cambria" w:eastAsia="MS Mincho" w:hAnsi="Cambria"/>
          <w:sz w:val="20"/>
          <w:szCs w:val="20"/>
          <w:bdr w:val="none" w:sz="0" w:space="0" w:color="auto"/>
          <w:lang w:val="es-CO"/>
        </w:rPr>
        <w:t xml:space="preserve">para buscar </w:t>
      </w:r>
      <w:r w:rsidRPr="00366A8E">
        <w:rPr>
          <w:rFonts w:ascii="Cambria" w:eastAsia="MS Mincho" w:hAnsi="Cambria"/>
          <w:sz w:val="20"/>
          <w:szCs w:val="20"/>
          <w:bdr w:val="none" w:sz="0" w:space="0" w:color="auto"/>
          <w:lang w:val="es-CO"/>
        </w:rPr>
        <w:t>un lugar más seguro, salió junto con su familia y los demás inquilinos</w:t>
      </w:r>
      <w:r w:rsidR="0028476D" w:rsidRPr="00366A8E">
        <w:rPr>
          <w:rFonts w:ascii="Cambria" w:eastAsia="MS Mincho" w:hAnsi="Cambria"/>
          <w:sz w:val="20"/>
          <w:szCs w:val="20"/>
          <w:bdr w:val="none" w:sz="0" w:space="0" w:color="auto"/>
          <w:lang w:val="es-CO"/>
        </w:rPr>
        <w:t>.</w:t>
      </w:r>
      <w:r w:rsidRPr="00366A8E">
        <w:rPr>
          <w:rFonts w:ascii="Cambria" w:eastAsia="MS Mincho" w:hAnsi="Cambria"/>
          <w:sz w:val="20"/>
          <w:szCs w:val="20"/>
          <w:bdr w:val="none" w:sz="0" w:space="0" w:color="auto"/>
          <w:lang w:val="es-CO"/>
        </w:rPr>
        <w:t xml:space="preserve"> </w:t>
      </w:r>
      <w:r w:rsidR="0028476D" w:rsidRPr="00366A8E">
        <w:rPr>
          <w:rFonts w:ascii="Cambria" w:eastAsia="MS Mincho" w:hAnsi="Cambria"/>
          <w:sz w:val="20"/>
          <w:szCs w:val="20"/>
          <w:bdr w:val="none" w:sz="0" w:space="0" w:color="auto"/>
          <w:lang w:val="es-CO"/>
        </w:rPr>
        <w:t>S</w:t>
      </w:r>
      <w:r w:rsidRPr="00366A8E">
        <w:rPr>
          <w:rFonts w:ascii="Cambria" w:eastAsia="MS Mincho" w:hAnsi="Cambria"/>
          <w:sz w:val="20"/>
          <w:szCs w:val="20"/>
          <w:bdr w:val="none" w:sz="0" w:space="0" w:color="auto"/>
          <w:lang w:val="es-CO"/>
        </w:rPr>
        <w:t>in embargo</w:t>
      </w:r>
      <w:r w:rsidR="0028476D" w:rsidRPr="00366A8E">
        <w:rPr>
          <w:rFonts w:ascii="Cambria" w:eastAsia="MS Mincho" w:hAnsi="Cambria"/>
          <w:sz w:val="20"/>
          <w:szCs w:val="20"/>
          <w:bdr w:val="none" w:sz="0" w:space="0" w:color="auto"/>
          <w:lang w:val="es-CO"/>
        </w:rPr>
        <w:t xml:space="preserve"> cuando</w:t>
      </w:r>
      <w:r w:rsidRPr="00366A8E">
        <w:rPr>
          <w:rFonts w:ascii="Cambria" w:eastAsia="MS Mincho" w:hAnsi="Cambria"/>
          <w:sz w:val="20"/>
          <w:szCs w:val="20"/>
          <w:bdr w:val="none" w:sz="0" w:space="0" w:color="auto"/>
          <w:lang w:val="es-CO"/>
        </w:rPr>
        <w:t xml:space="preserve"> “se formó nuevamente la balacera”</w:t>
      </w:r>
      <w:r w:rsidRPr="00366A8E">
        <w:rPr>
          <w:rFonts w:ascii="Cambria" w:eastAsia="MS Mincho" w:hAnsi="Cambria"/>
          <w:sz w:val="20"/>
          <w:szCs w:val="20"/>
          <w:bdr w:val="none" w:sz="0" w:space="0" w:color="auto"/>
          <w:vertAlign w:val="superscript"/>
        </w:rPr>
        <w:footnoteReference w:id="339"/>
      </w:r>
      <w:r w:rsidRPr="00366A8E">
        <w:rPr>
          <w:rFonts w:ascii="Cambria" w:eastAsia="MS Mincho" w:hAnsi="Cambria"/>
          <w:sz w:val="20"/>
          <w:szCs w:val="20"/>
          <w:bdr w:val="none" w:sz="0" w:space="0" w:color="auto"/>
          <w:lang w:val="es-CO"/>
        </w:rPr>
        <w:t xml:space="preserve">, </w:t>
      </w:r>
      <w:r w:rsidR="0028476D" w:rsidRPr="00366A8E">
        <w:rPr>
          <w:rFonts w:ascii="Cambria" w:eastAsia="MS Mincho" w:hAnsi="Cambria"/>
          <w:sz w:val="20"/>
          <w:szCs w:val="20"/>
          <w:bdr w:val="none" w:sz="0" w:space="0" w:color="auto"/>
          <w:lang w:val="es-CO"/>
        </w:rPr>
        <w:t>el grupo de personas se</w:t>
      </w:r>
      <w:r w:rsidRPr="00366A8E">
        <w:rPr>
          <w:rFonts w:ascii="Cambria" w:eastAsia="MS Mincho" w:hAnsi="Cambria"/>
          <w:sz w:val="20"/>
          <w:szCs w:val="20"/>
          <w:bdr w:val="none" w:sz="0" w:space="0" w:color="auto"/>
          <w:lang w:val="es-CO"/>
        </w:rPr>
        <w:t xml:space="preserve"> dispers</w:t>
      </w:r>
      <w:r w:rsidR="0028476D" w:rsidRPr="00366A8E">
        <w:rPr>
          <w:rFonts w:ascii="Cambria" w:eastAsia="MS Mincho" w:hAnsi="Cambria"/>
          <w:sz w:val="20"/>
          <w:szCs w:val="20"/>
          <w:bdr w:val="none" w:sz="0" w:space="0" w:color="auto"/>
          <w:lang w:val="es-CO"/>
        </w:rPr>
        <w:t xml:space="preserve">ó </w:t>
      </w:r>
      <w:r w:rsidRPr="00366A8E">
        <w:rPr>
          <w:rFonts w:ascii="Cambria" w:eastAsia="MS Mincho" w:hAnsi="Cambria"/>
          <w:sz w:val="20"/>
          <w:szCs w:val="20"/>
          <w:bdr w:val="none" w:sz="0" w:space="0" w:color="auto"/>
          <w:lang w:val="es-CO"/>
        </w:rPr>
        <w:t xml:space="preserve">y </w:t>
      </w:r>
      <w:r w:rsidR="0028476D" w:rsidRPr="00366A8E">
        <w:rPr>
          <w:rFonts w:ascii="Cambria" w:eastAsia="MS Mincho" w:hAnsi="Cambria"/>
          <w:sz w:val="20"/>
          <w:szCs w:val="20"/>
          <w:bdr w:val="none" w:sz="0" w:space="0" w:color="auto"/>
          <w:lang w:val="es-CO"/>
        </w:rPr>
        <w:t>la señor</w:t>
      </w:r>
      <w:r w:rsidR="00BC234D" w:rsidRPr="00366A8E">
        <w:rPr>
          <w:rFonts w:ascii="Cambria" w:eastAsia="MS Mincho" w:hAnsi="Cambria"/>
          <w:sz w:val="20"/>
          <w:szCs w:val="20"/>
          <w:bdr w:val="none" w:sz="0" w:space="0" w:color="auto"/>
          <w:lang w:val="es-CO"/>
        </w:rPr>
        <w:t>a</w:t>
      </w:r>
      <w:r w:rsidR="0028476D" w:rsidRPr="00366A8E">
        <w:rPr>
          <w:rFonts w:ascii="Cambria" w:eastAsia="MS Mincho" w:hAnsi="Cambria"/>
          <w:sz w:val="20"/>
          <w:szCs w:val="20"/>
          <w:bdr w:val="none" w:sz="0" w:space="0" w:color="auto"/>
          <w:lang w:val="es-CO"/>
        </w:rPr>
        <w:t xml:space="preserve"> Morán </w:t>
      </w:r>
      <w:r w:rsidRPr="00366A8E">
        <w:rPr>
          <w:rFonts w:ascii="Cambria" w:eastAsia="MS Mincho" w:hAnsi="Cambria"/>
          <w:sz w:val="20"/>
          <w:szCs w:val="20"/>
          <w:bdr w:val="none" w:sz="0" w:space="0" w:color="auto"/>
          <w:lang w:val="es-CO"/>
        </w:rPr>
        <w:t>no pudo ser ubicada</w:t>
      </w:r>
      <w:r w:rsidRPr="00366A8E">
        <w:rPr>
          <w:rFonts w:ascii="Cambria" w:eastAsia="MS Mincho" w:hAnsi="Cambria"/>
          <w:sz w:val="20"/>
          <w:szCs w:val="20"/>
          <w:bdr w:val="none" w:sz="0" w:space="0" w:color="auto"/>
          <w:vertAlign w:val="superscript"/>
        </w:rPr>
        <w:footnoteReference w:id="340"/>
      </w:r>
      <w:r w:rsidRPr="00366A8E">
        <w:rPr>
          <w:rFonts w:ascii="Cambria" w:eastAsia="MS Mincho" w:hAnsi="Cambria"/>
          <w:sz w:val="20"/>
          <w:szCs w:val="20"/>
          <w:bdr w:val="none" w:sz="0" w:space="0" w:color="auto"/>
          <w:lang w:val="es-CO"/>
        </w:rPr>
        <w:t xml:space="preserve">. </w:t>
      </w:r>
      <w:r w:rsidRPr="00366A8E">
        <w:rPr>
          <w:rFonts w:ascii="Cambria" w:eastAsia="MS Mincho" w:hAnsi="Cambria"/>
          <w:sz w:val="20"/>
          <w:szCs w:val="20"/>
          <w:bdr w:val="none" w:sz="0" w:space="0" w:color="auto"/>
          <w:lang w:val="es-VE"/>
        </w:rPr>
        <w:t xml:space="preserve">Hasta la fecha su familia desconoce su </w:t>
      </w:r>
      <w:r w:rsidR="00C540F7">
        <w:rPr>
          <w:rFonts w:ascii="Cambria" w:eastAsia="MS Mincho" w:hAnsi="Cambria"/>
          <w:sz w:val="20"/>
          <w:szCs w:val="20"/>
          <w:bdr w:val="none" w:sz="0" w:space="0" w:color="auto"/>
          <w:lang w:val="es-VE"/>
        </w:rPr>
        <w:t xml:space="preserve">ubicación o su </w:t>
      </w:r>
      <w:r w:rsidRPr="00366A8E">
        <w:rPr>
          <w:rFonts w:ascii="Cambria" w:eastAsia="MS Mincho" w:hAnsi="Cambria"/>
          <w:sz w:val="20"/>
          <w:szCs w:val="20"/>
          <w:bdr w:val="none" w:sz="0" w:space="0" w:color="auto"/>
          <w:lang w:val="es-VE"/>
        </w:rPr>
        <w:t xml:space="preserve">destino. </w:t>
      </w:r>
    </w:p>
    <w:p w:rsidR="00366A8E" w:rsidRPr="00366A8E" w:rsidRDefault="00366A8E" w:rsidP="00366A8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lang w:val="es-VE"/>
        </w:rPr>
      </w:pPr>
    </w:p>
    <w:p w:rsidR="00C83C0E" w:rsidRPr="00366A8E" w:rsidRDefault="008A2A90" w:rsidP="00D529F8">
      <w:pPr>
        <w:pStyle w:val="Heading3"/>
        <w:numPr>
          <w:ilvl w:val="0"/>
          <w:numId w:val="62"/>
        </w:numPr>
        <w:spacing w:before="0" w:after="0"/>
        <w:ind w:left="720" w:firstLine="0"/>
        <w:rPr>
          <w:rFonts w:ascii="Cambria" w:hAnsi="Cambria"/>
          <w:szCs w:val="20"/>
          <w:lang w:val="es-CO"/>
        </w:rPr>
      </w:pPr>
      <w:bookmarkStart w:id="25" w:name="_Toc525294040"/>
      <w:r w:rsidRPr="00366A8E">
        <w:rPr>
          <w:rStyle w:val="Heading3Char"/>
          <w:rFonts w:ascii="Cambria" w:eastAsia="Cambria" w:hAnsi="Cambria"/>
          <w:b/>
          <w:sz w:val="20"/>
          <w:lang w:val="es-ES_tradnl"/>
        </w:rPr>
        <w:t>Personas con afectaciones físicas y/o psicológicas</w:t>
      </w:r>
      <w:r w:rsidR="005443B4" w:rsidRPr="00366A8E">
        <w:rPr>
          <w:rStyle w:val="FootnoteReference"/>
          <w:rFonts w:ascii="Cambria" w:hAnsi="Cambria"/>
          <w:sz w:val="20"/>
          <w:szCs w:val="20"/>
        </w:rPr>
        <w:footnoteReference w:id="341"/>
      </w:r>
      <w:bookmarkEnd w:id="25"/>
    </w:p>
    <w:p w:rsidR="005F4DC5" w:rsidRPr="00366A8E" w:rsidRDefault="005F4DC5" w:rsidP="00366A8E">
      <w:pPr>
        <w:pStyle w:val="ListParagraph"/>
        <w:ind w:left="1800"/>
        <w:rPr>
          <w:b/>
          <w:sz w:val="20"/>
          <w:szCs w:val="20"/>
          <w:lang w:val="es-CO"/>
        </w:rPr>
      </w:pPr>
    </w:p>
    <w:p w:rsidR="0009739F" w:rsidRPr="00DC3D8D" w:rsidRDefault="00451B0F" w:rsidP="00366A8E">
      <w:pPr>
        <w:pStyle w:val="ListParagraph"/>
        <w:numPr>
          <w:ilvl w:val="0"/>
          <w:numId w:val="58"/>
        </w:numPr>
        <w:ind w:left="0" w:firstLine="720"/>
        <w:jc w:val="both"/>
        <w:rPr>
          <w:color w:val="auto"/>
          <w:sz w:val="20"/>
          <w:szCs w:val="20"/>
          <w:lang w:val="es-CO"/>
        </w:rPr>
      </w:pPr>
      <w:r w:rsidRPr="00366A8E">
        <w:rPr>
          <w:color w:val="auto"/>
          <w:sz w:val="20"/>
          <w:szCs w:val="20"/>
          <w:lang w:val="es-CO"/>
        </w:rPr>
        <w:t xml:space="preserve">En atención al conjunto de </w:t>
      </w:r>
      <w:r w:rsidR="005443B4" w:rsidRPr="00366A8E">
        <w:rPr>
          <w:color w:val="auto"/>
          <w:sz w:val="20"/>
          <w:szCs w:val="20"/>
          <w:lang w:val="es-CO"/>
        </w:rPr>
        <w:t xml:space="preserve">presuntas </w:t>
      </w:r>
      <w:r w:rsidRPr="00366A8E">
        <w:rPr>
          <w:color w:val="auto"/>
          <w:sz w:val="20"/>
          <w:szCs w:val="20"/>
          <w:lang w:val="es-CO"/>
        </w:rPr>
        <w:t>víctimas que describen</w:t>
      </w:r>
      <w:r w:rsidRPr="00DC3D8D">
        <w:rPr>
          <w:color w:val="auto"/>
          <w:sz w:val="20"/>
          <w:szCs w:val="20"/>
          <w:lang w:val="es-CO"/>
        </w:rPr>
        <w:t xml:space="preserve"> violaciones a su </w:t>
      </w:r>
      <w:r w:rsidR="00ED37E8">
        <w:rPr>
          <w:color w:val="auto"/>
          <w:sz w:val="20"/>
          <w:szCs w:val="20"/>
          <w:lang w:val="es-CO"/>
        </w:rPr>
        <w:t xml:space="preserve">derecho a la </w:t>
      </w:r>
      <w:r w:rsidRPr="00DC3D8D">
        <w:rPr>
          <w:color w:val="auto"/>
          <w:sz w:val="20"/>
          <w:szCs w:val="20"/>
          <w:lang w:val="es-CO"/>
        </w:rPr>
        <w:t xml:space="preserve">integridad personal, la CIDH presenta </w:t>
      </w:r>
      <w:r w:rsidR="00637BF3" w:rsidRPr="00DC3D8D">
        <w:rPr>
          <w:color w:val="auto"/>
          <w:sz w:val="20"/>
          <w:szCs w:val="20"/>
          <w:lang w:val="es-CO"/>
        </w:rPr>
        <w:t>la información disponible respecto de las personas que sufrieron alguna lesión</w:t>
      </w:r>
      <w:r w:rsidRPr="00DC3D8D">
        <w:rPr>
          <w:color w:val="auto"/>
          <w:sz w:val="20"/>
          <w:szCs w:val="20"/>
          <w:lang w:val="es-CO"/>
        </w:rPr>
        <w:t xml:space="preserve"> </w:t>
      </w:r>
      <w:r w:rsidR="00637BF3" w:rsidRPr="00DC3D8D">
        <w:rPr>
          <w:color w:val="auto"/>
          <w:sz w:val="20"/>
          <w:szCs w:val="20"/>
          <w:lang w:val="es-CO"/>
        </w:rPr>
        <w:t xml:space="preserve">a la luz de las declaraciones </w:t>
      </w:r>
      <w:r w:rsidR="00ED37E8">
        <w:rPr>
          <w:color w:val="auto"/>
          <w:sz w:val="20"/>
          <w:szCs w:val="20"/>
          <w:lang w:val="es-CO"/>
        </w:rPr>
        <w:t xml:space="preserve">realizadas </w:t>
      </w:r>
      <w:r w:rsidR="00637BF3" w:rsidRPr="00DC3D8D">
        <w:rPr>
          <w:color w:val="auto"/>
          <w:sz w:val="20"/>
          <w:szCs w:val="20"/>
          <w:lang w:val="es-CO"/>
        </w:rPr>
        <w:t xml:space="preserve">por sus familiares o </w:t>
      </w:r>
      <w:r w:rsidR="00ED37E8">
        <w:rPr>
          <w:color w:val="auto"/>
          <w:sz w:val="20"/>
          <w:szCs w:val="20"/>
          <w:lang w:val="es-CO"/>
        </w:rPr>
        <w:t>por ellas personalmente</w:t>
      </w:r>
      <w:r w:rsidRPr="00DC3D8D">
        <w:rPr>
          <w:color w:val="auto"/>
          <w:sz w:val="20"/>
          <w:szCs w:val="20"/>
          <w:lang w:val="es-CO"/>
        </w:rPr>
        <w:t xml:space="preserve">, </w:t>
      </w:r>
      <w:r w:rsidR="00ED37E8" w:rsidRPr="00DC3D8D">
        <w:rPr>
          <w:color w:val="auto"/>
          <w:sz w:val="20"/>
          <w:szCs w:val="20"/>
          <w:lang w:val="es-CO"/>
        </w:rPr>
        <w:t>agrupá</w:t>
      </w:r>
      <w:r w:rsidR="00ED37E8">
        <w:rPr>
          <w:color w:val="auto"/>
          <w:sz w:val="20"/>
          <w:szCs w:val="20"/>
          <w:lang w:val="es-CO"/>
        </w:rPr>
        <w:t>ndolas</w:t>
      </w:r>
      <w:r w:rsidRPr="00DC3D8D">
        <w:rPr>
          <w:color w:val="auto"/>
          <w:sz w:val="20"/>
          <w:szCs w:val="20"/>
          <w:lang w:val="es-CO"/>
        </w:rPr>
        <w:t xml:space="preserve"> en aquellas </w:t>
      </w:r>
      <w:r w:rsidR="00ED37E8">
        <w:rPr>
          <w:color w:val="auto"/>
          <w:sz w:val="20"/>
          <w:szCs w:val="20"/>
          <w:lang w:val="es-CO"/>
        </w:rPr>
        <w:t xml:space="preserve">afectadas en cuanto a su </w:t>
      </w:r>
      <w:r w:rsidRPr="00DC3D8D">
        <w:rPr>
          <w:color w:val="auto"/>
          <w:sz w:val="20"/>
          <w:szCs w:val="20"/>
          <w:lang w:val="es-CO"/>
        </w:rPr>
        <w:t>int</w:t>
      </w:r>
      <w:r w:rsidR="00637BF3" w:rsidRPr="00DC3D8D">
        <w:rPr>
          <w:color w:val="auto"/>
          <w:sz w:val="20"/>
          <w:szCs w:val="20"/>
          <w:lang w:val="es-CO"/>
        </w:rPr>
        <w:t xml:space="preserve">egridad física, </w:t>
      </w:r>
      <w:r w:rsidR="00ED37E8">
        <w:rPr>
          <w:color w:val="auto"/>
          <w:sz w:val="20"/>
          <w:szCs w:val="20"/>
          <w:lang w:val="es-CO"/>
        </w:rPr>
        <w:t xml:space="preserve">a su </w:t>
      </w:r>
      <w:r w:rsidR="00637BF3" w:rsidRPr="00DC3D8D">
        <w:rPr>
          <w:color w:val="auto"/>
          <w:sz w:val="20"/>
          <w:szCs w:val="20"/>
          <w:lang w:val="es-CO"/>
        </w:rPr>
        <w:t xml:space="preserve">integridad </w:t>
      </w:r>
      <w:r w:rsidR="00ED37E8">
        <w:rPr>
          <w:color w:val="auto"/>
          <w:sz w:val="20"/>
          <w:szCs w:val="20"/>
          <w:lang w:val="es-CO"/>
        </w:rPr>
        <w:t xml:space="preserve">psicológica </w:t>
      </w:r>
      <w:r w:rsidR="00637BF3" w:rsidRPr="00DC3D8D">
        <w:rPr>
          <w:color w:val="auto"/>
          <w:sz w:val="20"/>
          <w:szCs w:val="20"/>
          <w:lang w:val="es-CO"/>
        </w:rPr>
        <w:t>y emocional, y aquellas afectadas por otr</w:t>
      </w:r>
      <w:r w:rsidR="0080273F" w:rsidRPr="00DC3D8D">
        <w:rPr>
          <w:color w:val="auto"/>
          <w:sz w:val="20"/>
          <w:szCs w:val="20"/>
          <w:lang w:val="es-CO"/>
        </w:rPr>
        <w:t>a</w:t>
      </w:r>
      <w:r w:rsidR="00637BF3" w:rsidRPr="00DC3D8D">
        <w:rPr>
          <w:color w:val="auto"/>
          <w:sz w:val="20"/>
          <w:szCs w:val="20"/>
          <w:lang w:val="es-CO"/>
        </w:rPr>
        <w:t xml:space="preserve">s </w:t>
      </w:r>
      <w:r w:rsidR="0080273F" w:rsidRPr="00DC3D8D">
        <w:rPr>
          <w:color w:val="auto"/>
          <w:sz w:val="20"/>
          <w:szCs w:val="20"/>
          <w:lang w:val="es-CO"/>
        </w:rPr>
        <w:t xml:space="preserve">formas </w:t>
      </w:r>
      <w:r w:rsidR="00637BF3" w:rsidRPr="00DC3D8D">
        <w:rPr>
          <w:color w:val="auto"/>
          <w:sz w:val="20"/>
          <w:szCs w:val="20"/>
          <w:lang w:val="es-CO"/>
        </w:rPr>
        <w:t xml:space="preserve">de </w:t>
      </w:r>
      <w:r w:rsidR="0080273F" w:rsidRPr="00DC3D8D">
        <w:rPr>
          <w:color w:val="auto"/>
          <w:sz w:val="20"/>
          <w:szCs w:val="20"/>
          <w:lang w:val="es-CO"/>
        </w:rPr>
        <w:t>intimidación</w:t>
      </w:r>
      <w:r w:rsidRPr="00DC3D8D">
        <w:rPr>
          <w:color w:val="auto"/>
          <w:sz w:val="20"/>
          <w:szCs w:val="20"/>
          <w:lang w:val="es-CO"/>
        </w:rPr>
        <w:t>.</w:t>
      </w:r>
      <w:r w:rsidR="005443B4" w:rsidRPr="00DC3D8D">
        <w:rPr>
          <w:color w:val="auto"/>
          <w:sz w:val="20"/>
          <w:szCs w:val="20"/>
          <w:lang w:val="es-CO"/>
        </w:rPr>
        <w:t xml:space="preserve"> </w:t>
      </w:r>
      <w:r w:rsidR="00ED37E8">
        <w:rPr>
          <w:color w:val="auto"/>
          <w:sz w:val="20"/>
          <w:szCs w:val="20"/>
          <w:lang w:val="es-CO"/>
        </w:rPr>
        <w:t xml:space="preserve">La Comisión nota que ha sido confirmado que, </w:t>
      </w:r>
      <w:r w:rsidR="005443B4" w:rsidRPr="00DC3D8D">
        <w:rPr>
          <w:color w:val="auto"/>
          <w:sz w:val="20"/>
          <w:szCs w:val="20"/>
          <w:lang w:val="es-CO"/>
        </w:rPr>
        <w:t xml:space="preserve">de las 272 peticiones recibidas, </w:t>
      </w:r>
      <w:r w:rsidR="00637BF3" w:rsidRPr="00DC3D8D">
        <w:rPr>
          <w:color w:val="auto"/>
          <w:sz w:val="20"/>
          <w:szCs w:val="20"/>
          <w:lang w:val="es-CO"/>
        </w:rPr>
        <w:t>2</w:t>
      </w:r>
      <w:r w:rsidR="005443B4" w:rsidRPr="00DC3D8D">
        <w:rPr>
          <w:color w:val="auto"/>
          <w:sz w:val="20"/>
          <w:szCs w:val="20"/>
          <w:lang w:val="es-CO"/>
        </w:rPr>
        <w:t xml:space="preserve">4 de ellas están relacionadas con </w:t>
      </w:r>
      <w:r w:rsidR="00637BF3" w:rsidRPr="00DC3D8D">
        <w:rPr>
          <w:color w:val="auto"/>
          <w:sz w:val="20"/>
          <w:szCs w:val="20"/>
          <w:lang w:val="es-CO"/>
        </w:rPr>
        <w:t xml:space="preserve">personas que sufrieron lesiones físicas, </w:t>
      </w:r>
      <w:r w:rsidR="00F57979" w:rsidRPr="00DC3D8D">
        <w:rPr>
          <w:color w:val="auto"/>
          <w:sz w:val="20"/>
          <w:szCs w:val="20"/>
          <w:lang w:val="es-CO"/>
        </w:rPr>
        <w:t>78</w:t>
      </w:r>
      <w:r w:rsidR="00637BF3" w:rsidRPr="00DC3D8D">
        <w:rPr>
          <w:color w:val="auto"/>
          <w:sz w:val="20"/>
          <w:szCs w:val="20"/>
          <w:lang w:val="es-CO"/>
        </w:rPr>
        <w:t xml:space="preserve"> están relacionadas con personas que sufrieron lesiones psíquicas o emocionales, y </w:t>
      </w:r>
      <w:r w:rsidR="0024374D" w:rsidRPr="00DC3D8D">
        <w:rPr>
          <w:color w:val="auto"/>
          <w:sz w:val="20"/>
          <w:szCs w:val="20"/>
          <w:lang w:val="es-CO"/>
        </w:rPr>
        <w:t>7</w:t>
      </w:r>
      <w:r w:rsidR="00947133" w:rsidRPr="00DC3D8D">
        <w:rPr>
          <w:color w:val="auto"/>
          <w:sz w:val="20"/>
          <w:szCs w:val="20"/>
          <w:lang w:val="es-CO"/>
        </w:rPr>
        <w:t xml:space="preserve"> están relacionadas con </w:t>
      </w:r>
      <w:r w:rsidR="00ED37E8">
        <w:rPr>
          <w:color w:val="auto"/>
          <w:sz w:val="20"/>
          <w:szCs w:val="20"/>
          <w:lang w:val="es-CO"/>
        </w:rPr>
        <w:t xml:space="preserve">personas que reportan </w:t>
      </w:r>
      <w:r w:rsidR="0080273F" w:rsidRPr="00DC3D8D">
        <w:rPr>
          <w:color w:val="auto"/>
          <w:sz w:val="20"/>
          <w:szCs w:val="20"/>
          <w:lang w:val="es-CO"/>
        </w:rPr>
        <w:t>otras formas de intimidación</w:t>
      </w:r>
      <w:r w:rsidR="00947133" w:rsidRPr="00DC3D8D">
        <w:rPr>
          <w:color w:val="auto"/>
          <w:sz w:val="20"/>
          <w:szCs w:val="20"/>
          <w:lang w:val="es-CO"/>
        </w:rPr>
        <w:t xml:space="preserve">. </w:t>
      </w:r>
    </w:p>
    <w:p w:rsidR="00554C47" w:rsidRPr="009B57E3" w:rsidRDefault="00554C47"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2520"/>
        <w:jc w:val="both"/>
        <w:rPr>
          <w:b/>
          <w:sz w:val="20"/>
          <w:szCs w:val="20"/>
          <w:lang w:val="es-VE"/>
        </w:rPr>
      </w:pPr>
    </w:p>
    <w:p w:rsidR="00F57979" w:rsidRPr="00BC234D" w:rsidRDefault="00A062F9" w:rsidP="00D529F8">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b/>
          <w:sz w:val="20"/>
          <w:szCs w:val="20"/>
          <w:lang w:val="es-ES_tradnl"/>
        </w:rPr>
      </w:pPr>
      <w:r w:rsidRPr="00BC234D">
        <w:rPr>
          <w:b/>
          <w:sz w:val="20"/>
          <w:szCs w:val="20"/>
          <w:lang w:val="es-ES_tradnl"/>
        </w:rPr>
        <w:t>Integridad f</w:t>
      </w:r>
      <w:r w:rsidR="00451B0F" w:rsidRPr="00BC234D">
        <w:rPr>
          <w:b/>
          <w:sz w:val="20"/>
          <w:szCs w:val="20"/>
          <w:lang w:val="es-ES_tradnl"/>
        </w:rPr>
        <w:t>ísica</w:t>
      </w:r>
    </w:p>
    <w:p w:rsidR="00F57979" w:rsidRPr="009712EB" w:rsidRDefault="00F57979" w:rsidP="00D529F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2520" w:hanging="360"/>
        <w:jc w:val="both"/>
        <w:rPr>
          <w:b/>
          <w:sz w:val="20"/>
          <w:szCs w:val="20"/>
        </w:rPr>
      </w:pPr>
    </w:p>
    <w:p w:rsidR="00451B0F" w:rsidRPr="009712EB" w:rsidRDefault="00451B0F" w:rsidP="00D529F8">
      <w:pPr>
        <w:pStyle w:val="ListParagraph"/>
        <w:numPr>
          <w:ilvl w:val="2"/>
          <w:numId w:val="60"/>
        </w:numPr>
        <w:pBdr>
          <w:top w:val="none" w:sz="0" w:space="0" w:color="auto"/>
          <w:left w:val="none" w:sz="0" w:space="0" w:color="auto"/>
          <w:bottom w:val="none" w:sz="0" w:space="0" w:color="auto"/>
          <w:right w:val="none" w:sz="0" w:space="0" w:color="auto"/>
          <w:between w:val="none" w:sz="0" w:space="0" w:color="auto"/>
          <w:bar w:val="none" w:sz="0" w:color="auto"/>
        </w:pBdr>
        <w:ind w:left="1080" w:hanging="360"/>
        <w:jc w:val="both"/>
        <w:rPr>
          <w:b/>
          <w:sz w:val="20"/>
          <w:szCs w:val="20"/>
          <w:lang w:val="es-CO"/>
        </w:rPr>
      </w:pPr>
      <w:r w:rsidRPr="009712EB">
        <w:rPr>
          <w:b/>
          <w:sz w:val="20"/>
          <w:szCs w:val="20"/>
          <w:lang w:val="es-CO"/>
        </w:rPr>
        <w:t>Lesiones como consecuencia de armas explosivas</w:t>
      </w:r>
    </w:p>
    <w:p w:rsidR="005F4DC5" w:rsidRPr="009712EB"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CO"/>
        </w:rPr>
      </w:pPr>
    </w:p>
    <w:p w:rsidR="00451B0F"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i/>
          <w:sz w:val="20"/>
          <w:szCs w:val="20"/>
          <w:lang w:val="es-CO"/>
        </w:rPr>
        <w:t>Edilsa Alarcón Meneses, Claudio Salas Meneses y Rufino Meneses</w:t>
      </w:r>
      <w:r w:rsidRPr="009712EB">
        <w:rPr>
          <w:sz w:val="20"/>
          <w:szCs w:val="20"/>
          <w:lang w:val="es-CO"/>
        </w:rPr>
        <w:t xml:space="preserve"> identificados en el caso No. 1, eran personas de nacionalidad panameña y familiares de Dionisia Meneses</w:t>
      </w:r>
      <w:r w:rsidR="0028476D">
        <w:rPr>
          <w:sz w:val="20"/>
          <w:szCs w:val="20"/>
          <w:lang w:val="es-CO"/>
        </w:rPr>
        <w:t xml:space="preserve"> identificada en los hechos referentes a las personas que perdieron la vida</w:t>
      </w:r>
      <w:r w:rsidRPr="009712EB">
        <w:rPr>
          <w:sz w:val="20"/>
          <w:szCs w:val="20"/>
          <w:vertAlign w:val="superscript"/>
        </w:rPr>
        <w:footnoteReference w:id="342"/>
      </w:r>
      <w:r w:rsidRPr="009712EB">
        <w:rPr>
          <w:sz w:val="20"/>
          <w:szCs w:val="20"/>
          <w:lang w:val="es-CO"/>
        </w:rPr>
        <w:t>. Como fue descrito anteriormente, alrededor de la 1 y media de la tarde del 22 de diciembre de 1989, uno de los misiles disparados por un helicóptero estadounidense hacia el Edificio “15 piso”, impactó y explotó en casa de la familia Salas Meneses en la ciudad de Colón</w:t>
      </w:r>
      <w:r w:rsidRPr="009712EB">
        <w:rPr>
          <w:sz w:val="20"/>
          <w:szCs w:val="20"/>
          <w:vertAlign w:val="superscript"/>
        </w:rPr>
        <w:footnoteReference w:id="343"/>
      </w:r>
      <w:r w:rsidRPr="009712EB">
        <w:rPr>
          <w:sz w:val="20"/>
          <w:szCs w:val="20"/>
          <w:lang w:val="es-CO"/>
        </w:rPr>
        <w:t>. Entre las consecuencias del impacto, Edilsa Alarcón resultó herida en el seno izquierdo</w:t>
      </w:r>
      <w:r w:rsidRPr="009712EB">
        <w:rPr>
          <w:sz w:val="20"/>
          <w:szCs w:val="20"/>
          <w:vertAlign w:val="superscript"/>
        </w:rPr>
        <w:footnoteReference w:id="344"/>
      </w:r>
      <w:r w:rsidRPr="009712EB">
        <w:rPr>
          <w:sz w:val="20"/>
          <w:szCs w:val="20"/>
          <w:lang w:val="es-CO"/>
        </w:rPr>
        <w:t xml:space="preserve">, Claudio Salas resultó herido </w:t>
      </w:r>
      <w:r w:rsidRPr="009712EB">
        <w:rPr>
          <w:sz w:val="20"/>
          <w:szCs w:val="20"/>
          <w:lang w:val="es-CO"/>
        </w:rPr>
        <w:lastRenderedPageBreak/>
        <w:t>con esquirlas</w:t>
      </w:r>
      <w:r w:rsidRPr="009712EB">
        <w:rPr>
          <w:sz w:val="20"/>
          <w:szCs w:val="20"/>
          <w:vertAlign w:val="superscript"/>
        </w:rPr>
        <w:footnoteReference w:id="345"/>
      </w:r>
      <w:r w:rsidRPr="009712EB">
        <w:rPr>
          <w:sz w:val="20"/>
          <w:szCs w:val="20"/>
          <w:lang w:val="es-CO"/>
        </w:rPr>
        <w:t xml:space="preserve"> en los brazos, piernas, espalda y glúteos</w:t>
      </w:r>
      <w:r w:rsidRPr="009712EB">
        <w:rPr>
          <w:sz w:val="20"/>
          <w:szCs w:val="20"/>
          <w:vertAlign w:val="superscript"/>
        </w:rPr>
        <w:footnoteReference w:id="346"/>
      </w:r>
      <w:r w:rsidRPr="009712EB">
        <w:rPr>
          <w:sz w:val="20"/>
          <w:szCs w:val="20"/>
          <w:lang w:val="es-CO"/>
        </w:rPr>
        <w:t>; y Rufino Meneses recibi</w:t>
      </w:r>
      <w:r w:rsidR="003B1EC8">
        <w:rPr>
          <w:sz w:val="20"/>
          <w:szCs w:val="20"/>
          <w:lang w:val="es-CO"/>
        </w:rPr>
        <w:t>ó múltiples heridas de gravedad</w:t>
      </w:r>
      <w:r w:rsidRPr="009712EB">
        <w:rPr>
          <w:sz w:val="20"/>
          <w:szCs w:val="20"/>
          <w:vertAlign w:val="superscript"/>
        </w:rPr>
        <w:footnoteReference w:id="347"/>
      </w:r>
      <w:r w:rsidR="003B1EC8" w:rsidRPr="00713E68">
        <w:rPr>
          <w:sz w:val="20"/>
          <w:szCs w:val="20"/>
          <w:lang w:val="es-ES"/>
        </w:rPr>
        <w:t>,</w:t>
      </w:r>
      <w:r w:rsidRPr="009712EB">
        <w:rPr>
          <w:sz w:val="20"/>
          <w:szCs w:val="20"/>
          <w:lang w:val="es-CO"/>
        </w:rPr>
        <w:t xml:space="preserve"> en la espalda, los brazos, la pierna izquierda y en la cara</w:t>
      </w:r>
      <w:r w:rsidRPr="009712EB">
        <w:rPr>
          <w:sz w:val="20"/>
          <w:szCs w:val="20"/>
          <w:vertAlign w:val="superscript"/>
        </w:rPr>
        <w:footnoteReference w:id="348"/>
      </w:r>
      <w:r w:rsidRPr="009712EB">
        <w:rPr>
          <w:sz w:val="20"/>
          <w:szCs w:val="20"/>
          <w:lang w:val="es-CO"/>
        </w:rPr>
        <w:t xml:space="preserve">. </w:t>
      </w:r>
    </w:p>
    <w:p w:rsidR="005F4DC5" w:rsidRPr="009712EB" w:rsidRDefault="005F4DC5" w:rsidP="004507F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451B0F"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Como fue detallado en el texto referente a la señora Dionisia Meneses, estos hechos fueron objeto de conocimiento del U.S Army South Claims Department en Panamá por carta con</w:t>
      </w:r>
      <w:r w:rsidR="00ED1626">
        <w:rPr>
          <w:sz w:val="20"/>
          <w:szCs w:val="20"/>
          <w:lang w:val="es-CO"/>
        </w:rPr>
        <w:t xml:space="preserve"> un</w:t>
      </w:r>
      <w:r w:rsidRPr="009712EB">
        <w:rPr>
          <w:sz w:val="20"/>
          <w:szCs w:val="20"/>
          <w:lang w:val="es-CO"/>
        </w:rPr>
        <w:t xml:space="preserve"> reporte detallado </w:t>
      </w:r>
      <w:r w:rsidR="00ED1626">
        <w:rPr>
          <w:sz w:val="20"/>
          <w:szCs w:val="20"/>
          <w:lang w:val="es-CO"/>
        </w:rPr>
        <w:t>escrito por el</w:t>
      </w:r>
      <w:r w:rsidRPr="009712EB">
        <w:rPr>
          <w:sz w:val="20"/>
          <w:szCs w:val="20"/>
          <w:lang w:val="es-CO"/>
        </w:rPr>
        <w:t xml:space="preserve"> esposo de Dionisia Meneses, José Isabel Salas Galindo, el 14 febrero de 1990.</w:t>
      </w:r>
    </w:p>
    <w:p w:rsidR="005F4DC5" w:rsidRPr="009712EB" w:rsidRDefault="005F4DC5" w:rsidP="004507F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451B0F"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i/>
          <w:sz w:val="20"/>
          <w:szCs w:val="20"/>
          <w:lang w:val="es-CO"/>
        </w:rPr>
        <w:t>Eleuterio Lee, Luisa Alicia Cupas, y sus hijos Yuvisol, Eleuterio, Jonny e Isaac Lee</w:t>
      </w:r>
      <w:r w:rsidRPr="009712EB">
        <w:rPr>
          <w:sz w:val="20"/>
          <w:szCs w:val="20"/>
          <w:lang w:val="es-CO"/>
        </w:rPr>
        <w:t xml:space="preserve"> </w:t>
      </w:r>
      <w:r w:rsidRPr="009712EB">
        <w:rPr>
          <w:i/>
          <w:sz w:val="20"/>
          <w:szCs w:val="20"/>
          <w:lang w:val="es-CO"/>
        </w:rPr>
        <w:t xml:space="preserve">Cupas </w:t>
      </w:r>
      <w:r w:rsidRPr="009712EB">
        <w:rPr>
          <w:sz w:val="20"/>
          <w:szCs w:val="20"/>
          <w:lang w:val="es-CO"/>
        </w:rPr>
        <w:t>identificados en el caso No.2, eran una familia panameña residentes de la ciudad de Colón</w:t>
      </w:r>
      <w:r w:rsidRPr="009712EB">
        <w:rPr>
          <w:sz w:val="20"/>
          <w:szCs w:val="20"/>
          <w:vertAlign w:val="superscript"/>
        </w:rPr>
        <w:footnoteReference w:id="349"/>
      </w:r>
      <w:r w:rsidRPr="009712EB">
        <w:rPr>
          <w:sz w:val="20"/>
          <w:szCs w:val="20"/>
          <w:lang w:val="es-CO"/>
        </w:rPr>
        <w:t>. Para el momento de los hechos, Eleuterio Lee y Luisa tenían 27 y 23 años, respectivamente, y sus hijos tenían 6, 5, 3 años, y 4 meses, respectivamente</w:t>
      </w:r>
      <w:r w:rsidRPr="009712EB">
        <w:rPr>
          <w:sz w:val="20"/>
          <w:szCs w:val="20"/>
          <w:vertAlign w:val="superscript"/>
        </w:rPr>
        <w:footnoteReference w:id="350"/>
      </w:r>
      <w:r w:rsidRPr="009712EB">
        <w:rPr>
          <w:sz w:val="20"/>
          <w:szCs w:val="20"/>
          <w:lang w:val="es-CO"/>
        </w:rPr>
        <w:t>. Conforme a la información presentada, el 22 de diciembre de 1989 como consecuencia del impacto de un misil en su residencia, los miembros de la familia resultaron heridos por esquirlas y su hogar sufrió daños importantes</w:t>
      </w:r>
      <w:r w:rsidRPr="009712EB">
        <w:rPr>
          <w:sz w:val="20"/>
          <w:szCs w:val="20"/>
          <w:vertAlign w:val="superscript"/>
        </w:rPr>
        <w:footnoteReference w:id="351"/>
      </w:r>
      <w:r w:rsidR="004C4A1D">
        <w:rPr>
          <w:sz w:val="20"/>
          <w:szCs w:val="20"/>
          <w:lang w:val="es-CO"/>
        </w:rPr>
        <w:t>.</w:t>
      </w:r>
    </w:p>
    <w:p w:rsidR="005F4DC5" w:rsidRPr="009712EB" w:rsidRDefault="005F4DC5" w:rsidP="004507F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451B0F"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 xml:space="preserve">En este sentido, Eleuterio </w:t>
      </w:r>
      <w:r w:rsidR="0028476D">
        <w:rPr>
          <w:sz w:val="20"/>
          <w:szCs w:val="20"/>
          <w:lang w:val="es-CO"/>
        </w:rPr>
        <w:t xml:space="preserve">Lee </w:t>
      </w:r>
      <w:r w:rsidRPr="009712EB">
        <w:rPr>
          <w:sz w:val="20"/>
          <w:szCs w:val="20"/>
          <w:lang w:val="es-CO"/>
        </w:rPr>
        <w:t>padre sostuvo lesi</w:t>
      </w:r>
      <w:r w:rsidR="0028476D">
        <w:rPr>
          <w:sz w:val="20"/>
          <w:szCs w:val="20"/>
          <w:lang w:val="es-CO"/>
        </w:rPr>
        <w:t>ones</w:t>
      </w:r>
      <w:r w:rsidRPr="009712EB">
        <w:rPr>
          <w:sz w:val="20"/>
          <w:szCs w:val="20"/>
          <w:lang w:val="es-CO"/>
        </w:rPr>
        <w:t xml:space="preserve"> en los pies</w:t>
      </w:r>
      <w:r w:rsidRPr="009712EB">
        <w:rPr>
          <w:sz w:val="20"/>
          <w:szCs w:val="20"/>
          <w:vertAlign w:val="superscript"/>
        </w:rPr>
        <w:footnoteReference w:id="352"/>
      </w:r>
      <w:r w:rsidRPr="009712EB">
        <w:rPr>
          <w:sz w:val="20"/>
          <w:szCs w:val="20"/>
          <w:lang w:val="es-CO"/>
        </w:rPr>
        <w:t xml:space="preserve"> y Luisa Alicia recibió heridas en todo el cuerpo</w:t>
      </w:r>
      <w:r w:rsidRPr="009712EB">
        <w:rPr>
          <w:sz w:val="20"/>
          <w:szCs w:val="20"/>
          <w:vertAlign w:val="superscript"/>
        </w:rPr>
        <w:footnoteReference w:id="353"/>
      </w:r>
      <w:r w:rsidRPr="009712EB">
        <w:rPr>
          <w:sz w:val="20"/>
          <w:szCs w:val="20"/>
          <w:lang w:val="es-CO"/>
        </w:rPr>
        <w:t>, en particular en su pecho, piernas y codo requiriendo 56 puntos de sutura, la pérdida del tendón de brazo izquierdo y tratamientos al nervio cubital</w:t>
      </w:r>
      <w:r w:rsidRPr="009712EB">
        <w:rPr>
          <w:sz w:val="20"/>
          <w:szCs w:val="20"/>
          <w:vertAlign w:val="superscript"/>
        </w:rPr>
        <w:footnoteReference w:id="354"/>
      </w:r>
      <w:r w:rsidRPr="009712EB">
        <w:rPr>
          <w:sz w:val="20"/>
          <w:szCs w:val="20"/>
          <w:lang w:val="es-CO"/>
        </w:rPr>
        <w:t>. Por su parte, Yuvisol sostuvo heridas múltiples por fragmentos del misil en el cuerpo</w:t>
      </w:r>
      <w:r w:rsidRPr="009712EB">
        <w:rPr>
          <w:sz w:val="20"/>
          <w:szCs w:val="20"/>
          <w:vertAlign w:val="superscript"/>
        </w:rPr>
        <w:footnoteReference w:id="355"/>
      </w:r>
      <w:r w:rsidRPr="009712EB">
        <w:rPr>
          <w:sz w:val="20"/>
          <w:szCs w:val="20"/>
          <w:lang w:val="es-CO"/>
        </w:rPr>
        <w:t xml:space="preserve"> perdiendo la visión en el ojo izquierdo</w:t>
      </w:r>
      <w:r w:rsidRPr="009712EB">
        <w:rPr>
          <w:sz w:val="20"/>
          <w:szCs w:val="20"/>
          <w:vertAlign w:val="superscript"/>
        </w:rPr>
        <w:footnoteReference w:id="356"/>
      </w:r>
      <w:r w:rsidRPr="009712EB">
        <w:rPr>
          <w:sz w:val="20"/>
          <w:szCs w:val="20"/>
          <w:lang w:val="es-CO"/>
        </w:rPr>
        <w:t>. Eleuterio hijo sostuvo una herida por esquirla en el cráneo lo cual ocasionó una hemorragia intracraneal y una afectación en su normal desarrollo</w:t>
      </w:r>
      <w:r w:rsidRPr="009712EB">
        <w:rPr>
          <w:sz w:val="20"/>
          <w:szCs w:val="20"/>
          <w:vertAlign w:val="superscript"/>
        </w:rPr>
        <w:footnoteReference w:id="357"/>
      </w:r>
      <w:r w:rsidRPr="009712EB">
        <w:rPr>
          <w:sz w:val="20"/>
          <w:szCs w:val="20"/>
          <w:lang w:val="es-CO"/>
        </w:rPr>
        <w:t>. Jonny sufrió lesiones en la cabeza y en el abdomen</w:t>
      </w:r>
      <w:r w:rsidRPr="009712EB">
        <w:rPr>
          <w:sz w:val="20"/>
          <w:szCs w:val="20"/>
          <w:vertAlign w:val="superscript"/>
        </w:rPr>
        <w:footnoteReference w:id="358"/>
      </w:r>
      <w:r w:rsidRPr="009712EB">
        <w:rPr>
          <w:sz w:val="20"/>
          <w:szCs w:val="20"/>
          <w:lang w:val="es-CO"/>
        </w:rPr>
        <w:t xml:space="preserve"> y finalmente, Isaac recibió quemaduras en varias partes del cuerpo</w:t>
      </w:r>
      <w:r w:rsidRPr="009712EB">
        <w:rPr>
          <w:sz w:val="20"/>
          <w:szCs w:val="20"/>
          <w:vertAlign w:val="superscript"/>
        </w:rPr>
        <w:footnoteReference w:id="359"/>
      </w:r>
      <w:r w:rsidRPr="009712EB">
        <w:rPr>
          <w:sz w:val="20"/>
          <w:szCs w:val="20"/>
          <w:lang w:val="es-CO"/>
        </w:rPr>
        <w:t xml:space="preserve">. </w:t>
      </w:r>
    </w:p>
    <w:p w:rsidR="005F4DC5" w:rsidRPr="009712EB" w:rsidRDefault="005F4DC5" w:rsidP="004507F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451B0F"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Conforme a la información aportada, fueron asistidos el mismo día en un Hospital de la zona y luego trasladados al Hospital Gorgas</w:t>
      </w:r>
      <w:r w:rsidRPr="009712EB">
        <w:rPr>
          <w:sz w:val="20"/>
          <w:szCs w:val="20"/>
          <w:vertAlign w:val="superscript"/>
        </w:rPr>
        <w:footnoteReference w:id="360"/>
      </w:r>
      <w:r w:rsidRPr="009712EB">
        <w:rPr>
          <w:sz w:val="20"/>
          <w:szCs w:val="20"/>
          <w:lang w:val="es-CO"/>
        </w:rPr>
        <w:t xml:space="preserve"> en donde para 1994, seguían recibiendo asistencia médica</w:t>
      </w:r>
      <w:r w:rsidRPr="009712EB">
        <w:rPr>
          <w:sz w:val="20"/>
          <w:szCs w:val="20"/>
          <w:vertAlign w:val="superscript"/>
        </w:rPr>
        <w:footnoteReference w:id="361"/>
      </w:r>
      <w:r w:rsidRPr="009712EB">
        <w:rPr>
          <w:sz w:val="20"/>
          <w:szCs w:val="20"/>
          <w:lang w:val="es-CO"/>
        </w:rPr>
        <w:t xml:space="preserve">. Al </w:t>
      </w:r>
      <w:r w:rsidRPr="009712EB">
        <w:rPr>
          <w:sz w:val="20"/>
          <w:szCs w:val="20"/>
          <w:lang w:val="es-CO"/>
        </w:rPr>
        <w:lastRenderedPageBreak/>
        <w:t>respecto resulta importante destacar que, conforme a información presentada, el 11 de enero de 1994 Luisa Cupas de Lee fue notificada por autoridades estadounidenses del Hospital de Gorgas que los servicios médicos que r</w:t>
      </w:r>
      <w:r w:rsidRPr="004507F0">
        <w:rPr>
          <w:color w:val="auto"/>
          <w:sz w:val="20"/>
          <w:szCs w:val="20"/>
          <w:lang w:val="es-CO"/>
        </w:rPr>
        <w:t>ecib</w:t>
      </w:r>
      <w:r w:rsidR="0080273F" w:rsidRPr="004507F0">
        <w:rPr>
          <w:color w:val="auto"/>
          <w:sz w:val="20"/>
          <w:szCs w:val="20"/>
          <w:lang w:val="es-CO"/>
        </w:rPr>
        <w:t>ía</w:t>
      </w:r>
      <w:r w:rsidRPr="004507F0">
        <w:rPr>
          <w:color w:val="auto"/>
          <w:sz w:val="20"/>
          <w:szCs w:val="20"/>
          <w:lang w:val="es-CO"/>
        </w:rPr>
        <w:t>n e</w:t>
      </w:r>
      <w:r w:rsidRPr="009712EB">
        <w:rPr>
          <w:sz w:val="20"/>
          <w:szCs w:val="20"/>
          <w:lang w:val="es-CO"/>
        </w:rPr>
        <w:t xml:space="preserve">lla y sus hijos Yuvisol y Eleuterio “serían negados </w:t>
      </w:r>
      <w:r w:rsidR="00ED1626">
        <w:rPr>
          <w:sz w:val="20"/>
          <w:szCs w:val="20"/>
          <w:lang w:val="es-CO"/>
        </w:rPr>
        <w:t>[en adelante] debido a su participación en una</w:t>
      </w:r>
      <w:r w:rsidRPr="009712EB">
        <w:rPr>
          <w:sz w:val="20"/>
          <w:szCs w:val="20"/>
          <w:lang w:val="es-CO"/>
        </w:rPr>
        <w:t xml:space="preserve"> conferencia de prensa en la Ciudad de Panamá el 9 de diciembre de 1993 (…) como peticionaria (…) ante la Comisión Interamericana de Derechos Humanos”</w:t>
      </w:r>
      <w:r w:rsidRPr="009712EB">
        <w:rPr>
          <w:sz w:val="20"/>
          <w:szCs w:val="20"/>
          <w:vertAlign w:val="superscript"/>
        </w:rPr>
        <w:footnoteReference w:id="362"/>
      </w:r>
      <w:r w:rsidRPr="009712EB">
        <w:rPr>
          <w:sz w:val="20"/>
          <w:szCs w:val="20"/>
          <w:lang w:val="es-CO"/>
        </w:rPr>
        <w:t xml:space="preserve">.  Al respecto, el Centro para los Derechos Constitucionales reseñó que la Sra. </w:t>
      </w:r>
      <w:r w:rsidR="0028476D">
        <w:rPr>
          <w:sz w:val="20"/>
          <w:szCs w:val="20"/>
          <w:lang w:val="es-CO"/>
        </w:rPr>
        <w:t>d</w:t>
      </w:r>
      <w:r w:rsidRPr="009712EB">
        <w:rPr>
          <w:sz w:val="20"/>
          <w:szCs w:val="20"/>
          <w:lang w:val="es-CO"/>
        </w:rPr>
        <w:t>e Lee no había podido agendar otra cita y no había tenido acceso a los archivos médicos de ella y sus hijos</w:t>
      </w:r>
      <w:r w:rsidRPr="009712EB">
        <w:rPr>
          <w:sz w:val="20"/>
          <w:szCs w:val="20"/>
          <w:vertAlign w:val="superscript"/>
        </w:rPr>
        <w:footnoteReference w:id="363"/>
      </w:r>
      <w:r w:rsidRPr="009712EB">
        <w:rPr>
          <w:sz w:val="20"/>
          <w:szCs w:val="20"/>
          <w:lang w:val="es-CO"/>
        </w:rPr>
        <w:t>, describiendo estas acciones como “tácticas de intimidación y hostigamiento”</w:t>
      </w:r>
      <w:r w:rsidRPr="009712EB">
        <w:rPr>
          <w:sz w:val="20"/>
          <w:szCs w:val="20"/>
          <w:vertAlign w:val="superscript"/>
        </w:rPr>
        <w:footnoteReference w:id="364"/>
      </w:r>
      <w:r w:rsidRPr="009712EB">
        <w:rPr>
          <w:sz w:val="20"/>
          <w:szCs w:val="20"/>
          <w:lang w:val="es-CO"/>
        </w:rPr>
        <w:t xml:space="preserve">. </w:t>
      </w:r>
    </w:p>
    <w:p w:rsidR="005F4DC5" w:rsidRPr="009712EB" w:rsidRDefault="005F4DC5" w:rsidP="004507F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451B0F" w:rsidRPr="009712EB" w:rsidRDefault="00ED1626"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Pr>
          <w:sz w:val="20"/>
          <w:szCs w:val="20"/>
          <w:lang w:val="es-CO"/>
        </w:rPr>
        <w:t>La información presentada indica que el</w:t>
      </w:r>
      <w:r w:rsidR="00451B0F" w:rsidRPr="009712EB">
        <w:rPr>
          <w:sz w:val="20"/>
          <w:szCs w:val="20"/>
          <w:lang w:val="es-CO"/>
        </w:rPr>
        <w:t xml:space="preserve"> 4 de mayo de 1994, luego negociaciones entre la oficina del General MacCaffrey en Panamá y el Centro para Derechos Constitucionales, el Mayor G.A. Crocker dirigió memorándum al comandante </w:t>
      </w:r>
      <w:r w:rsidR="0028476D">
        <w:rPr>
          <w:sz w:val="20"/>
          <w:szCs w:val="20"/>
          <w:lang w:val="es-CO"/>
        </w:rPr>
        <w:t xml:space="preserve">del </w:t>
      </w:r>
      <w:bookmarkStart w:id="26" w:name="_Hlk499721625"/>
      <w:r w:rsidR="005A2909">
        <w:rPr>
          <w:sz w:val="20"/>
          <w:szCs w:val="20"/>
          <w:lang w:val="es-CO"/>
        </w:rPr>
        <w:t>“</w:t>
      </w:r>
      <w:r w:rsidR="0028476D">
        <w:rPr>
          <w:sz w:val="20"/>
          <w:szCs w:val="20"/>
          <w:lang w:val="es-CO"/>
        </w:rPr>
        <w:t>United States Army Medical Department Activities</w:t>
      </w:r>
      <w:bookmarkEnd w:id="26"/>
      <w:r w:rsidR="0028476D">
        <w:rPr>
          <w:sz w:val="20"/>
          <w:szCs w:val="20"/>
          <w:lang w:val="es-CO"/>
        </w:rPr>
        <w:t xml:space="preserve"> </w:t>
      </w:r>
      <w:r w:rsidR="00451B0F" w:rsidRPr="009712EB">
        <w:rPr>
          <w:sz w:val="20"/>
          <w:szCs w:val="20"/>
          <w:lang w:val="es-CO"/>
        </w:rPr>
        <w:t>Panama” mediante el cual autorizaba el cuidado médico, con todos los gastos exonerados, a Luisa Lee y sus dos hijos Yuvisol y Eleuterio en el Hospital Gorgas incluyendo el otorgamiento de una prótesis de ojo para Yuvisol Lee</w:t>
      </w:r>
      <w:r w:rsidR="00451B0F" w:rsidRPr="009712EB">
        <w:rPr>
          <w:sz w:val="20"/>
          <w:szCs w:val="20"/>
          <w:vertAlign w:val="superscript"/>
        </w:rPr>
        <w:footnoteReference w:id="365"/>
      </w:r>
      <w:r w:rsidR="00451B0F" w:rsidRPr="009712EB">
        <w:rPr>
          <w:sz w:val="20"/>
          <w:szCs w:val="20"/>
          <w:lang w:val="es-CO"/>
        </w:rPr>
        <w:t>.</w:t>
      </w:r>
    </w:p>
    <w:p w:rsidR="005F4DC5" w:rsidRPr="009712EB"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CO"/>
        </w:rPr>
      </w:pPr>
    </w:p>
    <w:p w:rsidR="00451B0F" w:rsidRPr="009712EB" w:rsidRDefault="00C60105"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Pr>
          <w:i/>
          <w:sz w:val="20"/>
          <w:szCs w:val="20"/>
          <w:lang w:val="es-CO"/>
        </w:rPr>
        <w:t>Hijo</w:t>
      </w:r>
      <w:r w:rsidR="00451B0F" w:rsidRPr="009712EB">
        <w:rPr>
          <w:i/>
          <w:sz w:val="20"/>
          <w:szCs w:val="20"/>
          <w:lang w:val="es-CO"/>
        </w:rPr>
        <w:t xml:space="preserve"> de Elida Betezan de Pacheco</w:t>
      </w:r>
      <w:r w:rsidR="00451B0F" w:rsidRPr="009712EB">
        <w:rPr>
          <w:sz w:val="20"/>
          <w:szCs w:val="20"/>
          <w:lang w:val="es-CO"/>
        </w:rPr>
        <w:t xml:space="preserve"> mencionado en el caso No. 4, tenía 8 años de edad </w:t>
      </w:r>
      <w:r w:rsidR="00ED1626" w:rsidRPr="009712EB">
        <w:rPr>
          <w:sz w:val="20"/>
          <w:szCs w:val="20"/>
          <w:lang w:val="es-CO"/>
        </w:rPr>
        <w:t xml:space="preserve">al momento de los hechos </w:t>
      </w:r>
      <w:r w:rsidR="00451B0F" w:rsidRPr="009712EB">
        <w:rPr>
          <w:sz w:val="20"/>
          <w:szCs w:val="20"/>
          <w:lang w:val="es-CO"/>
        </w:rPr>
        <w:t>y residía en la ciudad de Colón</w:t>
      </w:r>
      <w:r w:rsidR="00451B0F" w:rsidRPr="009712EB">
        <w:rPr>
          <w:sz w:val="20"/>
          <w:szCs w:val="20"/>
          <w:vertAlign w:val="superscript"/>
        </w:rPr>
        <w:footnoteReference w:id="366"/>
      </w:r>
      <w:r w:rsidR="00451B0F" w:rsidRPr="009712EB">
        <w:rPr>
          <w:sz w:val="20"/>
          <w:szCs w:val="20"/>
          <w:lang w:val="es-CO"/>
        </w:rPr>
        <w:t>. Conforme a la declaración presentada, el 22 de diciembre de 1989 a las 3 de la tarde, fueron sorprendidos con el bombardeo a su edificio y en consecuencia de este hecho, uno de los tres hijos de Elida Betezan sufrió una lesión en el pie</w:t>
      </w:r>
      <w:r w:rsidR="00451B0F" w:rsidRPr="009712EB">
        <w:rPr>
          <w:sz w:val="20"/>
          <w:szCs w:val="20"/>
          <w:vertAlign w:val="superscript"/>
        </w:rPr>
        <w:footnoteReference w:id="367"/>
      </w:r>
      <w:r w:rsidR="00451B0F" w:rsidRPr="009712EB">
        <w:rPr>
          <w:sz w:val="20"/>
          <w:szCs w:val="20"/>
          <w:lang w:val="es-CO"/>
        </w:rPr>
        <w:t>.</w:t>
      </w:r>
    </w:p>
    <w:p w:rsidR="005F4DC5" w:rsidRPr="009712EB" w:rsidRDefault="005F4DC5" w:rsidP="004507F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451B0F"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i/>
          <w:sz w:val="20"/>
          <w:szCs w:val="20"/>
          <w:lang w:val="es-CO"/>
        </w:rPr>
        <w:t>Alejandro Vivanco</w:t>
      </w:r>
      <w:r w:rsidRPr="009712EB">
        <w:rPr>
          <w:sz w:val="20"/>
          <w:szCs w:val="20"/>
          <w:lang w:val="es-CO"/>
        </w:rPr>
        <w:t xml:space="preserve"> identificado en el caso No. 5, era, al momento de los hechos, un hombre panameño de 68 años de edad</w:t>
      </w:r>
      <w:r w:rsidRPr="009712EB">
        <w:rPr>
          <w:sz w:val="20"/>
          <w:szCs w:val="20"/>
          <w:vertAlign w:val="superscript"/>
        </w:rPr>
        <w:footnoteReference w:id="368"/>
      </w:r>
      <w:r w:rsidRPr="009712EB">
        <w:rPr>
          <w:sz w:val="20"/>
          <w:szCs w:val="20"/>
          <w:lang w:val="es-CO"/>
        </w:rPr>
        <w:t>. De acuerdo con su declaración, el 20 de diciembre de 1989 además de sufrir “daños ajenos a su casa” fue víctima de perdigones en todo el cuerpo</w:t>
      </w:r>
      <w:r w:rsidRPr="009712EB">
        <w:rPr>
          <w:sz w:val="20"/>
          <w:szCs w:val="20"/>
          <w:vertAlign w:val="superscript"/>
        </w:rPr>
        <w:footnoteReference w:id="369"/>
      </w:r>
      <w:r w:rsidRPr="009712EB">
        <w:rPr>
          <w:sz w:val="20"/>
          <w:szCs w:val="20"/>
          <w:lang w:val="es-CO"/>
        </w:rPr>
        <w:t>. Asimismo, indicó que “las autoridades y el Comando Sur se han negado a pagar el daño causado y la indemnización”</w:t>
      </w:r>
      <w:r w:rsidRPr="009712EB">
        <w:rPr>
          <w:sz w:val="20"/>
          <w:szCs w:val="20"/>
          <w:vertAlign w:val="superscript"/>
        </w:rPr>
        <w:footnoteReference w:id="370"/>
      </w:r>
      <w:r w:rsidRPr="009712EB">
        <w:rPr>
          <w:sz w:val="20"/>
          <w:szCs w:val="20"/>
          <w:lang w:val="es-CO"/>
        </w:rPr>
        <w:t>.</w:t>
      </w:r>
    </w:p>
    <w:p w:rsidR="005F4DC5" w:rsidRPr="009712EB" w:rsidRDefault="005F4DC5" w:rsidP="004507F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tl/>
        </w:rPr>
      </w:pPr>
    </w:p>
    <w:p w:rsidR="00451B0F"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i/>
          <w:sz w:val="20"/>
          <w:szCs w:val="20"/>
          <w:lang w:val="es-CO"/>
        </w:rPr>
        <w:t>Luis Adolfo Guevara de la Torre</w:t>
      </w:r>
      <w:r w:rsidRPr="009712EB">
        <w:rPr>
          <w:sz w:val="20"/>
          <w:szCs w:val="20"/>
          <w:lang w:val="es-CO"/>
        </w:rPr>
        <w:t xml:space="preserve"> identificado en el caso No. 7, era un estudiante de 19 años de nacionalidad panameña</w:t>
      </w:r>
      <w:r w:rsidRPr="009712EB">
        <w:rPr>
          <w:sz w:val="20"/>
          <w:szCs w:val="20"/>
          <w:vertAlign w:val="superscript"/>
        </w:rPr>
        <w:footnoteReference w:id="371"/>
      </w:r>
      <w:r w:rsidRPr="009712EB">
        <w:rPr>
          <w:sz w:val="20"/>
          <w:szCs w:val="20"/>
          <w:lang w:val="es-CO"/>
        </w:rPr>
        <w:t>. Conforme a información presentada, el 20 de diciembre de 1989 mientras se encontraba en los terrenos de la base militar del R</w:t>
      </w:r>
      <w:r w:rsidR="00072AAD" w:rsidRPr="009712EB">
        <w:rPr>
          <w:sz w:val="20"/>
          <w:szCs w:val="20"/>
          <w:lang w:val="es-CO"/>
        </w:rPr>
        <w:t>í</w:t>
      </w:r>
      <w:r w:rsidRPr="009712EB">
        <w:rPr>
          <w:sz w:val="20"/>
          <w:szCs w:val="20"/>
          <w:lang w:val="es-CO"/>
        </w:rPr>
        <w:t>o Hato, fue herido con esquirlas en el cuerpo</w:t>
      </w:r>
      <w:r w:rsidRPr="009712EB">
        <w:rPr>
          <w:sz w:val="20"/>
          <w:szCs w:val="20"/>
          <w:vertAlign w:val="superscript"/>
        </w:rPr>
        <w:footnoteReference w:id="372"/>
      </w:r>
      <w:r w:rsidRPr="009712EB">
        <w:rPr>
          <w:sz w:val="20"/>
          <w:szCs w:val="20"/>
          <w:lang w:val="es-CO"/>
        </w:rPr>
        <w:t>.  Luis Guevara sufrió lesiones en el antebrazo izquierdo, la rodilla derecha, la zona inguinal, en el muslo y en su pie izquierdo</w:t>
      </w:r>
      <w:r w:rsidRPr="009712EB">
        <w:rPr>
          <w:sz w:val="20"/>
          <w:szCs w:val="20"/>
          <w:vertAlign w:val="superscript"/>
        </w:rPr>
        <w:footnoteReference w:id="373"/>
      </w:r>
      <w:r w:rsidRPr="009712EB">
        <w:rPr>
          <w:sz w:val="20"/>
          <w:szCs w:val="20"/>
          <w:lang w:val="es-CO"/>
        </w:rPr>
        <w:t xml:space="preserve">. Como consecuencia, </w:t>
      </w:r>
      <w:r w:rsidR="005A2EB4">
        <w:rPr>
          <w:sz w:val="20"/>
          <w:szCs w:val="20"/>
          <w:lang w:val="es-CO"/>
        </w:rPr>
        <w:t>desde</w:t>
      </w:r>
      <w:r w:rsidRPr="009712EB">
        <w:rPr>
          <w:sz w:val="20"/>
          <w:szCs w:val="20"/>
          <w:lang w:val="es-CO"/>
        </w:rPr>
        <w:t xml:space="preserve"> febrero de 1990 </w:t>
      </w:r>
      <w:r w:rsidR="005A2EB4">
        <w:rPr>
          <w:sz w:val="20"/>
          <w:szCs w:val="20"/>
          <w:lang w:val="es-CO"/>
        </w:rPr>
        <w:t xml:space="preserve">todavía recibía </w:t>
      </w:r>
      <w:r w:rsidRPr="009712EB">
        <w:rPr>
          <w:sz w:val="20"/>
          <w:szCs w:val="20"/>
          <w:lang w:val="es-CO"/>
        </w:rPr>
        <w:t xml:space="preserve">tratamiento médico y </w:t>
      </w:r>
      <w:r w:rsidR="00AF5757">
        <w:rPr>
          <w:sz w:val="20"/>
          <w:szCs w:val="20"/>
          <w:lang w:val="es-CO"/>
        </w:rPr>
        <w:t xml:space="preserve">sostenía una </w:t>
      </w:r>
      <w:r w:rsidRPr="009712EB">
        <w:rPr>
          <w:sz w:val="20"/>
          <w:szCs w:val="20"/>
          <w:lang w:val="es-CO"/>
        </w:rPr>
        <w:lastRenderedPageBreak/>
        <w:t>limitación funcional en la rodilla</w:t>
      </w:r>
      <w:r w:rsidRPr="009712EB">
        <w:rPr>
          <w:sz w:val="20"/>
          <w:szCs w:val="20"/>
          <w:vertAlign w:val="superscript"/>
        </w:rPr>
        <w:footnoteReference w:id="374"/>
      </w:r>
      <w:r w:rsidRPr="009712EB">
        <w:rPr>
          <w:sz w:val="20"/>
          <w:szCs w:val="20"/>
          <w:lang w:val="es-CO"/>
        </w:rPr>
        <w:t xml:space="preserve">. </w:t>
      </w:r>
      <w:r w:rsidR="00AF5757">
        <w:rPr>
          <w:sz w:val="20"/>
          <w:szCs w:val="20"/>
          <w:lang w:val="es-CO"/>
        </w:rPr>
        <w:t xml:space="preserve">En su declaración, </w:t>
      </w:r>
      <w:r w:rsidRPr="009712EB">
        <w:rPr>
          <w:sz w:val="20"/>
          <w:szCs w:val="20"/>
          <w:lang w:val="es-CO"/>
        </w:rPr>
        <w:t xml:space="preserve">Luis Guevara </w:t>
      </w:r>
      <w:r w:rsidR="005A2909">
        <w:rPr>
          <w:sz w:val="20"/>
          <w:szCs w:val="20"/>
          <w:lang w:val="es-CO"/>
        </w:rPr>
        <w:t>informó</w:t>
      </w:r>
      <w:r w:rsidR="005A2909" w:rsidRPr="000035C2">
        <w:rPr>
          <w:color w:val="FF0000"/>
          <w:sz w:val="20"/>
          <w:szCs w:val="20"/>
          <w:lang w:val="es-CO"/>
        </w:rPr>
        <w:t xml:space="preserve"> </w:t>
      </w:r>
      <w:r w:rsidRPr="009712EB">
        <w:rPr>
          <w:sz w:val="20"/>
          <w:szCs w:val="20"/>
          <w:lang w:val="es-CO"/>
        </w:rPr>
        <w:t xml:space="preserve">que </w:t>
      </w:r>
      <w:r w:rsidR="00AF5757">
        <w:rPr>
          <w:sz w:val="20"/>
          <w:szCs w:val="20"/>
          <w:lang w:val="es-CO"/>
        </w:rPr>
        <w:t xml:space="preserve">había presentado una </w:t>
      </w:r>
      <w:r w:rsidRPr="009712EB">
        <w:rPr>
          <w:sz w:val="20"/>
          <w:szCs w:val="20"/>
          <w:lang w:val="es-CO"/>
        </w:rPr>
        <w:t>queja ante el Comando Sur, sin que esta autoridad asumiera responsabilidad</w:t>
      </w:r>
      <w:r w:rsidRPr="009712EB">
        <w:rPr>
          <w:sz w:val="20"/>
          <w:szCs w:val="20"/>
          <w:vertAlign w:val="superscript"/>
        </w:rPr>
        <w:footnoteReference w:id="375"/>
      </w:r>
      <w:r w:rsidRPr="009712EB">
        <w:rPr>
          <w:sz w:val="20"/>
          <w:szCs w:val="20"/>
          <w:lang w:val="es-CO"/>
        </w:rPr>
        <w:t>.</w:t>
      </w:r>
    </w:p>
    <w:p w:rsidR="005F4DC5" w:rsidRPr="009712EB" w:rsidRDefault="005F4DC5" w:rsidP="004507F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451B0F" w:rsidRPr="009712EB" w:rsidRDefault="00AF5757"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Pr>
          <w:sz w:val="20"/>
          <w:szCs w:val="20"/>
          <w:lang w:val="es-CO"/>
        </w:rPr>
        <w:t>Más concretamente, s</w:t>
      </w:r>
      <w:r w:rsidR="00451B0F" w:rsidRPr="009712EB">
        <w:rPr>
          <w:sz w:val="20"/>
          <w:szCs w:val="20"/>
          <w:lang w:val="es-CO"/>
        </w:rPr>
        <w:t xml:space="preserve">egún su declaración, él era </w:t>
      </w:r>
      <w:r>
        <w:rPr>
          <w:sz w:val="20"/>
          <w:szCs w:val="20"/>
          <w:lang w:val="es-CO"/>
        </w:rPr>
        <w:t xml:space="preserve">para el momento, </w:t>
      </w:r>
      <w:r w:rsidR="00451B0F" w:rsidRPr="009712EB">
        <w:rPr>
          <w:sz w:val="20"/>
          <w:szCs w:val="20"/>
          <w:lang w:val="es-CO"/>
        </w:rPr>
        <w:t xml:space="preserve">un estudiante </w:t>
      </w:r>
      <w:r>
        <w:rPr>
          <w:sz w:val="20"/>
          <w:szCs w:val="20"/>
          <w:lang w:val="es-CO"/>
        </w:rPr>
        <w:t xml:space="preserve"> en </w:t>
      </w:r>
      <w:r w:rsidR="00451B0F" w:rsidRPr="009712EB">
        <w:rPr>
          <w:sz w:val="20"/>
          <w:szCs w:val="20"/>
          <w:lang w:val="es-CO"/>
        </w:rPr>
        <w:t>el Instituto Militar Tomás Herrera, ubicado en la zona R</w:t>
      </w:r>
      <w:r w:rsidR="00AA39A4" w:rsidRPr="009712EB">
        <w:rPr>
          <w:sz w:val="20"/>
          <w:szCs w:val="20"/>
          <w:lang w:val="es-CO"/>
        </w:rPr>
        <w:t>í</w:t>
      </w:r>
      <w:r w:rsidR="00451B0F" w:rsidRPr="009712EB">
        <w:rPr>
          <w:sz w:val="20"/>
          <w:szCs w:val="20"/>
          <w:lang w:val="es-CO"/>
        </w:rPr>
        <w:t>o Hato, y se encontraba durmiendo en su barraca a primeras horas del 20 de diciembre de 1989</w:t>
      </w:r>
      <w:r w:rsidR="00451B0F" w:rsidRPr="009712EB">
        <w:rPr>
          <w:sz w:val="20"/>
          <w:szCs w:val="20"/>
          <w:vertAlign w:val="superscript"/>
        </w:rPr>
        <w:footnoteReference w:id="376"/>
      </w:r>
      <w:r w:rsidR="00451B0F" w:rsidRPr="009712EB">
        <w:rPr>
          <w:sz w:val="20"/>
          <w:szCs w:val="20"/>
          <w:lang w:val="es-CO"/>
        </w:rPr>
        <w:t>. Al iniciar las detonaciones provenientes “de la Fuerza Armada estadounidense, aviones y helicópteros”, los estudiantes y demás personas que se encontraban en su barraca comenzaron a evacuar</w:t>
      </w:r>
      <w:r w:rsidR="00451B0F" w:rsidRPr="009712EB">
        <w:rPr>
          <w:sz w:val="20"/>
          <w:szCs w:val="20"/>
          <w:vertAlign w:val="superscript"/>
        </w:rPr>
        <w:footnoteReference w:id="377"/>
      </w:r>
      <w:r w:rsidR="00451B0F" w:rsidRPr="009712EB">
        <w:rPr>
          <w:sz w:val="20"/>
          <w:szCs w:val="20"/>
          <w:lang w:val="es-CO"/>
        </w:rPr>
        <w:t>. Enseguida un sargento al expresar que no tenían posibilidades de continuar con vida en el área de la barraca, lo dirigió al monte</w:t>
      </w:r>
      <w:r w:rsidR="00451B0F" w:rsidRPr="009712EB">
        <w:rPr>
          <w:sz w:val="20"/>
          <w:szCs w:val="20"/>
          <w:vertAlign w:val="superscript"/>
        </w:rPr>
        <w:footnoteReference w:id="378"/>
      </w:r>
      <w:r w:rsidR="00451B0F" w:rsidRPr="009712EB">
        <w:rPr>
          <w:sz w:val="20"/>
          <w:szCs w:val="20"/>
          <w:lang w:val="es-CO"/>
        </w:rPr>
        <w:t>. El Mayor Porras, el Sargento Magallón, sus compañeros Eric Hing y Jonny Landero, y el pintor de la base comenzaron a huir por el monte con dirección a R</w:t>
      </w:r>
      <w:r w:rsidR="008503B8" w:rsidRPr="009712EB">
        <w:rPr>
          <w:sz w:val="20"/>
          <w:szCs w:val="20"/>
          <w:lang w:val="es-CO"/>
        </w:rPr>
        <w:t>í</w:t>
      </w:r>
      <w:r w:rsidR="00451B0F" w:rsidRPr="009712EB">
        <w:rPr>
          <w:sz w:val="20"/>
          <w:szCs w:val="20"/>
          <w:lang w:val="es-CO"/>
        </w:rPr>
        <w:t>o Hato</w:t>
      </w:r>
      <w:r w:rsidR="00451B0F" w:rsidRPr="009712EB">
        <w:rPr>
          <w:sz w:val="20"/>
          <w:szCs w:val="20"/>
          <w:vertAlign w:val="superscript"/>
        </w:rPr>
        <w:footnoteReference w:id="379"/>
      </w:r>
      <w:r w:rsidR="00451B0F" w:rsidRPr="009712EB">
        <w:rPr>
          <w:sz w:val="20"/>
          <w:szCs w:val="20"/>
          <w:lang w:val="es-CO"/>
        </w:rPr>
        <w:t>. Luego de varios inconvenientes incluyendo el fallecimiento del Sargento Magallón, helicópteros sobrevolando muy bajo, y un primer impacto de bomba, cuando los 3 compañeros se encontraban cerca de una quebrada cayó una segunda bomba muy cerca de su ubicación</w:t>
      </w:r>
      <w:r w:rsidR="00451B0F" w:rsidRPr="009712EB">
        <w:rPr>
          <w:sz w:val="20"/>
          <w:szCs w:val="20"/>
          <w:vertAlign w:val="superscript"/>
        </w:rPr>
        <w:footnoteReference w:id="380"/>
      </w:r>
      <w:r w:rsidR="00451B0F" w:rsidRPr="009712EB">
        <w:rPr>
          <w:sz w:val="20"/>
          <w:szCs w:val="20"/>
          <w:lang w:val="es-CO"/>
        </w:rPr>
        <w:t xml:space="preserve">. Al recuperar el conocimiento, Luis Guevara </w:t>
      </w:r>
      <w:r>
        <w:rPr>
          <w:sz w:val="20"/>
          <w:szCs w:val="20"/>
          <w:lang w:val="es-CO"/>
        </w:rPr>
        <w:t xml:space="preserve">se percató que </w:t>
      </w:r>
      <w:r w:rsidR="00451B0F" w:rsidRPr="009712EB">
        <w:rPr>
          <w:sz w:val="20"/>
          <w:szCs w:val="20"/>
          <w:lang w:val="es-CO"/>
        </w:rPr>
        <w:t xml:space="preserve">un árbol </w:t>
      </w:r>
      <w:r>
        <w:rPr>
          <w:sz w:val="20"/>
          <w:szCs w:val="20"/>
          <w:lang w:val="es-CO"/>
        </w:rPr>
        <w:t xml:space="preserve">había caído </w:t>
      </w:r>
      <w:r w:rsidR="00451B0F" w:rsidRPr="009712EB">
        <w:rPr>
          <w:sz w:val="20"/>
          <w:szCs w:val="20"/>
          <w:lang w:val="es-CO"/>
        </w:rPr>
        <w:t xml:space="preserve">sobre sus piernas y </w:t>
      </w:r>
      <w:r>
        <w:rPr>
          <w:sz w:val="20"/>
          <w:szCs w:val="20"/>
          <w:lang w:val="es-CO"/>
        </w:rPr>
        <w:t xml:space="preserve">que había sufrido </w:t>
      </w:r>
      <w:r w:rsidR="00451B0F" w:rsidRPr="009712EB">
        <w:rPr>
          <w:sz w:val="20"/>
          <w:szCs w:val="20"/>
          <w:lang w:val="es-CO"/>
        </w:rPr>
        <w:t>heridas en el brazo y cadera</w:t>
      </w:r>
      <w:r w:rsidR="00451B0F" w:rsidRPr="009712EB">
        <w:rPr>
          <w:sz w:val="20"/>
          <w:szCs w:val="20"/>
          <w:vertAlign w:val="superscript"/>
        </w:rPr>
        <w:footnoteReference w:id="381"/>
      </w:r>
      <w:r w:rsidR="00451B0F" w:rsidRPr="009712EB">
        <w:rPr>
          <w:sz w:val="20"/>
          <w:szCs w:val="20"/>
          <w:lang w:val="es-CO"/>
        </w:rPr>
        <w:t xml:space="preserve">. </w:t>
      </w:r>
    </w:p>
    <w:p w:rsidR="005F4DC5" w:rsidRPr="009712EB" w:rsidRDefault="005F4DC5" w:rsidP="004507F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451B0F"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Según su recuento, sus dos compañeros también estaban heridos y continuaban alertando: “no nos maten, somos estudiantes”</w:t>
      </w:r>
      <w:r w:rsidRPr="009712EB">
        <w:rPr>
          <w:sz w:val="20"/>
          <w:szCs w:val="20"/>
          <w:vertAlign w:val="superscript"/>
        </w:rPr>
        <w:footnoteReference w:id="382"/>
      </w:r>
      <w:r w:rsidRPr="009712EB">
        <w:rPr>
          <w:sz w:val="20"/>
          <w:szCs w:val="20"/>
          <w:lang w:val="es-CO"/>
        </w:rPr>
        <w:t>. Luego de su trayecto toda la noche, los jóvenes lograron llegar, a caballo y luego en un vehí</w:t>
      </w:r>
      <w:r w:rsidRPr="004507F0">
        <w:rPr>
          <w:color w:val="auto"/>
          <w:sz w:val="20"/>
          <w:szCs w:val="20"/>
          <w:lang w:val="es-CO"/>
        </w:rPr>
        <w:t>culo del I.H.R.E, al Hos</w:t>
      </w:r>
      <w:r w:rsidRPr="009712EB">
        <w:rPr>
          <w:sz w:val="20"/>
          <w:szCs w:val="20"/>
          <w:lang w:val="es-CO"/>
        </w:rPr>
        <w:t>pital de la ciudad de Penonomé alrededor de las 9.20 am donde fueron atendidos</w:t>
      </w:r>
      <w:r w:rsidRPr="009712EB">
        <w:rPr>
          <w:sz w:val="20"/>
          <w:szCs w:val="20"/>
          <w:vertAlign w:val="superscript"/>
        </w:rPr>
        <w:footnoteReference w:id="383"/>
      </w:r>
      <w:r w:rsidRPr="009712EB">
        <w:rPr>
          <w:sz w:val="20"/>
          <w:szCs w:val="20"/>
          <w:lang w:val="es-CO"/>
        </w:rPr>
        <w:t xml:space="preserve">. </w:t>
      </w:r>
    </w:p>
    <w:p w:rsidR="005F4DC5" w:rsidRPr="009712EB" w:rsidRDefault="005F4DC5" w:rsidP="004507F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451B0F"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i/>
          <w:sz w:val="20"/>
          <w:szCs w:val="20"/>
          <w:lang w:val="es-CO"/>
        </w:rPr>
        <w:t>Carolina Ruiz Bonilla</w:t>
      </w:r>
      <w:r w:rsidRPr="009712EB">
        <w:rPr>
          <w:sz w:val="20"/>
          <w:szCs w:val="20"/>
          <w:lang w:val="es-CO"/>
        </w:rPr>
        <w:t xml:space="preserve"> identificada en el caso No. 12, era una niña de 11 años de edad de nacionalidad panameña, residente del corregimiento Viejo Veranillo en la Ciudad de Panamá</w:t>
      </w:r>
      <w:r w:rsidRPr="009712EB">
        <w:rPr>
          <w:sz w:val="20"/>
          <w:szCs w:val="20"/>
          <w:vertAlign w:val="superscript"/>
        </w:rPr>
        <w:footnoteReference w:id="384"/>
      </w:r>
      <w:r w:rsidRPr="009712EB">
        <w:rPr>
          <w:sz w:val="20"/>
          <w:szCs w:val="20"/>
          <w:lang w:val="es-CO"/>
        </w:rPr>
        <w:t>. Conforme a la declaración, el 20 de diciembre de 1989 a las 11:30 am los soldados estadunidenses lanzaron “tres morteros” y uno de ellos impactó en el patio de su residencia</w:t>
      </w:r>
      <w:r w:rsidRPr="009712EB">
        <w:rPr>
          <w:sz w:val="20"/>
          <w:szCs w:val="20"/>
          <w:vertAlign w:val="superscript"/>
        </w:rPr>
        <w:footnoteReference w:id="385"/>
      </w:r>
      <w:r w:rsidRPr="009712EB">
        <w:rPr>
          <w:sz w:val="20"/>
          <w:szCs w:val="20"/>
          <w:lang w:val="es-CO"/>
        </w:rPr>
        <w:t xml:space="preserve">. Carolina quien al momento se encontraba lavando en el mismo patio, </w:t>
      </w:r>
      <w:r w:rsidR="00AF5757">
        <w:rPr>
          <w:sz w:val="20"/>
          <w:szCs w:val="20"/>
          <w:lang w:val="es-CO"/>
        </w:rPr>
        <w:t xml:space="preserve">sostuvo una </w:t>
      </w:r>
      <w:r w:rsidRPr="009712EB">
        <w:rPr>
          <w:sz w:val="20"/>
          <w:szCs w:val="20"/>
          <w:lang w:val="es-CO"/>
        </w:rPr>
        <w:t>herida en el cráneo por los fragmentos del mortero</w:t>
      </w:r>
      <w:r w:rsidRPr="009712EB">
        <w:rPr>
          <w:sz w:val="20"/>
          <w:szCs w:val="20"/>
          <w:vertAlign w:val="superscript"/>
        </w:rPr>
        <w:footnoteReference w:id="386"/>
      </w:r>
      <w:r w:rsidRPr="009712EB">
        <w:rPr>
          <w:sz w:val="20"/>
          <w:szCs w:val="20"/>
          <w:lang w:val="es-CO"/>
        </w:rPr>
        <w:t xml:space="preserve">. </w:t>
      </w:r>
    </w:p>
    <w:p w:rsidR="005F4DC5" w:rsidRPr="009712EB"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CO"/>
        </w:rPr>
      </w:pPr>
    </w:p>
    <w:p w:rsidR="00451B0F"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 xml:space="preserve">En base </w:t>
      </w:r>
      <w:r w:rsidR="005A2909">
        <w:rPr>
          <w:sz w:val="20"/>
          <w:szCs w:val="20"/>
          <w:lang w:val="es-CO"/>
        </w:rPr>
        <w:t xml:space="preserve">a la </w:t>
      </w:r>
      <w:r w:rsidRPr="009712EB">
        <w:rPr>
          <w:sz w:val="20"/>
          <w:szCs w:val="20"/>
          <w:lang w:val="es-CO"/>
        </w:rPr>
        <w:t>información disponible, para 1994 Carolina tenía pequeñas cicatrices y la presencia de cuerpos extraños metálicos en el cráneo</w:t>
      </w:r>
      <w:r w:rsidRPr="009712EB">
        <w:rPr>
          <w:sz w:val="20"/>
          <w:szCs w:val="20"/>
          <w:vertAlign w:val="superscript"/>
        </w:rPr>
        <w:footnoteReference w:id="387"/>
      </w:r>
      <w:r w:rsidR="00AF5757">
        <w:rPr>
          <w:sz w:val="20"/>
          <w:szCs w:val="20"/>
          <w:lang w:val="es-CO"/>
        </w:rPr>
        <w:t>. Como consecuencia</w:t>
      </w:r>
      <w:r w:rsidRPr="009712EB">
        <w:rPr>
          <w:sz w:val="20"/>
          <w:szCs w:val="20"/>
          <w:lang w:val="es-CO"/>
        </w:rPr>
        <w:t xml:space="preserve">, </w:t>
      </w:r>
      <w:r w:rsidR="00AF5757">
        <w:rPr>
          <w:sz w:val="20"/>
          <w:szCs w:val="20"/>
          <w:lang w:val="es-CO"/>
        </w:rPr>
        <w:t xml:space="preserve">ella estaba sufriendo </w:t>
      </w:r>
      <w:r w:rsidRPr="009712EB">
        <w:rPr>
          <w:sz w:val="20"/>
          <w:szCs w:val="20"/>
          <w:lang w:val="es-CO"/>
        </w:rPr>
        <w:t>de fuertes dolores de cabeza y en el ojo izquierdo</w:t>
      </w:r>
      <w:r w:rsidRPr="009712EB">
        <w:rPr>
          <w:sz w:val="20"/>
          <w:szCs w:val="20"/>
          <w:vertAlign w:val="superscript"/>
        </w:rPr>
        <w:footnoteReference w:id="388"/>
      </w:r>
      <w:r w:rsidR="005F4DC5" w:rsidRPr="009712EB">
        <w:rPr>
          <w:sz w:val="20"/>
          <w:szCs w:val="20"/>
          <w:lang w:val="es-CO"/>
        </w:rPr>
        <w:t>.</w:t>
      </w:r>
    </w:p>
    <w:p w:rsidR="005F4DC5" w:rsidRPr="009712EB" w:rsidRDefault="005F4DC5" w:rsidP="004507F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451B0F"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i/>
          <w:sz w:val="20"/>
          <w:szCs w:val="20"/>
          <w:lang w:val="es-CO"/>
        </w:rPr>
        <w:t>Yasahira Edith Carrera</w:t>
      </w:r>
      <w:r w:rsidRPr="009712EB">
        <w:rPr>
          <w:sz w:val="20"/>
          <w:szCs w:val="20"/>
          <w:lang w:val="es-CO"/>
        </w:rPr>
        <w:t xml:space="preserve"> identificada en el caso No. 15, era una joven panameña residente del corregimiento Viejo Veranillo</w:t>
      </w:r>
      <w:r w:rsidRPr="009712EB">
        <w:rPr>
          <w:sz w:val="20"/>
          <w:szCs w:val="20"/>
          <w:vertAlign w:val="superscript"/>
        </w:rPr>
        <w:footnoteReference w:id="389"/>
      </w:r>
      <w:r w:rsidRPr="009712EB">
        <w:rPr>
          <w:sz w:val="20"/>
          <w:szCs w:val="20"/>
          <w:lang w:val="es-CO"/>
        </w:rPr>
        <w:t>.  En horas de la mañana del 20 de diciembre de 1989, de acuerdo con la declaración, fueron atacadas en su casa por morteros provenientes de los soldados estadounidenses</w:t>
      </w:r>
      <w:r w:rsidRPr="009712EB">
        <w:rPr>
          <w:sz w:val="20"/>
          <w:szCs w:val="20"/>
          <w:vertAlign w:val="superscript"/>
        </w:rPr>
        <w:footnoteReference w:id="390"/>
      </w:r>
      <w:r w:rsidRPr="009712EB">
        <w:rPr>
          <w:sz w:val="20"/>
          <w:szCs w:val="20"/>
          <w:lang w:val="es-CO"/>
        </w:rPr>
        <w:t xml:space="preserve">. Yasahira, quien al momento tenía 14 años, sufrió lesiones </w:t>
      </w:r>
      <w:r w:rsidR="005039C5" w:rsidRPr="009712EB">
        <w:rPr>
          <w:sz w:val="20"/>
          <w:szCs w:val="20"/>
          <w:lang w:val="es-CO"/>
        </w:rPr>
        <w:t xml:space="preserve">en la pierna izquierda y en el rostro </w:t>
      </w:r>
      <w:r w:rsidR="005039C5">
        <w:rPr>
          <w:sz w:val="20"/>
          <w:szCs w:val="20"/>
          <w:lang w:val="es-CO"/>
        </w:rPr>
        <w:t xml:space="preserve">debido a los </w:t>
      </w:r>
      <w:r w:rsidRPr="009712EB">
        <w:rPr>
          <w:sz w:val="20"/>
          <w:szCs w:val="20"/>
          <w:lang w:val="es-CO"/>
        </w:rPr>
        <w:t>fragmentos desprendidos de los morteros</w:t>
      </w:r>
      <w:r w:rsidRPr="009712EB">
        <w:rPr>
          <w:sz w:val="20"/>
          <w:szCs w:val="20"/>
          <w:vertAlign w:val="superscript"/>
        </w:rPr>
        <w:footnoteReference w:id="391"/>
      </w:r>
      <w:r w:rsidRPr="009712EB">
        <w:rPr>
          <w:sz w:val="20"/>
          <w:szCs w:val="20"/>
          <w:lang w:val="es-CO"/>
        </w:rPr>
        <w:t>. Para el momento de la presentación de la petición, todavía tenía la presencia de cuerpo extraño en la pierna</w:t>
      </w:r>
      <w:r w:rsidRPr="009712EB">
        <w:rPr>
          <w:sz w:val="20"/>
          <w:szCs w:val="20"/>
          <w:vertAlign w:val="superscript"/>
        </w:rPr>
        <w:footnoteReference w:id="392"/>
      </w:r>
      <w:r w:rsidRPr="009712EB">
        <w:rPr>
          <w:sz w:val="20"/>
          <w:szCs w:val="20"/>
          <w:lang w:val="es-CO"/>
        </w:rPr>
        <w:t>.</w:t>
      </w:r>
    </w:p>
    <w:p w:rsidR="005F4DC5" w:rsidRPr="009712EB" w:rsidRDefault="005F4DC5" w:rsidP="004507F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451B0F"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 xml:space="preserve">Conforme a esta declaración, fue atendida en la Caja del </w:t>
      </w:r>
      <w:r w:rsidRPr="004C4A1D">
        <w:rPr>
          <w:color w:val="auto"/>
          <w:sz w:val="20"/>
          <w:szCs w:val="20"/>
          <w:lang w:val="es-CO"/>
        </w:rPr>
        <w:t xml:space="preserve">Seguro Social </w:t>
      </w:r>
      <w:r w:rsidR="00BE6FE3" w:rsidRPr="004C4A1D">
        <w:rPr>
          <w:color w:val="auto"/>
          <w:sz w:val="20"/>
          <w:szCs w:val="20"/>
          <w:lang w:val="es-CO"/>
        </w:rPr>
        <w:t>y luego trasladada a</w:t>
      </w:r>
      <w:r w:rsidRPr="004C4A1D">
        <w:rPr>
          <w:color w:val="auto"/>
          <w:sz w:val="20"/>
          <w:szCs w:val="20"/>
          <w:lang w:val="es-CO"/>
        </w:rPr>
        <w:t xml:space="preserve">l </w:t>
      </w:r>
      <w:r w:rsidR="00BE6FE3" w:rsidRPr="004C4A1D">
        <w:rPr>
          <w:color w:val="auto"/>
          <w:sz w:val="20"/>
          <w:szCs w:val="20"/>
          <w:lang w:val="es-CO"/>
        </w:rPr>
        <w:t>H</w:t>
      </w:r>
      <w:r w:rsidRPr="004C4A1D">
        <w:rPr>
          <w:color w:val="auto"/>
          <w:sz w:val="20"/>
          <w:szCs w:val="20"/>
          <w:lang w:val="es-CO"/>
        </w:rPr>
        <w:t xml:space="preserve">ospital Gorgas </w:t>
      </w:r>
      <w:r w:rsidR="004507F0" w:rsidRPr="004C4A1D">
        <w:rPr>
          <w:color w:val="auto"/>
          <w:sz w:val="20"/>
          <w:szCs w:val="20"/>
          <w:lang w:val="es-CO"/>
        </w:rPr>
        <w:t>cuando su madre</w:t>
      </w:r>
      <w:r w:rsidR="00BE6FE3" w:rsidRPr="004C4A1D">
        <w:rPr>
          <w:color w:val="auto"/>
          <w:sz w:val="20"/>
          <w:szCs w:val="20"/>
          <w:lang w:val="es-CO"/>
        </w:rPr>
        <w:t xml:space="preserve"> Rosa Valdés </w:t>
      </w:r>
      <w:r w:rsidR="005A2909" w:rsidRPr="004C4A1D">
        <w:rPr>
          <w:color w:val="auto"/>
          <w:sz w:val="20"/>
          <w:szCs w:val="20"/>
          <w:lang w:val="es-CO"/>
        </w:rPr>
        <w:t>t</w:t>
      </w:r>
      <w:r w:rsidR="004507F0" w:rsidRPr="004C4A1D">
        <w:rPr>
          <w:color w:val="auto"/>
          <w:sz w:val="20"/>
          <w:szCs w:val="20"/>
          <w:lang w:val="es-CO"/>
        </w:rPr>
        <w:t>uvo</w:t>
      </w:r>
      <w:r w:rsidR="005A2909" w:rsidRPr="004C4A1D">
        <w:rPr>
          <w:color w:val="auto"/>
          <w:sz w:val="20"/>
          <w:szCs w:val="20"/>
          <w:lang w:val="es-CO"/>
        </w:rPr>
        <w:t xml:space="preserve"> </w:t>
      </w:r>
      <w:r w:rsidR="00BE6FE3" w:rsidRPr="004C4A1D">
        <w:rPr>
          <w:color w:val="auto"/>
          <w:sz w:val="20"/>
          <w:szCs w:val="20"/>
          <w:lang w:val="es-CO"/>
        </w:rPr>
        <w:t xml:space="preserve">conocimiento de la asistencia médica </w:t>
      </w:r>
      <w:r w:rsidR="00BE6FE3" w:rsidRPr="004507F0">
        <w:rPr>
          <w:color w:val="auto"/>
          <w:sz w:val="20"/>
          <w:szCs w:val="20"/>
          <w:lang w:val="es-CO"/>
        </w:rPr>
        <w:t xml:space="preserve">que estaban </w:t>
      </w:r>
      <w:r w:rsidR="004C4A1D" w:rsidRPr="004507F0">
        <w:rPr>
          <w:color w:val="auto"/>
          <w:sz w:val="20"/>
          <w:szCs w:val="20"/>
          <w:lang w:val="es-CO"/>
        </w:rPr>
        <w:t>proporcionando</w:t>
      </w:r>
      <w:r w:rsidRPr="004507F0">
        <w:rPr>
          <w:color w:val="auto"/>
          <w:sz w:val="20"/>
          <w:szCs w:val="20"/>
          <w:vertAlign w:val="superscript"/>
        </w:rPr>
        <w:footnoteReference w:id="393"/>
      </w:r>
      <w:r w:rsidRPr="004507F0">
        <w:rPr>
          <w:color w:val="auto"/>
          <w:sz w:val="20"/>
          <w:szCs w:val="20"/>
          <w:lang w:val="es-CO"/>
        </w:rPr>
        <w:t xml:space="preserve">. </w:t>
      </w:r>
      <w:r w:rsidRPr="009712EB">
        <w:rPr>
          <w:sz w:val="20"/>
          <w:szCs w:val="20"/>
          <w:lang w:val="es-CO"/>
        </w:rPr>
        <w:t>En el lugar, luego de darle algunas medicinas para el dolor le informaron que “no estaban atendiendo casos de panameños de ninguna índole” y que la atención de su hija “tenía que ser de médicos y hospitales panameños”</w:t>
      </w:r>
      <w:r w:rsidRPr="009712EB">
        <w:rPr>
          <w:sz w:val="20"/>
          <w:szCs w:val="20"/>
          <w:vertAlign w:val="superscript"/>
        </w:rPr>
        <w:footnoteReference w:id="394"/>
      </w:r>
      <w:r w:rsidRPr="009712EB">
        <w:rPr>
          <w:sz w:val="20"/>
          <w:szCs w:val="20"/>
          <w:lang w:val="es-CO"/>
        </w:rPr>
        <w:t>.</w:t>
      </w:r>
    </w:p>
    <w:p w:rsidR="005F4DC5" w:rsidRPr="009712EB" w:rsidRDefault="005F4DC5" w:rsidP="004507F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451B0F" w:rsidRPr="004507F0"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CO"/>
        </w:rPr>
      </w:pPr>
      <w:r w:rsidRPr="009712EB">
        <w:rPr>
          <w:i/>
          <w:sz w:val="20"/>
          <w:szCs w:val="20"/>
          <w:lang w:val="es-CO"/>
        </w:rPr>
        <w:t>Marlene Wanjura Alvio</w:t>
      </w:r>
      <w:r w:rsidRPr="009712EB">
        <w:rPr>
          <w:sz w:val="20"/>
          <w:szCs w:val="20"/>
          <w:lang w:val="es-CO"/>
        </w:rPr>
        <w:t xml:space="preserve"> identificada en el caso No. 16, era una panameña de 28 años de edad, residente del corregimiento de Viejo Veranillo</w:t>
      </w:r>
      <w:r w:rsidR="005039C5">
        <w:rPr>
          <w:sz w:val="20"/>
          <w:szCs w:val="20"/>
          <w:lang w:val="es-CO"/>
        </w:rPr>
        <w:t>,</w:t>
      </w:r>
      <w:r w:rsidRPr="009712EB">
        <w:rPr>
          <w:sz w:val="20"/>
          <w:szCs w:val="20"/>
          <w:lang w:val="es-CO"/>
        </w:rPr>
        <w:t xml:space="preserve"> y </w:t>
      </w:r>
      <w:r w:rsidR="005039C5">
        <w:rPr>
          <w:sz w:val="20"/>
          <w:szCs w:val="20"/>
          <w:lang w:val="es-CO"/>
        </w:rPr>
        <w:t>trabajaba como trabajadora</w:t>
      </w:r>
      <w:r w:rsidRPr="009712EB">
        <w:rPr>
          <w:sz w:val="20"/>
          <w:szCs w:val="20"/>
          <w:lang w:val="es-CO"/>
        </w:rPr>
        <w:t xml:space="preserve"> manual</w:t>
      </w:r>
      <w:r w:rsidRPr="009712EB">
        <w:rPr>
          <w:sz w:val="20"/>
          <w:szCs w:val="20"/>
          <w:vertAlign w:val="superscript"/>
        </w:rPr>
        <w:footnoteReference w:id="395"/>
      </w:r>
      <w:r w:rsidRPr="009712EB">
        <w:rPr>
          <w:sz w:val="20"/>
          <w:szCs w:val="20"/>
          <w:lang w:val="es-CO"/>
        </w:rPr>
        <w:t xml:space="preserve">. Conforme a la declaración, el 20 de </w:t>
      </w:r>
      <w:r w:rsidRPr="004507F0">
        <w:rPr>
          <w:color w:val="auto"/>
          <w:sz w:val="20"/>
          <w:szCs w:val="20"/>
          <w:lang w:val="es-CO"/>
        </w:rPr>
        <w:t>diciembre de 1989 entre las 10:30 y 11 am “un mortero cayó al pie de la casa de [sus] padres” a raíz de lo cual sufrió una lesión en la mano izquierda</w:t>
      </w:r>
      <w:r w:rsidRPr="004507F0">
        <w:rPr>
          <w:color w:val="auto"/>
          <w:sz w:val="20"/>
          <w:szCs w:val="20"/>
          <w:vertAlign w:val="superscript"/>
        </w:rPr>
        <w:footnoteReference w:id="396"/>
      </w:r>
      <w:r w:rsidRPr="004507F0">
        <w:rPr>
          <w:color w:val="auto"/>
          <w:sz w:val="20"/>
          <w:szCs w:val="20"/>
          <w:lang w:val="es-CO"/>
        </w:rPr>
        <w:t xml:space="preserve">. </w:t>
      </w:r>
    </w:p>
    <w:p w:rsidR="005F4DC5" w:rsidRPr="004507F0" w:rsidRDefault="005F4DC5" w:rsidP="004507F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CO"/>
        </w:rPr>
      </w:pPr>
    </w:p>
    <w:p w:rsidR="00451B0F"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4507F0">
        <w:rPr>
          <w:color w:val="auto"/>
          <w:sz w:val="20"/>
          <w:szCs w:val="20"/>
          <w:lang w:val="es-CO"/>
        </w:rPr>
        <w:t>Marlene Wanjura</w:t>
      </w:r>
      <w:r w:rsidR="00BE6FE3" w:rsidRPr="004507F0">
        <w:rPr>
          <w:color w:val="auto"/>
          <w:sz w:val="20"/>
          <w:szCs w:val="20"/>
          <w:lang w:val="es-CO"/>
        </w:rPr>
        <w:t xml:space="preserve"> </w:t>
      </w:r>
      <w:r w:rsidRPr="004507F0">
        <w:rPr>
          <w:color w:val="auto"/>
          <w:sz w:val="20"/>
          <w:szCs w:val="20"/>
          <w:lang w:val="es-CO"/>
        </w:rPr>
        <w:t>tuvo que recibir atención médica en varias ocasi</w:t>
      </w:r>
      <w:r w:rsidRPr="009712EB">
        <w:rPr>
          <w:sz w:val="20"/>
          <w:szCs w:val="20"/>
          <w:lang w:val="es-CO"/>
        </w:rPr>
        <w:t>ones en razón de su lesión y del dolor que ésta le generaba en los huesos</w:t>
      </w:r>
      <w:r w:rsidRPr="009712EB">
        <w:rPr>
          <w:sz w:val="20"/>
          <w:szCs w:val="20"/>
          <w:vertAlign w:val="superscript"/>
        </w:rPr>
        <w:footnoteReference w:id="397"/>
      </w:r>
      <w:r w:rsidRPr="009712EB">
        <w:rPr>
          <w:sz w:val="20"/>
          <w:szCs w:val="20"/>
          <w:lang w:val="es-CO"/>
        </w:rPr>
        <w:t>. El mismo 20 de diciembre le sacaron la esquirla</w:t>
      </w:r>
      <w:r w:rsidRPr="009712EB">
        <w:rPr>
          <w:sz w:val="20"/>
          <w:szCs w:val="20"/>
          <w:vertAlign w:val="superscript"/>
        </w:rPr>
        <w:footnoteReference w:id="398"/>
      </w:r>
      <w:r w:rsidRPr="009712EB">
        <w:rPr>
          <w:sz w:val="20"/>
          <w:szCs w:val="20"/>
          <w:lang w:val="es-CO"/>
        </w:rPr>
        <w:t xml:space="preserve"> y el 4 de enero 1990 fue operada para colocarle micro-tornillos</w:t>
      </w:r>
      <w:r w:rsidRPr="009712EB">
        <w:rPr>
          <w:sz w:val="20"/>
          <w:szCs w:val="20"/>
          <w:vertAlign w:val="superscript"/>
        </w:rPr>
        <w:footnoteReference w:id="399"/>
      </w:r>
      <w:r w:rsidRPr="009712EB">
        <w:rPr>
          <w:sz w:val="20"/>
          <w:szCs w:val="20"/>
          <w:lang w:val="es-CO"/>
        </w:rPr>
        <w:t>. A pesar de que los tornillos fueron retirados, no ha</w:t>
      </w:r>
      <w:r w:rsidR="00BE6FE3" w:rsidRPr="009712EB">
        <w:rPr>
          <w:sz w:val="20"/>
          <w:szCs w:val="20"/>
          <w:lang w:val="es-CO"/>
        </w:rPr>
        <w:t>bía</w:t>
      </w:r>
      <w:r w:rsidRPr="009712EB">
        <w:rPr>
          <w:sz w:val="20"/>
          <w:szCs w:val="20"/>
          <w:lang w:val="es-CO"/>
        </w:rPr>
        <w:t xml:space="preserve"> podido trabajar por el dolor frecuente y por falta de prótesis</w:t>
      </w:r>
      <w:r w:rsidRPr="009712EB">
        <w:rPr>
          <w:sz w:val="20"/>
          <w:szCs w:val="20"/>
          <w:vertAlign w:val="superscript"/>
        </w:rPr>
        <w:footnoteReference w:id="400"/>
      </w:r>
      <w:r w:rsidRPr="009712EB">
        <w:rPr>
          <w:sz w:val="20"/>
          <w:szCs w:val="20"/>
          <w:lang w:val="es-CO"/>
        </w:rPr>
        <w:t xml:space="preserve">. En su declaración, la Sra. Wanjura </w:t>
      </w:r>
      <w:r w:rsidR="005A2909">
        <w:rPr>
          <w:sz w:val="20"/>
          <w:szCs w:val="20"/>
          <w:lang w:val="es-CO"/>
        </w:rPr>
        <w:t>resalt</w:t>
      </w:r>
      <w:r w:rsidR="005A2909" w:rsidRPr="009712EB">
        <w:rPr>
          <w:sz w:val="20"/>
          <w:szCs w:val="20"/>
          <w:lang w:val="es-CO"/>
        </w:rPr>
        <w:t xml:space="preserve">ó </w:t>
      </w:r>
      <w:r w:rsidRPr="009712EB">
        <w:rPr>
          <w:sz w:val="20"/>
          <w:szCs w:val="20"/>
          <w:lang w:val="es-CO"/>
        </w:rPr>
        <w:t>que acudió a la oficina de reclamos del Comando Sur y al Hospital Gorgas bajo la administración de estadounidenses, y en ambos lugares “le negaron la ayuda”</w:t>
      </w:r>
      <w:r w:rsidRPr="009712EB">
        <w:rPr>
          <w:sz w:val="20"/>
          <w:szCs w:val="20"/>
          <w:vertAlign w:val="superscript"/>
        </w:rPr>
        <w:footnoteReference w:id="401"/>
      </w:r>
      <w:r w:rsidRPr="009712EB">
        <w:rPr>
          <w:sz w:val="20"/>
          <w:szCs w:val="20"/>
          <w:lang w:val="es-CO"/>
        </w:rPr>
        <w:t>.</w:t>
      </w:r>
    </w:p>
    <w:p w:rsidR="005F4DC5" w:rsidRPr="009712EB"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CO"/>
        </w:rPr>
      </w:pPr>
    </w:p>
    <w:p w:rsidR="00451B0F"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i/>
          <w:sz w:val="20"/>
          <w:szCs w:val="20"/>
          <w:lang w:val="es-CO"/>
        </w:rPr>
      </w:pPr>
      <w:r w:rsidRPr="009712EB">
        <w:rPr>
          <w:sz w:val="20"/>
          <w:szCs w:val="20"/>
          <w:lang w:val="es-CO"/>
        </w:rPr>
        <w:t>En el marco de estas circunstancias, autoridades del Colegio Instituto de América, lug</w:t>
      </w:r>
      <w:r w:rsidRPr="008D4E5B">
        <w:rPr>
          <w:color w:val="auto"/>
          <w:sz w:val="20"/>
          <w:szCs w:val="20"/>
          <w:lang w:val="es-CO"/>
        </w:rPr>
        <w:t xml:space="preserve">ar donde </w:t>
      </w:r>
      <w:r w:rsidRPr="009712EB">
        <w:rPr>
          <w:sz w:val="20"/>
          <w:szCs w:val="20"/>
          <w:lang w:val="es-CO"/>
        </w:rPr>
        <w:t>trabajaba</w:t>
      </w:r>
      <w:r w:rsidRPr="009712EB">
        <w:rPr>
          <w:sz w:val="20"/>
          <w:szCs w:val="20"/>
          <w:vertAlign w:val="superscript"/>
        </w:rPr>
        <w:footnoteReference w:id="402"/>
      </w:r>
      <w:r w:rsidRPr="009712EB">
        <w:rPr>
          <w:sz w:val="20"/>
          <w:szCs w:val="20"/>
          <w:lang w:val="es-CO"/>
        </w:rPr>
        <w:t xml:space="preserve">, se negaron a “firmarle incapacidades” por lo que se vio en la necesidad de acudir al Ministerio de </w:t>
      </w:r>
      <w:r w:rsidR="005A2909">
        <w:rPr>
          <w:sz w:val="20"/>
          <w:szCs w:val="20"/>
          <w:lang w:val="es-CO"/>
        </w:rPr>
        <w:lastRenderedPageBreak/>
        <w:t>E</w:t>
      </w:r>
      <w:r w:rsidRPr="009712EB">
        <w:rPr>
          <w:sz w:val="20"/>
          <w:szCs w:val="20"/>
          <w:lang w:val="es-CO"/>
        </w:rPr>
        <w:t>ducación</w:t>
      </w:r>
      <w:r w:rsidRPr="009712EB">
        <w:rPr>
          <w:sz w:val="20"/>
          <w:szCs w:val="20"/>
          <w:vertAlign w:val="superscript"/>
        </w:rPr>
        <w:footnoteReference w:id="403"/>
      </w:r>
      <w:r w:rsidR="004C4A1D">
        <w:rPr>
          <w:sz w:val="20"/>
          <w:szCs w:val="20"/>
          <w:lang w:val="es-CO"/>
        </w:rPr>
        <w:t xml:space="preserve">. </w:t>
      </w:r>
      <w:r w:rsidRPr="009712EB">
        <w:rPr>
          <w:sz w:val="20"/>
          <w:szCs w:val="20"/>
          <w:lang w:val="es-CO"/>
        </w:rPr>
        <w:t>Marlene Wanjura fue acusada de ser miembro de los batallones de dignidad y fue destituida de su cargo sin recibir el pago de “sus incapacidades”</w:t>
      </w:r>
      <w:r w:rsidRPr="009712EB">
        <w:rPr>
          <w:sz w:val="20"/>
          <w:szCs w:val="20"/>
          <w:vertAlign w:val="superscript"/>
        </w:rPr>
        <w:footnoteReference w:id="404"/>
      </w:r>
      <w:r w:rsidRPr="009712EB">
        <w:rPr>
          <w:sz w:val="20"/>
          <w:szCs w:val="20"/>
          <w:lang w:val="es-CO"/>
        </w:rPr>
        <w:t>.</w:t>
      </w:r>
    </w:p>
    <w:p w:rsidR="005F4DC5" w:rsidRPr="009712EB" w:rsidRDefault="005F4DC5" w:rsidP="008D4E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i/>
          <w:sz w:val="20"/>
          <w:szCs w:val="20"/>
          <w:lang w:val="es-CO"/>
        </w:rPr>
      </w:pPr>
    </w:p>
    <w:p w:rsidR="00451B0F" w:rsidRPr="008D4E5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CO"/>
        </w:rPr>
      </w:pPr>
      <w:r w:rsidRPr="009712EB">
        <w:rPr>
          <w:i/>
          <w:sz w:val="20"/>
          <w:szCs w:val="20"/>
          <w:lang w:val="es-CO"/>
        </w:rPr>
        <w:t>Andreita Núñez</w:t>
      </w:r>
      <w:r w:rsidRPr="009712EB">
        <w:rPr>
          <w:sz w:val="20"/>
          <w:szCs w:val="20"/>
          <w:lang w:val="es-CO"/>
        </w:rPr>
        <w:t xml:space="preserve"> identificada en el caso No. 17, era una mujer panameña residente </w:t>
      </w:r>
      <w:r w:rsidR="005039C5">
        <w:rPr>
          <w:sz w:val="20"/>
          <w:szCs w:val="20"/>
          <w:lang w:val="es-CO"/>
        </w:rPr>
        <w:t xml:space="preserve">para el momento de los hechos </w:t>
      </w:r>
      <w:r w:rsidRPr="009712EB">
        <w:rPr>
          <w:sz w:val="20"/>
          <w:szCs w:val="20"/>
          <w:lang w:val="es-CO"/>
        </w:rPr>
        <w:t>del Corregimiento Viejo Veranillo</w:t>
      </w:r>
      <w:r w:rsidRPr="009712EB">
        <w:rPr>
          <w:sz w:val="20"/>
          <w:szCs w:val="20"/>
          <w:vertAlign w:val="superscript"/>
        </w:rPr>
        <w:footnoteReference w:id="405"/>
      </w:r>
      <w:r w:rsidRPr="009712EB">
        <w:rPr>
          <w:sz w:val="20"/>
          <w:szCs w:val="20"/>
          <w:lang w:val="es-CO"/>
        </w:rPr>
        <w:t>. Conforme a la declaración presentada, el 20 de diciembre de 1989 a las 9.30 am su casa fue bombardeada “a causa de la invasión de fuerzas militares de l</w:t>
      </w:r>
      <w:r w:rsidRPr="008D4E5B">
        <w:rPr>
          <w:color w:val="auto"/>
          <w:sz w:val="20"/>
          <w:szCs w:val="20"/>
          <w:lang w:val="es-CO"/>
        </w:rPr>
        <w:t>os Estados Unidos”</w:t>
      </w:r>
      <w:r w:rsidRPr="008D4E5B">
        <w:rPr>
          <w:color w:val="auto"/>
          <w:sz w:val="20"/>
          <w:szCs w:val="20"/>
          <w:vertAlign w:val="superscript"/>
        </w:rPr>
        <w:footnoteReference w:id="406"/>
      </w:r>
      <w:r w:rsidRPr="008D4E5B">
        <w:rPr>
          <w:color w:val="auto"/>
          <w:sz w:val="20"/>
          <w:szCs w:val="20"/>
          <w:lang w:val="es-CO"/>
        </w:rPr>
        <w:t>. A raíz de “la explosión de un mortero” resultó herida en el lado derecho de su cuerpo y perdió la memoria</w:t>
      </w:r>
      <w:r w:rsidRPr="008D4E5B">
        <w:rPr>
          <w:color w:val="auto"/>
          <w:sz w:val="20"/>
          <w:szCs w:val="20"/>
          <w:vertAlign w:val="superscript"/>
        </w:rPr>
        <w:footnoteReference w:id="407"/>
      </w:r>
      <w:r w:rsidRPr="008D4E5B">
        <w:rPr>
          <w:color w:val="auto"/>
          <w:sz w:val="20"/>
          <w:szCs w:val="20"/>
          <w:lang w:val="es-CO"/>
        </w:rPr>
        <w:t>. Denunci</w:t>
      </w:r>
      <w:r w:rsidR="00BE6FE3" w:rsidRPr="008D4E5B">
        <w:rPr>
          <w:color w:val="auto"/>
          <w:sz w:val="20"/>
          <w:szCs w:val="20"/>
          <w:lang w:val="es-CO"/>
        </w:rPr>
        <w:t>ó</w:t>
      </w:r>
      <w:r w:rsidRPr="008D4E5B">
        <w:rPr>
          <w:color w:val="auto"/>
          <w:sz w:val="20"/>
          <w:szCs w:val="20"/>
          <w:lang w:val="es-CO"/>
        </w:rPr>
        <w:t xml:space="preserve"> que no pudo comer por una semana y perdió su trabajo a causa de las heridas</w:t>
      </w:r>
      <w:r w:rsidRPr="008D4E5B">
        <w:rPr>
          <w:color w:val="auto"/>
          <w:sz w:val="20"/>
          <w:szCs w:val="20"/>
          <w:vertAlign w:val="superscript"/>
        </w:rPr>
        <w:footnoteReference w:id="408"/>
      </w:r>
      <w:r w:rsidRPr="008D4E5B">
        <w:rPr>
          <w:color w:val="auto"/>
          <w:sz w:val="20"/>
          <w:szCs w:val="20"/>
          <w:lang w:val="es-CO"/>
        </w:rPr>
        <w:t>.</w:t>
      </w:r>
    </w:p>
    <w:p w:rsidR="005F4DC5" w:rsidRPr="009712EB" w:rsidRDefault="005F4DC5" w:rsidP="008D4E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451B0F" w:rsidRPr="009712EB" w:rsidRDefault="00451B0F"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i/>
          <w:sz w:val="20"/>
          <w:szCs w:val="20"/>
          <w:lang w:val="es-CO"/>
        </w:rPr>
        <w:t>Ángel Antonio Alonso Cubilla y su hijo Ángel Antonio Alonso Corro</w:t>
      </w:r>
      <w:r w:rsidRPr="009712EB">
        <w:rPr>
          <w:sz w:val="20"/>
          <w:szCs w:val="20"/>
          <w:lang w:val="es-CO"/>
        </w:rPr>
        <w:t xml:space="preserve"> identificados en el caso No. 19, eran padre e hijo de nacionalidad panameña residente</w:t>
      </w:r>
      <w:r w:rsidR="00BE6FE3" w:rsidRPr="009712EB">
        <w:rPr>
          <w:sz w:val="20"/>
          <w:szCs w:val="20"/>
          <w:lang w:val="es-CO"/>
        </w:rPr>
        <w:t>s</w:t>
      </w:r>
      <w:r w:rsidRPr="009712EB">
        <w:rPr>
          <w:sz w:val="20"/>
          <w:szCs w:val="20"/>
          <w:lang w:val="es-CO"/>
        </w:rPr>
        <w:t xml:space="preserve"> </w:t>
      </w:r>
      <w:r w:rsidR="005039C5">
        <w:rPr>
          <w:sz w:val="20"/>
          <w:szCs w:val="20"/>
          <w:lang w:val="es-CO"/>
        </w:rPr>
        <w:t xml:space="preserve">para el momento de los hechos </w:t>
      </w:r>
      <w:r w:rsidRPr="009712EB">
        <w:rPr>
          <w:sz w:val="20"/>
          <w:szCs w:val="20"/>
          <w:lang w:val="es-CO"/>
        </w:rPr>
        <w:t>del área de Los Andes en San Miguelito</w:t>
      </w:r>
      <w:r w:rsidRPr="009712EB">
        <w:rPr>
          <w:sz w:val="20"/>
          <w:szCs w:val="20"/>
          <w:vertAlign w:val="superscript"/>
        </w:rPr>
        <w:footnoteReference w:id="409"/>
      </w:r>
      <w:r w:rsidRPr="009712EB">
        <w:rPr>
          <w:sz w:val="20"/>
          <w:szCs w:val="20"/>
          <w:lang w:val="es-CO"/>
        </w:rPr>
        <w:t xml:space="preserve">. Para </w:t>
      </w:r>
      <w:r w:rsidR="005039C5">
        <w:rPr>
          <w:sz w:val="20"/>
          <w:szCs w:val="20"/>
          <w:lang w:val="es-CO"/>
        </w:rPr>
        <w:t>aquel momento</w:t>
      </w:r>
      <w:r w:rsidRPr="009712EB">
        <w:rPr>
          <w:sz w:val="20"/>
          <w:szCs w:val="20"/>
          <w:lang w:val="es-CO"/>
        </w:rPr>
        <w:t>, Ángel Alonso Cubilla tenía 41 años de edad y su hijo tenía 14 años</w:t>
      </w:r>
      <w:r w:rsidRPr="009712EB">
        <w:rPr>
          <w:sz w:val="20"/>
          <w:szCs w:val="20"/>
          <w:vertAlign w:val="superscript"/>
        </w:rPr>
        <w:footnoteReference w:id="410"/>
      </w:r>
      <w:r w:rsidRPr="009712EB">
        <w:rPr>
          <w:sz w:val="20"/>
          <w:szCs w:val="20"/>
          <w:lang w:val="es-CO"/>
        </w:rPr>
        <w:t>. Conforme a información presentada, el 20 de diciembre de 1989 mientras sobrevolaban varios helicópteros artillados “fue descargada una bomba” la cual impactó sobre su casa</w:t>
      </w:r>
      <w:r w:rsidRPr="009712EB">
        <w:rPr>
          <w:sz w:val="20"/>
          <w:szCs w:val="20"/>
          <w:vertAlign w:val="superscript"/>
        </w:rPr>
        <w:footnoteReference w:id="411"/>
      </w:r>
      <w:r w:rsidRPr="009712EB">
        <w:rPr>
          <w:sz w:val="20"/>
          <w:szCs w:val="20"/>
          <w:lang w:val="es-CO"/>
        </w:rPr>
        <w:t>. En el marco de este hecho además de los daños a su vivienda, ambos sostuvieron varias lesiones</w:t>
      </w:r>
      <w:r w:rsidRPr="009712EB">
        <w:rPr>
          <w:sz w:val="20"/>
          <w:szCs w:val="20"/>
          <w:vertAlign w:val="superscript"/>
        </w:rPr>
        <w:footnoteReference w:id="412"/>
      </w:r>
      <w:r w:rsidRPr="009712EB">
        <w:rPr>
          <w:sz w:val="20"/>
          <w:szCs w:val="20"/>
          <w:lang w:val="es-CO"/>
        </w:rPr>
        <w:t>. Ángel Alonso Corro en el antebrazo derecho y el muslo derecho, mientras que su padre Ángel Alonso Cubilla sufrió cortadas en el muslo y los tendones, y</w:t>
      </w:r>
      <w:r w:rsidR="005E318F">
        <w:rPr>
          <w:sz w:val="20"/>
          <w:szCs w:val="20"/>
          <w:lang w:val="es-CO"/>
        </w:rPr>
        <w:t xml:space="preserve"> “quedó incapacitado del brazo”. El brazo resultó</w:t>
      </w:r>
      <w:r w:rsidRPr="009712EB">
        <w:rPr>
          <w:sz w:val="20"/>
          <w:szCs w:val="20"/>
          <w:lang w:val="es-CO"/>
        </w:rPr>
        <w:t xml:space="preserve"> deformado y </w:t>
      </w:r>
      <w:r w:rsidR="005E318F">
        <w:rPr>
          <w:sz w:val="20"/>
          <w:szCs w:val="20"/>
          <w:lang w:val="es-CO"/>
        </w:rPr>
        <w:t xml:space="preserve">lo dejó </w:t>
      </w:r>
      <w:r w:rsidRPr="009712EB">
        <w:rPr>
          <w:sz w:val="20"/>
          <w:szCs w:val="20"/>
          <w:lang w:val="es-CO"/>
        </w:rPr>
        <w:t>con dolor en la muñeca</w:t>
      </w:r>
      <w:r w:rsidRPr="009712EB">
        <w:rPr>
          <w:sz w:val="20"/>
          <w:szCs w:val="20"/>
          <w:vertAlign w:val="superscript"/>
        </w:rPr>
        <w:footnoteReference w:id="413"/>
      </w:r>
      <w:r w:rsidRPr="009712EB">
        <w:rPr>
          <w:sz w:val="20"/>
          <w:szCs w:val="20"/>
          <w:lang w:val="es-CO"/>
        </w:rPr>
        <w:t>.</w:t>
      </w:r>
    </w:p>
    <w:p w:rsidR="005F4DC5" w:rsidRPr="009712EB"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CO"/>
        </w:rPr>
      </w:pPr>
    </w:p>
    <w:p w:rsidR="00D529F8" w:rsidRDefault="00D529F8">
      <w:pPr>
        <w:rPr>
          <w:rFonts w:ascii="Cambria" w:eastAsia="Cambria" w:hAnsi="Cambria" w:cs="Cambria"/>
          <w:b/>
          <w:color w:val="000000"/>
          <w:sz w:val="20"/>
          <w:szCs w:val="20"/>
          <w:u w:color="000000"/>
          <w:lang w:val="es-CO" w:eastAsia="es-ES"/>
        </w:rPr>
      </w:pPr>
      <w:r>
        <w:rPr>
          <w:b/>
          <w:sz w:val="20"/>
          <w:szCs w:val="20"/>
          <w:lang w:val="es-CO"/>
        </w:rPr>
        <w:br w:type="page"/>
      </w:r>
    </w:p>
    <w:p w:rsidR="00A062F9" w:rsidRPr="009712EB" w:rsidRDefault="00A062F9" w:rsidP="003B1EC8">
      <w:pPr>
        <w:pStyle w:val="ListParagraph"/>
        <w:numPr>
          <w:ilvl w:val="2"/>
          <w:numId w:val="60"/>
        </w:numPr>
        <w:pBdr>
          <w:top w:val="none" w:sz="0" w:space="0" w:color="auto"/>
          <w:left w:val="none" w:sz="0" w:space="0" w:color="auto"/>
          <w:bottom w:val="none" w:sz="0" w:space="0" w:color="auto"/>
          <w:right w:val="none" w:sz="0" w:space="0" w:color="auto"/>
          <w:between w:val="none" w:sz="0" w:space="0" w:color="auto"/>
          <w:bar w:val="none" w:sz="0" w:color="auto"/>
        </w:pBdr>
        <w:ind w:left="1080" w:hanging="360"/>
        <w:jc w:val="both"/>
        <w:rPr>
          <w:sz w:val="20"/>
          <w:szCs w:val="20"/>
          <w:lang w:val="es-CO"/>
        </w:rPr>
      </w:pPr>
      <w:r w:rsidRPr="009712EB">
        <w:rPr>
          <w:b/>
          <w:sz w:val="20"/>
          <w:szCs w:val="20"/>
          <w:lang w:val="es-CO"/>
        </w:rPr>
        <w:lastRenderedPageBreak/>
        <w:t>Lesiones por armas de fuego</w:t>
      </w:r>
    </w:p>
    <w:p w:rsidR="005F4DC5" w:rsidRPr="009712EB"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320"/>
        <w:jc w:val="both"/>
        <w:rPr>
          <w:b/>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i/>
          <w:sz w:val="20"/>
          <w:szCs w:val="20"/>
          <w:lang w:val="es-CO"/>
        </w:rPr>
        <w:t>Ariel Caballero Rodríguez</w:t>
      </w:r>
      <w:r w:rsidRPr="009712EB">
        <w:rPr>
          <w:sz w:val="20"/>
          <w:szCs w:val="20"/>
          <w:lang w:val="es-CO"/>
        </w:rPr>
        <w:t xml:space="preserve"> identificado en el caso No. 83, era </w:t>
      </w:r>
      <w:r w:rsidR="005E318F">
        <w:rPr>
          <w:sz w:val="20"/>
          <w:szCs w:val="20"/>
          <w:lang w:val="es-CO"/>
        </w:rPr>
        <w:t xml:space="preserve">para el momento de los hechos, </w:t>
      </w:r>
      <w:r w:rsidRPr="009712EB">
        <w:rPr>
          <w:sz w:val="20"/>
          <w:szCs w:val="20"/>
          <w:lang w:val="es-CO"/>
        </w:rPr>
        <w:t>un hombre de nacionalidad panameña de 22 años de edad</w:t>
      </w:r>
      <w:r w:rsidRPr="009712EB">
        <w:rPr>
          <w:sz w:val="20"/>
          <w:szCs w:val="20"/>
          <w:vertAlign w:val="superscript"/>
        </w:rPr>
        <w:footnoteReference w:id="414"/>
      </w:r>
      <w:r w:rsidRPr="009712EB">
        <w:rPr>
          <w:sz w:val="20"/>
          <w:szCs w:val="20"/>
          <w:lang w:val="es-CO"/>
        </w:rPr>
        <w:t>. Según declaración presentada, en un día no determinado, se encontraba en la barriada Los Andes de San Miguelito en compañía de su hijo viendo pasar las tanquetas de los estadounidenses</w:t>
      </w:r>
      <w:r w:rsidRPr="009712EB">
        <w:rPr>
          <w:sz w:val="20"/>
          <w:szCs w:val="20"/>
          <w:vertAlign w:val="superscript"/>
        </w:rPr>
        <w:footnoteReference w:id="415"/>
      </w:r>
      <w:r w:rsidRPr="009712EB">
        <w:rPr>
          <w:sz w:val="20"/>
          <w:szCs w:val="20"/>
          <w:lang w:val="es-CO"/>
        </w:rPr>
        <w:t xml:space="preserve">. Al transitar la última tanqueta, </w:t>
      </w:r>
      <w:r w:rsidR="00D55998">
        <w:rPr>
          <w:sz w:val="20"/>
          <w:szCs w:val="20"/>
          <w:lang w:val="es-CO"/>
        </w:rPr>
        <w:t xml:space="preserve">hubo </w:t>
      </w:r>
      <w:r w:rsidRPr="009712EB">
        <w:rPr>
          <w:sz w:val="20"/>
          <w:szCs w:val="20"/>
          <w:lang w:val="es-CO"/>
        </w:rPr>
        <w:t xml:space="preserve">una “ráfaga de disparos” </w:t>
      </w:r>
      <w:r w:rsidR="00D55998">
        <w:rPr>
          <w:sz w:val="20"/>
          <w:szCs w:val="20"/>
          <w:lang w:val="es-CO"/>
        </w:rPr>
        <w:t xml:space="preserve">y ambos, tanto el señor Ariel Caballero como su hijo, </w:t>
      </w:r>
      <w:r w:rsidRPr="009712EB">
        <w:rPr>
          <w:sz w:val="20"/>
          <w:szCs w:val="20"/>
          <w:lang w:val="es-CO"/>
        </w:rPr>
        <w:t>resultaron heridos</w:t>
      </w:r>
      <w:r w:rsidRPr="009712EB">
        <w:rPr>
          <w:sz w:val="20"/>
          <w:szCs w:val="20"/>
          <w:vertAlign w:val="superscript"/>
        </w:rPr>
        <w:footnoteReference w:id="416"/>
      </w:r>
      <w:r w:rsidRPr="009712EB">
        <w:rPr>
          <w:sz w:val="20"/>
          <w:szCs w:val="20"/>
          <w:lang w:val="es-CO"/>
        </w:rPr>
        <w:t xml:space="preserve">. </w:t>
      </w:r>
    </w:p>
    <w:p w:rsidR="005F4DC5" w:rsidRPr="009712EB" w:rsidRDefault="005F4DC5" w:rsidP="008D4E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De acuerdo con la información disponible, Ariel Caballero recibió herida por proyectil de arma de fuego pesada en la pierna izquierda y fracturas expuestas en el pie</w:t>
      </w:r>
      <w:r w:rsidRPr="009712EB">
        <w:rPr>
          <w:sz w:val="20"/>
          <w:szCs w:val="20"/>
          <w:vertAlign w:val="superscript"/>
        </w:rPr>
        <w:footnoteReference w:id="417"/>
      </w:r>
      <w:r w:rsidRPr="009712EB">
        <w:rPr>
          <w:sz w:val="20"/>
          <w:szCs w:val="20"/>
          <w:lang w:val="es-CO"/>
        </w:rPr>
        <w:t>.</w:t>
      </w:r>
    </w:p>
    <w:p w:rsidR="005F4DC5" w:rsidRPr="009712EB" w:rsidRDefault="005F4DC5" w:rsidP="008D4E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i/>
          <w:sz w:val="20"/>
          <w:szCs w:val="20"/>
          <w:lang w:val="es-CO"/>
        </w:rPr>
        <w:t>Gilberto Antonio Rivera Rangel</w:t>
      </w:r>
      <w:r w:rsidRPr="009712EB">
        <w:rPr>
          <w:sz w:val="20"/>
          <w:szCs w:val="20"/>
          <w:lang w:val="es-CO"/>
        </w:rPr>
        <w:t xml:space="preserve"> identificado en el caso No. 91, era</w:t>
      </w:r>
      <w:r w:rsidR="00D55998">
        <w:rPr>
          <w:sz w:val="20"/>
          <w:szCs w:val="20"/>
          <w:lang w:val="es-CO"/>
        </w:rPr>
        <w:t xml:space="preserve"> al momento de los hechos</w:t>
      </w:r>
      <w:r w:rsidRPr="009712EB">
        <w:rPr>
          <w:sz w:val="20"/>
          <w:szCs w:val="20"/>
          <w:lang w:val="es-CO"/>
        </w:rPr>
        <w:t xml:space="preserve"> un panameño de 26 años residente de El Chorrillo</w:t>
      </w:r>
      <w:r w:rsidRPr="009712EB">
        <w:rPr>
          <w:sz w:val="20"/>
          <w:szCs w:val="20"/>
          <w:vertAlign w:val="superscript"/>
        </w:rPr>
        <w:footnoteReference w:id="418"/>
      </w:r>
      <w:r w:rsidRPr="009712EB">
        <w:rPr>
          <w:sz w:val="20"/>
          <w:szCs w:val="20"/>
          <w:lang w:val="es-CO"/>
        </w:rPr>
        <w:t>. El 20 de diciembre de 1989 casi a la una de la mañana fue sorprendido por la invasión, y resultó herido en una pierna</w:t>
      </w:r>
      <w:r w:rsidRPr="009712EB">
        <w:rPr>
          <w:sz w:val="20"/>
          <w:szCs w:val="20"/>
          <w:vertAlign w:val="superscript"/>
        </w:rPr>
        <w:footnoteReference w:id="419"/>
      </w:r>
      <w:r w:rsidRPr="009712EB">
        <w:rPr>
          <w:sz w:val="20"/>
          <w:szCs w:val="20"/>
          <w:lang w:val="es-CO"/>
        </w:rPr>
        <w:t>. Según información proporcionada, un soldado estadounidense le dijo que se fuera y al darse la vuelta sintió el impacto de bala en la pierna derecha</w:t>
      </w:r>
      <w:r w:rsidRPr="009712EB">
        <w:rPr>
          <w:sz w:val="20"/>
          <w:szCs w:val="20"/>
          <w:vertAlign w:val="superscript"/>
        </w:rPr>
        <w:footnoteReference w:id="420"/>
      </w:r>
      <w:r w:rsidRPr="009712EB">
        <w:rPr>
          <w:sz w:val="20"/>
          <w:szCs w:val="20"/>
          <w:lang w:val="es-CO"/>
        </w:rPr>
        <w:t xml:space="preserve">. </w:t>
      </w:r>
      <w:r w:rsidR="00D55998">
        <w:rPr>
          <w:sz w:val="20"/>
          <w:szCs w:val="20"/>
          <w:lang w:val="es-CO"/>
        </w:rPr>
        <w:t xml:space="preserve">Él describió </w:t>
      </w:r>
      <w:r w:rsidRPr="009712EB">
        <w:rPr>
          <w:sz w:val="20"/>
          <w:szCs w:val="20"/>
          <w:lang w:val="es-CO"/>
        </w:rPr>
        <w:t xml:space="preserve">que </w:t>
      </w:r>
      <w:r w:rsidR="00D55998">
        <w:rPr>
          <w:sz w:val="20"/>
          <w:szCs w:val="20"/>
          <w:lang w:val="es-CO"/>
        </w:rPr>
        <w:t xml:space="preserve">entonces </w:t>
      </w:r>
      <w:r w:rsidRPr="009712EB">
        <w:rPr>
          <w:sz w:val="20"/>
          <w:szCs w:val="20"/>
          <w:lang w:val="es-CO"/>
        </w:rPr>
        <w:t xml:space="preserve">una señora lo auxilió con un torniquete y a las 10 am del mismo 20 de diciembre en el Hospital Gorgas </w:t>
      </w:r>
      <w:r w:rsidR="00D55998">
        <w:rPr>
          <w:sz w:val="20"/>
          <w:szCs w:val="20"/>
          <w:lang w:val="es-CO"/>
        </w:rPr>
        <w:t xml:space="preserve">el personal se opuso </w:t>
      </w:r>
      <w:r w:rsidRPr="009712EB">
        <w:rPr>
          <w:sz w:val="20"/>
          <w:szCs w:val="20"/>
          <w:lang w:val="es-CO"/>
        </w:rPr>
        <w:t>a proveerle asistencia médica por</w:t>
      </w:r>
      <w:r w:rsidR="00D55998">
        <w:rPr>
          <w:sz w:val="20"/>
          <w:szCs w:val="20"/>
          <w:lang w:val="es-CO"/>
        </w:rPr>
        <w:t xml:space="preserve">que  presumían </w:t>
      </w:r>
      <w:r w:rsidRPr="009712EB">
        <w:rPr>
          <w:sz w:val="20"/>
          <w:szCs w:val="20"/>
          <w:lang w:val="es-CO"/>
        </w:rPr>
        <w:t>que él era miembro de CODEPADI o Fuerzas de Defensas</w:t>
      </w:r>
      <w:r w:rsidRPr="009712EB">
        <w:rPr>
          <w:sz w:val="20"/>
          <w:szCs w:val="20"/>
          <w:vertAlign w:val="superscript"/>
        </w:rPr>
        <w:footnoteReference w:id="421"/>
      </w:r>
      <w:r w:rsidRPr="009712EB">
        <w:rPr>
          <w:sz w:val="20"/>
          <w:szCs w:val="20"/>
          <w:lang w:val="es-CO"/>
        </w:rPr>
        <w:t>.</w:t>
      </w:r>
      <w:r w:rsidRPr="00A729C6">
        <w:rPr>
          <w:color w:val="FF0000"/>
          <w:sz w:val="20"/>
          <w:szCs w:val="20"/>
          <w:lang w:val="es-CO"/>
        </w:rPr>
        <w:t xml:space="preserve"> </w:t>
      </w:r>
      <w:r w:rsidR="00D55998">
        <w:rPr>
          <w:color w:val="auto"/>
          <w:sz w:val="20"/>
          <w:szCs w:val="20"/>
          <w:lang w:val="es-CO"/>
        </w:rPr>
        <w:t xml:space="preserve">De acuerdo </w:t>
      </w:r>
      <w:r w:rsidRPr="009712EB">
        <w:rPr>
          <w:sz w:val="20"/>
          <w:szCs w:val="20"/>
          <w:lang w:val="es-CO"/>
        </w:rPr>
        <w:t xml:space="preserve">al </w:t>
      </w:r>
      <w:r w:rsidR="00A729C6" w:rsidRPr="009712EB">
        <w:rPr>
          <w:sz w:val="20"/>
          <w:szCs w:val="20"/>
          <w:lang w:val="es-CO"/>
        </w:rPr>
        <w:t>récord</w:t>
      </w:r>
      <w:r w:rsidRPr="009712EB">
        <w:rPr>
          <w:sz w:val="20"/>
          <w:szCs w:val="20"/>
          <w:lang w:val="es-CO"/>
        </w:rPr>
        <w:t xml:space="preserve"> médico presentado, fue tratado el mismo 20 de diciembre por una herida de bala en la pierna derecha la cual ocasionó una fractura, pérdida de tejido y le fue diagnosticado “síndrome compartimental”</w:t>
      </w:r>
      <w:r w:rsidRPr="009712EB">
        <w:rPr>
          <w:sz w:val="20"/>
          <w:szCs w:val="20"/>
          <w:vertAlign w:val="superscript"/>
        </w:rPr>
        <w:footnoteReference w:id="422"/>
      </w:r>
      <w:r w:rsidRPr="009712EB">
        <w:rPr>
          <w:sz w:val="20"/>
          <w:szCs w:val="20"/>
          <w:lang w:val="es-CO"/>
        </w:rPr>
        <w:t>.</w:t>
      </w:r>
    </w:p>
    <w:p w:rsidR="005F4DC5" w:rsidRPr="009712EB" w:rsidRDefault="005F4DC5" w:rsidP="008D4E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i/>
          <w:sz w:val="20"/>
          <w:szCs w:val="20"/>
          <w:lang w:val="es-CO"/>
        </w:rPr>
        <w:t>Juan Castillo</w:t>
      </w:r>
      <w:r w:rsidRPr="009712EB">
        <w:rPr>
          <w:sz w:val="20"/>
          <w:szCs w:val="20"/>
          <w:lang w:val="es-CO"/>
        </w:rPr>
        <w:t xml:space="preserve"> identificado en el caso No.103, era </w:t>
      </w:r>
      <w:r w:rsidR="00D55998">
        <w:rPr>
          <w:sz w:val="20"/>
          <w:szCs w:val="20"/>
          <w:lang w:val="es-CO"/>
        </w:rPr>
        <w:t xml:space="preserve">al momento de los hechos </w:t>
      </w:r>
      <w:r w:rsidRPr="009712EB">
        <w:rPr>
          <w:sz w:val="20"/>
          <w:szCs w:val="20"/>
          <w:lang w:val="es-CO"/>
        </w:rPr>
        <w:t>un hombre de 30 años de edad de nacionalidad panameña</w:t>
      </w:r>
      <w:r w:rsidRPr="009712EB">
        <w:rPr>
          <w:sz w:val="20"/>
          <w:szCs w:val="20"/>
          <w:vertAlign w:val="superscript"/>
        </w:rPr>
        <w:footnoteReference w:id="423"/>
      </w:r>
      <w:r w:rsidRPr="009712EB">
        <w:rPr>
          <w:sz w:val="20"/>
          <w:szCs w:val="20"/>
          <w:lang w:val="es-CO"/>
        </w:rPr>
        <w:t xml:space="preserve">. Conforme a la declaración, el 22 de diciembre de 1989 salió en su vehículo en compañía de su cuñado Ariel González para llevar a este último a su reintegración a la policía en seguimiento al llamado </w:t>
      </w:r>
      <w:r w:rsidR="00E42B6F">
        <w:rPr>
          <w:sz w:val="20"/>
          <w:szCs w:val="20"/>
          <w:lang w:val="es-CO"/>
        </w:rPr>
        <w:t xml:space="preserve">que había sido emitido por </w:t>
      </w:r>
      <w:r w:rsidRPr="009712EB">
        <w:rPr>
          <w:sz w:val="20"/>
          <w:szCs w:val="20"/>
          <w:lang w:val="es-CO"/>
        </w:rPr>
        <w:t>el gobierno</w:t>
      </w:r>
      <w:r w:rsidRPr="009712EB">
        <w:rPr>
          <w:sz w:val="20"/>
          <w:szCs w:val="20"/>
          <w:vertAlign w:val="superscript"/>
        </w:rPr>
        <w:footnoteReference w:id="424"/>
      </w:r>
      <w:r w:rsidRPr="009712EB">
        <w:rPr>
          <w:sz w:val="20"/>
          <w:szCs w:val="20"/>
          <w:lang w:val="es-CO"/>
        </w:rPr>
        <w:t>. Al llegar al anti</w:t>
      </w:r>
      <w:r w:rsidRPr="008D4E5B">
        <w:rPr>
          <w:color w:val="auto"/>
          <w:sz w:val="20"/>
          <w:szCs w:val="20"/>
          <w:lang w:val="es-CO"/>
        </w:rPr>
        <w:t xml:space="preserve">guo tránsito en Ancón, </w:t>
      </w:r>
      <w:r w:rsidR="00E42B6F">
        <w:rPr>
          <w:color w:val="auto"/>
          <w:sz w:val="20"/>
          <w:szCs w:val="20"/>
          <w:lang w:val="es-CO"/>
        </w:rPr>
        <w:t xml:space="preserve">se </w:t>
      </w:r>
      <w:r w:rsidRPr="008D4E5B">
        <w:rPr>
          <w:color w:val="auto"/>
          <w:sz w:val="20"/>
          <w:szCs w:val="20"/>
          <w:lang w:val="es-CO"/>
        </w:rPr>
        <w:t>inició un tiroteo con disparos indiscriminados a raíz del cual resultaron heridos</w:t>
      </w:r>
      <w:r w:rsidR="00E42B6F">
        <w:rPr>
          <w:color w:val="auto"/>
          <w:sz w:val="20"/>
          <w:szCs w:val="20"/>
          <w:lang w:val="es-CO"/>
        </w:rPr>
        <w:t xml:space="preserve"> varios civiles, incluyéndolos </w:t>
      </w:r>
      <w:r w:rsidRPr="008D4E5B">
        <w:rPr>
          <w:color w:val="auto"/>
          <w:sz w:val="20"/>
          <w:szCs w:val="20"/>
          <w:lang w:val="es-CO"/>
        </w:rPr>
        <w:t xml:space="preserve"> </w:t>
      </w:r>
      <w:r w:rsidR="00E42B6F">
        <w:rPr>
          <w:color w:val="auto"/>
          <w:sz w:val="20"/>
          <w:szCs w:val="20"/>
          <w:lang w:val="es-CO"/>
        </w:rPr>
        <w:t xml:space="preserve">a </w:t>
      </w:r>
      <w:r w:rsidR="00BE6FE3" w:rsidRPr="008D4E5B">
        <w:rPr>
          <w:color w:val="auto"/>
          <w:sz w:val="20"/>
          <w:szCs w:val="20"/>
          <w:lang w:val="es-CO"/>
        </w:rPr>
        <w:t>ellos</w:t>
      </w:r>
      <w:r w:rsidRPr="008D4E5B">
        <w:rPr>
          <w:color w:val="auto"/>
          <w:sz w:val="20"/>
          <w:szCs w:val="20"/>
          <w:vertAlign w:val="superscript"/>
        </w:rPr>
        <w:footnoteReference w:id="425"/>
      </w:r>
      <w:r w:rsidR="00E42B6F">
        <w:rPr>
          <w:color w:val="auto"/>
          <w:sz w:val="20"/>
          <w:szCs w:val="20"/>
          <w:lang w:val="es-CO"/>
        </w:rPr>
        <w:t>. De acuerdo a la información presentada</w:t>
      </w:r>
      <w:r w:rsidRPr="008D4E5B">
        <w:rPr>
          <w:color w:val="auto"/>
          <w:sz w:val="20"/>
          <w:szCs w:val="20"/>
          <w:lang w:val="es-CO"/>
        </w:rPr>
        <w:t>, fue tratado por múltiples heridas de bala en el pie, piern</w:t>
      </w:r>
      <w:r w:rsidRPr="009712EB">
        <w:rPr>
          <w:sz w:val="20"/>
          <w:szCs w:val="20"/>
          <w:lang w:val="es-CO"/>
        </w:rPr>
        <w:t xml:space="preserve">a </w:t>
      </w:r>
      <w:r w:rsidRPr="009712EB">
        <w:rPr>
          <w:sz w:val="20"/>
          <w:szCs w:val="20"/>
          <w:lang w:val="es-CO"/>
        </w:rPr>
        <w:lastRenderedPageBreak/>
        <w:t>izquierda y en el lado izquierdo de la cabeza</w:t>
      </w:r>
      <w:r w:rsidRPr="009712EB">
        <w:rPr>
          <w:sz w:val="20"/>
          <w:szCs w:val="20"/>
          <w:vertAlign w:val="superscript"/>
        </w:rPr>
        <w:footnoteReference w:id="426"/>
      </w:r>
      <w:r w:rsidRPr="009712EB">
        <w:rPr>
          <w:sz w:val="20"/>
          <w:szCs w:val="20"/>
          <w:lang w:val="es-CO"/>
        </w:rPr>
        <w:t xml:space="preserve">. </w:t>
      </w:r>
      <w:r w:rsidR="00E42B6F">
        <w:rPr>
          <w:sz w:val="20"/>
          <w:szCs w:val="20"/>
          <w:lang w:val="es-CO"/>
        </w:rPr>
        <w:t xml:space="preserve">Las heridas incluían </w:t>
      </w:r>
      <w:r w:rsidRPr="009712EB">
        <w:rPr>
          <w:sz w:val="20"/>
          <w:szCs w:val="20"/>
          <w:lang w:val="es-CO"/>
        </w:rPr>
        <w:t>una “lesión sensorial y motora parcial del nervio ciático poplíteo externo izquierdo”</w:t>
      </w:r>
      <w:r w:rsidRPr="009712EB">
        <w:rPr>
          <w:sz w:val="20"/>
          <w:szCs w:val="20"/>
          <w:vertAlign w:val="superscript"/>
        </w:rPr>
        <w:footnoteReference w:id="427"/>
      </w:r>
      <w:r w:rsidRPr="009712EB">
        <w:rPr>
          <w:sz w:val="20"/>
          <w:szCs w:val="20"/>
          <w:lang w:val="es-CO"/>
        </w:rPr>
        <w:t>.</w:t>
      </w:r>
    </w:p>
    <w:p w:rsidR="005F4DC5" w:rsidRPr="009712EB" w:rsidRDefault="005F4DC5" w:rsidP="008D4E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i/>
          <w:sz w:val="20"/>
          <w:szCs w:val="20"/>
          <w:lang w:val="es-CO"/>
        </w:rPr>
        <w:t>Edgardo Henri González Armuelles, Judith González y Xiomara Escudero de González</w:t>
      </w:r>
      <w:r w:rsidRPr="009712EB">
        <w:rPr>
          <w:sz w:val="20"/>
          <w:szCs w:val="20"/>
          <w:lang w:val="es-CO"/>
        </w:rPr>
        <w:t xml:space="preserve"> identificados en los casos No. 104, 105 y 106, respectivamente, eran una familia de panameños residentes del Corregimiento “Santa Ana” en la Ciudad de Panamá</w:t>
      </w:r>
      <w:r w:rsidRPr="009712EB">
        <w:rPr>
          <w:sz w:val="20"/>
          <w:szCs w:val="20"/>
          <w:vertAlign w:val="superscript"/>
        </w:rPr>
        <w:footnoteReference w:id="428"/>
      </w:r>
      <w:r w:rsidRPr="009712EB">
        <w:rPr>
          <w:sz w:val="20"/>
          <w:szCs w:val="20"/>
          <w:lang w:val="es-CO"/>
        </w:rPr>
        <w:t>. Para el momento de los hechos, Edgardo y su esposa Xiomara tenían ambos 26 años</w:t>
      </w:r>
      <w:r w:rsidRPr="009712EB">
        <w:rPr>
          <w:sz w:val="20"/>
          <w:szCs w:val="20"/>
          <w:vertAlign w:val="superscript"/>
        </w:rPr>
        <w:footnoteReference w:id="429"/>
      </w:r>
      <w:r w:rsidRPr="009712EB">
        <w:rPr>
          <w:sz w:val="20"/>
          <w:szCs w:val="20"/>
          <w:lang w:val="es-CO"/>
        </w:rPr>
        <w:t>, y su hija Judith tenía 2 años y 7 meses</w:t>
      </w:r>
      <w:r w:rsidRPr="009712EB">
        <w:rPr>
          <w:sz w:val="20"/>
          <w:szCs w:val="20"/>
          <w:vertAlign w:val="superscript"/>
        </w:rPr>
        <w:footnoteReference w:id="430"/>
      </w:r>
      <w:r w:rsidRPr="009712EB">
        <w:rPr>
          <w:sz w:val="20"/>
          <w:szCs w:val="20"/>
          <w:lang w:val="es-CO"/>
        </w:rPr>
        <w:t>. Conforme a la información aportada, en tempranas horas del 20 de diciembre de 1989 sostuvieron heridas por proyectiles de arma de fuego mientras se encontraban en su vehículo en R</w:t>
      </w:r>
      <w:r w:rsidR="005615CB" w:rsidRPr="009712EB">
        <w:rPr>
          <w:sz w:val="20"/>
          <w:szCs w:val="20"/>
          <w:lang w:val="es-CO"/>
        </w:rPr>
        <w:t>í</w:t>
      </w:r>
      <w:r w:rsidRPr="009712EB">
        <w:rPr>
          <w:sz w:val="20"/>
          <w:szCs w:val="20"/>
          <w:lang w:val="es-CO"/>
        </w:rPr>
        <w:t>o Hato en las cercanías del aeropuerto</w:t>
      </w:r>
      <w:r w:rsidRPr="009712EB">
        <w:rPr>
          <w:sz w:val="20"/>
          <w:szCs w:val="20"/>
          <w:vertAlign w:val="superscript"/>
        </w:rPr>
        <w:footnoteReference w:id="431"/>
      </w:r>
      <w:r w:rsidRPr="009712EB">
        <w:rPr>
          <w:sz w:val="20"/>
          <w:szCs w:val="20"/>
          <w:lang w:val="es-CO"/>
        </w:rPr>
        <w:t xml:space="preserve">. </w:t>
      </w:r>
    </w:p>
    <w:p w:rsidR="005F4DC5" w:rsidRPr="009712EB" w:rsidRDefault="005F4DC5" w:rsidP="008D4E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En específico, Edgardo González, Xiomara Escudero y su hija Judith González viajaban en su vehículo en compañía de otras tres personas, desde la provincia de Varaguas Santiago a Ciudad de Panamá, cuando a la altura de la carretera de R</w:t>
      </w:r>
      <w:r w:rsidR="00D2506F" w:rsidRPr="009712EB">
        <w:rPr>
          <w:sz w:val="20"/>
          <w:szCs w:val="20"/>
          <w:lang w:val="es-CO"/>
        </w:rPr>
        <w:t>í</w:t>
      </w:r>
      <w:r w:rsidRPr="009712EB">
        <w:rPr>
          <w:sz w:val="20"/>
          <w:szCs w:val="20"/>
          <w:lang w:val="es-CO"/>
        </w:rPr>
        <w:t>o Hato fueron sorprendidos por disparos llevándolos a “parar el carro en seco”</w:t>
      </w:r>
      <w:r w:rsidRPr="009712EB">
        <w:rPr>
          <w:sz w:val="20"/>
          <w:szCs w:val="20"/>
          <w:vertAlign w:val="superscript"/>
        </w:rPr>
        <w:footnoteReference w:id="432"/>
      </w:r>
      <w:r w:rsidRPr="009712EB">
        <w:rPr>
          <w:sz w:val="20"/>
          <w:szCs w:val="20"/>
          <w:lang w:val="es-CO"/>
        </w:rPr>
        <w:t>. Seguidamente Edgardo González pidió auxilio en inglés y en respuesta “salieron 5 o más soldados apuntándolos con metralletas”</w:t>
      </w:r>
      <w:r w:rsidRPr="009712EB">
        <w:rPr>
          <w:sz w:val="20"/>
          <w:szCs w:val="20"/>
          <w:vertAlign w:val="superscript"/>
        </w:rPr>
        <w:footnoteReference w:id="433"/>
      </w:r>
      <w:r w:rsidRPr="009712EB">
        <w:rPr>
          <w:sz w:val="20"/>
          <w:szCs w:val="20"/>
          <w:lang w:val="es-CO"/>
        </w:rPr>
        <w:t>. Dichos soldados esposaron a Edgardo y a los otros dos hombres y los acostaron a la orilla de la carretera</w:t>
      </w:r>
      <w:r w:rsidRPr="009712EB">
        <w:rPr>
          <w:sz w:val="20"/>
          <w:szCs w:val="20"/>
          <w:vertAlign w:val="superscript"/>
        </w:rPr>
        <w:footnoteReference w:id="434"/>
      </w:r>
      <w:r w:rsidRPr="009712EB">
        <w:rPr>
          <w:sz w:val="20"/>
          <w:szCs w:val="20"/>
          <w:lang w:val="es-CO"/>
        </w:rPr>
        <w:t>. Fueron atendidos por un paramédico, trasladados en camilla en un jeep y un avión a un toldo con más heridos hasta que los pudieron trasladar al Hospital Gorgas</w:t>
      </w:r>
      <w:r w:rsidRPr="009712EB">
        <w:rPr>
          <w:sz w:val="20"/>
          <w:szCs w:val="20"/>
          <w:vertAlign w:val="superscript"/>
        </w:rPr>
        <w:footnoteReference w:id="435"/>
      </w:r>
      <w:r w:rsidRPr="009712EB">
        <w:rPr>
          <w:sz w:val="20"/>
          <w:szCs w:val="20"/>
          <w:lang w:val="es-CO"/>
        </w:rPr>
        <w:t>.</w:t>
      </w:r>
    </w:p>
    <w:p w:rsidR="005F4DC5" w:rsidRPr="009712EB"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 xml:space="preserve">De acuerdo con el relato proporcionado, los primeros disparos hirieron la Sra. Xiomara </w:t>
      </w:r>
      <w:r w:rsidR="00687F3F">
        <w:rPr>
          <w:sz w:val="20"/>
          <w:szCs w:val="20"/>
          <w:lang w:val="es-CO"/>
        </w:rPr>
        <w:t xml:space="preserve"> Escudero </w:t>
      </w:r>
      <w:r w:rsidRPr="009712EB">
        <w:rPr>
          <w:sz w:val="20"/>
          <w:szCs w:val="20"/>
          <w:lang w:val="es-CO"/>
        </w:rPr>
        <w:t>y a su hija Judith</w:t>
      </w:r>
      <w:r w:rsidRPr="009712EB">
        <w:rPr>
          <w:sz w:val="20"/>
          <w:szCs w:val="20"/>
          <w:vertAlign w:val="superscript"/>
        </w:rPr>
        <w:footnoteReference w:id="436"/>
      </w:r>
      <w:r w:rsidRPr="009712EB">
        <w:rPr>
          <w:sz w:val="20"/>
          <w:szCs w:val="20"/>
          <w:lang w:val="es-CO"/>
        </w:rPr>
        <w:t xml:space="preserve">. </w:t>
      </w:r>
      <w:r w:rsidR="00E42B6F">
        <w:rPr>
          <w:sz w:val="20"/>
          <w:szCs w:val="20"/>
          <w:lang w:val="es-CO"/>
        </w:rPr>
        <w:t xml:space="preserve">En cuanto a Edgardo González, </w:t>
      </w:r>
      <w:r w:rsidRPr="009712EB">
        <w:rPr>
          <w:sz w:val="20"/>
          <w:szCs w:val="20"/>
          <w:lang w:val="es-CO"/>
        </w:rPr>
        <w:t>él recibió heridas con proyectiles de arma de fuego en el hombro derecho, y en la rótula y muslo de la pierna derecha</w:t>
      </w:r>
      <w:r w:rsidRPr="009712EB">
        <w:rPr>
          <w:sz w:val="20"/>
          <w:szCs w:val="20"/>
          <w:vertAlign w:val="superscript"/>
        </w:rPr>
        <w:footnoteReference w:id="437"/>
      </w:r>
      <w:r w:rsidRPr="009712EB">
        <w:rPr>
          <w:sz w:val="20"/>
          <w:szCs w:val="20"/>
          <w:lang w:val="es-CO"/>
        </w:rPr>
        <w:t>, además de sufrir heridas por vidrios en la cabeza</w:t>
      </w:r>
      <w:r w:rsidRPr="009712EB">
        <w:rPr>
          <w:sz w:val="20"/>
          <w:szCs w:val="20"/>
          <w:vertAlign w:val="superscript"/>
        </w:rPr>
        <w:footnoteReference w:id="438"/>
      </w:r>
      <w:r w:rsidRPr="009712EB">
        <w:rPr>
          <w:sz w:val="20"/>
          <w:szCs w:val="20"/>
          <w:lang w:val="es-CO"/>
        </w:rPr>
        <w:t>. Judith</w:t>
      </w:r>
      <w:r w:rsidR="00687F3F">
        <w:rPr>
          <w:sz w:val="20"/>
          <w:szCs w:val="20"/>
          <w:lang w:val="es-CO"/>
        </w:rPr>
        <w:t xml:space="preserve"> González</w:t>
      </w:r>
      <w:r w:rsidRPr="009712EB">
        <w:rPr>
          <w:sz w:val="20"/>
          <w:szCs w:val="20"/>
          <w:lang w:val="es-CO"/>
        </w:rPr>
        <w:t xml:space="preserve"> sufrió heridas en el antebrazo y hombr</w:t>
      </w:r>
      <w:r w:rsidR="00687F3F">
        <w:rPr>
          <w:sz w:val="20"/>
          <w:szCs w:val="20"/>
          <w:lang w:val="es-CO"/>
        </w:rPr>
        <w:t xml:space="preserve">o izquierdo, tuvo una fractura en </w:t>
      </w:r>
      <w:r w:rsidRPr="009712EB">
        <w:rPr>
          <w:sz w:val="20"/>
          <w:szCs w:val="20"/>
          <w:lang w:val="es-CO"/>
        </w:rPr>
        <w:t>el dedo del medio de la mano derecha</w:t>
      </w:r>
      <w:r w:rsidRPr="009712EB">
        <w:rPr>
          <w:sz w:val="20"/>
          <w:szCs w:val="20"/>
          <w:vertAlign w:val="superscript"/>
        </w:rPr>
        <w:footnoteReference w:id="439"/>
      </w:r>
      <w:r w:rsidRPr="009712EB">
        <w:rPr>
          <w:sz w:val="20"/>
          <w:szCs w:val="20"/>
          <w:lang w:val="es-CO"/>
        </w:rPr>
        <w:t>, y fue atendida por laceraciones y quemadas</w:t>
      </w:r>
      <w:r w:rsidRPr="009712EB">
        <w:rPr>
          <w:sz w:val="20"/>
          <w:szCs w:val="20"/>
          <w:vertAlign w:val="superscript"/>
        </w:rPr>
        <w:footnoteReference w:id="440"/>
      </w:r>
      <w:r w:rsidRPr="009712EB">
        <w:rPr>
          <w:sz w:val="20"/>
          <w:szCs w:val="20"/>
          <w:lang w:val="es-CO"/>
        </w:rPr>
        <w:t>. Xiomara Escudero recibió heridas por esquirlas y balas en el seno derecho, abdomen, barriga, brazo derecho y ambas piernas</w:t>
      </w:r>
      <w:r w:rsidRPr="009712EB">
        <w:rPr>
          <w:sz w:val="20"/>
          <w:szCs w:val="20"/>
          <w:vertAlign w:val="superscript"/>
        </w:rPr>
        <w:footnoteReference w:id="441"/>
      </w:r>
      <w:r w:rsidRPr="009712EB">
        <w:rPr>
          <w:sz w:val="20"/>
          <w:szCs w:val="20"/>
          <w:lang w:val="es-CO"/>
        </w:rPr>
        <w:t xml:space="preserve">. </w:t>
      </w:r>
    </w:p>
    <w:p w:rsidR="005F4DC5" w:rsidRPr="009712EB" w:rsidRDefault="005F4DC5" w:rsidP="008D4E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i/>
          <w:sz w:val="20"/>
          <w:szCs w:val="20"/>
          <w:lang w:val="es-CO"/>
        </w:rPr>
        <w:lastRenderedPageBreak/>
        <w:t>Nora Edith Batista</w:t>
      </w:r>
      <w:r w:rsidRPr="009712EB">
        <w:rPr>
          <w:sz w:val="20"/>
          <w:szCs w:val="20"/>
          <w:lang w:val="es-CO"/>
        </w:rPr>
        <w:t xml:space="preserve"> identificada en el caso No. 215, era una mujer panameña de 24 años de edad, residente de El Chorrillo</w:t>
      </w:r>
      <w:r w:rsidRPr="009712EB">
        <w:rPr>
          <w:sz w:val="20"/>
          <w:szCs w:val="20"/>
          <w:vertAlign w:val="superscript"/>
        </w:rPr>
        <w:footnoteReference w:id="442"/>
      </w:r>
      <w:r w:rsidRPr="009712EB">
        <w:rPr>
          <w:sz w:val="20"/>
          <w:szCs w:val="20"/>
          <w:lang w:val="es-CO"/>
        </w:rPr>
        <w:t>. Conforme a la información presentada, el 23 de diciembre de 1989 mientras buscaba refugio junto con sus dos hijos, fue alcanzada por una bala en el muslo izquierdo</w:t>
      </w:r>
      <w:r w:rsidRPr="009712EB">
        <w:rPr>
          <w:sz w:val="20"/>
          <w:szCs w:val="20"/>
          <w:vertAlign w:val="superscript"/>
        </w:rPr>
        <w:footnoteReference w:id="443"/>
      </w:r>
      <w:r w:rsidRPr="009712EB">
        <w:rPr>
          <w:sz w:val="20"/>
          <w:szCs w:val="20"/>
          <w:lang w:val="es-CO"/>
        </w:rPr>
        <w:t>. A raíz de estos hechos, Nora Batista fue atendida en el Hospital San Fernando</w:t>
      </w:r>
      <w:r w:rsidRPr="009712EB">
        <w:rPr>
          <w:sz w:val="20"/>
          <w:szCs w:val="20"/>
          <w:vertAlign w:val="superscript"/>
        </w:rPr>
        <w:footnoteReference w:id="444"/>
      </w:r>
      <w:r w:rsidRPr="009712EB">
        <w:rPr>
          <w:sz w:val="20"/>
          <w:szCs w:val="20"/>
          <w:lang w:val="es-CO"/>
        </w:rPr>
        <w:t>. Es importante resaltar que, aunque la CIDH no cuenta con información específica</w:t>
      </w:r>
      <w:r w:rsidR="00687F3F">
        <w:rPr>
          <w:sz w:val="20"/>
          <w:szCs w:val="20"/>
          <w:lang w:val="es-CO"/>
        </w:rPr>
        <w:t xml:space="preserve"> para clarificar precisamente lo que esto significa</w:t>
      </w:r>
      <w:r w:rsidRPr="009712EB">
        <w:rPr>
          <w:sz w:val="20"/>
          <w:szCs w:val="20"/>
          <w:lang w:val="es-CO"/>
        </w:rPr>
        <w:t>, esta víctima denuncia que durante los hechos acaecidos y en un contexto de histeria “perdió una hija”</w:t>
      </w:r>
      <w:r w:rsidRPr="009712EB">
        <w:rPr>
          <w:sz w:val="20"/>
          <w:szCs w:val="20"/>
          <w:vertAlign w:val="superscript"/>
        </w:rPr>
        <w:footnoteReference w:id="445"/>
      </w:r>
      <w:r w:rsidRPr="009712EB">
        <w:rPr>
          <w:sz w:val="20"/>
          <w:szCs w:val="20"/>
          <w:lang w:val="es-CO"/>
        </w:rPr>
        <w:t>.</w:t>
      </w:r>
    </w:p>
    <w:p w:rsidR="005F4DC5" w:rsidRPr="009712EB" w:rsidRDefault="005F4DC5" w:rsidP="008D4E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La Sra. Nora Batista presentó una solicitud por indemnización ante el Ministerio de Vivienda y ante la AID</w:t>
      </w:r>
      <w:r w:rsidRPr="009712EB">
        <w:rPr>
          <w:sz w:val="20"/>
          <w:szCs w:val="20"/>
          <w:vertAlign w:val="superscript"/>
        </w:rPr>
        <w:footnoteReference w:id="446"/>
      </w:r>
      <w:r w:rsidR="00350390" w:rsidRPr="009712EB">
        <w:rPr>
          <w:sz w:val="20"/>
          <w:szCs w:val="20"/>
          <w:lang w:val="es-CO"/>
        </w:rPr>
        <w:t>,</w:t>
      </w:r>
      <w:r w:rsidR="00603C9C">
        <w:rPr>
          <w:sz w:val="20"/>
          <w:szCs w:val="20"/>
          <w:lang w:val="es-CO"/>
        </w:rPr>
        <w:t xml:space="preserve"> pero no hay indicación que ella haya recibido </w:t>
      </w:r>
      <w:r w:rsidR="00603C9C">
        <w:rPr>
          <w:color w:val="auto"/>
          <w:sz w:val="20"/>
          <w:szCs w:val="20"/>
          <w:lang w:val="es-CO"/>
        </w:rPr>
        <w:t xml:space="preserve">alguna respuesta. </w:t>
      </w:r>
    </w:p>
    <w:p w:rsidR="005F4DC5" w:rsidRPr="009712EB" w:rsidRDefault="005F4DC5" w:rsidP="008D4E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i/>
          <w:sz w:val="20"/>
          <w:szCs w:val="20"/>
          <w:lang w:val="es-CO"/>
        </w:rPr>
        <w:t xml:space="preserve">Iris Pineda H, Luzdenia González, Santiago Pineda, Sabino S. Pineda y Jaime A. González </w:t>
      </w:r>
      <w:r w:rsidRPr="009712EB">
        <w:rPr>
          <w:sz w:val="20"/>
          <w:szCs w:val="20"/>
          <w:lang w:val="es-CO"/>
        </w:rPr>
        <w:t>identificados en el caso No. 225, eran miembros de una familia residente del Sector San Miguelito de Ciudad de Panamá</w:t>
      </w:r>
      <w:r w:rsidRPr="009712EB">
        <w:rPr>
          <w:sz w:val="20"/>
          <w:szCs w:val="20"/>
          <w:vertAlign w:val="superscript"/>
        </w:rPr>
        <w:footnoteReference w:id="447"/>
      </w:r>
      <w:r w:rsidRPr="009712EB">
        <w:rPr>
          <w:sz w:val="20"/>
          <w:szCs w:val="20"/>
          <w:lang w:val="es-CO"/>
        </w:rPr>
        <w:t xml:space="preserve">. Para el momento de los hechos, Iris Pineda tenía 32 años de edad, mientras que Luzdenia González, Santiago Pineda, Jaime González y Sabino S. Pineda tenían 14, 29, 9 y 65 años de edad, respectivamente. </w:t>
      </w:r>
    </w:p>
    <w:p w:rsidR="005F4DC5" w:rsidRPr="009712EB" w:rsidRDefault="005F4DC5" w:rsidP="008D4E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Conforme a la declaración de la Sra. Iris Pineda, a las 7.30 am del 20 de diciembre de 1989 cayó una bomba en su residencia cuando estaban presentes</w:t>
      </w:r>
      <w:r w:rsidR="00603C9C">
        <w:rPr>
          <w:sz w:val="20"/>
          <w:szCs w:val="20"/>
          <w:lang w:val="es-CO"/>
        </w:rPr>
        <w:t xml:space="preserve"> varios miembros de su familia. </w:t>
      </w:r>
      <w:r w:rsidRPr="009712EB">
        <w:rPr>
          <w:sz w:val="20"/>
          <w:szCs w:val="20"/>
          <w:lang w:val="es-CO"/>
        </w:rPr>
        <w:t>Luzdenia González, Santiago Pineda, Sabino S. Pineda y Jaime A. González sufrieron heridas y la casa presentó daños visibles</w:t>
      </w:r>
      <w:r w:rsidRPr="009712EB">
        <w:rPr>
          <w:sz w:val="20"/>
          <w:szCs w:val="20"/>
          <w:vertAlign w:val="superscript"/>
        </w:rPr>
        <w:footnoteReference w:id="448"/>
      </w:r>
      <w:r w:rsidRPr="009712EB">
        <w:rPr>
          <w:sz w:val="20"/>
          <w:szCs w:val="20"/>
          <w:lang w:val="es-CO"/>
        </w:rPr>
        <w:t xml:space="preserve">. En particular, Luzdenia resultó herida </w:t>
      </w:r>
      <w:r w:rsidR="00603C9C">
        <w:rPr>
          <w:sz w:val="20"/>
          <w:szCs w:val="20"/>
          <w:lang w:val="es-CO"/>
        </w:rPr>
        <w:t xml:space="preserve">por </w:t>
      </w:r>
      <w:r w:rsidRPr="009712EB">
        <w:rPr>
          <w:sz w:val="20"/>
          <w:szCs w:val="20"/>
          <w:lang w:val="es-CO"/>
        </w:rPr>
        <w:t>arma de fuego en el brazo izquierdo y presentó una fractura expuesta</w:t>
      </w:r>
      <w:r w:rsidRPr="009712EB">
        <w:rPr>
          <w:sz w:val="20"/>
          <w:szCs w:val="20"/>
          <w:vertAlign w:val="superscript"/>
        </w:rPr>
        <w:footnoteReference w:id="449"/>
      </w:r>
      <w:r w:rsidRPr="009712EB">
        <w:rPr>
          <w:sz w:val="20"/>
          <w:szCs w:val="20"/>
          <w:lang w:val="es-CO"/>
        </w:rPr>
        <w:t>. Santiago Pineda presentó “sangramiento leve de muñeca y pierna izquierda”, y una “herida cortante en la cabeza”, las cuales según el expediente médico fueron causadas por esquirlas</w:t>
      </w:r>
      <w:r w:rsidRPr="009712EB">
        <w:rPr>
          <w:sz w:val="20"/>
          <w:szCs w:val="20"/>
          <w:vertAlign w:val="superscript"/>
        </w:rPr>
        <w:footnoteReference w:id="450"/>
      </w:r>
      <w:r w:rsidRPr="009712EB">
        <w:rPr>
          <w:sz w:val="20"/>
          <w:szCs w:val="20"/>
          <w:lang w:val="es-CO"/>
        </w:rPr>
        <w:t>.  Jaime González recibió heridas múltiples en el muslo izquierdo por proyectil de arma de fuego; y por su parte, Sabino S. Pineda sufrió “heridas por balas en el tórax, brazo y pierna derecha, y en la región inguinal”</w:t>
      </w:r>
      <w:r w:rsidRPr="009712EB">
        <w:rPr>
          <w:sz w:val="20"/>
          <w:szCs w:val="20"/>
          <w:vertAlign w:val="superscript"/>
        </w:rPr>
        <w:footnoteReference w:id="451"/>
      </w:r>
      <w:r w:rsidRPr="009712EB">
        <w:rPr>
          <w:sz w:val="20"/>
          <w:szCs w:val="20"/>
          <w:lang w:val="es-CO"/>
        </w:rPr>
        <w:t xml:space="preserve">. </w:t>
      </w:r>
    </w:p>
    <w:p w:rsidR="005F4DC5" w:rsidRPr="009712EB" w:rsidRDefault="005F4DC5" w:rsidP="008D4E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i/>
          <w:sz w:val="20"/>
          <w:szCs w:val="20"/>
          <w:lang w:val="es-CO"/>
        </w:rPr>
        <w:t>Alexis Gilberto Ortega</w:t>
      </w:r>
      <w:r w:rsidRPr="009712EB">
        <w:rPr>
          <w:sz w:val="20"/>
          <w:szCs w:val="20"/>
          <w:lang w:val="es-CO"/>
        </w:rPr>
        <w:t xml:space="preserve"> identificado en el caso No. 271, era un joven panameño de 16 años de edad</w:t>
      </w:r>
      <w:r w:rsidR="00D2422C">
        <w:rPr>
          <w:sz w:val="20"/>
          <w:szCs w:val="20"/>
          <w:lang w:val="es-CO"/>
        </w:rPr>
        <w:t xml:space="preserve"> para el momento de los hechos</w:t>
      </w:r>
      <w:r w:rsidRPr="009712EB">
        <w:rPr>
          <w:sz w:val="20"/>
          <w:szCs w:val="20"/>
          <w:vertAlign w:val="superscript"/>
        </w:rPr>
        <w:footnoteReference w:id="452"/>
      </w:r>
      <w:r w:rsidRPr="009712EB">
        <w:rPr>
          <w:sz w:val="20"/>
          <w:szCs w:val="20"/>
          <w:lang w:val="es-CO"/>
        </w:rPr>
        <w:t>. Conforme a la declaración presentada, el 22 de diciembre de 1989 vecinos salieron a las calles de Ciudad de Panamá a “saludar a los norteamericanos que pasaban con sus tanquetas”</w:t>
      </w:r>
      <w:r w:rsidRPr="009712EB">
        <w:rPr>
          <w:sz w:val="20"/>
          <w:szCs w:val="20"/>
          <w:vertAlign w:val="superscript"/>
        </w:rPr>
        <w:footnoteReference w:id="453"/>
      </w:r>
      <w:r w:rsidRPr="009712EB">
        <w:rPr>
          <w:sz w:val="20"/>
          <w:szCs w:val="20"/>
          <w:lang w:val="es-CO"/>
        </w:rPr>
        <w:t>. Al transitar la última tanqueta, ésta “abrió fuego” en contra de los presentes, dejando varios heridos incluyéndolos a él y a su padre</w:t>
      </w:r>
      <w:r w:rsidRPr="009712EB">
        <w:rPr>
          <w:sz w:val="20"/>
          <w:szCs w:val="20"/>
          <w:vertAlign w:val="superscript"/>
        </w:rPr>
        <w:footnoteReference w:id="454"/>
      </w:r>
      <w:r w:rsidRPr="009712EB">
        <w:rPr>
          <w:sz w:val="20"/>
          <w:szCs w:val="20"/>
          <w:lang w:val="es-CO"/>
        </w:rPr>
        <w:t xml:space="preserve">. </w:t>
      </w:r>
    </w:p>
    <w:p w:rsidR="005F4DC5" w:rsidRPr="009712EB" w:rsidRDefault="005F4DC5" w:rsidP="008D4E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F5797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 xml:space="preserve">De información disponible en el expediente se verifica que el día mencionado el joven fue admitido a través del Cuarto de Urgencia con una herida por proyectil de arma de fuego en el codo izquierdo. </w:t>
      </w:r>
      <w:r w:rsidRPr="009712EB">
        <w:rPr>
          <w:sz w:val="20"/>
          <w:szCs w:val="20"/>
          <w:lang w:val="es-CO"/>
        </w:rPr>
        <w:lastRenderedPageBreak/>
        <w:t>La constancia médica confirma que Alexis Ortega presentaba una “fractura expuesta con pérdida de sustancia y esquirlas metálicas”</w:t>
      </w:r>
      <w:r w:rsidRPr="009712EB">
        <w:rPr>
          <w:sz w:val="20"/>
          <w:szCs w:val="20"/>
          <w:vertAlign w:val="superscript"/>
        </w:rPr>
        <w:footnoteReference w:id="455"/>
      </w:r>
      <w:r w:rsidRPr="009712EB">
        <w:rPr>
          <w:sz w:val="20"/>
          <w:szCs w:val="20"/>
          <w:lang w:val="es-CO"/>
        </w:rPr>
        <w:t xml:space="preserve"> por la cual fue sometido a una operación y le fueron insertados clavos para tratar la herida</w:t>
      </w:r>
      <w:r w:rsidRPr="009712EB">
        <w:rPr>
          <w:sz w:val="20"/>
          <w:szCs w:val="20"/>
          <w:vertAlign w:val="superscript"/>
        </w:rPr>
        <w:footnoteReference w:id="456"/>
      </w:r>
      <w:r w:rsidRPr="009712EB">
        <w:rPr>
          <w:sz w:val="20"/>
          <w:szCs w:val="20"/>
          <w:lang w:val="es-CO"/>
        </w:rPr>
        <w:t xml:space="preserve">. </w:t>
      </w:r>
    </w:p>
    <w:p w:rsidR="00F57979" w:rsidRPr="009712EB" w:rsidRDefault="00F57979" w:rsidP="008D4E5B">
      <w:pPr>
        <w:pStyle w:val="ListParagraph"/>
        <w:rPr>
          <w:b/>
          <w:sz w:val="20"/>
          <w:szCs w:val="20"/>
          <w:lang w:val="es-CO"/>
        </w:rPr>
      </w:pPr>
    </w:p>
    <w:p w:rsidR="00A062F9" w:rsidRPr="009712EB" w:rsidRDefault="00A062F9" w:rsidP="003B1EC8">
      <w:pPr>
        <w:pStyle w:val="ListParagraph"/>
        <w:numPr>
          <w:ilvl w:val="2"/>
          <w:numId w:val="60"/>
        </w:numPr>
        <w:pBdr>
          <w:top w:val="none" w:sz="0" w:space="0" w:color="auto"/>
          <w:left w:val="none" w:sz="0" w:space="0" w:color="auto"/>
          <w:bottom w:val="none" w:sz="0" w:space="0" w:color="auto"/>
          <w:right w:val="none" w:sz="0" w:space="0" w:color="auto"/>
          <w:between w:val="none" w:sz="0" w:space="0" w:color="auto"/>
          <w:bar w:val="none" w:sz="0" w:color="auto"/>
        </w:pBdr>
        <w:ind w:left="1080" w:hanging="360"/>
        <w:jc w:val="both"/>
        <w:rPr>
          <w:sz w:val="20"/>
          <w:szCs w:val="20"/>
          <w:lang w:val="es-CO"/>
        </w:rPr>
      </w:pPr>
      <w:r w:rsidRPr="009712EB">
        <w:rPr>
          <w:b/>
          <w:sz w:val="20"/>
          <w:szCs w:val="20"/>
          <w:lang w:val="es-CO"/>
        </w:rPr>
        <w:t>Lesiones en el marco de otras circunstancias</w:t>
      </w:r>
    </w:p>
    <w:p w:rsidR="005F4DC5" w:rsidRPr="009712EB"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320"/>
        <w:jc w:val="both"/>
        <w:rPr>
          <w:sz w:val="20"/>
          <w:szCs w:val="20"/>
          <w:lang w:val="es-CO"/>
        </w:rPr>
      </w:pPr>
    </w:p>
    <w:p w:rsidR="00F540DD" w:rsidRPr="008D4E5B" w:rsidRDefault="00F540DD"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CO"/>
        </w:rPr>
      </w:pPr>
      <w:r w:rsidRPr="009712EB">
        <w:rPr>
          <w:i/>
          <w:sz w:val="20"/>
          <w:szCs w:val="20"/>
          <w:lang w:val="es-CO"/>
        </w:rPr>
        <w:t>Guillermo Antonio González</w:t>
      </w:r>
      <w:r w:rsidRPr="009712EB">
        <w:rPr>
          <w:sz w:val="20"/>
          <w:szCs w:val="20"/>
          <w:lang w:val="es-CO"/>
        </w:rPr>
        <w:t xml:space="preserve"> identificado en el caso No. 62, era un joven panameño de 14 años de edad</w:t>
      </w:r>
      <w:r w:rsidRPr="009712EB">
        <w:rPr>
          <w:sz w:val="20"/>
          <w:szCs w:val="20"/>
          <w:vertAlign w:val="superscript"/>
        </w:rPr>
        <w:footnoteReference w:id="457"/>
      </w:r>
      <w:r w:rsidRPr="009712EB">
        <w:rPr>
          <w:sz w:val="20"/>
          <w:szCs w:val="20"/>
          <w:lang w:val="es-CO"/>
        </w:rPr>
        <w:t xml:space="preserve">. Según </w:t>
      </w:r>
      <w:r w:rsidR="00D2422C">
        <w:rPr>
          <w:sz w:val="20"/>
          <w:szCs w:val="20"/>
          <w:lang w:val="es-CO"/>
        </w:rPr>
        <w:t>la información presentada</w:t>
      </w:r>
      <w:r w:rsidRPr="009712EB">
        <w:rPr>
          <w:sz w:val="20"/>
          <w:szCs w:val="20"/>
          <w:lang w:val="es-CO"/>
        </w:rPr>
        <w:t xml:space="preserve">, el 21 de diciembre 1989 salió de su residencia a comprar pan para el desayuno en El Chorrillo, cuando en </w:t>
      </w:r>
      <w:r w:rsidRPr="008D4E5B">
        <w:rPr>
          <w:color w:val="auto"/>
          <w:sz w:val="20"/>
          <w:szCs w:val="20"/>
          <w:lang w:val="es-CO"/>
        </w:rPr>
        <w:t>medio de una multitud frente a la “Escuela de Venezuela” fue empujado y cayó entre una viga de hierro y el vidrio de una puerta</w:t>
      </w:r>
      <w:r w:rsidRPr="008D4E5B">
        <w:rPr>
          <w:color w:val="auto"/>
          <w:sz w:val="20"/>
          <w:szCs w:val="20"/>
          <w:vertAlign w:val="superscript"/>
        </w:rPr>
        <w:footnoteReference w:id="458"/>
      </w:r>
      <w:r w:rsidRPr="008D4E5B">
        <w:rPr>
          <w:color w:val="auto"/>
          <w:sz w:val="20"/>
          <w:szCs w:val="20"/>
          <w:lang w:val="es-CO"/>
        </w:rPr>
        <w:t xml:space="preserve">. Como consecuencia de su caída se cortó la pierna en tres lugares, y tuvo que ser auxiliado por “miembros de los batallones de dignidad”, su hermana y una </w:t>
      </w:r>
      <w:r w:rsidR="00D2422C">
        <w:rPr>
          <w:color w:val="auto"/>
          <w:sz w:val="20"/>
          <w:szCs w:val="20"/>
          <w:lang w:val="es-CO"/>
        </w:rPr>
        <w:t xml:space="preserve">mujer. Ellas </w:t>
      </w:r>
      <w:r w:rsidRPr="008D4E5B">
        <w:rPr>
          <w:color w:val="auto"/>
          <w:sz w:val="20"/>
          <w:szCs w:val="20"/>
          <w:lang w:val="es-CO"/>
        </w:rPr>
        <w:t>lo recogieron y trasladaron al Hospital Santo Tomas y al Hospital del Niño</w:t>
      </w:r>
      <w:r w:rsidRPr="008D4E5B">
        <w:rPr>
          <w:color w:val="auto"/>
          <w:sz w:val="20"/>
          <w:szCs w:val="20"/>
          <w:vertAlign w:val="superscript"/>
        </w:rPr>
        <w:footnoteReference w:id="459"/>
      </w:r>
      <w:r w:rsidRPr="008D4E5B">
        <w:rPr>
          <w:color w:val="auto"/>
          <w:sz w:val="20"/>
          <w:szCs w:val="20"/>
          <w:lang w:val="es-CO"/>
        </w:rPr>
        <w:t xml:space="preserve">. </w:t>
      </w:r>
    </w:p>
    <w:p w:rsidR="00F540DD" w:rsidRPr="008D4E5B" w:rsidRDefault="00F540DD" w:rsidP="008D4E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CO"/>
        </w:rPr>
      </w:pPr>
    </w:p>
    <w:p w:rsidR="00F540DD" w:rsidRPr="009712EB" w:rsidRDefault="00F540DD"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8D4E5B">
        <w:rPr>
          <w:color w:val="auto"/>
          <w:sz w:val="20"/>
          <w:szCs w:val="20"/>
          <w:lang w:val="es-CO"/>
        </w:rPr>
        <w:t xml:space="preserve">De acuerdo con la declaración presentada, en dicho centro médico le tuvieron que amputar la pierna </w:t>
      </w:r>
      <w:r w:rsidR="00D2422C">
        <w:rPr>
          <w:color w:val="auto"/>
          <w:sz w:val="20"/>
          <w:szCs w:val="20"/>
          <w:lang w:val="es-CO"/>
        </w:rPr>
        <w:t xml:space="preserve">y como consecuencia usa muletas y necesita </w:t>
      </w:r>
      <w:r w:rsidRPr="009712EB">
        <w:rPr>
          <w:sz w:val="20"/>
          <w:szCs w:val="20"/>
          <w:lang w:val="es-CO"/>
        </w:rPr>
        <w:t>una pierna artificial</w:t>
      </w:r>
      <w:r w:rsidRPr="009712EB">
        <w:rPr>
          <w:sz w:val="20"/>
          <w:szCs w:val="20"/>
          <w:vertAlign w:val="superscript"/>
        </w:rPr>
        <w:footnoteReference w:id="460"/>
      </w:r>
      <w:r w:rsidRPr="009712EB">
        <w:rPr>
          <w:sz w:val="20"/>
          <w:szCs w:val="20"/>
          <w:lang w:val="es-CO"/>
        </w:rPr>
        <w:t>.</w:t>
      </w:r>
    </w:p>
    <w:p w:rsidR="00F540DD" w:rsidRPr="00F540DD" w:rsidRDefault="00F540DD" w:rsidP="008D4E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9712EB">
        <w:rPr>
          <w:i/>
          <w:sz w:val="20"/>
          <w:szCs w:val="20"/>
          <w:lang w:val="es-VE"/>
        </w:rPr>
        <w:t>Lidia Willis Bucknall</w:t>
      </w:r>
      <w:r w:rsidRPr="009712EB">
        <w:rPr>
          <w:sz w:val="20"/>
          <w:szCs w:val="20"/>
          <w:lang w:val="es-VE"/>
        </w:rPr>
        <w:t xml:space="preserve"> identificada en el caso No.186, era una mujer panameña de 58 años de edad y residente del Edificio Patio Pinel ubicado en El Chorrillo</w:t>
      </w:r>
      <w:r w:rsidRPr="009712EB">
        <w:rPr>
          <w:sz w:val="20"/>
          <w:szCs w:val="20"/>
          <w:vertAlign w:val="superscript"/>
          <w:lang w:val="es-VE"/>
        </w:rPr>
        <w:footnoteReference w:id="461"/>
      </w:r>
      <w:r w:rsidRPr="009712EB">
        <w:rPr>
          <w:sz w:val="20"/>
          <w:szCs w:val="20"/>
          <w:lang w:val="es-VE"/>
        </w:rPr>
        <w:t xml:space="preserve">. Conforme a su declaración, </w:t>
      </w:r>
      <w:r w:rsidR="0043737B" w:rsidRPr="009712EB">
        <w:rPr>
          <w:sz w:val="20"/>
          <w:szCs w:val="20"/>
          <w:lang w:val="es-VE"/>
        </w:rPr>
        <w:t>a partir de los acontecimientos del 20 de diciembre 1989</w:t>
      </w:r>
      <w:r w:rsidR="0043737B">
        <w:rPr>
          <w:sz w:val="20"/>
          <w:szCs w:val="20"/>
          <w:lang w:val="es-VE"/>
        </w:rPr>
        <w:t xml:space="preserve">, </w:t>
      </w:r>
      <w:r w:rsidRPr="009712EB">
        <w:rPr>
          <w:sz w:val="20"/>
          <w:szCs w:val="20"/>
          <w:lang w:val="es-VE"/>
        </w:rPr>
        <w:t>la Sra. Willis sufrió de un agravamiento de alto r</w:t>
      </w:r>
      <w:r w:rsidR="0043737B">
        <w:rPr>
          <w:sz w:val="20"/>
          <w:szCs w:val="20"/>
          <w:lang w:val="es-VE"/>
        </w:rPr>
        <w:t>iesgo en su condición cardiaca</w:t>
      </w:r>
      <w:r w:rsidRPr="009712EB">
        <w:rPr>
          <w:sz w:val="20"/>
          <w:szCs w:val="20"/>
          <w:lang w:val="es-VE"/>
        </w:rPr>
        <w:t xml:space="preserve"> en particular </w:t>
      </w:r>
      <w:r w:rsidR="0043737B">
        <w:rPr>
          <w:sz w:val="20"/>
          <w:szCs w:val="20"/>
          <w:lang w:val="es-VE"/>
        </w:rPr>
        <w:t xml:space="preserve">debido a </w:t>
      </w:r>
      <w:r w:rsidRPr="009712EB">
        <w:rPr>
          <w:sz w:val="20"/>
          <w:szCs w:val="20"/>
          <w:lang w:val="es-VE"/>
        </w:rPr>
        <w:t>la muerte de su hijo</w:t>
      </w:r>
      <w:r w:rsidRPr="009712EB">
        <w:rPr>
          <w:sz w:val="20"/>
          <w:szCs w:val="20"/>
          <w:vertAlign w:val="superscript"/>
          <w:lang w:val="es-VE"/>
        </w:rPr>
        <w:footnoteReference w:id="462"/>
      </w:r>
      <w:r w:rsidRPr="009712EB">
        <w:rPr>
          <w:sz w:val="20"/>
          <w:szCs w:val="20"/>
          <w:lang w:val="es-VE"/>
        </w:rPr>
        <w:t xml:space="preserve">. En base a la información aportada, Lidia Willis estuvo hospitalizada en la unidad de coronaria de cuidados intensivos en varias oportunidades, </w:t>
      </w:r>
      <w:r w:rsidR="0043737B">
        <w:rPr>
          <w:sz w:val="20"/>
          <w:szCs w:val="20"/>
          <w:lang w:val="es-VE"/>
        </w:rPr>
        <w:t xml:space="preserve">incluyendo </w:t>
      </w:r>
      <w:r w:rsidRPr="009712EB">
        <w:rPr>
          <w:sz w:val="20"/>
          <w:szCs w:val="20"/>
          <w:lang w:val="es-VE"/>
        </w:rPr>
        <w:t>el 4 de noviembre, 18 de noviembre y el 11 de diciembre de 1990</w:t>
      </w:r>
      <w:r w:rsidRPr="009712EB">
        <w:rPr>
          <w:sz w:val="20"/>
          <w:szCs w:val="20"/>
          <w:vertAlign w:val="superscript"/>
          <w:lang w:val="es-VE"/>
        </w:rPr>
        <w:footnoteReference w:id="463"/>
      </w:r>
      <w:r w:rsidRPr="009712EB">
        <w:rPr>
          <w:sz w:val="20"/>
          <w:szCs w:val="20"/>
          <w:lang w:val="es-VE"/>
        </w:rPr>
        <w:t>.</w:t>
      </w:r>
    </w:p>
    <w:p w:rsidR="005F4DC5" w:rsidRPr="009712EB" w:rsidRDefault="005F4DC5" w:rsidP="008D4E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 xml:space="preserve">La Sra. Lidia Willis indicó que mediante notas y firmas de todas los afectados hizo disponible información a distintas autoridades </w:t>
      </w:r>
      <w:r w:rsidR="0043737B">
        <w:rPr>
          <w:sz w:val="20"/>
          <w:szCs w:val="20"/>
          <w:lang w:val="es-CO"/>
        </w:rPr>
        <w:t xml:space="preserve">incluyendo </w:t>
      </w:r>
      <w:r w:rsidRPr="009712EB">
        <w:rPr>
          <w:sz w:val="20"/>
          <w:szCs w:val="20"/>
          <w:lang w:val="es-CO"/>
        </w:rPr>
        <w:t>el Embajador de</w:t>
      </w:r>
      <w:r w:rsidR="0043737B">
        <w:rPr>
          <w:sz w:val="20"/>
          <w:szCs w:val="20"/>
          <w:lang w:val="es-CO"/>
        </w:rPr>
        <w:t xml:space="preserve"> Estados Unidos en Panamá, Dean</w:t>
      </w:r>
      <w:r w:rsidRPr="009712EB">
        <w:rPr>
          <w:sz w:val="20"/>
          <w:szCs w:val="20"/>
          <w:lang w:val="es-CO"/>
        </w:rPr>
        <w:t xml:space="preserve">e </w:t>
      </w:r>
      <w:r w:rsidR="0043737B">
        <w:rPr>
          <w:sz w:val="20"/>
          <w:szCs w:val="20"/>
          <w:lang w:val="es-CO"/>
        </w:rPr>
        <w:t>Hintan</w:t>
      </w:r>
      <w:r w:rsidRPr="009712EB">
        <w:rPr>
          <w:sz w:val="20"/>
          <w:szCs w:val="20"/>
          <w:lang w:val="es-CO"/>
        </w:rPr>
        <w:t xml:space="preserve">; el </w:t>
      </w:r>
      <w:r w:rsidR="008D4E5B">
        <w:rPr>
          <w:sz w:val="20"/>
          <w:szCs w:val="20"/>
          <w:lang w:val="es-CO"/>
        </w:rPr>
        <w:t xml:space="preserve">Director </w:t>
      </w:r>
      <w:r w:rsidRPr="009712EB">
        <w:rPr>
          <w:sz w:val="20"/>
          <w:szCs w:val="20"/>
          <w:lang w:val="es-CO"/>
        </w:rPr>
        <w:t>de AID-Panamá, Thomas W. Stukel; así como a representantes de la OEA y ONU en Panamá</w:t>
      </w:r>
      <w:r w:rsidRPr="009712EB">
        <w:rPr>
          <w:sz w:val="20"/>
          <w:szCs w:val="20"/>
          <w:vertAlign w:val="superscript"/>
        </w:rPr>
        <w:footnoteReference w:id="464"/>
      </w:r>
      <w:r w:rsidRPr="009712EB">
        <w:rPr>
          <w:sz w:val="20"/>
          <w:szCs w:val="20"/>
          <w:lang w:val="es-CO"/>
        </w:rPr>
        <w:t>.</w:t>
      </w:r>
    </w:p>
    <w:p w:rsidR="005F4DC5" w:rsidRPr="009712EB" w:rsidRDefault="005F4DC5" w:rsidP="008D4E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i/>
          <w:sz w:val="20"/>
          <w:szCs w:val="20"/>
          <w:lang w:val="es-CO"/>
        </w:rPr>
        <w:t>Luzmila Harding de Castillo</w:t>
      </w:r>
      <w:r w:rsidRPr="009712EB">
        <w:rPr>
          <w:sz w:val="20"/>
          <w:szCs w:val="20"/>
          <w:lang w:val="es-CO"/>
        </w:rPr>
        <w:t xml:space="preserve"> identificada en el caso No. 210, era una mujer de 52 años de nacionalidad panameña residente de Patio Pinel</w:t>
      </w:r>
      <w:r w:rsidRPr="009712EB">
        <w:rPr>
          <w:sz w:val="20"/>
          <w:szCs w:val="20"/>
          <w:vertAlign w:val="superscript"/>
        </w:rPr>
        <w:footnoteReference w:id="465"/>
      </w:r>
      <w:r w:rsidRPr="009712EB">
        <w:rPr>
          <w:sz w:val="20"/>
          <w:szCs w:val="20"/>
          <w:lang w:val="es-CO"/>
        </w:rPr>
        <w:t xml:space="preserve">. De acuerdo con su declaración, </w:t>
      </w:r>
      <w:r w:rsidR="0043737B">
        <w:rPr>
          <w:sz w:val="20"/>
          <w:szCs w:val="20"/>
          <w:lang w:val="es-CO"/>
        </w:rPr>
        <w:t xml:space="preserve">justo </w:t>
      </w:r>
      <w:r w:rsidRPr="009712EB">
        <w:rPr>
          <w:sz w:val="20"/>
          <w:szCs w:val="20"/>
          <w:lang w:val="es-CO"/>
        </w:rPr>
        <w:t>un poco antes de la una de la mañana del 20 de diciembre de 1989, su familia despertó al oír detonaciones procedentes del Cuartel Central y la Cárcel La Modelo</w:t>
      </w:r>
      <w:r w:rsidRPr="009712EB">
        <w:rPr>
          <w:sz w:val="20"/>
          <w:szCs w:val="20"/>
          <w:vertAlign w:val="superscript"/>
        </w:rPr>
        <w:footnoteReference w:id="466"/>
      </w:r>
      <w:r w:rsidRPr="009712EB">
        <w:rPr>
          <w:sz w:val="20"/>
          <w:szCs w:val="20"/>
          <w:lang w:val="es-CO"/>
        </w:rPr>
        <w:t>. Mientras las bombas y disparos continuaban, sufrió una quemada en la mano</w:t>
      </w:r>
      <w:r w:rsidRPr="009712EB">
        <w:rPr>
          <w:sz w:val="20"/>
          <w:szCs w:val="20"/>
          <w:vertAlign w:val="superscript"/>
        </w:rPr>
        <w:footnoteReference w:id="467"/>
      </w:r>
      <w:r w:rsidRPr="009712EB">
        <w:rPr>
          <w:sz w:val="20"/>
          <w:szCs w:val="20"/>
          <w:lang w:val="es-CO"/>
        </w:rPr>
        <w:t>.</w:t>
      </w:r>
    </w:p>
    <w:p w:rsidR="005F4DC5" w:rsidRPr="009712EB"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CO"/>
        </w:rPr>
      </w:pPr>
    </w:p>
    <w:p w:rsidR="00A062F9" w:rsidRPr="00BC234D"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ES_tradnl"/>
        </w:rPr>
      </w:pPr>
      <w:r w:rsidRPr="009712EB">
        <w:rPr>
          <w:i/>
          <w:sz w:val="20"/>
          <w:szCs w:val="20"/>
          <w:lang w:val="es-CO"/>
        </w:rPr>
        <w:t>Juvencia Guzmán de Valdés</w:t>
      </w:r>
      <w:r w:rsidR="002851D8">
        <w:rPr>
          <w:sz w:val="20"/>
          <w:szCs w:val="20"/>
          <w:lang w:val="es-CO"/>
        </w:rPr>
        <w:t xml:space="preserve"> identificada en el caso No.</w:t>
      </w:r>
      <w:r w:rsidRPr="009712EB">
        <w:rPr>
          <w:sz w:val="20"/>
          <w:szCs w:val="20"/>
          <w:lang w:val="es-CO"/>
        </w:rPr>
        <w:t xml:space="preserve"> 235, era una mujer de 60 años de edad de nacionalidad panameña</w:t>
      </w:r>
      <w:r w:rsidRPr="009712EB">
        <w:rPr>
          <w:sz w:val="20"/>
          <w:szCs w:val="20"/>
          <w:vertAlign w:val="superscript"/>
        </w:rPr>
        <w:footnoteReference w:id="468"/>
      </w:r>
      <w:r w:rsidRPr="009712EB">
        <w:rPr>
          <w:sz w:val="20"/>
          <w:szCs w:val="20"/>
          <w:lang w:val="es-CO"/>
        </w:rPr>
        <w:t>. Según lo descrito por la víctima, el 20 de diciembre de 1989 se produjo un incendio y saqueos en la Ciudad de Panamá</w:t>
      </w:r>
      <w:r w:rsidRPr="009712EB">
        <w:rPr>
          <w:sz w:val="20"/>
          <w:szCs w:val="20"/>
          <w:vertAlign w:val="superscript"/>
        </w:rPr>
        <w:footnoteReference w:id="469"/>
      </w:r>
      <w:r w:rsidRPr="009712EB">
        <w:rPr>
          <w:sz w:val="20"/>
          <w:szCs w:val="20"/>
          <w:lang w:val="es-CO"/>
        </w:rPr>
        <w:t xml:space="preserve"> en el marco del cual sufrió un traumatismo directo en su rodilla y pie derecho dedo gordo</w:t>
      </w:r>
      <w:r w:rsidRPr="009712EB">
        <w:rPr>
          <w:sz w:val="20"/>
          <w:szCs w:val="20"/>
          <w:vertAlign w:val="superscript"/>
        </w:rPr>
        <w:footnoteReference w:id="470"/>
      </w:r>
      <w:r w:rsidRPr="009712EB">
        <w:rPr>
          <w:sz w:val="20"/>
          <w:szCs w:val="20"/>
          <w:lang w:val="es-CO"/>
        </w:rPr>
        <w:t>. Con</w:t>
      </w:r>
      <w:r w:rsidRPr="00BC234D">
        <w:rPr>
          <w:sz w:val="20"/>
          <w:szCs w:val="20"/>
          <w:lang w:val="es-ES_tradnl"/>
        </w:rPr>
        <w:t>forme a la información disponible, tiempo después, recibió atención médica por presentar dolor intenso y dificultad para caminar</w:t>
      </w:r>
      <w:r w:rsidRPr="00BC234D">
        <w:rPr>
          <w:sz w:val="20"/>
          <w:szCs w:val="20"/>
          <w:vertAlign w:val="superscript"/>
          <w:lang w:val="es-ES_tradnl"/>
        </w:rPr>
        <w:footnoteReference w:id="471"/>
      </w:r>
      <w:r w:rsidRPr="00BC234D">
        <w:rPr>
          <w:sz w:val="20"/>
          <w:szCs w:val="20"/>
          <w:lang w:val="es-ES_tradnl"/>
        </w:rPr>
        <w:t xml:space="preserve"> por lo cual tuvo que ser sometida a una cirugía a</w:t>
      </w:r>
      <w:r w:rsidR="0043737B">
        <w:rPr>
          <w:sz w:val="20"/>
          <w:szCs w:val="20"/>
          <w:lang w:val="es-ES_tradnl"/>
        </w:rPr>
        <w:t>rtroscópica en la rodilla en respuesta al diagnóstico de</w:t>
      </w:r>
      <w:r w:rsidRPr="00BC234D">
        <w:rPr>
          <w:sz w:val="20"/>
          <w:szCs w:val="20"/>
          <w:lang w:val="es-ES_tradnl"/>
        </w:rPr>
        <w:t xml:space="preserve"> desgarro del menisco medial y lateral</w:t>
      </w:r>
      <w:r w:rsidRPr="00BC234D">
        <w:rPr>
          <w:sz w:val="20"/>
          <w:szCs w:val="20"/>
          <w:vertAlign w:val="superscript"/>
          <w:lang w:val="es-ES_tradnl"/>
        </w:rPr>
        <w:footnoteReference w:id="472"/>
      </w:r>
      <w:r w:rsidRPr="00BC234D">
        <w:rPr>
          <w:sz w:val="20"/>
          <w:szCs w:val="20"/>
          <w:lang w:val="es-ES_tradnl"/>
        </w:rPr>
        <w:t>.</w:t>
      </w:r>
    </w:p>
    <w:p w:rsidR="005F4DC5" w:rsidRPr="00BC234D" w:rsidRDefault="005F4DC5" w:rsidP="008D4E5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ES_tradnl"/>
        </w:rPr>
      </w:pPr>
    </w:p>
    <w:p w:rsidR="00F57979" w:rsidRPr="00BC234D" w:rsidRDefault="005A290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ES_tradnl"/>
        </w:rPr>
      </w:pPr>
      <w:r w:rsidRPr="00BC234D">
        <w:rPr>
          <w:sz w:val="20"/>
          <w:szCs w:val="20"/>
          <w:lang w:val="es-ES_tradnl"/>
        </w:rPr>
        <w:t xml:space="preserve">Según </w:t>
      </w:r>
      <w:r w:rsidR="00A13400" w:rsidRPr="00BC234D">
        <w:rPr>
          <w:sz w:val="20"/>
          <w:szCs w:val="20"/>
          <w:lang w:val="es-ES_tradnl"/>
        </w:rPr>
        <w:t>la declaración presentada, l</w:t>
      </w:r>
      <w:r w:rsidR="00A062F9" w:rsidRPr="00BC234D">
        <w:rPr>
          <w:sz w:val="20"/>
          <w:szCs w:val="20"/>
          <w:lang w:val="es-ES_tradnl"/>
        </w:rPr>
        <w:t>a Sra. Juvencia Guzmán realizó visita ante el Ministerio de Vivienda, el Ministerio de Comercio y ante la AID</w:t>
      </w:r>
      <w:r w:rsidR="00A062F9" w:rsidRPr="00BC234D">
        <w:rPr>
          <w:sz w:val="20"/>
          <w:szCs w:val="20"/>
          <w:vertAlign w:val="superscript"/>
          <w:lang w:val="es-ES_tradnl"/>
        </w:rPr>
        <w:footnoteReference w:id="473"/>
      </w:r>
      <w:r w:rsidR="00A062F9" w:rsidRPr="00BC234D">
        <w:rPr>
          <w:sz w:val="20"/>
          <w:szCs w:val="20"/>
          <w:lang w:val="es-ES_tradnl"/>
        </w:rPr>
        <w:t>.</w:t>
      </w:r>
      <w:r w:rsidR="004C4A1D">
        <w:rPr>
          <w:sz w:val="20"/>
          <w:szCs w:val="20"/>
          <w:lang w:val="es-ES_tradnl"/>
        </w:rPr>
        <w:t xml:space="preserve"> La CIDH no cuenta con información sobre lo ocurrido en consecuencia de la visita. </w:t>
      </w:r>
    </w:p>
    <w:p w:rsidR="00F57979" w:rsidRPr="00BC234D" w:rsidRDefault="00F57979" w:rsidP="009712EB">
      <w:pPr>
        <w:pStyle w:val="ListParagraph"/>
        <w:rPr>
          <w:b/>
          <w:sz w:val="20"/>
          <w:szCs w:val="20"/>
          <w:lang w:val="es-ES_tradnl"/>
        </w:rPr>
      </w:pPr>
    </w:p>
    <w:p w:rsidR="0009739F" w:rsidRPr="00BC234D" w:rsidRDefault="00A8449F" w:rsidP="003B1EC8">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sz w:val="20"/>
          <w:szCs w:val="20"/>
          <w:lang w:val="es-ES_tradnl"/>
        </w:rPr>
      </w:pPr>
      <w:r>
        <w:rPr>
          <w:b/>
          <w:sz w:val="20"/>
          <w:szCs w:val="20"/>
          <w:lang w:val="es-ES_tradnl"/>
        </w:rPr>
        <w:t xml:space="preserve">Afectaciones a la integridad psicológica </w:t>
      </w:r>
    </w:p>
    <w:p w:rsidR="0009739F" w:rsidRPr="00BC234D" w:rsidRDefault="0009739F" w:rsidP="009712EB">
      <w:pPr>
        <w:pStyle w:val="ListParagraph"/>
        <w:ind w:left="3240"/>
        <w:jc w:val="both"/>
        <w:rPr>
          <w:sz w:val="20"/>
          <w:szCs w:val="20"/>
          <w:lang w:val="es-ES_tradnl"/>
        </w:rPr>
      </w:pPr>
    </w:p>
    <w:p w:rsidR="00D83D17" w:rsidRPr="000D77A8" w:rsidRDefault="00D83D17"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ES_tradnl"/>
        </w:rPr>
      </w:pPr>
      <w:r w:rsidRPr="000D77A8">
        <w:rPr>
          <w:color w:val="auto"/>
          <w:sz w:val="20"/>
          <w:szCs w:val="20"/>
          <w:lang w:val="es-ES_tradnl"/>
        </w:rPr>
        <w:t xml:space="preserve">Sobre este particular, la Comisión destaca la información presentada </w:t>
      </w:r>
      <w:r w:rsidR="00A8449F">
        <w:rPr>
          <w:color w:val="auto"/>
          <w:sz w:val="20"/>
          <w:szCs w:val="20"/>
          <w:lang w:val="es-ES_tradnl"/>
        </w:rPr>
        <w:t xml:space="preserve">por </w:t>
      </w:r>
      <w:r w:rsidRPr="000D77A8">
        <w:rPr>
          <w:color w:val="auto"/>
          <w:sz w:val="20"/>
          <w:szCs w:val="20"/>
          <w:lang w:val="es-ES_tradnl"/>
        </w:rPr>
        <w:t xml:space="preserve">Physicians for Human Rights </w:t>
      </w:r>
      <w:r w:rsidR="00A8449F">
        <w:rPr>
          <w:color w:val="auto"/>
          <w:sz w:val="20"/>
          <w:szCs w:val="20"/>
          <w:lang w:val="es-ES_tradnl"/>
        </w:rPr>
        <w:t xml:space="preserve">en su </w:t>
      </w:r>
      <w:r w:rsidR="00A8449F" w:rsidRPr="000D77A8">
        <w:rPr>
          <w:color w:val="auto"/>
          <w:sz w:val="20"/>
          <w:szCs w:val="20"/>
          <w:lang w:val="es-ES_tradnl"/>
        </w:rPr>
        <w:t xml:space="preserve">informe </w:t>
      </w:r>
      <w:r w:rsidRPr="000D77A8">
        <w:rPr>
          <w:color w:val="auto"/>
          <w:sz w:val="20"/>
          <w:szCs w:val="20"/>
          <w:lang w:val="es-ES_tradnl"/>
        </w:rPr>
        <w:t>en relación con la Operación Justa Causa</w:t>
      </w:r>
      <w:r w:rsidRPr="000D77A8">
        <w:rPr>
          <w:rStyle w:val="FootnoteReference"/>
          <w:color w:val="auto"/>
          <w:sz w:val="20"/>
          <w:szCs w:val="20"/>
          <w:lang w:val="es-ES_tradnl"/>
        </w:rPr>
        <w:footnoteReference w:id="474"/>
      </w:r>
      <w:r w:rsidR="00A8449F">
        <w:rPr>
          <w:color w:val="auto"/>
          <w:sz w:val="20"/>
          <w:szCs w:val="20"/>
          <w:lang w:val="es-ES_tradnl"/>
        </w:rPr>
        <w:t xml:space="preserve">. Al respecto, </w:t>
      </w:r>
      <w:r w:rsidR="00A8449F" w:rsidRPr="000D77A8">
        <w:rPr>
          <w:color w:val="auto"/>
          <w:sz w:val="20"/>
          <w:szCs w:val="20"/>
          <w:lang w:val="es-ES_tradnl"/>
        </w:rPr>
        <w:t xml:space="preserve">Physicians for Human Rights </w:t>
      </w:r>
      <w:r w:rsidR="00A8449F">
        <w:rPr>
          <w:color w:val="auto"/>
          <w:sz w:val="20"/>
          <w:szCs w:val="20"/>
          <w:lang w:val="es-ES_tradnl"/>
        </w:rPr>
        <w:t xml:space="preserve">documentó y analizó </w:t>
      </w:r>
      <w:r w:rsidRPr="000D77A8">
        <w:rPr>
          <w:color w:val="auto"/>
          <w:sz w:val="20"/>
          <w:szCs w:val="20"/>
          <w:lang w:val="es-ES_tradnl"/>
        </w:rPr>
        <w:t>como el “trauma psicológico sufrido por los panameños que experimentaron el combate y pérdidas personales importantes fue una parte importante del costo humano de la invasión”</w:t>
      </w:r>
      <w:r w:rsidRPr="000D77A8">
        <w:rPr>
          <w:rStyle w:val="FootnoteReference"/>
          <w:color w:val="auto"/>
          <w:sz w:val="20"/>
          <w:szCs w:val="20"/>
          <w:lang w:val="es-ES_tradnl"/>
        </w:rPr>
        <w:footnoteReference w:id="475"/>
      </w:r>
      <w:r w:rsidRPr="000D77A8">
        <w:rPr>
          <w:color w:val="auto"/>
          <w:sz w:val="20"/>
          <w:szCs w:val="20"/>
          <w:lang w:val="es-ES_tradnl"/>
        </w:rPr>
        <w:t xml:space="preserve">.  Sus hallazgos sobre la depresión, estrés postraumático y otros síntomas psicológicos en los civiles evaluados, </w:t>
      </w:r>
      <w:r w:rsidR="003C5F84">
        <w:rPr>
          <w:color w:val="auto"/>
          <w:sz w:val="20"/>
          <w:szCs w:val="20"/>
          <w:lang w:val="es-ES_tradnl"/>
        </w:rPr>
        <w:t>los llevaron a concluir</w:t>
      </w:r>
      <w:r w:rsidRPr="000D77A8">
        <w:rPr>
          <w:color w:val="auto"/>
          <w:sz w:val="20"/>
          <w:szCs w:val="20"/>
          <w:lang w:val="es-ES_tradnl"/>
        </w:rPr>
        <w:t xml:space="preserve"> que “ese sufrimiento fue generalizado entre los más de 15,000 que perdieron hogares o seres queridos o que sufrieron lesiones graves”</w:t>
      </w:r>
      <w:r w:rsidRPr="000D77A8">
        <w:rPr>
          <w:rStyle w:val="FootnoteReference"/>
          <w:color w:val="auto"/>
          <w:sz w:val="20"/>
          <w:szCs w:val="20"/>
          <w:lang w:val="es-ES_tradnl"/>
        </w:rPr>
        <w:footnoteReference w:id="476"/>
      </w:r>
      <w:r w:rsidRPr="000D77A8">
        <w:rPr>
          <w:color w:val="auto"/>
          <w:sz w:val="20"/>
          <w:szCs w:val="20"/>
          <w:lang w:val="es-ES_tradnl"/>
        </w:rPr>
        <w:t xml:space="preserve">. </w:t>
      </w:r>
    </w:p>
    <w:p w:rsidR="00D83D17" w:rsidRPr="00BC234D" w:rsidRDefault="00D83D17" w:rsidP="00D83D17">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_tradnl"/>
        </w:rPr>
      </w:pPr>
    </w:p>
    <w:p w:rsidR="0009739F" w:rsidRDefault="0009739F" w:rsidP="009712E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ES_tradnl"/>
        </w:rPr>
      </w:pPr>
      <w:r w:rsidRPr="00F46679">
        <w:rPr>
          <w:color w:val="auto"/>
          <w:sz w:val="20"/>
          <w:szCs w:val="20"/>
          <w:lang w:val="es-ES_tradnl"/>
        </w:rPr>
        <w:t xml:space="preserve">En consideración a la integridad </w:t>
      </w:r>
      <w:r w:rsidR="00A8449F" w:rsidRPr="00F46679">
        <w:rPr>
          <w:color w:val="auto"/>
          <w:sz w:val="20"/>
          <w:szCs w:val="20"/>
          <w:lang w:val="es-ES_tradnl"/>
        </w:rPr>
        <w:t xml:space="preserve">psicológica </w:t>
      </w:r>
      <w:r w:rsidRPr="00F46679">
        <w:rPr>
          <w:color w:val="auto"/>
          <w:sz w:val="20"/>
          <w:szCs w:val="20"/>
          <w:lang w:val="es-ES_tradnl"/>
        </w:rPr>
        <w:t xml:space="preserve">de las víctimas del presente caso, la Comisión resalta que una gran cantidad de ellas describe específicamente </w:t>
      </w:r>
      <w:r w:rsidR="00A8449F" w:rsidRPr="00F46679">
        <w:rPr>
          <w:color w:val="auto"/>
          <w:sz w:val="20"/>
          <w:szCs w:val="20"/>
          <w:lang w:val="es-ES_tradnl"/>
        </w:rPr>
        <w:t>como fueron afectadas durante los primeros días</w:t>
      </w:r>
      <w:r w:rsidR="00F46679" w:rsidRPr="00F46679">
        <w:rPr>
          <w:color w:val="auto"/>
          <w:sz w:val="20"/>
          <w:szCs w:val="20"/>
          <w:lang w:val="es-ES_tradnl"/>
        </w:rPr>
        <w:t xml:space="preserve"> de la operación militar</w:t>
      </w:r>
      <w:r w:rsidR="00A8449F" w:rsidRPr="00F46679">
        <w:rPr>
          <w:color w:val="auto"/>
          <w:sz w:val="20"/>
          <w:szCs w:val="20"/>
          <w:lang w:val="es-ES_tradnl"/>
        </w:rPr>
        <w:t>, incluyendo en algunos casos</w:t>
      </w:r>
      <w:r w:rsidRPr="00F46679">
        <w:rPr>
          <w:color w:val="auto"/>
          <w:sz w:val="20"/>
          <w:szCs w:val="20"/>
          <w:lang w:val="es-ES_tradnl"/>
        </w:rPr>
        <w:t xml:space="preserve"> ataques de nervios o ansiedad por el miedo creado </w:t>
      </w:r>
      <w:r w:rsidR="00A8449F" w:rsidRPr="00F46679">
        <w:rPr>
          <w:color w:val="auto"/>
          <w:sz w:val="20"/>
          <w:szCs w:val="20"/>
          <w:lang w:val="es-ES_tradnl"/>
        </w:rPr>
        <w:t>en relación a</w:t>
      </w:r>
      <w:r w:rsidRPr="00F46679">
        <w:rPr>
          <w:color w:val="auto"/>
          <w:sz w:val="20"/>
          <w:szCs w:val="20"/>
          <w:lang w:val="es-ES_tradnl"/>
        </w:rPr>
        <w:t xml:space="preserve"> las detonaciones de las bombas, las balas disparadas, y de los gritos de otras personas</w:t>
      </w:r>
      <w:r w:rsidR="00350390" w:rsidRPr="00F46679">
        <w:rPr>
          <w:color w:val="auto"/>
          <w:sz w:val="20"/>
          <w:szCs w:val="20"/>
          <w:lang w:val="es-ES_tradnl"/>
        </w:rPr>
        <w:t>,</w:t>
      </w:r>
      <w:r w:rsidRPr="00F46679">
        <w:rPr>
          <w:color w:val="auto"/>
          <w:sz w:val="20"/>
          <w:szCs w:val="20"/>
          <w:lang w:val="es-ES_tradnl"/>
        </w:rPr>
        <w:t xml:space="preserve"> en particular durante los acontecimientos que tuvieron</w:t>
      </w:r>
      <w:r w:rsidR="00F46679" w:rsidRPr="00F46679">
        <w:rPr>
          <w:color w:val="auto"/>
          <w:sz w:val="20"/>
          <w:szCs w:val="20"/>
          <w:lang w:val="es-ES_tradnl"/>
        </w:rPr>
        <w:t xml:space="preserve"> lugar en horas de la noche. D</w:t>
      </w:r>
      <w:r w:rsidRPr="00F46679">
        <w:rPr>
          <w:color w:val="auto"/>
          <w:sz w:val="20"/>
          <w:szCs w:val="20"/>
          <w:lang w:val="es-ES_tradnl"/>
        </w:rPr>
        <w:t>ada</w:t>
      </w:r>
      <w:r w:rsidRPr="00F46679">
        <w:rPr>
          <w:sz w:val="20"/>
          <w:szCs w:val="20"/>
          <w:lang w:val="es-ES_tradnl"/>
        </w:rPr>
        <w:t xml:space="preserve"> la naturaleza de los operativos durante los primeros días, el escenario de incertidumbre y miedo </w:t>
      </w:r>
      <w:r w:rsidR="00F46679" w:rsidRPr="00F46679">
        <w:rPr>
          <w:sz w:val="20"/>
          <w:szCs w:val="20"/>
          <w:lang w:val="es-ES_tradnl"/>
        </w:rPr>
        <w:t>es evidente en las declaraciones y descripciones presentadas en el presente caso</w:t>
      </w:r>
      <w:r w:rsidRPr="00F46679">
        <w:rPr>
          <w:sz w:val="20"/>
          <w:szCs w:val="20"/>
          <w:lang w:val="es-ES_tradnl"/>
        </w:rPr>
        <w:t>.</w:t>
      </w:r>
    </w:p>
    <w:p w:rsidR="00F46679" w:rsidRPr="00F46679" w:rsidRDefault="00F46679" w:rsidP="00F46679">
      <w:pPr>
        <w:pStyle w:val="ListParagraph"/>
        <w:rPr>
          <w:sz w:val="20"/>
          <w:szCs w:val="20"/>
          <w:lang w:val="es-ES_tradnl"/>
        </w:rPr>
      </w:pPr>
    </w:p>
    <w:p w:rsidR="0009739F" w:rsidRPr="003C5F84" w:rsidRDefault="00F46679" w:rsidP="003C5F84">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Pr>
          <w:sz w:val="20"/>
          <w:szCs w:val="20"/>
          <w:lang w:val="es-ES_tradnl"/>
        </w:rPr>
        <w:t xml:space="preserve">En este respecto, </w:t>
      </w:r>
      <w:r w:rsidR="0009739F" w:rsidRPr="00BC234D">
        <w:rPr>
          <w:sz w:val="20"/>
          <w:szCs w:val="20"/>
          <w:lang w:val="es-ES_tradnl"/>
        </w:rPr>
        <w:t xml:space="preserve">la CIDH verifica que </w:t>
      </w:r>
      <w:r>
        <w:rPr>
          <w:sz w:val="20"/>
          <w:szCs w:val="20"/>
          <w:lang w:val="es-ES_tradnl"/>
        </w:rPr>
        <w:t xml:space="preserve">estas </w:t>
      </w:r>
      <w:r w:rsidR="0009739F" w:rsidRPr="00BC234D">
        <w:rPr>
          <w:sz w:val="20"/>
          <w:szCs w:val="20"/>
          <w:lang w:val="es-ES_tradnl"/>
        </w:rPr>
        <w:t>víctimas</w:t>
      </w:r>
      <w:r>
        <w:rPr>
          <w:sz w:val="20"/>
          <w:szCs w:val="20"/>
          <w:lang w:val="es-ES_tradnl"/>
        </w:rPr>
        <w:t>,</w:t>
      </w:r>
      <w:r w:rsidR="0009739F" w:rsidRPr="00BC234D">
        <w:rPr>
          <w:sz w:val="20"/>
          <w:szCs w:val="20"/>
          <w:lang w:val="es-ES_tradnl"/>
        </w:rPr>
        <w:t xml:space="preserve"> en su mayoría</w:t>
      </w:r>
      <w:r>
        <w:rPr>
          <w:sz w:val="20"/>
          <w:szCs w:val="20"/>
          <w:lang w:val="es-ES_tradnl"/>
        </w:rPr>
        <w:t>,</w:t>
      </w:r>
      <w:r w:rsidR="0009739F" w:rsidRPr="00BC234D">
        <w:rPr>
          <w:sz w:val="20"/>
          <w:szCs w:val="20"/>
          <w:lang w:val="es-ES_tradnl"/>
        </w:rPr>
        <w:t xml:space="preserve"> son personas que se encontraban en las cercanías de puntos de importancia militar, </w:t>
      </w:r>
      <w:r>
        <w:rPr>
          <w:sz w:val="20"/>
          <w:szCs w:val="20"/>
          <w:lang w:val="es-ES_tradnl"/>
        </w:rPr>
        <w:t xml:space="preserve">como </w:t>
      </w:r>
      <w:r w:rsidR="0009739F" w:rsidRPr="00BC234D">
        <w:rPr>
          <w:sz w:val="20"/>
          <w:szCs w:val="20"/>
          <w:lang w:val="es-ES_tradnl"/>
        </w:rPr>
        <w:t>objetivos estratégicos</w:t>
      </w:r>
      <w:r w:rsidR="00BC234D">
        <w:rPr>
          <w:sz w:val="20"/>
          <w:szCs w:val="20"/>
          <w:lang w:val="es-ES_tradnl"/>
        </w:rPr>
        <w:t xml:space="preserve"> identificados por parte </w:t>
      </w:r>
      <w:r w:rsidR="0009739F" w:rsidRPr="00BC234D">
        <w:rPr>
          <w:sz w:val="20"/>
          <w:szCs w:val="20"/>
          <w:lang w:val="es-ES_tradnl"/>
        </w:rPr>
        <w:t>de las fuerzas armadas estadou</w:t>
      </w:r>
      <w:r w:rsidR="003C5F84">
        <w:rPr>
          <w:sz w:val="20"/>
          <w:szCs w:val="20"/>
          <w:lang w:val="es-ES_tradnl"/>
        </w:rPr>
        <w:t xml:space="preserve">nidenses, como por ejemplo: El </w:t>
      </w:r>
      <w:r w:rsidR="003C5F84">
        <w:rPr>
          <w:sz w:val="20"/>
          <w:szCs w:val="20"/>
          <w:lang w:val="es-CO"/>
        </w:rPr>
        <w:t>Chorrillo</w:t>
      </w:r>
      <w:r w:rsidR="0009739F" w:rsidRPr="003C5F84">
        <w:rPr>
          <w:sz w:val="20"/>
          <w:szCs w:val="20"/>
          <w:lang w:val="es-CO"/>
        </w:rPr>
        <w:t xml:space="preserve"> y Colón. </w:t>
      </w:r>
    </w:p>
    <w:p w:rsidR="0009739F" w:rsidRPr="009712EB" w:rsidRDefault="0009739F" w:rsidP="00FC71A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09739F" w:rsidRPr="009712EB" w:rsidRDefault="00D650AD" w:rsidP="00D650A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Pr>
          <w:sz w:val="20"/>
          <w:szCs w:val="20"/>
          <w:lang w:val="es-CO"/>
        </w:rPr>
        <w:t>Teniendo en cuenta</w:t>
      </w:r>
      <w:r w:rsidR="0009739F" w:rsidRPr="009712EB">
        <w:rPr>
          <w:sz w:val="20"/>
          <w:szCs w:val="20"/>
          <w:lang w:val="es-CO"/>
        </w:rPr>
        <w:t xml:space="preserve"> el contexto de los hechos, la CIDH considera </w:t>
      </w:r>
      <w:r w:rsidRPr="00D650AD">
        <w:rPr>
          <w:sz w:val="20"/>
          <w:szCs w:val="20"/>
          <w:lang w:val="es-CO"/>
        </w:rPr>
        <w:t xml:space="preserve">que era </w:t>
      </w:r>
      <w:r>
        <w:rPr>
          <w:sz w:val="20"/>
          <w:szCs w:val="20"/>
          <w:lang w:val="es-CO"/>
        </w:rPr>
        <w:t>previsible</w:t>
      </w:r>
      <w:r w:rsidRPr="00D650AD">
        <w:rPr>
          <w:sz w:val="20"/>
          <w:szCs w:val="20"/>
          <w:lang w:val="es-CO"/>
        </w:rPr>
        <w:t xml:space="preserve"> que personas se vieran afectadas psicológicamente, especialmente personas que eran particularmente vulnerables, debido, por ejemplo, a condiciones médicas preexistentes, o</w:t>
      </w:r>
      <w:r>
        <w:rPr>
          <w:sz w:val="20"/>
          <w:szCs w:val="20"/>
          <w:lang w:val="es-CO"/>
        </w:rPr>
        <w:t xml:space="preserve"> </w:t>
      </w:r>
      <w:r w:rsidRPr="00D650AD">
        <w:rPr>
          <w:sz w:val="20"/>
          <w:szCs w:val="20"/>
          <w:lang w:val="es-CO"/>
        </w:rPr>
        <w:t xml:space="preserve">a la edad: en el caso de </w:t>
      </w:r>
      <w:r w:rsidR="0009739F" w:rsidRPr="009712EB">
        <w:rPr>
          <w:sz w:val="20"/>
          <w:szCs w:val="20"/>
          <w:lang w:val="es-CO"/>
        </w:rPr>
        <w:t>niños y niñas, o personas mayores. De las</w:t>
      </w:r>
      <w:r w:rsidR="0009739F" w:rsidRPr="00FC71AE">
        <w:rPr>
          <w:color w:val="auto"/>
          <w:sz w:val="20"/>
          <w:szCs w:val="20"/>
          <w:lang w:val="es-CO"/>
        </w:rPr>
        <w:t xml:space="preserve"> </w:t>
      </w:r>
      <w:r w:rsidR="007658DA" w:rsidRPr="00FC71AE">
        <w:rPr>
          <w:color w:val="auto"/>
          <w:sz w:val="20"/>
          <w:szCs w:val="20"/>
          <w:lang w:val="es-CO"/>
        </w:rPr>
        <w:t xml:space="preserve">presuntas </w:t>
      </w:r>
      <w:r w:rsidR="0009739F" w:rsidRPr="00FC71AE">
        <w:rPr>
          <w:color w:val="auto"/>
          <w:sz w:val="20"/>
          <w:szCs w:val="20"/>
          <w:lang w:val="es-CO"/>
        </w:rPr>
        <w:t>ví</w:t>
      </w:r>
      <w:r w:rsidR="0009739F" w:rsidRPr="009712EB">
        <w:rPr>
          <w:sz w:val="20"/>
          <w:szCs w:val="20"/>
          <w:lang w:val="es-CO"/>
        </w:rPr>
        <w:t xml:space="preserve">ctimas que mencionan este tipo de afectaciones, se presentan descripciones </w:t>
      </w:r>
      <w:r w:rsidR="00EA68E3">
        <w:rPr>
          <w:sz w:val="20"/>
          <w:szCs w:val="20"/>
          <w:lang w:val="es-CO"/>
        </w:rPr>
        <w:t xml:space="preserve">de </w:t>
      </w:r>
      <w:r w:rsidR="00EA68E3">
        <w:rPr>
          <w:sz w:val="20"/>
          <w:szCs w:val="20"/>
          <w:lang w:val="es-CO"/>
        </w:rPr>
        <w:lastRenderedPageBreak/>
        <w:t xml:space="preserve">manera reiterada sobre </w:t>
      </w:r>
      <w:r w:rsidR="0009739F" w:rsidRPr="009712EB">
        <w:rPr>
          <w:sz w:val="20"/>
          <w:szCs w:val="20"/>
          <w:lang w:val="es-CO"/>
        </w:rPr>
        <w:t>afectaciones a los nervios</w:t>
      </w:r>
      <w:r w:rsidR="0009739F" w:rsidRPr="009712EB">
        <w:rPr>
          <w:sz w:val="20"/>
          <w:szCs w:val="20"/>
          <w:vertAlign w:val="superscript"/>
        </w:rPr>
        <w:footnoteReference w:id="477"/>
      </w:r>
      <w:r w:rsidR="0009739F" w:rsidRPr="009712EB">
        <w:rPr>
          <w:sz w:val="20"/>
          <w:szCs w:val="20"/>
          <w:lang w:val="es-CO"/>
        </w:rPr>
        <w:t>, histeria</w:t>
      </w:r>
      <w:r w:rsidR="0009739F" w:rsidRPr="009712EB">
        <w:rPr>
          <w:sz w:val="20"/>
          <w:szCs w:val="20"/>
          <w:vertAlign w:val="superscript"/>
        </w:rPr>
        <w:footnoteReference w:id="478"/>
      </w:r>
      <w:r w:rsidR="0009739F" w:rsidRPr="009712EB">
        <w:rPr>
          <w:sz w:val="20"/>
          <w:szCs w:val="20"/>
          <w:lang w:val="es-CO"/>
        </w:rPr>
        <w:t>, presión arterial alta o hipertensión</w:t>
      </w:r>
      <w:r w:rsidR="0009739F" w:rsidRPr="009712EB">
        <w:rPr>
          <w:sz w:val="20"/>
          <w:szCs w:val="20"/>
          <w:vertAlign w:val="superscript"/>
        </w:rPr>
        <w:footnoteReference w:id="479"/>
      </w:r>
      <w:r w:rsidR="0009739F" w:rsidRPr="009712EB">
        <w:rPr>
          <w:sz w:val="20"/>
          <w:szCs w:val="20"/>
          <w:lang w:val="es-CO"/>
        </w:rPr>
        <w:t>, trastornos psicológicos</w:t>
      </w:r>
      <w:r w:rsidR="0009739F" w:rsidRPr="009712EB">
        <w:rPr>
          <w:sz w:val="20"/>
          <w:szCs w:val="20"/>
          <w:vertAlign w:val="superscript"/>
        </w:rPr>
        <w:footnoteReference w:id="480"/>
      </w:r>
      <w:r w:rsidR="0009739F" w:rsidRPr="009712EB">
        <w:rPr>
          <w:sz w:val="20"/>
          <w:szCs w:val="20"/>
          <w:lang w:val="es-CO"/>
        </w:rPr>
        <w:t>, daños emocionales</w:t>
      </w:r>
      <w:r w:rsidR="0009739F" w:rsidRPr="009712EB">
        <w:rPr>
          <w:sz w:val="20"/>
          <w:szCs w:val="20"/>
          <w:vertAlign w:val="superscript"/>
        </w:rPr>
        <w:footnoteReference w:id="481"/>
      </w:r>
      <w:r w:rsidR="0009739F" w:rsidRPr="009712EB">
        <w:rPr>
          <w:sz w:val="20"/>
          <w:szCs w:val="20"/>
          <w:lang w:val="es-CO"/>
        </w:rPr>
        <w:t>, privación del sueño</w:t>
      </w:r>
      <w:r w:rsidR="0009739F" w:rsidRPr="009712EB">
        <w:rPr>
          <w:sz w:val="20"/>
          <w:szCs w:val="20"/>
          <w:vertAlign w:val="superscript"/>
        </w:rPr>
        <w:footnoteReference w:id="482"/>
      </w:r>
      <w:r w:rsidR="00EA68E3">
        <w:rPr>
          <w:sz w:val="20"/>
          <w:szCs w:val="20"/>
          <w:lang w:val="es-CO"/>
        </w:rPr>
        <w:t xml:space="preserve"> y lo que ellos llaman </w:t>
      </w:r>
      <w:r w:rsidR="0009739F" w:rsidRPr="009712EB">
        <w:rPr>
          <w:sz w:val="20"/>
          <w:szCs w:val="20"/>
          <w:lang w:val="es-CO"/>
        </w:rPr>
        <w:t>“trauma post-invasión”</w:t>
      </w:r>
      <w:r w:rsidR="0009739F" w:rsidRPr="009712EB">
        <w:rPr>
          <w:sz w:val="20"/>
          <w:szCs w:val="20"/>
          <w:vertAlign w:val="superscript"/>
        </w:rPr>
        <w:footnoteReference w:id="483"/>
      </w:r>
      <w:r w:rsidR="0009739F" w:rsidRPr="009712EB">
        <w:rPr>
          <w:sz w:val="20"/>
          <w:szCs w:val="20"/>
          <w:lang w:val="es-CO"/>
        </w:rPr>
        <w:t>.</w:t>
      </w:r>
      <w:r w:rsidR="0009739F" w:rsidRPr="009712EB">
        <w:rPr>
          <w:b/>
          <w:sz w:val="20"/>
          <w:szCs w:val="20"/>
          <w:lang w:val="es-CO"/>
        </w:rPr>
        <w:t xml:space="preserve"> </w:t>
      </w:r>
    </w:p>
    <w:p w:rsidR="0009739F" w:rsidRPr="009712EB" w:rsidRDefault="0009739F"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CO"/>
        </w:rPr>
      </w:pPr>
    </w:p>
    <w:p w:rsidR="0009739F" w:rsidRDefault="0009739F" w:rsidP="003B1EC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En particular</w:t>
      </w:r>
      <w:r w:rsidR="00EA68E3">
        <w:rPr>
          <w:sz w:val="20"/>
          <w:szCs w:val="20"/>
          <w:lang w:val="es-CO"/>
        </w:rPr>
        <w:t>,</w:t>
      </w:r>
      <w:r w:rsidRPr="009712EB">
        <w:rPr>
          <w:sz w:val="20"/>
          <w:szCs w:val="20"/>
          <w:lang w:val="es-CO"/>
        </w:rPr>
        <w:t xml:space="preserve"> determinados individuos presentaron documentación que muestra una afectación seria a su estado emocional por ejemplo a través de constancias médicas de tratamientos</w:t>
      </w:r>
      <w:r w:rsidRPr="009712EB">
        <w:rPr>
          <w:sz w:val="20"/>
          <w:szCs w:val="20"/>
          <w:vertAlign w:val="superscript"/>
        </w:rPr>
        <w:footnoteReference w:id="484"/>
      </w:r>
      <w:r w:rsidRPr="009712EB">
        <w:rPr>
          <w:sz w:val="20"/>
          <w:szCs w:val="20"/>
          <w:lang w:val="es-CO"/>
        </w:rPr>
        <w:t xml:space="preserve">.  En este sentido, </w:t>
      </w:r>
      <w:r w:rsidRPr="00FC71AE">
        <w:rPr>
          <w:color w:val="auto"/>
          <w:sz w:val="20"/>
          <w:szCs w:val="20"/>
          <w:lang w:val="es-CO"/>
        </w:rPr>
        <w:t xml:space="preserve">ciertas </w:t>
      </w:r>
      <w:r w:rsidR="007658DA" w:rsidRPr="00FC71AE">
        <w:rPr>
          <w:color w:val="auto"/>
          <w:sz w:val="20"/>
          <w:szCs w:val="20"/>
          <w:lang w:val="es-CO"/>
        </w:rPr>
        <w:t xml:space="preserve">presuntas </w:t>
      </w:r>
      <w:r w:rsidRPr="00FC71AE">
        <w:rPr>
          <w:color w:val="auto"/>
          <w:sz w:val="20"/>
          <w:szCs w:val="20"/>
          <w:lang w:val="es-CO"/>
        </w:rPr>
        <w:t xml:space="preserve">víctimas indicaron afectaciones físicas como consecuencia de los daños emocionales ocasionados, así como imposibilidades para trabajar. </w:t>
      </w:r>
      <w:r w:rsidR="007658DA" w:rsidRPr="00FC71AE">
        <w:rPr>
          <w:color w:val="auto"/>
          <w:sz w:val="20"/>
          <w:szCs w:val="20"/>
          <w:lang w:val="es-CO"/>
        </w:rPr>
        <w:t xml:space="preserve">En este sentido </w:t>
      </w:r>
      <w:r w:rsidRPr="00FC71AE">
        <w:rPr>
          <w:color w:val="auto"/>
          <w:sz w:val="20"/>
          <w:szCs w:val="20"/>
          <w:lang w:val="es-CO"/>
        </w:rPr>
        <w:t xml:space="preserve">Catalina Teresa Riquelme de Arana, madre de Ricardo Arana identificado en el caso No. 77, presentó constancia médica </w:t>
      </w:r>
      <w:r w:rsidRPr="009712EB">
        <w:rPr>
          <w:sz w:val="20"/>
          <w:szCs w:val="20"/>
          <w:lang w:val="es-CO"/>
        </w:rPr>
        <w:t>en el cual se verifica que recibía tratamiento desde principios de 1991 por cuadro de depresión a raíz de la muerte de su hijo</w:t>
      </w:r>
      <w:r w:rsidRPr="009712EB">
        <w:rPr>
          <w:rStyle w:val="FootnoteReference"/>
          <w:sz w:val="20"/>
          <w:szCs w:val="20"/>
        </w:rPr>
        <w:footnoteReference w:id="485"/>
      </w:r>
      <w:r w:rsidRPr="009712EB">
        <w:rPr>
          <w:sz w:val="20"/>
          <w:szCs w:val="20"/>
          <w:lang w:val="es-CO"/>
        </w:rPr>
        <w:t>, razón por la cual su salud había empeorado. Asimismo, Víctor Inés Castilla identificado en el caso No. 136, insistió que la salud de su madre se agravó a causa de los daños emocionales y psíquicos sufridos por las detonaciones de las bombas y el fuego aéreo siendo la causa de su fallecimiento el 26 de abril de 1990</w:t>
      </w:r>
      <w:r w:rsidRPr="009712EB">
        <w:rPr>
          <w:rStyle w:val="FootnoteReference"/>
          <w:sz w:val="20"/>
          <w:szCs w:val="20"/>
        </w:rPr>
        <w:footnoteReference w:id="486"/>
      </w:r>
      <w:r w:rsidRPr="009712EB">
        <w:rPr>
          <w:sz w:val="20"/>
          <w:szCs w:val="20"/>
          <w:lang w:val="es-CO"/>
        </w:rPr>
        <w:t xml:space="preserve">. </w:t>
      </w:r>
    </w:p>
    <w:p w:rsidR="00EA68E3" w:rsidRPr="00EA68E3" w:rsidRDefault="00EA68E3" w:rsidP="00EA68E3">
      <w:pPr>
        <w:pStyle w:val="ListParagraph"/>
        <w:rPr>
          <w:sz w:val="20"/>
          <w:szCs w:val="20"/>
          <w:lang w:val="es-CO"/>
        </w:rPr>
      </w:pPr>
    </w:p>
    <w:p w:rsidR="00EA68E3" w:rsidRPr="00EA68E3" w:rsidRDefault="00EA68E3" w:rsidP="00531A6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360"/>
        <w:jc w:val="both"/>
        <w:rPr>
          <w:b/>
          <w:sz w:val="20"/>
          <w:szCs w:val="20"/>
          <w:lang w:val="es-CO"/>
        </w:rPr>
      </w:pPr>
      <w:r>
        <w:rPr>
          <w:b/>
          <w:sz w:val="20"/>
          <w:szCs w:val="20"/>
          <w:lang w:val="es-CO"/>
        </w:rPr>
        <w:lastRenderedPageBreak/>
        <w:t>3.3 Otras circunstancias que a</w:t>
      </w:r>
      <w:r w:rsidR="00C646B9">
        <w:rPr>
          <w:b/>
          <w:sz w:val="20"/>
          <w:szCs w:val="20"/>
          <w:lang w:val="es-CO"/>
        </w:rPr>
        <w:t xml:space="preserve">fectaron </w:t>
      </w:r>
      <w:r w:rsidR="00C646B9" w:rsidRPr="00C646B9">
        <w:rPr>
          <w:b/>
          <w:sz w:val="20"/>
          <w:szCs w:val="20"/>
          <w:lang w:val="es-CO"/>
        </w:rPr>
        <w:t>la integridad física y psicológica</w:t>
      </w:r>
    </w:p>
    <w:p w:rsidR="003B1EC8" w:rsidRPr="00713E68" w:rsidRDefault="003B1EC8" w:rsidP="003B1E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jc w:val="both"/>
        <w:rPr>
          <w:sz w:val="20"/>
          <w:szCs w:val="20"/>
          <w:lang w:val="es-ES"/>
        </w:rPr>
      </w:pPr>
    </w:p>
    <w:p w:rsidR="00F57979" w:rsidRPr="009712EB" w:rsidRDefault="00C646B9" w:rsidP="003B1EC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Pr>
          <w:sz w:val="20"/>
          <w:szCs w:val="20"/>
          <w:lang w:val="es-VE"/>
        </w:rPr>
        <w:t>En esta sección, l</w:t>
      </w:r>
      <w:r w:rsidR="00F57979" w:rsidRPr="009712EB">
        <w:rPr>
          <w:sz w:val="20"/>
          <w:szCs w:val="20"/>
          <w:lang w:val="es-VE"/>
        </w:rPr>
        <w:t xml:space="preserve">a CIDH </w:t>
      </w:r>
      <w:r>
        <w:rPr>
          <w:sz w:val="20"/>
          <w:szCs w:val="20"/>
          <w:lang w:val="es-VE"/>
        </w:rPr>
        <w:t xml:space="preserve">resume </w:t>
      </w:r>
      <w:r w:rsidR="00F57979" w:rsidRPr="009712EB">
        <w:rPr>
          <w:sz w:val="20"/>
          <w:szCs w:val="20"/>
          <w:lang w:val="es-VE"/>
        </w:rPr>
        <w:t>las</w:t>
      </w:r>
      <w:r>
        <w:rPr>
          <w:sz w:val="20"/>
          <w:szCs w:val="20"/>
          <w:lang w:val="es-VE"/>
        </w:rPr>
        <w:t xml:space="preserve"> denuncias sobre la entrada forzosa en las residencias de civiles con el propósito de llevar acabo </w:t>
      </w:r>
      <w:r w:rsidR="00F57979" w:rsidRPr="009712EB">
        <w:rPr>
          <w:sz w:val="20"/>
          <w:szCs w:val="20"/>
          <w:lang w:val="es-VE"/>
        </w:rPr>
        <w:t>allanamiento</w:t>
      </w:r>
      <w:r>
        <w:rPr>
          <w:sz w:val="20"/>
          <w:szCs w:val="20"/>
          <w:lang w:val="es-VE"/>
        </w:rPr>
        <w:t>s</w:t>
      </w:r>
      <w:r w:rsidR="00F57979" w:rsidRPr="009712EB">
        <w:rPr>
          <w:sz w:val="20"/>
          <w:szCs w:val="20"/>
          <w:lang w:val="es-VE"/>
        </w:rPr>
        <w:t xml:space="preserve">, su desalojo forzoso, y el incendio provocado por parte de soldados estadounidenses en búsqueda del General Noriega. </w:t>
      </w:r>
      <w:r>
        <w:rPr>
          <w:sz w:val="20"/>
          <w:szCs w:val="20"/>
          <w:lang w:val="es-VE"/>
        </w:rPr>
        <w:t xml:space="preserve">En este </w:t>
      </w:r>
      <w:r w:rsidR="00F57979" w:rsidRPr="009712EB">
        <w:rPr>
          <w:sz w:val="20"/>
          <w:szCs w:val="20"/>
          <w:lang w:val="es-VE"/>
        </w:rPr>
        <w:t xml:space="preserve">respecto, </w:t>
      </w:r>
      <w:r>
        <w:rPr>
          <w:sz w:val="20"/>
          <w:szCs w:val="20"/>
          <w:lang w:val="es-VE"/>
        </w:rPr>
        <w:t xml:space="preserve">un grupo específico de las </w:t>
      </w:r>
      <w:r w:rsidR="007658DA" w:rsidRPr="00FC71AE">
        <w:rPr>
          <w:color w:val="auto"/>
          <w:sz w:val="20"/>
          <w:szCs w:val="20"/>
          <w:lang w:val="es-VE"/>
        </w:rPr>
        <w:t>presuntas</w:t>
      </w:r>
      <w:r w:rsidR="007658DA" w:rsidRPr="00A729C6">
        <w:rPr>
          <w:color w:val="FF0000"/>
          <w:sz w:val="20"/>
          <w:szCs w:val="20"/>
          <w:lang w:val="es-VE"/>
        </w:rPr>
        <w:t xml:space="preserve"> </w:t>
      </w:r>
      <w:r>
        <w:rPr>
          <w:sz w:val="20"/>
          <w:szCs w:val="20"/>
          <w:lang w:val="es-VE"/>
        </w:rPr>
        <w:t xml:space="preserve">víctimas coincide </w:t>
      </w:r>
      <w:r w:rsidR="00F57979" w:rsidRPr="009712EB">
        <w:rPr>
          <w:sz w:val="20"/>
          <w:szCs w:val="20"/>
          <w:lang w:val="es-VE"/>
        </w:rPr>
        <w:t xml:space="preserve">en </w:t>
      </w:r>
      <w:r>
        <w:rPr>
          <w:sz w:val="20"/>
          <w:szCs w:val="20"/>
          <w:lang w:val="es-VE"/>
        </w:rPr>
        <w:t xml:space="preserve">denunciar </w:t>
      </w:r>
      <w:r w:rsidR="00F57979" w:rsidRPr="009712EB">
        <w:rPr>
          <w:sz w:val="20"/>
          <w:szCs w:val="20"/>
          <w:lang w:val="es-VE"/>
        </w:rPr>
        <w:t>que</w:t>
      </w:r>
      <w:r>
        <w:rPr>
          <w:sz w:val="20"/>
          <w:szCs w:val="20"/>
          <w:lang w:val="es-VE"/>
        </w:rPr>
        <w:t>,</w:t>
      </w:r>
      <w:r w:rsidR="00F57979" w:rsidRPr="009712EB">
        <w:rPr>
          <w:sz w:val="20"/>
          <w:szCs w:val="20"/>
          <w:lang w:val="es-VE"/>
        </w:rPr>
        <w:t xml:space="preserve"> aproximadamente a las 3 de la mañana del 23 de diciembre de 1989, soldados irrumpieron sin autorización en sus residencias, utilizando bombas de hum</w:t>
      </w:r>
      <w:r w:rsidR="00BC234D">
        <w:rPr>
          <w:sz w:val="20"/>
          <w:szCs w:val="20"/>
          <w:lang w:val="es-VE"/>
        </w:rPr>
        <w:t>an</w:t>
      </w:r>
      <w:r w:rsidR="00F57979" w:rsidRPr="009712EB">
        <w:rPr>
          <w:sz w:val="20"/>
          <w:szCs w:val="20"/>
          <w:lang w:val="es-VE"/>
        </w:rPr>
        <w:t xml:space="preserve">os, con el objetivo específico de conseguir al General Noriega. En el marco de esta búsqueda, </w:t>
      </w:r>
      <w:r w:rsidR="0024374D" w:rsidRPr="009712EB">
        <w:rPr>
          <w:sz w:val="20"/>
          <w:szCs w:val="20"/>
          <w:lang w:val="es-VE"/>
        </w:rPr>
        <w:t xml:space="preserve">los </w:t>
      </w:r>
      <w:r w:rsidR="00F57979" w:rsidRPr="009712EB">
        <w:rPr>
          <w:sz w:val="20"/>
          <w:szCs w:val="20"/>
          <w:lang w:val="es-VE"/>
        </w:rPr>
        <w:t xml:space="preserve">civiles desarmados, asustados y confundidos fueron sometidos al control de soldados. </w:t>
      </w:r>
      <w:r w:rsidR="00366A8E">
        <w:rPr>
          <w:sz w:val="20"/>
          <w:szCs w:val="20"/>
          <w:lang w:val="es-VE"/>
        </w:rPr>
        <w:t>A continuación se presentan las presuntas víctimas de estos hechos:</w:t>
      </w:r>
    </w:p>
    <w:p w:rsidR="0024374D" w:rsidRPr="009712EB" w:rsidRDefault="0024374D" w:rsidP="00FC71A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p>
    <w:p w:rsidR="00F57979" w:rsidRPr="009712EB" w:rsidRDefault="00F5797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9712EB">
        <w:rPr>
          <w:i/>
          <w:sz w:val="20"/>
          <w:szCs w:val="20"/>
          <w:lang w:val="es-VE"/>
        </w:rPr>
        <w:t>José Manuel Borbúa</w:t>
      </w:r>
      <w:r w:rsidRPr="009712EB">
        <w:rPr>
          <w:sz w:val="20"/>
          <w:szCs w:val="20"/>
          <w:lang w:val="es-VE"/>
        </w:rPr>
        <w:t xml:space="preserve"> identificado en el caso No. 6, era un hombre de 23 años de nacionalidad panameña, residente de la ciudad de Colón</w:t>
      </w:r>
      <w:r w:rsidRPr="009712EB">
        <w:rPr>
          <w:rStyle w:val="FootnoteReference"/>
          <w:sz w:val="20"/>
          <w:szCs w:val="20"/>
          <w:lang w:val="es-VE"/>
        </w:rPr>
        <w:footnoteReference w:id="487"/>
      </w:r>
      <w:r w:rsidRPr="009712EB">
        <w:rPr>
          <w:sz w:val="20"/>
          <w:szCs w:val="20"/>
          <w:lang w:val="es-VE"/>
        </w:rPr>
        <w:t>. Conforme a la declaración presentada, a las 3 de la mañana del 23 de diciembre de 1989, cuando se encontraba en su hogar con su esposa e hijo, “llegaron los soldados estadounidenses armados tumbando las puertas preguntando por el General Noriega” y preguntando si sabían de su ubicación</w:t>
      </w:r>
      <w:r w:rsidRPr="009712EB">
        <w:rPr>
          <w:rStyle w:val="FootnoteReference"/>
          <w:sz w:val="20"/>
          <w:szCs w:val="20"/>
          <w:lang w:val="es-VE"/>
        </w:rPr>
        <w:footnoteReference w:id="488"/>
      </w:r>
      <w:r w:rsidRPr="009712EB">
        <w:rPr>
          <w:sz w:val="20"/>
          <w:szCs w:val="20"/>
          <w:lang w:val="es-VE"/>
        </w:rPr>
        <w:t>. Momentos después mientras los ordenaron a salir de su vivienda con las manos en alto, los soldados tiraron de una bazuca lo que, de acuerdo con la víctima, ocasionó que se incendiara la casa</w:t>
      </w:r>
      <w:r w:rsidRPr="009712EB">
        <w:rPr>
          <w:rStyle w:val="FootnoteReference"/>
          <w:sz w:val="20"/>
          <w:szCs w:val="20"/>
          <w:lang w:val="es-VE"/>
        </w:rPr>
        <w:footnoteReference w:id="489"/>
      </w:r>
      <w:r w:rsidRPr="009712EB">
        <w:rPr>
          <w:sz w:val="20"/>
          <w:szCs w:val="20"/>
          <w:lang w:val="es-VE"/>
        </w:rPr>
        <w:t xml:space="preserve">. </w:t>
      </w:r>
    </w:p>
    <w:p w:rsidR="00F57979" w:rsidRPr="009712EB" w:rsidRDefault="00F57979" w:rsidP="00FC71A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p>
    <w:p w:rsidR="00F57979" w:rsidRPr="009712EB" w:rsidRDefault="00F5797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i/>
          <w:sz w:val="20"/>
          <w:szCs w:val="20"/>
          <w:lang w:val="es-VE"/>
        </w:rPr>
        <w:t xml:space="preserve">Orlando Jaramillo </w:t>
      </w:r>
      <w:r w:rsidRPr="009712EB">
        <w:rPr>
          <w:sz w:val="20"/>
          <w:szCs w:val="20"/>
          <w:lang w:val="es-VE"/>
        </w:rPr>
        <w:t>identificado en el caso No. 18, era un hombre de 24 años de edad residente de Colón</w:t>
      </w:r>
      <w:r w:rsidRPr="009712EB">
        <w:rPr>
          <w:rStyle w:val="FootnoteReference"/>
          <w:sz w:val="20"/>
          <w:szCs w:val="20"/>
          <w:lang w:val="es-VE"/>
        </w:rPr>
        <w:footnoteReference w:id="490"/>
      </w:r>
      <w:r w:rsidRPr="009712EB">
        <w:rPr>
          <w:sz w:val="20"/>
          <w:szCs w:val="20"/>
          <w:lang w:val="es-VE"/>
        </w:rPr>
        <w:t>. De acuerdo con información proporcionada, a las 3 de la mañana del 23 de diciembre “tropas estadounidenses” rodearon su casa y entraron en búsqueda del General Noriega</w:t>
      </w:r>
      <w:r w:rsidRPr="009712EB">
        <w:rPr>
          <w:rStyle w:val="FootnoteReference"/>
          <w:sz w:val="20"/>
          <w:szCs w:val="20"/>
          <w:lang w:val="es-VE"/>
        </w:rPr>
        <w:footnoteReference w:id="491"/>
      </w:r>
      <w:r w:rsidRPr="009712EB">
        <w:rPr>
          <w:sz w:val="20"/>
          <w:szCs w:val="20"/>
          <w:lang w:val="es-VE"/>
        </w:rPr>
        <w:t>. Mientras registraban su domicilio, la víctima y su familia fueron ordenadas a desalojar mientras los apuntaban con sus armas</w:t>
      </w:r>
      <w:r w:rsidRPr="009712EB">
        <w:rPr>
          <w:rStyle w:val="FootnoteReference"/>
          <w:sz w:val="20"/>
          <w:szCs w:val="20"/>
          <w:lang w:val="es-VE"/>
        </w:rPr>
        <w:footnoteReference w:id="492"/>
      </w:r>
      <w:r w:rsidRPr="009712EB">
        <w:rPr>
          <w:sz w:val="20"/>
          <w:szCs w:val="20"/>
          <w:lang w:val="es-VE"/>
        </w:rPr>
        <w:t>. Seguidamente conforme a lo narrado, los soldados, al ver que el apartamento vecino se encontraba cerrado, comenzaron a disparar armas de grueso calibre para abrirlo y revisarlo</w:t>
      </w:r>
      <w:r w:rsidRPr="009712EB">
        <w:rPr>
          <w:rStyle w:val="FootnoteReference"/>
          <w:sz w:val="20"/>
          <w:szCs w:val="20"/>
          <w:lang w:val="es-VE"/>
        </w:rPr>
        <w:footnoteReference w:id="493"/>
      </w:r>
      <w:r w:rsidRPr="009712EB">
        <w:rPr>
          <w:sz w:val="20"/>
          <w:szCs w:val="20"/>
          <w:lang w:val="es-VE"/>
        </w:rPr>
        <w:t>.</w:t>
      </w:r>
      <w:r w:rsidR="00C646B9">
        <w:rPr>
          <w:sz w:val="20"/>
          <w:szCs w:val="20"/>
          <w:lang w:val="es-VE"/>
        </w:rPr>
        <w:t xml:space="preserve"> </w:t>
      </w:r>
      <w:r w:rsidR="00836C80">
        <w:rPr>
          <w:sz w:val="20"/>
          <w:szCs w:val="20"/>
          <w:lang w:val="es-VE"/>
        </w:rPr>
        <w:t>Ellos entonces escucharon</w:t>
      </w:r>
      <w:r w:rsidRPr="009712EB">
        <w:rPr>
          <w:sz w:val="20"/>
          <w:szCs w:val="20"/>
          <w:lang w:val="es-VE"/>
        </w:rPr>
        <w:t xml:space="preserve"> varios disparos bombardea</w:t>
      </w:r>
      <w:r w:rsidR="00836C80">
        <w:rPr>
          <w:sz w:val="20"/>
          <w:szCs w:val="20"/>
          <w:lang w:val="es-VE"/>
        </w:rPr>
        <w:t xml:space="preserve">ndo </w:t>
      </w:r>
      <w:r w:rsidRPr="009712EB">
        <w:rPr>
          <w:sz w:val="20"/>
          <w:szCs w:val="20"/>
          <w:lang w:val="es-VE"/>
        </w:rPr>
        <w:t>el frente de la casa causando que ésta se prendiera en fuego, momento en el cual “los soldados los sacaron de la casa y se fueron”</w:t>
      </w:r>
      <w:r w:rsidRPr="009712EB">
        <w:rPr>
          <w:rStyle w:val="FootnoteReference"/>
          <w:sz w:val="20"/>
          <w:szCs w:val="20"/>
          <w:lang w:val="es-VE"/>
        </w:rPr>
        <w:footnoteReference w:id="494"/>
      </w:r>
      <w:r w:rsidRPr="009712EB">
        <w:rPr>
          <w:sz w:val="20"/>
          <w:szCs w:val="20"/>
          <w:lang w:val="es-VE"/>
        </w:rPr>
        <w:t xml:space="preserve">. </w:t>
      </w:r>
    </w:p>
    <w:p w:rsidR="00F57979" w:rsidRPr="009712EB" w:rsidRDefault="00F57979" w:rsidP="00FC71A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F57979" w:rsidRPr="009712EB" w:rsidRDefault="00F5797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i/>
          <w:sz w:val="20"/>
          <w:szCs w:val="20"/>
          <w:lang w:val="es-CO"/>
        </w:rPr>
        <w:t xml:space="preserve">Flora de Machado </w:t>
      </w:r>
      <w:r w:rsidRPr="009712EB">
        <w:rPr>
          <w:sz w:val="20"/>
          <w:szCs w:val="20"/>
          <w:lang w:val="es-CO"/>
        </w:rPr>
        <w:t>identificada en el caso No. 27, era una mujer de 40 años</w:t>
      </w:r>
      <w:r w:rsidRPr="009712EB">
        <w:rPr>
          <w:rStyle w:val="FootnoteReference"/>
          <w:sz w:val="20"/>
          <w:szCs w:val="20"/>
        </w:rPr>
        <w:footnoteReference w:id="495"/>
      </w:r>
      <w:r w:rsidRPr="009712EB">
        <w:rPr>
          <w:sz w:val="20"/>
          <w:szCs w:val="20"/>
          <w:lang w:val="es-CO"/>
        </w:rPr>
        <w:t>. Conforme a su declaración, el 23 de diciembre a las 4.30 am entraron a su casa soldados estadounidenses insistiendo “que ahí se encontraba Noriega”</w:t>
      </w:r>
      <w:r w:rsidRPr="009712EB">
        <w:rPr>
          <w:rStyle w:val="FootnoteReference"/>
          <w:sz w:val="20"/>
          <w:szCs w:val="20"/>
        </w:rPr>
        <w:footnoteReference w:id="496"/>
      </w:r>
      <w:r w:rsidRPr="009712EB">
        <w:rPr>
          <w:sz w:val="20"/>
          <w:szCs w:val="20"/>
          <w:lang w:val="es-CO"/>
        </w:rPr>
        <w:t>.  Seguidamente, mientras registraban su vivienda, un soldado disparó a una de las puertas dan</w:t>
      </w:r>
      <w:r w:rsidR="00836C80">
        <w:rPr>
          <w:sz w:val="20"/>
          <w:szCs w:val="20"/>
          <w:lang w:val="es-CO"/>
        </w:rPr>
        <w:t xml:space="preserve">do inició un incendio que acabó </w:t>
      </w:r>
      <w:r w:rsidRPr="009712EB">
        <w:rPr>
          <w:sz w:val="20"/>
          <w:szCs w:val="20"/>
          <w:lang w:val="es-CO"/>
        </w:rPr>
        <w:t>con toda la casa y con la pérdida total de sus bienes</w:t>
      </w:r>
      <w:r w:rsidRPr="009712EB">
        <w:rPr>
          <w:rStyle w:val="FootnoteReference"/>
          <w:sz w:val="20"/>
          <w:szCs w:val="20"/>
        </w:rPr>
        <w:footnoteReference w:id="497"/>
      </w:r>
      <w:r w:rsidRPr="009712EB">
        <w:rPr>
          <w:sz w:val="20"/>
          <w:szCs w:val="20"/>
          <w:lang w:val="es-CO"/>
        </w:rPr>
        <w:t xml:space="preserve">. </w:t>
      </w:r>
    </w:p>
    <w:p w:rsidR="00F57979" w:rsidRPr="009712EB" w:rsidRDefault="00F57979" w:rsidP="00FC71A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F57979" w:rsidRPr="009712EB" w:rsidRDefault="00F5797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9712EB">
        <w:rPr>
          <w:i/>
          <w:sz w:val="20"/>
          <w:szCs w:val="20"/>
          <w:lang w:val="es-CO"/>
        </w:rPr>
        <w:t xml:space="preserve">Juan Bautista Mullings </w:t>
      </w:r>
      <w:r w:rsidRPr="009712EB">
        <w:rPr>
          <w:sz w:val="20"/>
          <w:szCs w:val="20"/>
          <w:lang w:val="es-CO"/>
        </w:rPr>
        <w:t xml:space="preserve">identificado en el caso No. 30, era un panameño de 26 años que </w:t>
      </w:r>
      <w:r w:rsidR="00FC71AE" w:rsidRPr="009712EB">
        <w:rPr>
          <w:sz w:val="20"/>
          <w:szCs w:val="20"/>
          <w:lang w:val="es-CO"/>
        </w:rPr>
        <w:t>residía</w:t>
      </w:r>
      <w:r w:rsidRPr="009712EB">
        <w:rPr>
          <w:sz w:val="20"/>
          <w:szCs w:val="20"/>
          <w:lang w:val="es-CO"/>
        </w:rPr>
        <w:t xml:space="preserve"> con su hermana y su sob</w:t>
      </w:r>
      <w:r w:rsidR="00BC234D">
        <w:rPr>
          <w:sz w:val="20"/>
          <w:szCs w:val="20"/>
          <w:lang w:val="es-CO"/>
        </w:rPr>
        <w:t>r</w:t>
      </w:r>
      <w:r w:rsidRPr="009712EB">
        <w:rPr>
          <w:sz w:val="20"/>
          <w:szCs w:val="20"/>
          <w:lang w:val="es-CO"/>
        </w:rPr>
        <w:t>ino</w:t>
      </w:r>
      <w:r w:rsidRPr="009712EB">
        <w:rPr>
          <w:rStyle w:val="FootnoteReference"/>
          <w:sz w:val="20"/>
          <w:szCs w:val="20"/>
        </w:rPr>
        <w:footnoteReference w:id="498"/>
      </w:r>
      <w:r w:rsidRPr="009712EB">
        <w:rPr>
          <w:sz w:val="20"/>
          <w:szCs w:val="20"/>
          <w:lang w:val="es-CO"/>
        </w:rPr>
        <w:t xml:space="preserve">. Según información presentada, el mismo 23 de diciembre de 1989 a las 3 y </w:t>
      </w:r>
      <w:r w:rsidRPr="009712EB">
        <w:rPr>
          <w:sz w:val="20"/>
          <w:szCs w:val="20"/>
          <w:lang w:val="es-CO"/>
        </w:rPr>
        <w:lastRenderedPageBreak/>
        <w:t>media de la mañana, la puerta de su residencia “fue abierta</w:t>
      </w:r>
      <w:r w:rsidR="00836C80">
        <w:rPr>
          <w:sz w:val="20"/>
          <w:szCs w:val="20"/>
          <w:lang w:val="es-CO"/>
        </w:rPr>
        <w:t xml:space="preserve"> </w:t>
      </w:r>
      <w:r w:rsidR="00836C80" w:rsidRPr="009712EB">
        <w:rPr>
          <w:sz w:val="20"/>
          <w:szCs w:val="20"/>
          <w:lang w:val="es-CO"/>
        </w:rPr>
        <w:t>violentamente</w:t>
      </w:r>
      <w:r w:rsidRPr="009712EB">
        <w:rPr>
          <w:sz w:val="20"/>
          <w:szCs w:val="20"/>
          <w:lang w:val="es-CO"/>
        </w:rPr>
        <w:t>” entrando “varios norteamericanos preguntando por Noriega”</w:t>
      </w:r>
      <w:r w:rsidRPr="009712EB">
        <w:rPr>
          <w:rStyle w:val="FootnoteReference"/>
          <w:sz w:val="20"/>
          <w:szCs w:val="20"/>
        </w:rPr>
        <w:footnoteReference w:id="499"/>
      </w:r>
      <w:r w:rsidR="00836C80">
        <w:rPr>
          <w:sz w:val="20"/>
          <w:szCs w:val="20"/>
          <w:lang w:val="es-CO"/>
        </w:rPr>
        <w:t>. A pesar que él respondió que Noriega no estaba en el lugar</w:t>
      </w:r>
      <w:r w:rsidRPr="009712EB">
        <w:rPr>
          <w:sz w:val="20"/>
          <w:szCs w:val="20"/>
          <w:lang w:val="es-CO"/>
        </w:rPr>
        <w:t xml:space="preserve">, los soldados registraron la vivienda y los </w:t>
      </w:r>
      <w:r w:rsidR="00836C80" w:rsidRPr="009712EB">
        <w:rPr>
          <w:sz w:val="20"/>
          <w:szCs w:val="20"/>
          <w:lang w:val="es-CO"/>
        </w:rPr>
        <w:t>ordenaron</w:t>
      </w:r>
      <w:r w:rsidRPr="009712EB">
        <w:rPr>
          <w:sz w:val="20"/>
          <w:szCs w:val="20"/>
          <w:lang w:val="es-CO"/>
        </w:rPr>
        <w:t xml:space="preserve"> a evacuar</w:t>
      </w:r>
      <w:r w:rsidR="00836C80">
        <w:rPr>
          <w:sz w:val="20"/>
          <w:szCs w:val="20"/>
          <w:lang w:val="es-CO"/>
        </w:rPr>
        <w:t xml:space="preserve">, diciéndoles </w:t>
      </w:r>
      <w:r w:rsidRPr="009712EB">
        <w:rPr>
          <w:sz w:val="20"/>
          <w:szCs w:val="20"/>
          <w:lang w:val="es-CO"/>
        </w:rPr>
        <w:t>que había un incendio</w:t>
      </w:r>
      <w:r w:rsidRPr="009712EB">
        <w:rPr>
          <w:rStyle w:val="FootnoteReference"/>
          <w:sz w:val="20"/>
          <w:szCs w:val="20"/>
        </w:rPr>
        <w:footnoteReference w:id="500"/>
      </w:r>
      <w:r w:rsidRPr="009712EB">
        <w:rPr>
          <w:sz w:val="20"/>
          <w:szCs w:val="20"/>
          <w:lang w:val="es-CO"/>
        </w:rPr>
        <w:t>.</w:t>
      </w:r>
    </w:p>
    <w:p w:rsidR="00F57979" w:rsidRPr="009712EB" w:rsidRDefault="00F57979" w:rsidP="00FC71A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p>
    <w:p w:rsidR="00F57979" w:rsidRPr="009712EB" w:rsidRDefault="00F5797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i/>
          <w:sz w:val="20"/>
          <w:szCs w:val="20"/>
          <w:lang w:val="es-VE"/>
        </w:rPr>
        <w:t xml:space="preserve">Lidia Ana Rowe </w:t>
      </w:r>
      <w:r w:rsidRPr="005950B0">
        <w:rPr>
          <w:sz w:val="20"/>
          <w:szCs w:val="20"/>
          <w:lang w:val="es-VE"/>
        </w:rPr>
        <w:t>identificada en el caso No. 33</w:t>
      </w:r>
      <w:r w:rsidRPr="009712EB">
        <w:rPr>
          <w:i/>
          <w:sz w:val="20"/>
          <w:szCs w:val="20"/>
          <w:lang w:val="es-VE"/>
        </w:rPr>
        <w:t xml:space="preserve"> </w:t>
      </w:r>
      <w:r w:rsidRPr="009712EB">
        <w:rPr>
          <w:sz w:val="20"/>
          <w:szCs w:val="20"/>
          <w:lang w:val="es-VE"/>
        </w:rPr>
        <w:t>era una panameña de 37 años quien para el momento de los hechos, vivía en la ciudad de Colón con sus dos hijos</w:t>
      </w:r>
      <w:r w:rsidRPr="009712EB">
        <w:rPr>
          <w:rStyle w:val="FootnoteReference"/>
          <w:sz w:val="20"/>
          <w:szCs w:val="20"/>
          <w:lang w:val="es-VE"/>
        </w:rPr>
        <w:footnoteReference w:id="501"/>
      </w:r>
      <w:r w:rsidRPr="009712EB">
        <w:rPr>
          <w:sz w:val="20"/>
          <w:szCs w:val="20"/>
          <w:lang w:val="es-VE"/>
        </w:rPr>
        <w:t xml:space="preserve">. </w:t>
      </w:r>
      <w:r w:rsidR="00531A69">
        <w:rPr>
          <w:sz w:val="20"/>
          <w:szCs w:val="20"/>
          <w:lang w:val="es-VE"/>
        </w:rPr>
        <w:t xml:space="preserve">Como fue </w:t>
      </w:r>
      <w:r w:rsidRPr="009712EB">
        <w:rPr>
          <w:sz w:val="20"/>
          <w:szCs w:val="20"/>
          <w:lang w:val="es-VE"/>
        </w:rPr>
        <w:t xml:space="preserve">relatado por la señora Lidia Rowe, el 23 de diciembre de 1989 a las 3 de la mañana soldados </w:t>
      </w:r>
      <w:r w:rsidR="00531A69">
        <w:rPr>
          <w:sz w:val="20"/>
          <w:szCs w:val="20"/>
          <w:lang w:val="es-VE"/>
        </w:rPr>
        <w:t>estadounidenses</w:t>
      </w:r>
      <w:r w:rsidRPr="009712EB">
        <w:rPr>
          <w:sz w:val="20"/>
          <w:szCs w:val="20"/>
          <w:lang w:val="es-VE"/>
        </w:rPr>
        <w:t xml:space="preserve"> rompieron dos ventanas de su vivienda lanzando dos “gases de humo” y descargaron una bazuca, razón por la cual junto con sus hijos permaneció acostada en el piso de la sala</w:t>
      </w:r>
      <w:r w:rsidRPr="009712EB">
        <w:rPr>
          <w:rStyle w:val="FootnoteReference"/>
          <w:sz w:val="20"/>
          <w:szCs w:val="20"/>
          <w:lang w:val="es-VE"/>
        </w:rPr>
        <w:footnoteReference w:id="502"/>
      </w:r>
      <w:r w:rsidRPr="009712EB">
        <w:rPr>
          <w:sz w:val="20"/>
          <w:szCs w:val="20"/>
          <w:lang w:val="es-VE"/>
        </w:rPr>
        <w:t>. Conforme a su declaración, luego de escuchar a sus vecinos y verlos en el suelo, salió y fue puesta “en contra la pared” por los soldados mientras preguntaban por la ubicación de Noriega</w:t>
      </w:r>
      <w:r w:rsidRPr="009712EB">
        <w:rPr>
          <w:rStyle w:val="FootnoteReference"/>
          <w:sz w:val="20"/>
          <w:szCs w:val="20"/>
          <w:lang w:val="es-VE"/>
        </w:rPr>
        <w:footnoteReference w:id="503"/>
      </w:r>
      <w:r w:rsidRPr="009712EB">
        <w:rPr>
          <w:sz w:val="20"/>
          <w:szCs w:val="20"/>
          <w:lang w:val="es-VE"/>
        </w:rPr>
        <w:t>. Para ese momento se percató que su vivienda estaba en llamas</w:t>
      </w:r>
      <w:r w:rsidRPr="009712EB">
        <w:rPr>
          <w:rStyle w:val="FootnoteReference"/>
          <w:sz w:val="20"/>
          <w:szCs w:val="20"/>
          <w:lang w:val="es-VE"/>
        </w:rPr>
        <w:footnoteReference w:id="504"/>
      </w:r>
      <w:r w:rsidRPr="009712EB">
        <w:rPr>
          <w:sz w:val="20"/>
          <w:szCs w:val="20"/>
          <w:lang w:val="es-VE"/>
        </w:rPr>
        <w:t xml:space="preserve">. </w:t>
      </w:r>
    </w:p>
    <w:p w:rsidR="00F57979" w:rsidRPr="009712EB" w:rsidRDefault="00F57979" w:rsidP="00FC71A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F57979" w:rsidRPr="009712EB" w:rsidRDefault="00F5797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i/>
          <w:sz w:val="20"/>
          <w:szCs w:val="20"/>
          <w:lang w:val="es-CO"/>
        </w:rPr>
        <w:t xml:space="preserve">David Delgado </w:t>
      </w:r>
      <w:r w:rsidRPr="009712EB">
        <w:rPr>
          <w:sz w:val="20"/>
          <w:szCs w:val="20"/>
          <w:lang w:val="es-CO"/>
        </w:rPr>
        <w:t>identificado en el caso No. 47, era un hombre de 27 años quien para el momento estaba unido con 6 hijos</w:t>
      </w:r>
      <w:r w:rsidRPr="009712EB">
        <w:rPr>
          <w:rStyle w:val="FootnoteReference"/>
          <w:sz w:val="20"/>
          <w:szCs w:val="20"/>
        </w:rPr>
        <w:footnoteReference w:id="505"/>
      </w:r>
      <w:r w:rsidRPr="009712EB">
        <w:rPr>
          <w:sz w:val="20"/>
          <w:szCs w:val="20"/>
          <w:lang w:val="es-CO"/>
        </w:rPr>
        <w:t>. Conforme a la declaración presentada, el 23 de diciembre de 1989 soldados invadieron su casa, los desalojaron a él y a su familia y “los dejaron en la calle sin nada”</w:t>
      </w:r>
      <w:r w:rsidRPr="009712EB">
        <w:rPr>
          <w:rStyle w:val="FootnoteReference"/>
          <w:sz w:val="20"/>
          <w:szCs w:val="20"/>
        </w:rPr>
        <w:footnoteReference w:id="506"/>
      </w:r>
      <w:r w:rsidRPr="009712EB">
        <w:rPr>
          <w:sz w:val="20"/>
          <w:szCs w:val="20"/>
          <w:lang w:val="es-CO"/>
        </w:rPr>
        <w:t>.</w:t>
      </w:r>
    </w:p>
    <w:p w:rsidR="00F57979" w:rsidRPr="009712EB" w:rsidRDefault="00F57979" w:rsidP="00FC71A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24374D" w:rsidRPr="004C4A1D" w:rsidRDefault="00F5797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CO"/>
        </w:rPr>
      </w:pPr>
      <w:r w:rsidRPr="009712EB">
        <w:rPr>
          <w:i/>
          <w:sz w:val="20"/>
          <w:szCs w:val="20"/>
          <w:lang w:val="es-CO"/>
        </w:rPr>
        <w:t xml:space="preserve">Matilde Marcela Mitchell Barrios </w:t>
      </w:r>
      <w:r w:rsidRPr="009712EB">
        <w:rPr>
          <w:sz w:val="20"/>
          <w:szCs w:val="20"/>
          <w:lang w:val="es-CO"/>
        </w:rPr>
        <w:t xml:space="preserve">identificada en el caso No. 48, era una panameña de 26 años </w:t>
      </w:r>
      <w:r w:rsidRPr="004C4A1D">
        <w:rPr>
          <w:color w:val="auto"/>
          <w:sz w:val="20"/>
          <w:szCs w:val="20"/>
          <w:lang w:val="es-CO"/>
        </w:rPr>
        <w:t>con 2 niños</w:t>
      </w:r>
      <w:r w:rsidRPr="004C4A1D">
        <w:rPr>
          <w:rStyle w:val="FootnoteReference"/>
          <w:color w:val="auto"/>
          <w:sz w:val="20"/>
          <w:szCs w:val="20"/>
        </w:rPr>
        <w:footnoteReference w:id="507"/>
      </w:r>
      <w:r w:rsidRPr="004C4A1D">
        <w:rPr>
          <w:color w:val="auto"/>
          <w:sz w:val="20"/>
          <w:szCs w:val="20"/>
          <w:lang w:val="es-CO"/>
        </w:rPr>
        <w:t>. De acuerdo a su declaración, el 23 de diciembre, en horas de la madrugada, “soldados hablando en inglés tiraron la puerta” a pesar de que ella pidió que se esperaran</w:t>
      </w:r>
      <w:r w:rsidRPr="004C4A1D">
        <w:rPr>
          <w:rStyle w:val="FootnoteReference"/>
          <w:color w:val="auto"/>
          <w:sz w:val="20"/>
          <w:szCs w:val="20"/>
        </w:rPr>
        <w:footnoteReference w:id="508"/>
      </w:r>
      <w:r w:rsidRPr="004C4A1D">
        <w:rPr>
          <w:color w:val="auto"/>
          <w:sz w:val="20"/>
          <w:szCs w:val="20"/>
          <w:lang w:val="es-CO"/>
        </w:rPr>
        <w:t>.  Los soldados tiraron una bomba de humo, lanzaron una bazuca y los tenían dentro de la casa mientras ésta estaba en llamas</w:t>
      </w:r>
      <w:r w:rsidRPr="004C4A1D">
        <w:rPr>
          <w:rStyle w:val="FootnoteReference"/>
          <w:color w:val="auto"/>
          <w:sz w:val="20"/>
          <w:szCs w:val="20"/>
        </w:rPr>
        <w:footnoteReference w:id="509"/>
      </w:r>
      <w:r w:rsidRPr="004C4A1D">
        <w:rPr>
          <w:color w:val="auto"/>
          <w:sz w:val="20"/>
          <w:szCs w:val="20"/>
          <w:lang w:val="es-CO"/>
        </w:rPr>
        <w:t xml:space="preserve">. </w:t>
      </w:r>
    </w:p>
    <w:p w:rsidR="00895F53" w:rsidRPr="004C4A1D" w:rsidRDefault="00895F53" w:rsidP="009712EB">
      <w:pPr>
        <w:rPr>
          <w:rFonts w:ascii="Cambria" w:hAnsi="Cambria"/>
          <w:b/>
          <w:sz w:val="20"/>
          <w:szCs w:val="20"/>
          <w:lang w:val="es-CO"/>
        </w:rPr>
      </w:pPr>
    </w:p>
    <w:p w:rsidR="00D529F8" w:rsidRDefault="00D529F8">
      <w:pPr>
        <w:rPr>
          <w:rFonts w:ascii="Cambria" w:eastAsia="Times New Roman" w:hAnsi="Cambria" w:cs="Arial"/>
          <w:b/>
          <w:bCs/>
          <w:sz w:val="20"/>
          <w:szCs w:val="26"/>
          <w:bdr w:val="none" w:sz="0" w:space="0" w:color="auto"/>
          <w:lang w:val="es-CO"/>
        </w:rPr>
      </w:pPr>
      <w:r>
        <w:rPr>
          <w:rFonts w:ascii="Cambria" w:hAnsi="Cambria"/>
          <w:sz w:val="20"/>
          <w:lang w:val="es-CO"/>
        </w:rPr>
        <w:br w:type="page"/>
      </w:r>
    </w:p>
    <w:p w:rsidR="005F4DC5" w:rsidRPr="004C4A1D" w:rsidRDefault="00C0537F" w:rsidP="00D529F8">
      <w:pPr>
        <w:pStyle w:val="Heading3"/>
        <w:numPr>
          <w:ilvl w:val="0"/>
          <w:numId w:val="62"/>
        </w:numPr>
        <w:spacing w:before="0" w:after="0"/>
        <w:ind w:left="720" w:firstLine="0"/>
        <w:jc w:val="both"/>
        <w:rPr>
          <w:rFonts w:ascii="Cambria" w:hAnsi="Cambria"/>
          <w:sz w:val="20"/>
          <w:lang w:val="es-CO"/>
        </w:rPr>
      </w:pPr>
      <w:bookmarkStart w:id="28" w:name="_Toc525294041"/>
      <w:r w:rsidRPr="004C4A1D">
        <w:rPr>
          <w:rFonts w:ascii="Cambria" w:hAnsi="Cambria"/>
          <w:sz w:val="20"/>
          <w:lang w:val="es-CO"/>
        </w:rPr>
        <w:lastRenderedPageBreak/>
        <w:t>Persona</w:t>
      </w:r>
      <w:r w:rsidR="00F9526F">
        <w:rPr>
          <w:rFonts w:ascii="Cambria" w:hAnsi="Cambria"/>
          <w:sz w:val="20"/>
          <w:lang w:val="es-CO"/>
        </w:rPr>
        <w:t>s</w:t>
      </w:r>
      <w:r w:rsidRPr="004C4A1D">
        <w:rPr>
          <w:rFonts w:ascii="Cambria" w:hAnsi="Cambria"/>
          <w:sz w:val="20"/>
          <w:lang w:val="es-CO"/>
        </w:rPr>
        <w:t xml:space="preserve"> detenida</w:t>
      </w:r>
      <w:r w:rsidR="00F9526F">
        <w:rPr>
          <w:rFonts w:ascii="Cambria" w:hAnsi="Cambria"/>
          <w:sz w:val="20"/>
          <w:lang w:val="es-CO"/>
        </w:rPr>
        <w:t>s</w:t>
      </w:r>
      <w:bookmarkEnd w:id="28"/>
      <w:r w:rsidRPr="004C4A1D">
        <w:rPr>
          <w:rFonts w:ascii="Cambria" w:hAnsi="Cambria"/>
          <w:sz w:val="20"/>
          <w:lang w:val="es-CO"/>
        </w:rPr>
        <w:t xml:space="preserve"> </w:t>
      </w:r>
    </w:p>
    <w:p w:rsidR="007658DA" w:rsidRPr="004C4A1D" w:rsidRDefault="007658DA"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lang w:val="es-US"/>
        </w:rPr>
      </w:pPr>
    </w:p>
    <w:p w:rsidR="00A062F9" w:rsidRPr="004C4A1D"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CO"/>
        </w:rPr>
      </w:pPr>
      <w:r w:rsidRPr="004C4A1D">
        <w:rPr>
          <w:i/>
          <w:color w:val="auto"/>
          <w:sz w:val="20"/>
          <w:szCs w:val="20"/>
          <w:lang w:val="es-CO"/>
        </w:rPr>
        <w:t>Fabio Martínez</w:t>
      </w:r>
      <w:r w:rsidRPr="004C4A1D">
        <w:rPr>
          <w:color w:val="auto"/>
          <w:sz w:val="20"/>
          <w:szCs w:val="20"/>
          <w:lang w:val="es-CO"/>
        </w:rPr>
        <w:t xml:space="preserve"> identificado en el caso No. 269, era un hombre de nacionalidad panameña</w:t>
      </w:r>
      <w:r w:rsidRPr="004C4A1D">
        <w:rPr>
          <w:color w:val="auto"/>
          <w:sz w:val="20"/>
          <w:szCs w:val="20"/>
          <w:vertAlign w:val="superscript"/>
        </w:rPr>
        <w:footnoteReference w:id="510"/>
      </w:r>
      <w:r w:rsidRPr="004C4A1D">
        <w:rPr>
          <w:color w:val="auto"/>
          <w:sz w:val="20"/>
          <w:szCs w:val="20"/>
          <w:lang w:val="es-CO"/>
        </w:rPr>
        <w:t>. Conforme a la información presentada, el 20 de diciembre de 1989 mientras se encontraba en su lugar de oficio la entidad del Estado, la Purificadora del Instituto de Acueductos y Alcantarillados Nacionales, fue arrestado junto con otros compañeros por el ejército estadounidense</w:t>
      </w:r>
      <w:r w:rsidRPr="004C4A1D">
        <w:rPr>
          <w:color w:val="auto"/>
          <w:sz w:val="20"/>
          <w:szCs w:val="20"/>
          <w:vertAlign w:val="superscript"/>
        </w:rPr>
        <w:footnoteReference w:id="511"/>
      </w:r>
      <w:r w:rsidRPr="004C4A1D">
        <w:rPr>
          <w:color w:val="auto"/>
          <w:sz w:val="20"/>
          <w:szCs w:val="20"/>
          <w:lang w:val="es-CO"/>
        </w:rPr>
        <w:t>. Los soldados</w:t>
      </w:r>
      <w:r w:rsidR="00531A69">
        <w:rPr>
          <w:color w:val="auto"/>
          <w:sz w:val="20"/>
          <w:szCs w:val="20"/>
          <w:lang w:val="es-CO"/>
        </w:rPr>
        <w:t xml:space="preserve"> presuntamente</w:t>
      </w:r>
      <w:r w:rsidRPr="004C4A1D">
        <w:rPr>
          <w:color w:val="auto"/>
          <w:sz w:val="20"/>
          <w:szCs w:val="20"/>
          <w:lang w:val="es-CO"/>
        </w:rPr>
        <w:t xml:space="preserve"> ingresaron al Instituto sin autorización acompañados “de tanquetas y equipo de guerra”</w:t>
      </w:r>
      <w:r w:rsidRPr="004C4A1D">
        <w:rPr>
          <w:color w:val="auto"/>
          <w:sz w:val="20"/>
          <w:szCs w:val="20"/>
          <w:vertAlign w:val="superscript"/>
        </w:rPr>
        <w:footnoteReference w:id="512"/>
      </w:r>
      <w:r w:rsidRPr="004C4A1D">
        <w:rPr>
          <w:color w:val="auto"/>
          <w:sz w:val="20"/>
          <w:szCs w:val="20"/>
          <w:lang w:val="es-CO"/>
        </w:rPr>
        <w:t>. Los trabajadores fueron trasladados a la parte trasera del edificio en donde fueron despojados de sus pertenencias, amordazados y amarrados</w:t>
      </w:r>
      <w:r w:rsidR="00BC234D" w:rsidRPr="004C4A1D">
        <w:rPr>
          <w:color w:val="auto"/>
          <w:sz w:val="20"/>
          <w:szCs w:val="20"/>
          <w:lang w:val="es-CO"/>
        </w:rPr>
        <w:t xml:space="preserve"> por las fuerzas estadounidenses</w:t>
      </w:r>
      <w:r w:rsidRPr="004C4A1D">
        <w:rPr>
          <w:color w:val="auto"/>
          <w:sz w:val="20"/>
          <w:szCs w:val="20"/>
          <w:vertAlign w:val="superscript"/>
        </w:rPr>
        <w:footnoteReference w:id="513"/>
      </w:r>
      <w:r w:rsidRPr="004C4A1D">
        <w:rPr>
          <w:color w:val="auto"/>
          <w:sz w:val="20"/>
          <w:szCs w:val="20"/>
          <w:lang w:val="es-CO"/>
        </w:rPr>
        <w:t>.  El Sr. Fabio Martínez fue puesto en libertad el 24 de diciembre de 1989 y para el momento de su declaración, no le habían sido devueltas sus pertenencias, a pesar de haber presentado solicitudes ante el Comando Sur</w:t>
      </w:r>
      <w:r w:rsidRPr="004C4A1D">
        <w:rPr>
          <w:color w:val="auto"/>
          <w:sz w:val="20"/>
          <w:szCs w:val="20"/>
          <w:vertAlign w:val="superscript"/>
        </w:rPr>
        <w:footnoteReference w:id="514"/>
      </w:r>
      <w:r w:rsidRPr="004C4A1D">
        <w:rPr>
          <w:color w:val="auto"/>
          <w:sz w:val="20"/>
          <w:szCs w:val="20"/>
          <w:lang w:val="es-CO"/>
        </w:rPr>
        <w:t>.</w:t>
      </w:r>
    </w:p>
    <w:p w:rsidR="00895F53" w:rsidRPr="00C0537F" w:rsidRDefault="00895F53" w:rsidP="00C0537F">
      <w:pPr>
        <w:pBdr>
          <w:top w:val="none" w:sz="0" w:space="0" w:color="auto"/>
          <w:left w:val="none" w:sz="0" w:space="0" w:color="auto"/>
          <w:bottom w:val="none" w:sz="0" w:space="0" w:color="auto"/>
          <w:right w:val="none" w:sz="0" w:space="0" w:color="auto"/>
          <w:between w:val="none" w:sz="0" w:space="0" w:color="auto"/>
          <w:bar w:val="none" w:sz="0" w:color="auto"/>
        </w:pBdr>
        <w:jc w:val="both"/>
        <w:rPr>
          <w:b/>
          <w:sz w:val="20"/>
          <w:szCs w:val="20"/>
          <w:lang w:val="es-CO"/>
        </w:rPr>
      </w:pPr>
    </w:p>
    <w:p w:rsidR="00895F53" w:rsidRPr="00AF5B56" w:rsidRDefault="00531A69" w:rsidP="00D529F8">
      <w:pPr>
        <w:pStyle w:val="Heading3"/>
        <w:numPr>
          <w:ilvl w:val="0"/>
          <w:numId w:val="62"/>
        </w:numPr>
        <w:spacing w:before="0" w:after="0"/>
        <w:ind w:left="720" w:firstLine="0"/>
        <w:jc w:val="both"/>
        <w:rPr>
          <w:rFonts w:ascii="Cambria" w:hAnsi="Cambria"/>
          <w:b w:val="0"/>
          <w:szCs w:val="20"/>
          <w:lang w:val="es-CO"/>
        </w:rPr>
      </w:pPr>
      <w:bookmarkStart w:id="29" w:name="_Toc525294042"/>
      <w:r>
        <w:rPr>
          <w:rStyle w:val="Heading3Char"/>
          <w:rFonts w:ascii="Cambria" w:eastAsia="Cambria" w:hAnsi="Cambria"/>
          <w:b/>
          <w:sz w:val="20"/>
          <w:lang w:val="es-ES_tradnl"/>
        </w:rPr>
        <w:t xml:space="preserve">Daños </w:t>
      </w:r>
      <w:r w:rsidR="00C0537F" w:rsidRPr="00AF5B56">
        <w:rPr>
          <w:rStyle w:val="Heading3Char"/>
          <w:rFonts w:ascii="Cambria" w:eastAsia="Cambria" w:hAnsi="Cambria"/>
          <w:b/>
          <w:sz w:val="20"/>
          <w:lang w:val="es-ES_tradnl"/>
        </w:rPr>
        <w:t>a</w:t>
      </w:r>
      <w:r w:rsidR="0009739F" w:rsidRPr="00AF5B56">
        <w:rPr>
          <w:rStyle w:val="Heading3Char"/>
          <w:rFonts w:ascii="Cambria" w:eastAsia="Cambria" w:hAnsi="Cambria"/>
          <w:b/>
          <w:sz w:val="20"/>
          <w:lang w:val="es-ES_tradnl"/>
        </w:rPr>
        <w:t xml:space="preserve"> la propiedad privada</w:t>
      </w:r>
      <w:r w:rsidR="004B2273" w:rsidRPr="00AF5B56">
        <w:rPr>
          <w:rStyle w:val="FootnoteReference"/>
          <w:rFonts w:ascii="Cambria" w:hAnsi="Cambria"/>
          <w:b w:val="0"/>
          <w:sz w:val="20"/>
          <w:szCs w:val="20"/>
        </w:rPr>
        <w:footnoteReference w:id="515"/>
      </w:r>
      <w:bookmarkEnd w:id="29"/>
    </w:p>
    <w:p w:rsidR="005F4DC5" w:rsidRPr="009712EB"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800"/>
        <w:jc w:val="both"/>
        <w:rPr>
          <w:b/>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 xml:space="preserve">En atención al conjunto de víctimas que describen violaciones a su </w:t>
      </w:r>
      <w:r w:rsidR="00722891">
        <w:rPr>
          <w:sz w:val="20"/>
          <w:szCs w:val="20"/>
          <w:lang w:val="es-CO"/>
        </w:rPr>
        <w:t xml:space="preserve">derecho a la </w:t>
      </w:r>
      <w:r w:rsidRPr="009712EB">
        <w:rPr>
          <w:sz w:val="20"/>
          <w:szCs w:val="20"/>
          <w:lang w:val="es-CO"/>
        </w:rPr>
        <w:t xml:space="preserve">propiedad, la CIDH resalta que una gran cantidad de ellas especifica que su propiedad fue afectada como resultado de la </w:t>
      </w:r>
      <w:r w:rsidR="00E4631A" w:rsidRPr="009712EB">
        <w:rPr>
          <w:sz w:val="20"/>
          <w:szCs w:val="20"/>
          <w:lang w:val="es-CO"/>
        </w:rPr>
        <w:t>ocupación</w:t>
      </w:r>
      <w:r w:rsidR="00722891">
        <w:rPr>
          <w:sz w:val="20"/>
          <w:szCs w:val="20"/>
          <w:lang w:val="es-CO"/>
        </w:rPr>
        <w:t xml:space="preserve"> y del combate </w:t>
      </w:r>
      <w:r w:rsidRPr="009712EB">
        <w:rPr>
          <w:sz w:val="20"/>
          <w:szCs w:val="20"/>
          <w:lang w:val="es-CO"/>
        </w:rPr>
        <w:t xml:space="preserve">durante los primeros días de la operación militar. En este sentido </w:t>
      </w:r>
      <w:r w:rsidRPr="009712EB">
        <w:rPr>
          <w:sz w:val="20"/>
          <w:szCs w:val="20"/>
          <w:lang w:val="es-VE"/>
        </w:rPr>
        <w:t>la CIDH distingue el alto nú</w:t>
      </w:r>
      <w:r w:rsidRPr="00FC71AE">
        <w:rPr>
          <w:color w:val="auto"/>
          <w:sz w:val="20"/>
          <w:szCs w:val="20"/>
          <w:lang w:val="es-VE"/>
        </w:rPr>
        <w:t>mero de</w:t>
      </w:r>
      <w:r w:rsidR="007658DA" w:rsidRPr="00FC71AE">
        <w:rPr>
          <w:color w:val="auto"/>
          <w:sz w:val="20"/>
          <w:szCs w:val="20"/>
          <w:lang w:val="es-VE"/>
        </w:rPr>
        <w:t xml:space="preserve"> presuntas</w:t>
      </w:r>
      <w:r w:rsidRPr="00FC71AE">
        <w:rPr>
          <w:color w:val="auto"/>
          <w:sz w:val="20"/>
          <w:szCs w:val="20"/>
          <w:lang w:val="es-VE"/>
        </w:rPr>
        <w:t xml:space="preserve"> </w:t>
      </w:r>
      <w:r w:rsidRPr="009712EB">
        <w:rPr>
          <w:sz w:val="20"/>
          <w:szCs w:val="20"/>
          <w:lang w:val="es-VE"/>
        </w:rPr>
        <w:t xml:space="preserve">víctimas que presentan información en relación al daño parcial o pérdida total de sus viviendas, </w:t>
      </w:r>
      <w:r w:rsidR="00722891">
        <w:rPr>
          <w:sz w:val="20"/>
          <w:szCs w:val="20"/>
          <w:lang w:val="es-VE"/>
        </w:rPr>
        <w:t xml:space="preserve">lugar de trabajo </w:t>
      </w:r>
      <w:r w:rsidRPr="009712EB">
        <w:rPr>
          <w:sz w:val="20"/>
          <w:szCs w:val="20"/>
          <w:lang w:val="es-VE"/>
        </w:rPr>
        <w:t xml:space="preserve">y/o vehículos a raíz de los bombardeos, incendios y/o </w:t>
      </w:r>
      <w:r w:rsidRPr="009712EB">
        <w:rPr>
          <w:sz w:val="20"/>
          <w:szCs w:val="20"/>
          <w:lang w:val="es-CO"/>
        </w:rPr>
        <w:t>de los saqueos a propiedades.</w:t>
      </w:r>
    </w:p>
    <w:p w:rsidR="005F4DC5" w:rsidRPr="009712EB" w:rsidRDefault="005F4DC5" w:rsidP="000D77A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 xml:space="preserve">Asimismo, además de las personas cuyos hogares fueron destruidos, </w:t>
      </w:r>
      <w:r w:rsidR="00FC6B48">
        <w:rPr>
          <w:sz w:val="20"/>
          <w:szCs w:val="20"/>
          <w:lang w:val="es-CO"/>
        </w:rPr>
        <w:t xml:space="preserve">muchas de </w:t>
      </w:r>
      <w:r w:rsidRPr="000D77A8">
        <w:rPr>
          <w:color w:val="auto"/>
          <w:sz w:val="20"/>
          <w:szCs w:val="20"/>
          <w:lang w:val="es-CO"/>
        </w:rPr>
        <w:t xml:space="preserve">las </w:t>
      </w:r>
      <w:r w:rsidR="00FB10E2" w:rsidRPr="000D77A8">
        <w:rPr>
          <w:color w:val="auto"/>
          <w:sz w:val="20"/>
          <w:szCs w:val="20"/>
          <w:lang w:val="es-CO"/>
        </w:rPr>
        <w:t>presuntas</w:t>
      </w:r>
      <w:r w:rsidR="00FB10E2" w:rsidRPr="00A729C6">
        <w:rPr>
          <w:color w:val="FF0000"/>
          <w:sz w:val="20"/>
          <w:szCs w:val="20"/>
          <w:lang w:val="es-CO"/>
        </w:rPr>
        <w:t xml:space="preserve"> </w:t>
      </w:r>
      <w:r w:rsidRPr="009712EB">
        <w:rPr>
          <w:sz w:val="20"/>
          <w:szCs w:val="20"/>
          <w:lang w:val="es-VE"/>
        </w:rPr>
        <w:t xml:space="preserve">víctimas del presente caso informan que fueron desalojadas </w:t>
      </w:r>
      <w:r w:rsidR="00A56B2F">
        <w:rPr>
          <w:sz w:val="20"/>
          <w:szCs w:val="20"/>
          <w:lang w:val="es-VE"/>
        </w:rPr>
        <w:t xml:space="preserve">de sus hogares </w:t>
      </w:r>
      <w:r w:rsidRPr="009712EB">
        <w:rPr>
          <w:sz w:val="20"/>
          <w:szCs w:val="20"/>
          <w:lang w:val="es-VE"/>
        </w:rPr>
        <w:t xml:space="preserve">por los soldados estadounidenses, en </w:t>
      </w:r>
      <w:r w:rsidR="009A292B">
        <w:rPr>
          <w:sz w:val="20"/>
          <w:szCs w:val="20"/>
          <w:lang w:val="es-VE"/>
        </w:rPr>
        <w:t xml:space="preserve">algunas </w:t>
      </w:r>
      <w:r w:rsidR="00A56B2F">
        <w:rPr>
          <w:sz w:val="20"/>
          <w:szCs w:val="20"/>
          <w:lang w:val="es-VE"/>
        </w:rPr>
        <w:t xml:space="preserve">oportunidades </w:t>
      </w:r>
      <w:r w:rsidRPr="009712EB">
        <w:rPr>
          <w:sz w:val="20"/>
          <w:szCs w:val="20"/>
          <w:lang w:val="es-VE"/>
        </w:rPr>
        <w:t>minutos antes de la</w:t>
      </w:r>
      <w:r w:rsidR="00175E64" w:rsidRPr="009712EB">
        <w:rPr>
          <w:sz w:val="20"/>
          <w:szCs w:val="20"/>
          <w:lang w:val="es-VE"/>
        </w:rPr>
        <w:t xml:space="preserve"> ocupación</w:t>
      </w:r>
      <w:r w:rsidRPr="009712EB">
        <w:rPr>
          <w:sz w:val="20"/>
          <w:szCs w:val="20"/>
          <w:lang w:val="es-VE"/>
        </w:rPr>
        <w:t xml:space="preserve"> y en la mayoría </w:t>
      </w:r>
      <w:r w:rsidR="009A292B">
        <w:rPr>
          <w:sz w:val="20"/>
          <w:szCs w:val="20"/>
          <w:lang w:val="es-VE"/>
        </w:rPr>
        <w:t xml:space="preserve">de los casos </w:t>
      </w:r>
      <w:r w:rsidRPr="009712EB">
        <w:rPr>
          <w:sz w:val="20"/>
          <w:szCs w:val="20"/>
          <w:lang w:val="es-VE"/>
        </w:rPr>
        <w:t>después de los enfrentamientos o bombardeos</w:t>
      </w:r>
      <w:r w:rsidR="00FC6B48">
        <w:rPr>
          <w:sz w:val="20"/>
          <w:szCs w:val="20"/>
          <w:lang w:val="es-VE"/>
        </w:rPr>
        <w:t>. En los casos en los que las casas no fueron destruidas</w:t>
      </w:r>
      <w:r w:rsidRPr="009712EB">
        <w:rPr>
          <w:sz w:val="20"/>
          <w:szCs w:val="20"/>
          <w:lang w:val="es-VE"/>
        </w:rPr>
        <w:t xml:space="preserve"> </w:t>
      </w:r>
      <w:r w:rsidR="00FC6B48">
        <w:rPr>
          <w:sz w:val="20"/>
          <w:szCs w:val="20"/>
          <w:lang w:val="es-VE"/>
        </w:rPr>
        <w:t xml:space="preserve">las presuntas víctimas explicaron que </w:t>
      </w:r>
      <w:r w:rsidR="009A292B">
        <w:rPr>
          <w:sz w:val="20"/>
          <w:szCs w:val="20"/>
          <w:lang w:val="es-VE"/>
        </w:rPr>
        <w:t xml:space="preserve">les fue prohibido </w:t>
      </w:r>
      <w:r w:rsidRPr="009712EB">
        <w:rPr>
          <w:sz w:val="20"/>
          <w:szCs w:val="20"/>
          <w:lang w:val="es-VE"/>
        </w:rPr>
        <w:t>volver a ell</w:t>
      </w:r>
      <w:r w:rsidR="009A292B">
        <w:rPr>
          <w:sz w:val="20"/>
          <w:szCs w:val="20"/>
          <w:lang w:val="es-VE"/>
        </w:rPr>
        <w:t>a</w:t>
      </w:r>
      <w:r w:rsidRPr="009712EB">
        <w:rPr>
          <w:sz w:val="20"/>
          <w:szCs w:val="20"/>
          <w:lang w:val="es-VE"/>
        </w:rPr>
        <w:t xml:space="preserve">s </w:t>
      </w:r>
      <w:r w:rsidR="009A292B">
        <w:rPr>
          <w:sz w:val="20"/>
          <w:szCs w:val="20"/>
          <w:lang w:val="es-VE"/>
        </w:rPr>
        <w:t xml:space="preserve">por el </w:t>
      </w:r>
      <w:r w:rsidRPr="009712EB">
        <w:rPr>
          <w:sz w:val="20"/>
          <w:szCs w:val="20"/>
          <w:lang w:val="es-VE"/>
        </w:rPr>
        <w:t xml:space="preserve">transcurso de determinado tiempo. </w:t>
      </w:r>
    </w:p>
    <w:p w:rsidR="005F4DC5" w:rsidRPr="009712EB" w:rsidRDefault="005F4DC5" w:rsidP="000D77A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VE"/>
        </w:rPr>
        <w:t xml:space="preserve">En conjunto, esta situación </w:t>
      </w:r>
      <w:r w:rsidR="009A292B">
        <w:rPr>
          <w:sz w:val="20"/>
          <w:szCs w:val="20"/>
          <w:lang w:val="es-VE"/>
        </w:rPr>
        <w:t>signific</w:t>
      </w:r>
      <w:r w:rsidRPr="009712EB">
        <w:rPr>
          <w:sz w:val="20"/>
          <w:szCs w:val="20"/>
          <w:lang w:val="es-VE"/>
        </w:rPr>
        <w:t xml:space="preserve">ó </w:t>
      </w:r>
      <w:r w:rsidR="009A292B">
        <w:rPr>
          <w:sz w:val="20"/>
          <w:szCs w:val="20"/>
          <w:lang w:val="es-VE"/>
        </w:rPr>
        <w:t xml:space="preserve">que </w:t>
      </w:r>
      <w:r w:rsidRPr="009712EB">
        <w:rPr>
          <w:sz w:val="20"/>
          <w:szCs w:val="20"/>
          <w:lang w:val="es-VE"/>
        </w:rPr>
        <w:t xml:space="preserve">la </w:t>
      </w:r>
      <w:r w:rsidR="009A292B">
        <w:rPr>
          <w:sz w:val="20"/>
          <w:szCs w:val="20"/>
          <w:lang w:val="es-ES"/>
        </w:rPr>
        <w:t xml:space="preserve">gran parte </w:t>
      </w:r>
      <w:r w:rsidRPr="009712EB">
        <w:rPr>
          <w:sz w:val="20"/>
          <w:szCs w:val="20"/>
          <w:lang w:val="es-ES"/>
        </w:rPr>
        <w:t>de la población civil</w:t>
      </w:r>
      <w:r w:rsidRPr="009712EB">
        <w:rPr>
          <w:sz w:val="20"/>
          <w:szCs w:val="20"/>
          <w:lang w:val="es-VE"/>
        </w:rPr>
        <w:t xml:space="preserve"> </w:t>
      </w:r>
      <w:r w:rsidR="009A292B">
        <w:rPr>
          <w:sz w:val="20"/>
          <w:szCs w:val="20"/>
          <w:lang w:val="es-VE"/>
        </w:rPr>
        <w:t xml:space="preserve">fue desplazada </w:t>
      </w:r>
      <w:r w:rsidRPr="009712EB">
        <w:rPr>
          <w:sz w:val="20"/>
          <w:szCs w:val="20"/>
          <w:lang w:val="es-VE"/>
        </w:rPr>
        <w:t xml:space="preserve">a centros de refugios o a campamentos habilitados.  Aunque no se presenta claridad en varios de los casos </w:t>
      </w:r>
      <w:r w:rsidR="00FB10E2" w:rsidRPr="009712EB">
        <w:rPr>
          <w:sz w:val="20"/>
          <w:szCs w:val="20"/>
          <w:lang w:val="es-VE"/>
        </w:rPr>
        <w:t xml:space="preserve">sobre </w:t>
      </w:r>
      <w:r w:rsidRPr="009712EB">
        <w:rPr>
          <w:sz w:val="20"/>
          <w:szCs w:val="20"/>
          <w:lang w:val="es-VE"/>
        </w:rPr>
        <w:t xml:space="preserve">si las víctimas eran propietarias o arrendatarias de las viviendas o de </w:t>
      </w:r>
      <w:r w:rsidR="009A292B">
        <w:rPr>
          <w:sz w:val="20"/>
          <w:szCs w:val="20"/>
          <w:lang w:val="es-VE"/>
        </w:rPr>
        <w:t>lugares de trabajo</w:t>
      </w:r>
      <w:r w:rsidRPr="009712EB">
        <w:rPr>
          <w:sz w:val="20"/>
          <w:szCs w:val="20"/>
          <w:lang w:val="es-VE"/>
        </w:rPr>
        <w:t xml:space="preserve"> afectados, la</w:t>
      </w:r>
      <w:r w:rsidRPr="000D77A8">
        <w:rPr>
          <w:color w:val="auto"/>
          <w:sz w:val="20"/>
          <w:szCs w:val="20"/>
          <w:lang w:val="es-VE"/>
        </w:rPr>
        <w:t>s</w:t>
      </w:r>
      <w:r w:rsidR="00FB10E2" w:rsidRPr="000D77A8">
        <w:rPr>
          <w:color w:val="auto"/>
          <w:sz w:val="20"/>
          <w:szCs w:val="20"/>
          <w:lang w:val="es-VE"/>
        </w:rPr>
        <w:t xml:space="preserve"> presunta</w:t>
      </w:r>
      <w:r w:rsidR="00FB10E2" w:rsidRPr="009712EB">
        <w:rPr>
          <w:sz w:val="20"/>
          <w:szCs w:val="20"/>
          <w:lang w:val="es-VE"/>
        </w:rPr>
        <w:t>s</w:t>
      </w:r>
      <w:r w:rsidRPr="009712EB">
        <w:rPr>
          <w:sz w:val="20"/>
          <w:szCs w:val="20"/>
          <w:lang w:val="es-VE"/>
        </w:rPr>
        <w:t xml:space="preserve"> víctimas explican los efectos negativos que estos hechos tuvieron en sus condiciones de vida. En este sentido </w:t>
      </w:r>
      <w:r w:rsidR="00FC6B48">
        <w:rPr>
          <w:sz w:val="20"/>
          <w:szCs w:val="20"/>
          <w:lang w:val="es-VE"/>
        </w:rPr>
        <w:t>explican</w:t>
      </w:r>
      <w:r w:rsidR="00FC6B48" w:rsidRPr="009712EB">
        <w:rPr>
          <w:sz w:val="20"/>
          <w:szCs w:val="20"/>
          <w:lang w:val="es-VE"/>
        </w:rPr>
        <w:t xml:space="preserve"> </w:t>
      </w:r>
      <w:r w:rsidRPr="009712EB">
        <w:rPr>
          <w:sz w:val="20"/>
          <w:szCs w:val="20"/>
          <w:lang w:val="es-VE"/>
        </w:rPr>
        <w:t xml:space="preserve">que, debido a su imposibilidad de trabajar y su desplazamiento, la educación y salud de sus hijos y familiares se vio afectada. </w:t>
      </w:r>
    </w:p>
    <w:p w:rsidR="005F4DC5" w:rsidRPr="009712EB"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VE"/>
        </w:rPr>
        <w:t xml:space="preserve">Las víctimas </w:t>
      </w:r>
      <w:r w:rsidR="00BF412E">
        <w:rPr>
          <w:sz w:val="20"/>
          <w:szCs w:val="20"/>
          <w:lang w:val="es-VE"/>
        </w:rPr>
        <w:t xml:space="preserve">indicaron que habían intentado </w:t>
      </w:r>
      <w:r w:rsidRPr="009712EB">
        <w:rPr>
          <w:sz w:val="20"/>
          <w:szCs w:val="20"/>
          <w:lang w:val="es-VE"/>
        </w:rPr>
        <w:t>presentar</w:t>
      </w:r>
      <w:r w:rsidR="00BF412E">
        <w:rPr>
          <w:sz w:val="20"/>
          <w:szCs w:val="20"/>
          <w:lang w:val="es-VE"/>
        </w:rPr>
        <w:t>,</w:t>
      </w:r>
      <w:r w:rsidRPr="009712EB">
        <w:rPr>
          <w:sz w:val="20"/>
          <w:szCs w:val="20"/>
          <w:lang w:val="es-VE"/>
        </w:rPr>
        <w:t xml:space="preserve"> dentro de sus posibilidades</w:t>
      </w:r>
      <w:r w:rsidR="00BF412E">
        <w:rPr>
          <w:sz w:val="20"/>
          <w:szCs w:val="20"/>
          <w:lang w:val="es-VE"/>
        </w:rPr>
        <w:t xml:space="preserve"> y con el mayor detalle posible</w:t>
      </w:r>
      <w:r w:rsidRPr="009712EB">
        <w:rPr>
          <w:sz w:val="20"/>
          <w:szCs w:val="20"/>
          <w:lang w:val="es-VE"/>
        </w:rPr>
        <w:t xml:space="preserve">, los bienes que perdieron y el valor de ellos. La CIDH tuvo conocimiento de estos datos en razón de reportes realizados por las propias víctimas y/o contadores presentados como anexos de sus declaraciones. </w:t>
      </w:r>
    </w:p>
    <w:p w:rsidR="005F4DC5" w:rsidRPr="009712EB" w:rsidRDefault="005F4DC5" w:rsidP="00AE7A5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El Comité de Derechos Económicos, Sociales y Culturales</w:t>
      </w:r>
      <w:r w:rsidR="00BF412E">
        <w:rPr>
          <w:sz w:val="20"/>
          <w:szCs w:val="20"/>
          <w:lang w:val="es-CO"/>
        </w:rPr>
        <w:t xml:space="preserve"> de las Naciones Unidas</w:t>
      </w:r>
      <w:r w:rsidRPr="009712EB">
        <w:rPr>
          <w:sz w:val="20"/>
          <w:szCs w:val="20"/>
          <w:lang w:val="es-CO"/>
        </w:rPr>
        <w:t xml:space="preserve"> (en adelante “Comité DESC”) reconoció como la </w:t>
      </w:r>
      <w:r w:rsidR="00792C78" w:rsidRPr="009712EB">
        <w:rPr>
          <w:sz w:val="20"/>
          <w:szCs w:val="20"/>
          <w:lang w:val="es-CO"/>
        </w:rPr>
        <w:t>ocupación</w:t>
      </w:r>
      <w:r w:rsidRPr="009712EB">
        <w:rPr>
          <w:sz w:val="20"/>
          <w:szCs w:val="20"/>
          <w:lang w:val="es-CO"/>
        </w:rPr>
        <w:t xml:space="preserve"> estadounidense del 20 de diciembre de 1989 “desencadenó una grave crisis económica y social que repercutió </w:t>
      </w:r>
      <w:r w:rsidR="00FC6B48">
        <w:rPr>
          <w:sz w:val="20"/>
          <w:szCs w:val="20"/>
          <w:lang w:val="es-CO"/>
        </w:rPr>
        <w:t xml:space="preserve">en </w:t>
      </w:r>
      <w:r w:rsidRPr="009712EB">
        <w:rPr>
          <w:sz w:val="20"/>
          <w:szCs w:val="20"/>
          <w:lang w:val="es-CO"/>
        </w:rPr>
        <w:t xml:space="preserve">todos los sectores de la economía y destruyó o dañó varios centenares de viviendas en dos de los barrios más poblados de la capital, agudizando todavía más la crisis de </w:t>
      </w:r>
      <w:r w:rsidRPr="009712EB">
        <w:rPr>
          <w:sz w:val="20"/>
          <w:szCs w:val="20"/>
          <w:lang w:val="es-CO"/>
        </w:rPr>
        <w:lastRenderedPageBreak/>
        <w:t>la vivienda”</w:t>
      </w:r>
      <w:r w:rsidRPr="009712EB">
        <w:rPr>
          <w:rStyle w:val="FootnoteReference"/>
          <w:sz w:val="20"/>
          <w:szCs w:val="20"/>
        </w:rPr>
        <w:footnoteReference w:id="516"/>
      </w:r>
      <w:r w:rsidRPr="009712EB">
        <w:rPr>
          <w:sz w:val="20"/>
          <w:szCs w:val="20"/>
          <w:lang w:val="es-CO"/>
        </w:rPr>
        <w:t xml:space="preserve">. En particular, </w:t>
      </w:r>
      <w:r w:rsidR="00BF412E">
        <w:rPr>
          <w:sz w:val="20"/>
          <w:szCs w:val="20"/>
          <w:lang w:val="es-CO"/>
        </w:rPr>
        <w:t xml:space="preserve">el Comité DESC enfatizó que </w:t>
      </w:r>
      <w:r w:rsidRPr="009712EB">
        <w:rPr>
          <w:sz w:val="20"/>
          <w:szCs w:val="20"/>
          <w:lang w:val="es-CO"/>
        </w:rPr>
        <w:t xml:space="preserve">“unas 20 mil personas” </w:t>
      </w:r>
      <w:r w:rsidR="00BF412E">
        <w:rPr>
          <w:sz w:val="20"/>
          <w:szCs w:val="20"/>
          <w:lang w:val="es-CO"/>
        </w:rPr>
        <w:t xml:space="preserve">fueron afectados </w:t>
      </w:r>
      <w:r w:rsidRPr="009712EB">
        <w:rPr>
          <w:sz w:val="20"/>
          <w:szCs w:val="20"/>
          <w:lang w:val="es-CO"/>
        </w:rPr>
        <w:t>por l</w:t>
      </w:r>
      <w:r w:rsidRPr="009712EB">
        <w:rPr>
          <w:sz w:val="20"/>
          <w:szCs w:val="20"/>
          <w:lang w:val="es-VE"/>
        </w:rPr>
        <w:t xml:space="preserve">os bombardeos y destrucciones o incendios de los días siguientes a la </w:t>
      </w:r>
      <w:r w:rsidR="0098644E" w:rsidRPr="009712EB">
        <w:rPr>
          <w:sz w:val="20"/>
          <w:szCs w:val="20"/>
          <w:lang w:val="es-VE"/>
        </w:rPr>
        <w:t>ocupación</w:t>
      </w:r>
      <w:r w:rsidRPr="009712EB">
        <w:rPr>
          <w:rStyle w:val="FootnoteReference"/>
          <w:sz w:val="20"/>
          <w:szCs w:val="20"/>
          <w:lang w:val="es-VE"/>
        </w:rPr>
        <w:footnoteReference w:id="517"/>
      </w:r>
      <w:r w:rsidRPr="009712EB">
        <w:rPr>
          <w:sz w:val="20"/>
          <w:szCs w:val="20"/>
          <w:lang w:val="es-VE"/>
        </w:rPr>
        <w:t>.</w:t>
      </w:r>
    </w:p>
    <w:p w:rsidR="005F4DC5" w:rsidRPr="009712EB" w:rsidRDefault="005F4DC5" w:rsidP="00AE7A5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Por su parte, la CIDH en el capítulo referente a la situación de derechos humanos de Panamá de</w:t>
      </w:r>
      <w:r w:rsidR="00D70837">
        <w:rPr>
          <w:sz w:val="20"/>
          <w:szCs w:val="20"/>
          <w:lang w:val="es-CO"/>
        </w:rPr>
        <w:t xml:space="preserve"> su</w:t>
      </w:r>
      <w:r w:rsidRPr="009712EB">
        <w:rPr>
          <w:sz w:val="20"/>
          <w:szCs w:val="20"/>
          <w:lang w:val="es-CO"/>
        </w:rPr>
        <w:t xml:space="preserve"> Informe Anual 1</w:t>
      </w:r>
      <w:r w:rsidR="00D70837">
        <w:rPr>
          <w:sz w:val="20"/>
          <w:szCs w:val="20"/>
          <w:lang w:val="es-CO"/>
        </w:rPr>
        <w:t xml:space="preserve">990-1991, manifestó conocer del desplazamiento </w:t>
      </w:r>
      <w:r w:rsidRPr="009712EB">
        <w:rPr>
          <w:sz w:val="20"/>
          <w:szCs w:val="20"/>
          <w:lang w:val="es-CO"/>
        </w:rPr>
        <w:t>y el posterior traslado de los desplazados civiles en centros educativos y luego a viviendas particulares por su propia cuenta, o en campamentos habilitados especialmente</w:t>
      </w:r>
      <w:r w:rsidR="00D70837">
        <w:rPr>
          <w:sz w:val="20"/>
          <w:szCs w:val="20"/>
          <w:lang w:val="es-CO"/>
        </w:rPr>
        <w:t xml:space="preserve"> para  dicho propósito</w:t>
      </w:r>
      <w:r w:rsidRPr="009712EB">
        <w:rPr>
          <w:rStyle w:val="FootnoteReference"/>
          <w:sz w:val="20"/>
          <w:szCs w:val="20"/>
        </w:rPr>
        <w:footnoteReference w:id="518"/>
      </w:r>
      <w:r w:rsidR="00D70837">
        <w:rPr>
          <w:sz w:val="20"/>
          <w:szCs w:val="20"/>
          <w:lang w:val="es-CO"/>
        </w:rPr>
        <w:t>. En dicho informe</w:t>
      </w:r>
      <w:r w:rsidRPr="009712EB">
        <w:rPr>
          <w:sz w:val="20"/>
          <w:szCs w:val="20"/>
          <w:lang w:val="es-CO"/>
        </w:rPr>
        <w:t>,</w:t>
      </w:r>
      <w:r w:rsidR="00FC6B48">
        <w:rPr>
          <w:sz w:val="20"/>
          <w:szCs w:val="20"/>
          <w:lang w:val="es-CO"/>
        </w:rPr>
        <w:t xml:space="preserve"> en referencia a</w:t>
      </w:r>
      <w:r w:rsidR="00FC6B48" w:rsidRPr="009712EB">
        <w:rPr>
          <w:sz w:val="20"/>
          <w:szCs w:val="20"/>
          <w:lang w:val="es-CO"/>
        </w:rPr>
        <w:t xml:space="preserve"> “la situación precaria de los refugiados en el Campamento Albrook y en otros campamentos”</w:t>
      </w:r>
      <w:r w:rsidR="00FC6B48">
        <w:rPr>
          <w:sz w:val="20"/>
          <w:szCs w:val="20"/>
          <w:lang w:val="es-CO"/>
        </w:rPr>
        <w:t>,</w:t>
      </w:r>
      <w:r w:rsidRPr="009712EB">
        <w:rPr>
          <w:sz w:val="20"/>
          <w:szCs w:val="20"/>
          <w:lang w:val="es-CO"/>
        </w:rPr>
        <w:t xml:space="preserve"> la Comisión señaló con gran preocupación</w:t>
      </w:r>
      <w:r w:rsidR="00FC6B48">
        <w:rPr>
          <w:sz w:val="20"/>
          <w:szCs w:val="20"/>
          <w:lang w:val="es-CO"/>
        </w:rPr>
        <w:t xml:space="preserve"> que </w:t>
      </w:r>
      <w:r w:rsidR="00D70837">
        <w:rPr>
          <w:sz w:val="20"/>
          <w:szCs w:val="20"/>
          <w:lang w:val="es-CO"/>
        </w:rPr>
        <w:t xml:space="preserve">la situación de </w:t>
      </w:r>
      <w:r w:rsidR="00FC6B48">
        <w:rPr>
          <w:sz w:val="20"/>
          <w:szCs w:val="20"/>
          <w:lang w:val="es-CO"/>
        </w:rPr>
        <w:t xml:space="preserve">aquellos civiles </w:t>
      </w:r>
      <w:r w:rsidRPr="009712EB">
        <w:rPr>
          <w:sz w:val="20"/>
          <w:szCs w:val="20"/>
          <w:lang w:val="es-CO"/>
        </w:rPr>
        <w:t xml:space="preserve">cuya vida ya </w:t>
      </w:r>
      <w:r w:rsidR="00FC6B48">
        <w:rPr>
          <w:sz w:val="20"/>
          <w:szCs w:val="20"/>
          <w:lang w:val="es-CO"/>
        </w:rPr>
        <w:t xml:space="preserve">había sido </w:t>
      </w:r>
      <w:r w:rsidRPr="009712EB">
        <w:rPr>
          <w:sz w:val="20"/>
          <w:szCs w:val="20"/>
          <w:lang w:val="es-CO"/>
        </w:rPr>
        <w:t xml:space="preserve">seriamente sacudida por el </w:t>
      </w:r>
      <w:r w:rsidR="00D70837">
        <w:rPr>
          <w:sz w:val="20"/>
          <w:szCs w:val="20"/>
          <w:lang w:val="es-CO"/>
        </w:rPr>
        <w:t>bombardeo y la lucha armada, así como</w:t>
      </w:r>
      <w:r w:rsidRPr="009712EB">
        <w:rPr>
          <w:sz w:val="20"/>
          <w:szCs w:val="20"/>
          <w:lang w:val="es-CO"/>
        </w:rPr>
        <w:t xml:space="preserve"> </w:t>
      </w:r>
      <w:r w:rsidR="00FC6B48">
        <w:rPr>
          <w:sz w:val="20"/>
          <w:szCs w:val="20"/>
          <w:lang w:val="es-CO"/>
        </w:rPr>
        <w:t xml:space="preserve">por </w:t>
      </w:r>
      <w:r w:rsidRPr="009712EB">
        <w:rPr>
          <w:sz w:val="20"/>
          <w:szCs w:val="20"/>
          <w:lang w:val="es-CO"/>
        </w:rPr>
        <w:t>la pérdida de familiares</w:t>
      </w:r>
      <w:r w:rsidR="00D70837">
        <w:rPr>
          <w:sz w:val="20"/>
          <w:szCs w:val="20"/>
          <w:lang w:val="es-CO"/>
        </w:rPr>
        <w:t xml:space="preserve"> y </w:t>
      </w:r>
      <w:r w:rsidRPr="009712EB">
        <w:rPr>
          <w:sz w:val="20"/>
          <w:szCs w:val="20"/>
          <w:lang w:val="es-CO"/>
        </w:rPr>
        <w:t>vecinos</w:t>
      </w:r>
      <w:r w:rsidR="00D70837">
        <w:rPr>
          <w:sz w:val="20"/>
          <w:szCs w:val="20"/>
          <w:lang w:val="es-CO"/>
        </w:rPr>
        <w:t>,</w:t>
      </w:r>
      <w:r w:rsidRPr="009712EB">
        <w:rPr>
          <w:sz w:val="20"/>
          <w:szCs w:val="20"/>
          <w:lang w:val="es-CO"/>
        </w:rPr>
        <w:t xml:space="preserve"> </w:t>
      </w:r>
      <w:r w:rsidR="00AE7A5A" w:rsidRPr="009712EB">
        <w:rPr>
          <w:sz w:val="20"/>
          <w:szCs w:val="20"/>
          <w:lang w:val="es-CO"/>
        </w:rPr>
        <w:t>y de</w:t>
      </w:r>
      <w:r w:rsidRPr="009712EB">
        <w:rPr>
          <w:sz w:val="20"/>
          <w:szCs w:val="20"/>
          <w:lang w:val="es-CO"/>
        </w:rPr>
        <w:t xml:space="preserve"> su propiedad</w:t>
      </w:r>
      <w:r w:rsidR="00FC6B48">
        <w:rPr>
          <w:sz w:val="20"/>
          <w:szCs w:val="20"/>
          <w:lang w:val="es-CO"/>
        </w:rPr>
        <w:t>,</w:t>
      </w:r>
      <w:r w:rsidRPr="009712EB">
        <w:rPr>
          <w:sz w:val="20"/>
          <w:szCs w:val="20"/>
          <w:lang w:val="es-CO"/>
        </w:rPr>
        <w:t xml:space="preserve"> se veía agravada </w:t>
      </w:r>
      <w:r w:rsidR="00FC6B48">
        <w:rPr>
          <w:sz w:val="20"/>
          <w:szCs w:val="20"/>
          <w:lang w:val="es-CO"/>
        </w:rPr>
        <w:t>“</w:t>
      </w:r>
      <w:r w:rsidRPr="009712EB">
        <w:rPr>
          <w:sz w:val="20"/>
          <w:szCs w:val="20"/>
          <w:lang w:val="es-CO"/>
        </w:rPr>
        <w:t>por la vida de reclusión, desempleo y dependencia indefinida en que se encontraban”</w:t>
      </w:r>
      <w:r w:rsidRPr="009712EB">
        <w:rPr>
          <w:rStyle w:val="FootnoteReference"/>
          <w:sz w:val="20"/>
          <w:szCs w:val="20"/>
        </w:rPr>
        <w:footnoteReference w:id="519"/>
      </w:r>
      <w:r w:rsidRPr="009712EB">
        <w:rPr>
          <w:sz w:val="20"/>
          <w:szCs w:val="20"/>
          <w:lang w:val="es-CO"/>
        </w:rPr>
        <w:t>.</w:t>
      </w:r>
    </w:p>
    <w:p w:rsidR="005F4DC5" w:rsidRPr="009712EB"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Asimismo, la Comisión expresó preocupación sobre las demoras y quejas en relación a los planes para reubic</w:t>
      </w:r>
      <w:r w:rsidR="00D70837">
        <w:rPr>
          <w:sz w:val="20"/>
          <w:szCs w:val="20"/>
          <w:lang w:val="es-CO"/>
        </w:rPr>
        <w:t xml:space="preserve">ar a las familias damnificadas; </w:t>
      </w:r>
      <w:r w:rsidR="002C4227">
        <w:rPr>
          <w:sz w:val="20"/>
          <w:szCs w:val="20"/>
          <w:lang w:val="es-CO"/>
        </w:rPr>
        <w:t>sobre que los</w:t>
      </w:r>
      <w:r w:rsidR="00BE51C3">
        <w:rPr>
          <w:sz w:val="20"/>
          <w:szCs w:val="20"/>
          <w:lang w:val="es-CO"/>
        </w:rPr>
        <w:t xml:space="preserve"> nuevos alojamientos estaban a </w:t>
      </w:r>
      <w:r w:rsidRPr="009712EB">
        <w:rPr>
          <w:sz w:val="20"/>
          <w:szCs w:val="20"/>
          <w:lang w:val="es-CO"/>
        </w:rPr>
        <w:t xml:space="preserve">gran distancia </w:t>
      </w:r>
      <w:r w:rsidR="00BE51C3">
        <w:rPr>
          <w:sz w:val="20"/>
          <w:szCs w:val="20"/>
          <w:lang w:val="es-CO"/>
        </w:rPr>
        <w:t xml:space="preserve">de donde habían vivido; </w:t>
      </w:r>
      <w:r w:rsidRPr="009712EB">
        <w:rPr>
          <w:sz w:val="20"/>
          <w:szCs w:val="20"/>
          <w:lang w:val="es-CO"/>
        </w:rPr>
        <w:t xml:space="preserve">y </w:t>
      </w:r>
      <w:r w:rsidR="002C4227">
        <w:rPr>
          <w:sz w:val="20"/>
          <w:szCs w:val="20"/>
          <w:lang w:val="es-CO"/>
        </w:rPr>
        <w:t xml:space="preserve">de la ausencia de </w:t>
      </w:r>
      <w:r w:rsidRPr="009712EB">
        <w:rPr>
          <w:sz w:val="20"/>
          <w:szCs w:val="20"/>
          <w:lang w:val="es-CO"/>
        </w:rPr>
        <w:t>garantía para obtener “las limitadas sumas definidas como indemnizatorias en el convenio entre el Gobierno de Panamá y la AID, del Gobierno de Estados Unidos”</w:t>
      </w:r>
      <w:r w:rsidRPr="009712EB">
        <w:rPr>
          <w:rStyle w:val="FootnoteReference"/>
          <w:sz w:val="20"/>
          <w:szCs w:val="20"/>
        </w:rPr>
        <w:footnoteReference w:id="520"/>
      </w:r>
      <w:r w:rsidRPr="009712EB">
        <w:rPr>
          <w:sz w:val="20"/>
          <w:szCs w:val="20"/>
          <w:lang w:val="es-CO"/>
        </w:rPr>
        <w:t xml:space="preserve">.  </w:t>
      </w:r>
    </w:p>
    <w:p w:rsidR="005F4DC5" w:rsidRPr="009712EB" w:rsidRDefault="005F4DC5" w:rsidP="00AE7A5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 xml:space="preserve">Sobre </w:t>
      </w:r>
      <w:r w:rsidRPr="00AE7A5A">
        <w:rPr>
          <w:color w:val="auto"/>
          <w:sz w:val="20"/>
          <w:szCs w:val="20"/>
          <w:lang w:val="es-CO"/>
        </w:rPr>
        <w:t xml:space="preserve">este punto el Comité DESC </w:t>
      </w:r>
      <w:r w:rsidR="002C4227">
        <w:rPr>
          <w:color w:val="auto"/>
          <w:sz w:val="20"/>
          <w:szCs w:val="20"/>
          <w:lang w:val="es-CO"/>
        </w:rPr>
        <w:t>report</w:t>
      </w:r>
      <w:r w:rsidRPr="00AE7A5A">
        <w:rPr>
          <w:color w:val="auto"/>
          <w:sz w:val="20"/>
          <w:szCs w:val="20"/>
          <w:lang w:val="es-CO"/>
        </w:rPr>
        <w:t xml:space="preserve">ó que </w:t>
      </w:r>
      <w:r w:rsidRPr="00AE7A5A">
        <w:rPr>
          <w:color w:val="auto"/>
          <w:sz w:val="20"/>
          <w:szCs w:val="20"/>
          <w:lang w:val="es-VE"/>
        </w:rPr>
        <w:t xml:space="preserve">el Gobierno de Panamá negoció con el de los Estados Unidos de América la entrega de fondos para reparar los daños causados por los operativos militares y en 1990 se firmaron dos convenios (525-0300 y 525-0302) por los cuales los Estados Unidos </w:t>
      </w:r>
      <w:r w:rsidR="00FB10E2" w:rsidRPr="00AE7A5A">
        <w:rPr>
          <w:color w:val="auto"/>
          <w:sz w:val="20"/>
          <w:szCs w:val="20"/>
          <w:lang w:val="es-VE"/>
        </w:rPr>
        <w:t xml:space="preserve">aportó </w:t>
      </w:r>
      <w:r w:rsidRPr="00AE7A5A">
        <w:rPr>
          <w:color w:val="auto"/>
          <w:sz w:val="20"/>
          <w:szCs w:val="20"/>
          <w:lang w:val="es-VE"/>
        </w:rPr>
        <w:t>una ayuda de 42.625.400 dólares</w:t>
      </w:r>
      <w:r w:rsidRPr="000E43F4">
        <w:rPr>
          <w:sz w:val="20"/>
          <w:szCs w:val="20"/>
          <w:vertAlign w:val="superscript"/>
        </w:rPr>
        <w:footnoteReference w:id="521"/>
      </w:r>
      <w:r w:rsidR="000E43F4" w:rsidRPr="000E43F4">
        <w:rPr>
          <w:color w:val="auto"/>
          <w:sz w:val="20"/>
          <w:szCs w:val="20"/>
          <w:vertAlign w:val="superscript"/>
          <w:lang w:val="es-VE"/>
        </w:rPr>
        <w:t>.</w:t>
      </w:r>
      <w:r w:rsidRPr="00AE7A5A">
        <w:rPr>
          <w:color w:val="auto"/>
          <w:sz w:val="20"/>
          <w:szCs w:val="20"/>
          <w:lang w:val="es-VE"/>
        </w:rPr>
        <w:t xml:space="preserve"> Para ese </w:t>
      </w:r>
      <w:r w:rsidR="002C4227">
        <w:rPr>
          <w:color w:val="auto"/>
          <w:sz w:val="20"/>
          <w:szCs w:val="20"/>
          <w:lang w:val="es-VE"/>
        </w:rPr>
        <w:t>plan, el Gobierno de Panamá hab</w:t>
      </w:r>
      <w:r w:rsidRPr="00AE7A5A">
        <w:rPr>
          <w:color w:val="auto"/>
          <w:sz w:val="20"/>
          <w:szCs w:val="20"/>
          <w:lang w:val="es-VE"/>
        </w:rPr>
        <w:t>ía aportado una suma complementaria de 3.283.000 dólares</w:t>
      </w:r>
      <w:r w:rsidR="002C4227">
        <w:rPr>
          <w:color w:val="auto"/>
          <w:sz w:val="20"/>
          <w:szCs w:val="20"/>
          <w:lang w:val="es-VE"/>
        </w:rPr>
        <w:t xml:space="preserve">. </w:t>
      </w:r>
      <w:r w:rsidRPr="00AE7A5A">
        <w:rPr>
          <w:color w:val="auto"/>
          <w:sz w:val="20"/>
          <w:szCs w:val="20"/>
          <w:lang w:val="es-VE"/>
        </w:rPr>
        <w:t xml:space="preserve"> </w:t>
      </w:r>
      <w:r w:rsidR="002C4227">
        <w:rPr>
          <w:color w:val="auto"/>
          <w:sz w:val="20"/>
          <w:szCs w:val="20"/>
          <w:lang w:val="es-VE"/>
        </w:rPr>
        <w:t>P</w:t>
      </w:r>
      <w:r w:rsidRPr="00AE7A5A">
        <w:rPr>
          <w:color w:val="auto"/>
          <w:sz w:val="20"/>
          <w:szCs w:val="20"/>
          <w:lang w:val="es-VE"/>
        </w:rPr>
        <w:t>or su parte, la AID hab</w:t>
      </w:r>
      <w:r w:rsidR="002C4227">
        <w:rPr>
          <w:color w:val="auto"/>
          <w:sz w:val="20"/>
          <w:szCs w:val="20"/>
          <w:lang w:val="es-VE"/>
        </w:rPr>
        <w:t>ía utilizado sus fondos, en</w:t>
      </w:r>
      <w:r w:rsidRPr="00AE7A5A">
        <w:rPr>
          <w:color w:val="auto"/>
          <w:sz w:val="20"/>
          <w:szCs w:val="20"/>
          <w:lang w:val="es-VE"/>
        </w:rPr>
        <w:t xml:space="preserve"> un valor de 1,9 millones de dólares</w:t>
      </w:r>
      <w:r w:rsidR="002C4227">
        <w:rPr>
          <w:color w:val="auto"/>
          <w:sz w:val="20"/>
          <w:szCs w:val="20"/>
          <w:lang w:val="es-VE"/>
        </w:rPr>
        <w:t>,</w:t>
      </w:r>
      <w:r w:rsidRPr="00AE7A5A">
        <w:rPr>
          <w:color w:val="auto"/>
          <w:sz w:val="20"/>
          <w:szCs w:val="20"/>
          <w:lang w:val="es-VE"/>
        </w:rPr>
        <w:t xml:space="preserve"> para los trabajos de mantenimiento del campamento Albrook y otros campamentos</w:t>
      </w:r>
      <w:r w:rsidRPr="00AE7A5A">
        <w:rPr>
          <w:rStyle w:val="FootnoteReference"/>
          <w:color w:val="auto"/>
          <w:sz w:val="20"/>
          <w:szCs w:val="20"/>
          <w:lang w:val="es-VE"/>
        </w:rPr>
        <w:footnoteReference w:id="522"/>
      </w:r>
      <w:r w:rsidRPr="00AE7A5A">
        <w:rPr>
          <w:color w:val="auto"/>
          <w:sz w:val="20"/>
          <w:szCs w:val="20"/>
          <w:lang w:val="es-VE"/>
        </w:rPr>
        <w:t xml:space="preserve">. No obstante, el Comité DESC </w:t>
      </w:r>
      <w:r w:rsidRPr="009712EB">
        <w:rPr>
          <w:sz w:val="20"/>
          <w:szCs w:val="20"/>
          <w:lang w:val="es-VE"/>
        </w:rPr>
        <w:t>no pudo determinar si la suma total asignada fue realmente distribuida en su integralidad, y</w:t>
      </w:r>
      <w:r w:rsidR="002C4227">
        <w:rPr>
          <w:sz w:val="20"/>
          <w:szCs w:val="20"/>
          <w:lang w:val="es-VE"/>
        </w:rPr>
        <w:t>, si</w:t>
      </w:r>
      <w:r w:rsidR="00705F9D">
        <w:rPr>
          <w:sz w:val="20"/>
          <w:szCs w:val="20"/>
          <w:lang w:val="es-VE"/>
        </w:rPr>
        <w:t xml:space="preserve"> lo fue,</w:t>
      </w:r>
      <w:r w:rsidRPr="009712EB">
        <w:rPr>
          <w:sz w:val="20"/>
          <w:szCs w:val="20"/>
          <w:lang w:val="es-VE"/>
        </w:rPr>
        <w:t xml:space="preserve"> </w:t>
      </w:r>
      <w:r w:rsidR="00705F9D">
        <w:rPr>
          <w:sz w:val="20"/>
          <w:szCs w:val="20"/>
          <w:lang w:val="es-VE"/>
        </w:rPr>
        <w:t xml:space="preserve">bajo </w:t>
      </w:r>
      <w:r w:rsidRPr="009712EB">
        <w:rPr>
          <w:sz w:val="20"/>
          <w:szCs w:val="20"/>
          <w:lang w:val="es-VE"/>
        </w:rPr>
        <w:t xml:space="preserve">qué </w:t>
      </w:r>
      <w:r w:rsidR="005F4DC5" w:rsidRPr="009712EB">
        <w:rPr>
          <w:sz w:val="20"/>
          <w:szCs w:val="20"/>
          <w:lang w:val="es-VE"/>
        </w:rPr>
        <w:t>condiciones</w:t>
      </w:r>
      <w:r w:rsidRPr="009712EB">
        <w:rPr>
          <w:rStyle w:val="FootnoteReference"/>
          <w:sz w:val="20"/>
          <w:szCs w:val="20"/>
          <w:lang w:val="es-VE"/>
        </w:rPr>
        <w:footnoteReference w:id="523"/>
      </w:r>
      <w:r w:rsidRPr="009712EB">
        <w:rPr>
          <w:sz w:val="20"/>
          <w:szCs w:val="20"/>
          <w:lang w:val="es-VE"/>
        </w:rPr>
        <w:t>.</w:t>
      </w:r>
      <w:r w:rsidR="00FC6B48">
        <w:rPr>
          <w:sz w:val="20"/>
          <w:szCs w:val="20"/>
          <w:lang w:val="es-VE"/>
        </w:rPr>
        <w:t xml:space="preserve"> El gobierno de los Estados Unidos en sus observaciones</w:t>
      </w:r>
      <w:r w:rsidR="00705F9D">
        <w:rPr>
          <w:sz w:val="20"/>
          <w:szCs w:val="20"/>
          <w:lang w:val="es-VE"/>
        </w:rPr>
        <w:t xml:space="preserve"> sobre el caso, enfatizó </w:t>
      </w:r>
      <w:r w:rsidR="00FC6B48">
        <w:rPr>
          <w:sz w:val="20"/>
          <w:szCs w:val="20"/>
          <w:lang w:val="es-VE"/>
        </w:rPr>
        <w:t xml:space="preserve">sus esfuerzos de entregar paquetes de ayuda a Panamá. No indica haber pagado reparaciones económicas como tales y sostiene que no tiene la obligación de pagar </w:t>
      </w:r>
      <w:r w:rsidR="00705F9D">
        <w:rPr>
          <w:sz w:val="20"/>
          <w:szCs w:val="20"/>
          <w:lang w:val="es-VE"/>
        </w:rPr>
        <w:t xml:space="preserve">tales </w:t>
      </w:r>
      <w:r w:rsidR="00FC6B48">
        <w:rPr>
          <w:sz w:val="20"/>
          <w:szCs w:val="20"/>
          <w:lang w:val="es-VE"/>
        </w:rPr>
        <w:t xml:space="preserve">reparaciones. </w:t>
      </w:r>
    </w:p>
    <w:p w:rsidR="005F4DC5" w:rsidRPr="009712EB" w:rsidRDefault="005F4DC5" w:rsidP="00AE7A5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 xml:space="preserve">Conforme a la información disponible, </w:t>
      </w:r>
      <w:r w:rsidRPr="009712EB">
        <w:rPr>
          <w:sz w:val="20"/>
          <w:szCs w:val="20"/>
          <w:lang w:val="es-VE"/>
        </w:rPr>
        <w:t>varias víctimas buscaron obtener una indemnización por parte del Comando Sur u otras autoridades locales y nacionales sin tener resultados</w:t>
      </w:r>
      <w:r w:rsidRPr="009712EB">
        <w:rPr>
          <w:rStyle w:val="FootnoteReference"/>
          <w:sz w:val="20"/>
          <w:szCs w:val="20"/>
          <w:lang w:val="es-VE"/>
        </w:rPr>
        <w:footnoteReference w:id="524"/>
      </w:r>
      <w:r w:rsidRPr="009712EB">
        <w:rPr>
          <w:sz w:val="20"/>
          <w:szCs w:val="20"/>
          <w:lang w:val="es-VE"/>
        </w:rPr>
        <w:t>. En este sentido solo un peticionario reconoce haber recibido una vivienda, sin embargo, mantuvo que, debido a la pérdida de su negocio, esta vivienda no era una indemnización suficiente</w:t>
      </w:r>
      <w:r w:rsidRPr="009712EB">
        <w:rPr>
          <w:rStyle w:val="FootnoteReference"/>
          <w:sz w:val="20"/>
          <w:szCs w:val="20"/>
          <w:lang w:val="es-VE"/>
        </w:rPr>
        <w:footnoteReference w:id="525"/>
      </w:r>
      <w:r w:rsidRPr="009712EB">
        <w:rPr>
          <w:sz w:val="20"/>
          <w:szCs w:val="20"/>
          <w:lang w:val="es-VE"/>
        </w:rPr>
        <w:t xml:space="preserve">. </w:t>
      </w:r>
    </w:p>
    <w:p w:rsidR="0024374D" w:rsidRPr="009712EB" w:rsidRDefault="0024374D" w:rsidP="00AE7A5A">
      <w:pPr>
        <w:pStyle w:val="ListParagraph"/>
        <w:ind w:left="0" w:firstLine="720"/>
        <w:rPr>
          <w:sz w:val="20"/>
          <w:szCs w:val="20"/>
          <w:lang w:val="es-VE"/>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VE"/>
        </w:rPr>
        <w:t xml:space="preserve">A continuación la Comisión </w:t>
      </w:r>
      <w:r w:rsidR="00705F9D">
        <w:rPr>
          <w:sz w:val="20"/>
          <w:szCs w:val="20"/>
          <w:lang w:val="es-VE"/>
        </w:rPr>
        <w:t xml:space="preserve">resume </w:t>
      </w:r>
      <w:r w:rsidR="0024374D" w:rsidRPr="009712EB">
        <w:rPr>
          <w:sz w:val="20"/>
          <w:szCs w:val="20"/>
          <w:lang w:val="es-CO"/>
        </w:rPr>
        <w:t xml:space="preserve">la información disponible respecto </w:t>
      </w:r>
      <w:r w:rsidR="00705F9D">
        <w:rPr>
          <w:sz w:val="20"/>
          <w:szCs w:val="20"/>
          <w:lang w:val="es-CO"/>
        </w:rPr>
        <w:t xml:space="preserve">a la situación de </w:t>
      </w:r>
      <w:r w:rsidR="0024374D" w:rsidRPr="009712EB">
        <w:rPr>
          <w:sz w:val="20"/>
          <w:szCs w:val="20"/>
          <w:lang w:val="es-CO"/>
        </w:rPr>
        <w:t xml:space="preserve">las personas que </w:t>
      </w:r>
      <w:r w:rsidR="00705F9D">
        <w:rPr>
          <w:sz w:val="20"/>
          <w:szCs w:val="20"/>
          <w:lang w:val="es-CO"/>
        </w:rPr>
        <w:t xml:space="preserve">fueron </w:t>
      </w:r>
      <w:r w:rsidR="00705F9D">
        <w:rPr>
          <w:sz w:val="20"/>
          <w:szCs w:val="20"/>
          <w:lang w:val="es-VE"/>
        </w:rPr>
        <w:t xml:space="preserve">afectadas por una violación a su </w:t>
      </w:r>
      <w:r w:rsidR="0024374D" w:rsidRPr="009712EB">
        <w:rPr>
          <w:sz w:val="20"/>
          <w:szCs w:val="20"/>
          <w:lang w:val="es-VE"/>
        </w:rPr>
        <w:t xml:space="preserve">derecho a la </w:t>
      </w:r>
      <w:r w:rsidRPr="009712EB">
        <w:rPr>
          <w:sz w:val="20"/>
          <w:szCs w:val="20"/>
          <w:lang w:val="es-VE"/>
        </w:rPr>
        <w:t>propiedad</w:t>
      </w:r>
      <w:r w:rsidR="00705F9D">
        <w:rPr>
          <w:sz w:val="20"/>
          <w:szCs w:val="20"/>
          <w:lang w:val="es-VE"/>
        </w:rPr>
        <w:t>,</w:t>
      </w:r>
      <w:r w:rsidRPr="009712EB">
        <w:rPr>
          <w:sz w:val="20"/>
          <w:szCs w:val="20"/>
          <w:lang w:val="es-VE"/>
        </w:rPr>
        <w:t xml:space="preserve"> </w:t>
      </w:r>
      <w:r w:rsidR="0024374D" w:rsidRPr="009712EB">
        <w:rPr>
          <w:sz w:val="20"/>
          <w:szCs w:val="20"/>
          <w:lang w:val="es-CO"/>
        </w:rPr>
        <w:t>a la luz de las declaraciones exhibidas</w:t>
      </w:r>
      <w:r w:rsidR="0024374D" w:rsidRPr="009712EB">
        <w:rPr>
          <w:sz w:val="20"/>
          <w:szCs w:val="20"/>
          <w:lang w:val="es-VE"/>
        </w:rPr>
        <w:t xml:space="preserve">, agrupadas </w:t>
      </w:r>
      <w:r w:rsidR="0009739F" w:rsidRPr="009712EB">
        <w:rPr>
          <w:sz w:val="20"/>
          <w:szCs w:val="20"/>
          <w:lang w:val="es-VE"/>
        </w:rPr>
        <w:t xml:space="preserve">en </w:t>
      </w:r>
      <w:r w:rsidR="0024374D" w:rsidRPr="009712EB">
        <w:rPr>
          <w:sz w:val="20"/>
          <w:szCs w:val="20"/>
          <w:lang w:val="es-VE"/>
        </w:rPr>
        <w:t>relación</w:t>
      </w:r>
      <w:r w:rsidRPr="009712EB">
        <w:rPr>
          <w:sz w:val="20"/>
          <w:szCs w:val="20"/>
          <w:lang w:val="es-VE"/>
        </w:rPr>
        <w:t xml:space="preserve"> </w:t>
      </w:r>
      <w:r w:rsidR="0024374D" w:rsidRPr="009712EB">
        <w:rPr>
          <w:sz w:val="20"/>
          <w:szCs w:val="20"/>
          <w:lang w:val="es-VE"/>
        </w:rPr>
        <w:t>a las</w:t>
      </w:r>
      <w:r w:rsidRPr="009712EB">
        <w:rPr>
          <w:sz w:val="20"/>
          <w:szCs w:val="20"/>
          <w:lang w:val="es-VE"/>
        </w:rPr>
        <w:t xml:space="preserve"> localidades de la ciudad de Colón y en distintas zonas de la ciudad de </w:t>
      </w:r>
      <w:r w:rsidRPr="009712EB">
        <w:rPr>
          <w:sz w:val="20"/>
          <w:szCs w:val="20"/>
          <w:lang w:val="es-VE"/>
        </w:rPr>
        <w:lastRenderedPageBreak/>
        <w:t xml:space="preserve">Panamá. Sin perjuicio de haber experimentado otras vulneraciones, determinadas víctimas describen afectaciones </w:t>
      </w:r>
      <w:r w:rsidR="00705F9D">
        <w:rPr>
          <w:sz w:val="20"/>
          <w:szCs w:val="20"/>
          <w:lang w:val="es-VE"/>
        </w:rPr>
        <w:t>a sus b</w:t>
      </w:r>
      <w:r w:rsidRPr="009712EB">
        <w:rPr>
          <w:sz w:val="20"/>
          <w:szCs w:val="20"/>
          <w:lang w:val="es-VE"/>
        </w:rPr>
        <w:t>ienes a raíz del uso o del impacto de explosivos en sus residencias, como morteros o bombas, el 20 de diciembre de 1989 en distintas zonas de Ciudad de Panamá, entre ellas Viejo Veranillo</w:t>
      </w:r>
      <w:r w:rsidRPr="009712EB">
        <w:rPr>
          <w:rStyle w:val="FootnoteReference"/>
          <w:sz w:val="20"/>
          <w:szCs w:val="20"/>
          <w:lang w:val="es-VE"/>
        </w:rPr>
        <w:footnoteReference w:id="526"/>
      </w:r>
      <w:r w:rsidRPr="009712EB">
        <w:rPr>
          <w:sz w:val="20"/>
          <w:szCs w:val="20"/>
          <w:lang w:val="es-VE"/>
        </w:rPr>
        <w:t>, el área conocida como Los Andes</w:t>
      </w:r>
      <w:r w:rsidRPr="009712EB">
        <w:rPr>
          <w:rStyle w:val="FootnoteReference"/>
          <w:sz w:val="20"/>
          <w:szCs w:val="20"/>
          <w:lang w:val="es-VE"/>
        </w:rPr>
        <w:footnoteReference w:id="527"/>
      </w:r>
      <w:r w:rsidRPr="009712EB">
        <w:rPr>
          <w:sz w:val="20"/>
          <w:szCs w:val="20"/>
          <w:lang w:val="es-VE"/>
        </w:rPr>
        <w:t>, y San Miguelito</w:t>
      </w:r>
      <w:r w:rsidRPr="009712EB">
        <w:rPr>
          <w:rStyle w:val="FootnoteReference"/>
          <w:sz w:val="20"/>
          <w:szCs w:val="20"/>
          <w:lang w:val="es-VE"/>
        </w:rPr>
        <w:footnoteReference w:id="528"/>
      </w:r>
      <w:r w:rsidRPr="009712EB">
        <w:rPr>
          <w:sz w:val="20"/>
          <w:szCs w:val="20"/>
          <w:lang w:val="es-VE"/>
        </w:rPr>
        <w:t xml:space="preserve">. </w:t>
      </w:r>
    </w:p>
    <w:p w:rsidR="0024374D" w:rsidRPr="009712EB" w:rsidRDefault="0024374D" w:rsidP="00AE7A5A">
      <w:pPr>
        <w:pStyle w:val="ListParagraph"/>
        <w:ind w:left="0" w:firstLine="720"/>
        <w:rPr>
          <w:sz w:val="20"/>
          <w:szCs w:val="20"/>
          <w:lang w:val="es-CO"/>
        </w:rPr>
      </w:pPr>
    </w:p>
    <w:p w:rsidR="00A12EEB" w:rsidRPr="009712EB" w:rsidRDefault="0024374D" w:rsidP="00705F9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 xml:space="preserve">En </w:t>
      </w:r>
      <w:r w:rsidR="00705F9D">
        <w:rPr>
          <w:sz w:val="20"/>
          <w:szCs w:val="20"/>
          <w:lang w:val="es-CO"/>
        </w:rPr>
        <w:t>particular, la Comisión ha verificado</w:t>
      </w:r>
      <w:r w:rsidRPr="009712EB">
        <w:rPr>
          <w:sz w:val="20"/>
          <w:szCs w:val="20"/>
          <w:lang w:val="es-CO"/>
        </w:rPr>
        <w:t xml:space="preserve"> que</w:t>
      </w:r>
      <w:r w:rsidR="00705F9D">
        <w:rPr>
          <w:sz w:val="20"/>
          <w:szCs w:val="20"/>
          <w:lang w:val="es-CO"/>
        </w:rPr>
        <w:t>,</w:t>
      </w:r>
      <w:r w:rsidRPr="009712EB">
        <w:rPr>
          <w:sz w:val="20"/>
          <w:szCs w:val="20"/>
          <w:lang w:val="es-CO"/>
        </w:rPr>
        <w:t xml:space="preserve"> de las 272 peticiones </w:t>
      </w:r>
      <w:r w:rsidR="00705F9D">
        <w:rPr>
          <w:sz w:val="20"/>
          <w:szCs w:val="20"/>
          <w:lang w:val="es-CO"/>
        </w:rPr>
        <w:t>que conforman el presente caso</w:t>
      </w:r>
      <w:r w:rsidRPr="009712EB">
        <w:rPr>
          <w:sz w:val="20"/>
          <w:szCs w:val="20"/>
          <w:lang w:val="es-CO"/>
        </w:rPr>
        <w:t xml:space="preserve">, </w:t>
      </w:r>
      <w:r w:rsidR="00A12EEB" w:rsidRPr="009712EB">
        <w:rPr>
          <w:sz w:val="20"/>
          <w:szCs w:val="20"/>
          <w:lang w:val="es-CO"/>
        </w:rPr>
        <w:t>152</w:t>
      </w:r>
      <w:r w:rsidRPr="009712EB">
        <w:rPr>
          <w:sz w:val="20"/>
          <w:szCs w:val="20"/>
          <w:lang w:val="es-CO"/>
        </w:rPr>
        <w:t xml:space="preserve"> </w:t>
      </w:r>
      <w:r w:rsidR="00705F9D">
        <w:rPr>
          <w:sz w:val="20"/>
          <w:szCs w:val="20"/>
          <w:lang w:val="es-CO"/>
        </w:rPr>
        <w:t xml:space="preserve">involucran personas que </w:t>
      </w:r>
      <w:r w:rsidR="006D72EB" w:rsidRPr="009712EB">
        <w:rPr>
          <w:sz w:val="20"/>
          <w:szCs w:val="20"/>
          <w:lang w:val="es-CO"/>
        </w:rPr>
        <w:t>alegan haber sufrido alguna vulneración a su derecho de propiedad.</w:t>
      </w:r>
      <w:r w:rsidR="00537BDB">
        <w:rPr>
          <w:sz w:val="20"/>
          <w:szCs w:val="20"/>
          <w:lang w:val="es-CO"/>
        </w:rPr>
        <w:t xml:space="preserve"> </w:t>
      </w:r>
      <w:r w:rsidR="00705F9D" w:rsidRPr="00705F9D">
        <w:rPr>
          <w:sz w:val="20"/>
          <w:szCs w:val="20"/>
          <w:lang w:val="es-CO"/>
        </w:rPr>
        <w:t>Al mismo tiempo, la Comisión observa que la cuestión del impacto económico no se limita a estas 152 peticiones. En cada una de las 272 peticio</w:t>
      </w:r>
      <w:r w:rsidR="002F4E26">
        <w:rPr>
          <w:sz w:val="20"/>
          <w:szCs w:val="20"/>
          <w:lang w:val="es-CO"/>
        </w:rPr>
        <w:t>nes hay referencias a hechos y afectaciones</w:t>
      </w:r>
      <w:r w:rsidR="00705F9D" w:rsidRPr="00705F9D">
        <w:rPr>
          <w:sz w:val="20"/>
          <w:szCs w:val="20"/>
          <w:lang w:val="es-CO"/>
        </w:rPr>
        <w:t>, incluso debido a la muerte de víctimas o familiares, o de lesiones graves, que necesariamente involucran un componente económico.</w:t>
      </w:r>
      <w:r w:rsidR="00FC6B48">
        <w:rPr>
          <w:sz w:val="20"/>
          <w:szCs w:val="20"/>
          <w:lang w:val="es-CO"/>
        </w:rPr>
        <w:t xml:space="preserve"> </w:t>
      </w:r>
    </w:p>
    <w:p w:rsidR="00A12EEB" w:rsidRPr="009712EB" w:rsidRDefault="00A12EEB" w:rsidP="009712EB">
      <w:pPr>
        <w:pStyle w:val="ListParagraph"/>
        <w:rPr>
          <w:b/>
          <w:sz w:val="20"/>
          <w:szCs w:val="20"/>
          <w:lang w:val="es-CO"/>
        </w:rPr>
      </w:pPr>
    </w:p>
    <w:p w:rsidR="00A062F9" w:rsidRPr="009712EB" w:rsidRDefault="00A062F9" w:rsidP="005950B0">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9712EB">
        <w:rPr>
          <w:b/>
          <w:sz w:val="20"/>
          <w:szCs w:val="20"/>
        </w:rPr>
        <w:t xml:space="preserve">Barriada El Chorrillo </w:t>
      </w:r>
    </w:p>
    <w:p w:rsidR="005F4DC5" w:rsidRPr="009712EB"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590"/>
        <w:jc w:val="both"/>
        <w:rPr>
          <w:b/>
          <w:sz w:val="20"/>
          <w:szCs w:val="20"/>
        </w:rPr>
      </w:pPr>
    </w:p>
    <w:p w:rsidR="00A062F9" w:rsidRPr="009712EB" w:rsidRDefault="002F4E26"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Pr>
          <w:sz w:val="20"/>
          <w:szCs w:val="20"/>
          <w:lang w:val="es-CO"/>
        </w:rPr>
        <w:t>En primer lugar</w:t>
      </w:r>
      <w:r w:rsidR="00A062F9" w:rsidRPr="009712EB">
        <w:rPr>
          <w:sz w:val="20"/>
          <w:szCs w:val="20"/>
          <w:lang w:val="es-CO"/>
        </w:rPr>
        <w:t xml:space="preserve">, es importante destacar los pronunciamientos de la CIDH y </w:t>
      </w:r>
      <w:r>
        <w:rPr>
          <w:sz w:val="20"/>
          <w:szCs w:val="20"/>
          <w:lang w:val="es-CO"/>
        </w:rPr>
        <w:t>d</w:t>
      </w:r>
      <w:r w:rsidR="00A062F9" w:rsidRPr="009712EB">
        <w:rPr>
          <w:sz w:val="20"/>
          <w:szCs w:val="20"/>
          <w:lang w:val="es-CO"/>
        </w:rPr>
        <w:t xml:space="preserve">el Comité de Derechos Económicos, Sociales y Culturales </w:t>
      </w:r>
      <w:r>
        <w:rPr>
          <w:sz w:val="20"/>
          <w:szCs w:val="20"/>
          <w:lang w:val="es-CO"/>
        </w:rPr>
        <w:t xml:space="preserve">de las Naciones Unidas </w:t>
      </w:r>
      <w:r w:rsidR="00A062F9" w:rsidRPr="009712EB">
        <w:rPr>
          <w:sz w:val="20"/>
          <w:szCs w:val="20"/>
          <w:lang w:val="es-CO"/>
        </w:rPr>
        <w:t>en relación a la barriada de El Chorrillo como</w:t>
      </w:r>
      <w:r>
        <w:rPr>
          <w:sz w:val="20"/>
          <w:szCs w:val="20"/>
          <w:lang w:val="es-CO"/>
        </w:rPr>
        <w:t xml:space="preserve"> una de las áreas que sufrió el </w:t>
      </w:r>
      <w:r w:rsidR="00A062F9" w:rsidRPr="009712EB">
        <w:rPr>
          <w:sz w:val="20"/>
          <w:szCs w:val="20"/>
          <w:lang w:val="es-CO"/>
        </w:rPr>
        <w:t xml:space="preserve">mayor </w:t>
      </w:r>
      <w:r>
        <w:rPr>
          <w:sz w:val="20"/>
          <w:szCs w:val="20"/>
          <w:lang w:val="es-CO"/>
        </w:rPr>
        <w:t>impacto y daños a largo plazo</w:t>
      </w:r>
      <w:r w:rsidR="00A062F9" w:rsidRPr="009712EB">
        <w:rPr>
          <w:sz w:val="20"/>
          <w:szCs w:val="20"/>
          <w:lang w:val="es-CO"/>
        </w:rPr>
        <w:t xml:space="preserve"> durante la operación militar. </w:t>
      </w:r>
    </w:p>
    <w:p w:rsidR="005F4DC5" w:rsidRPr="009712EB" w:rsidRDefault="005F4DC5" w:rsidP="002F1C1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2F1C15"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CO"/>
        </w:rPr>
      </w:pPr>
      <w:r w:rsidRPr="009712EB">
        <w:rPr>
          <w:sz w:val="20"/>
          <w:szCs w:val="20"/>
          <w:lang w:val="es-CO"/>
        </w:rPr>
        <w:t xml:space="preserve">En este respecto la Comisión Interamericana especificó como, aun cuando hubo damnificados en distintas regiones del país, especialmente en el área de Colón, “las denuncias e información </w:t>
      </w:r>
      <w:r w:rsidRPr="002F1C15">
        <w:rPr>
          <w:color w:val="auto"/>
          <w:sz w:val="20"/>
          <w:szCs w:val="20"/>
          <w:lang w:val="es-CO"/>
        </w:rPr>
        <w:t xml:space="preserve">recibida indican como </w:t>
      </w:r>
      <w:r w:rsidR="00FB10E2" w:rsidRPr="002F1C15">
        <w:rPr>
          <w:color w:val="auto"/>
          <w:sz w:val="20"/>
          <w:szCs w:val="20"/>
          <w:lang w:val="es-CO"/>
        </w:rPr>
        <w:t xml:space="preserve">el </w:t>
      </w:r>
      <w:r w:rsidRPr="002F1C15">
        <w:rPr>
          <w:color w:val="auto"/>
          <w:sz w:val="20"/>
          <w:szCs w:val="20"/>
          <w:lang w:val="es-CO"/>
        </w:rPr>
        <w:t>área principal de destrucción la que rodeaba al Cuartel General de las Fuerzas de Defensa en el barrio del Chorrillo en la Ciudad de Panamá”</w:t>
      </w:r>
      <w:r w:rsidRPr="002F1C15">
        <w:rPr>
          <w:rStyle w:val="FootnoteReference"/>
          <w:color w:val="auto"/>
          <w:sz w:val="20"/>
          <w:szCs w:val="20"/>
        </w:rPr>
        <w:footnoteReference w:id="529"/>
      </w:r>
      <w:r w:rsidRPr="002F1C15">
        <w:rPr>
          <w:color w:val="auto"/>
          <w:sz w:val="20"/>
          <w:szCs w:val="20"/>
          <w:lang w:val="es-CO"/>
        </w:rPr>
        <w:t xml:space="preserve">.  </w:t>
      </w:r>
    </w:p>
    <w:p w:rsidR="005F4DC5" w:rsidRPr="002F1C15" w:rsidRDefault="005F4DC5" w:rsidP="002F1C1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CO"/>
        </w:rPr>
      </w:pPr>
    </w:p>
    <w:p w:rsidR="00A062F9" w:rsidRPr="002F1C15" w:rsidRDefault="00A45A9A"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VE"/>
        </w:rPr>
      </w:pPr>
      <w:r>
        <w:rPr>
          <w:color w:val="auto"/>
          <w:sz w:val="20"/>
          <w:szCs w:val="20"/>
          <w:lang w:val="es-CO"/>
        </w:rPr>
        <w:t>En cuanto al</w:t>
      </w:r>
      <w:r w:rsidR="002F4E26">
        <w:rPr>
          <w:color w:val="auto"/>
          <w:sz w:val="20"/>
          <w:szCs w:val="20"/>
          <w:lang w:val="es-CO"/>
        </w:rPr>
        <w:t xml:space="preserve"> Comité DESC, </w:t>
      </w:r>
      <w:r w:rsidR="00537BDB" w:rsidRPr="002F1C15">
        <w:rPr>
          <w:color w:val="auto"/>
          <w:sz w:val="20"/>
          <w:szCs w:val="20"/>
          <w:lang w:val="es-CO"/>
        </w:rPr>
        <w:t xml:space="preserve">en </w:t>
      </w:r>
      <w:r>
        <w:rPr>
          <w:color w:val="auto"/>
          <w:sz w:val="20"/>
          <w:szCs w:val="20"/>
          <w:lang w:val="es-CO"/>
        </w:rPr>
        <w:t xml:space="preserve">su </w:t>
      </w:r>
      <w:r w:rsidR="00537BDB" w:rsidRPr="002F1C15">
        <w:rPr>
          <w:color w:val="auto"/>
          <w:sz w:val="20"/>
          <w:szCs w:val="20"/>
          <w:lang w:val="es-CO"/>
        </w:rPr>
        <w:t xml:space="preserve">informe de 1995, </w:t>
      </w:r>
      <w:r>
        <w:rPr>
          <w:color w:val="auto"/>
          <w:sz w:val="20"/>
          <w:szCs w:val="20"/>
          <w:lang w:val="es-CO"/>
        </w:rPr>
        <w:t xml:space="preserve">éste tomó en cuenta </w:t>
      </w:r>
      <w:r w:rsidR="00A062F9" w:rsidRPr="002F1C15">
        <w:rPr>
          <w:color w:val="auto"/>
          <w:sz w:val="20"/>
          <w:szCs w:val="20"/>
          <w:lang w:val="es-CO"/>
        </w:rPr>
        <w:t>la destrucción total de</w:t>
      </w:r>
      <w:r w:rsidR="00A062F9" w:rsidRPr="002F1C15">
        <w:rPr>
          <w:color w:val="auto"/>
          <w:sz w:val="20"/>
          <w:szCs w:val="20"/>
          <w:lang w:val="es-VE"/>
        </w:rPr>
        <w:t xml:space="preserve"> varios inmuebles en El Chorrillo y los graves daños </w:t>
      </w:r>
      <w:r>
        <w:rPr>
          <w:color w:val="auto"/>
          <w:sz w:val="20"/>
          <w:szCs w:val="20"/>
          <w:lang w:val="es-VE"/>
        </w:rPr>
        <w:t xml:space="preserve">persistentes en otros edificios, incluyendo </w:t>
      </w:r>
      <w:r w:rsidR="00A062F9" w:rsidRPr="002F1C15">
        <w:rPr>
          <w:color w:val="auto"/>
          <w:sz w:val="20"/>
          <w:szCs w:val="20"/>
          <w:lang w:val="es-VE"/>
        </w:rPr>
        <w:t>“filtraciones de agua, mal funcionamiento de los ascensores, degradación de los servicios sanitarios, de las partes colectiva de los inmuebles, etc.”</w:t>
      </w:r>
      <w:r w:rsidR="00A062F9" w:rsidRPr="002F1C15">
        <w:rPr>
          <w:rStyle w:val="FootnoteReference"/>
          <w:color w:val="auto"/>
          <w:sz w:val="20"/>
          <w:szCs w:val="20"/>
          <w:lang w:val="es-VE"/>
        </w:rPr>
        <w:footnoteReference w:id="530"/>
      </w:r>
      <w:r w:rsidR="00A062F9" w:rsidRPr="002F1C15">
        <w:rPr>
          <w:color w:val="auto"/>
          <w:sz w:val="20"/>
          <w:szCs w:val="20"/>
          <w:lang w:val="es-VE"/>
        </w:rPr>
        <w:t xml:space="preserve">. </w:t>
      </w:r>
      <w:r>
        <w:rPr>
          <w:color w:val="auto"/>
          <w:sz w:val="20"/>
          <w:szCs w:val="20"/>
          <w:lang w:val="es-VE"/>
        </w:rPr>
        <w:t xml:space="preserve">En cuanto </w:t>
      </w:r>
      <w:r w:rsidR="00A062F9" w:rsidRPr="002F1C15">
        <w:rPr>
          <w:color w:val="auto"/>
          <w:sz w:val="20"/>
          <w:szCs w:val="20"/>
          <w:lang w:val="es-VE"/>
        </w:rPr>
        <w:t>al realojamiento de los desplazados provenientes de este barrio, como por ejemplo en la zona de Santa Eduvigis, agregó que estos además de presentar quejas sobre la lejanía de las fuentes de trabajo y de los gastos de transporte, ellos “se sienten aislados, en un barrio sin vida, aún sin terminar y en el que subsisten problemas en materia de eliminación de las aguas residuales, electricidad y comunicación”</w:t>
      </w:r>
      <w:r w:rsidR="00A062F9" w:rsidRPr="002F1C15">
        <w:rPr>
          <w:rStyle w:val="FootnoteReference"/>
          <w:color w:val="auto"/>
          <w:sz w:val="20"/>
          <w:szCs w:val="20"/>
          <w:lang w:val="es-VE"/>
        </w:rPr>
        <w:footnoteReference w:id="531"/>
      </w:r>
      <w:r w:rsidR="00A062F9" w:rsidRPr="002F1C15">
        <w:rPr>
          <w:color w:val="auto"/>
          <w:sz w:val="20"/>
          <w:szCs w:val="20"/>
          <w:lang w:val="es-VE"/>
        </w:rPr>
        <w:t xml:space="preserve">. </w:t>
      </w:r>
    </w:p>
    <w:p w:rsidR="005F4DC5" w:rsidRPr="002F1C15" w:rsidRDefault="005F4DC5" w:rsidP="002F1C1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VE"/>
        </w:rPr>
      </w:pPr>
    </w:p>
    <w:p w:rsidR="00A062F9" w:rsidRPr="002F1C15"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VE"/>
        </w:rPr>
      </w:pPr>
      <w:r w:rsidRPr="002F1C15">
        <w:rPr>
          <w:color w:val="auto"/>
          <w:sz w:val="20"/>
          <w:szCs w:val="20"/>
          <w:lang w:val="es-VE"/>
        </w:rPr>
        <w:t xml:space="preserve"> La CIDH</w:t>
      </w:r>
      <w:r w:rsidR="00A45A9A">
        <w:rPr>
          <w:color w:val="auto"/>
          <w:sz w:val="20"/>
          <w:szCs w:val="20"/>
          <w:lang w:val="es-VE"/>
        </w:rPr>
        <w:t xml:space="preserve"> ha verificado</w:t>
      </w:r>
      <w:r w:rsidRPr="002F1C15">
        <w:rPr>
          <w:color w:val="auto"/>
          <w:sz w:val="20"/>
          <w:szCs w:val="20"/>
          <w:lang w:val="es-VE"/>
        </w:rPr>
        <w:t xml:space="preserve"> que la barriada El Chorrillo formaba parte de la ciudad de Panamá y era una zona en la cual se encontraban negocios, </w:t>
      </w:r>
      <w:r w:rsidR="00A45A9A">
        <w:rPr>
          <w:color w:val="auto"/>
          <w:sz w:val="20"/>
          <w:szCs w:val="20"/>
          <w:lang w:val="es-VE"/>
        </w:rPr>
        <w:t xml:space="preserve">las </w:t>
      </w:r>
      <w:r w:rsidRPr="002F1C15">
        <w:rPr>
          <w:color w:val="auto"/>
          <w:sz w:val="20"/>
          <w:szCs w:val="20"/>
          <w:lang w:val="es-VE"/>
        </w:rPr>
        <w:t xml:space="preserve">residencias </w:t>
      </w:r>
      <w:r w:rsidR="00A45A9A">
        <w:rPr>
          <w:color w:val="auto"/>
          <w:sz w:val="20"/>
          <w:szCs w:val="20"/>
          <w:lang w:val="es-VE"/>
        </w:rPr>
        <w:t>de</w:t>
      </w:r>
      <w:r w:rsidRPr="002F1C15">
        <w:rPr>
          <w:color w:val="auto"/>
          <w:sz w:val="20"/>
          <w:szCs w:val="20"/>
          <w:lang w:val="es-VE"/>
        </w:rPr>
        <w:t xml:space="preserve"> un alto número de civiles, y el Cuartel Central de las Fuerzas de Defensa. En dicha zona, la información presentada</w:t>
      </w:r>
      <w:r w:rsidR="00A45A9A">
        <w:rPr>
          <w:color w:val="auto"/>
          <w:sz w:val="20"/>
          <w:szCs w:val="20"/>
          <w:lang w:val="es-VE"/>
        </w:rPr>
        <w:t xml:space="preserve"> en el expediente es consistente en indicar que los edificios eran predominantemente </w:t>
      </w:r>
      <w:r w:rsidRPr="002F1C15">
        <w:rPr>
          <w:color w:val="auto"/>
          <w:sz w:val="20"/>
          <w:szCs w:val="20"/>
          <w:lang w:val="es-VE"/>
        </w:rPr>
        <w:t xml:space="preserve">construcciones </w:t>
      </w:r>
      <w:r w:rsidR="00A45A9A" w:rsidRPr="002F1C15">
        <w:rPr>
          <w:color w:val="auto"/>
          <w:sz w:val="20"/>
          <w:szCs w:val="20"/>
          <w:lang w:val="es-VE"/>
        </w:rPr>
        <w:t>alzadas</w:t>
      </w:r>
      <w:r w:rsidRPr="002F1C15">
        <w:rPr>
          <w:color w:val="auto"/>
          <w:sz w:val="20"/>
          <w:szCs w:val="20"/>
          <w:lang w:val="es-VE"/>
        </w:rPr>
        <w:t xml:space="preserve"> con madera. </w:t>
      </w:r>
    </w:p>
    <w:p w:rsidR="005F4DC5" w:rsidRPr="009712EB" w:rsidRDefault="005F4DC5" w:rsidP="002F1C1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9712EB">
        <w:rPr>
          <w:sz w:val="20"/>
          <w:szCs w:val="20"/>
          <w:lang w:val="es-VE"/>
        </w:rPr>
        <w:t xml:space="preserve">Debido </w:t>
      </w:r>
      <w:r w:rsidRPr="009712EB">
        <w:rPr>
          <w:sz w:val="20"/>
          <w:szCs w:val="20"/>
          <w:lang w:val="es-CO"/>
        </w:rPr>
        <w:t>a la importancia militar del Cuartel Central de la Comandancia, la Barriada de El Chorrillo fue el escenario de fuertes enfrentamientos y bombardeos en la noche del 19 al 20 de diciembre de 1989 entre integrantes de las Fuerzas de Defensas panameñas y de las Fuerzas Armadas de los Estados Unidos. En este sentido las fuerzas armadas estadounidense</w:t>
      </w:r>
      <w:r w:rsidR="00FB10E2" w:rsidRPr="009712EB">
        <w:rPr>
          <w:sz w:val="20"/>
          <w:szCs w:val="20"/>
          <w:lang w:val="es-CO"/>
        </w:rPr>
        <w:t>s</w:t>
      </w:r>
      <w:r w:rsidRPr="009712EB">
        <w:rPr>
          <w:sz w:val="20"/>
          <w:szCs w:val="20"/>
          <w:lang w:val="es-CO"/>
        </w:rPr>
        <w:t xml:space="preserve"> hicieron uso de armas, tanquetas, helicópteros y aviones. Así como el despliegue de sol</w:t>
      </w:r>
      <w:r w:rsidR="00FB10E2" w:rsidRPr="009712EB">
        <w:rPr>
          <w:sz w:val="20"/>
          <w:szCs w:val="20"/>
          <w:lang w:val="es-CO"/>
        </w:rPr>
        <w:t>d</w:t>
      </w:r>
      <w:r w:rsidRPr="009712EB">
        <w:rPr>
          <w:sz w:val="20"/>
          <w:szCs w:val="20"/>
          <w:lang w:val="es-CO"/>
        </w:rPr>
        <w:t xml:space="preserve">ados paracaidistas y el uso de armas explosivas. El ataque generó miedo generalizado en la población civil al sorprender a un gran número en sus hogares y en su mayoría, los civiles tomaron refugio dentro de sus hogares o salieron en búsqueda de mayor protección a las vías públicas donde se estaban llevando a cabo los enfrentamientos. </w:t>
      </w:r>
    </w:p>
    <w:p w:rsidR="005F4DC5" w:rsidRPr="009712EB" w:rsidRDefault="005F4DC5" w:rsidP="002F1C1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 xml:space="preserve">A raíz de </w:t>
      </w:r>
      <w:r w:rsidR="00AD417D">
        <w:rPr>
          <w:sz w:val="20"/>
          <w:szCs w:val="20"/>
          <w:lang w:val="es-CO"/>
        </w:rPr>
        <w:t xml:space="preserve">varias </w:t>
      </w:r>
      <w:r w:rsidRPr="009712EB">
        <w:rPr>
          <w:sz w:val="20"/>
          <w:szCs w:val="20"/>
          <w:lang w:val="es-CO"/>
        </w:rPr>
        <w:t>acciones llevadas a cabo durante la noche</w:t>
      </w:r>
      <w:r w:rsidR="00AD417D">
        <w:rPr>
          <w:sz w:val="20"/>
          <w:szCs w:val="20"/>
          <w:lang w:val="es-CO"/>
        </w:rPr>
        <w:t xml:space="preserve"> del 19 y 20 de diciembre</w:t>
      </w:r>
      <w:r w:rsidRPr="009712EB">
        <w:rPr>
          <w:sz w:val="20"/>
          <w:szCs w:val="20"/>
          <w:lang w:val="es-CO"/>
        </w:rPr>
        <w:t xml:space="preserve">, se </w:t>
      </w:r>
      <w:r w:rsidR="00AD417D">
        <w:rPr>
          <w:sz w:val="20"/>
          <w:szCs w:val="20"/>
          <w:lang w:val="es-CO"/>
        </w:rPr>
        <w:t xml:space="preserve">produjo </w:t>
      </w:r>
      <w:r w:rsidRPr="009712EB">
        <w:rPr>
          <w:sz w:val="20"/>
          <w:szCs w:val="20"/>
          <w:lang w:val="es-CO"/>
        </w:rPr>
        <w:t xml:space="preserve">un incendio </w:t>
      </w:r>
      <w:r w:rsidR="00AD417D">
        <w:rPr>
          <w:sz w:val="20"/>
          <w:szCs w:val="20"/>
          <w:lang w:val="es-CO"/>
        </w:rPr>
        <w:t xml:space="preserve">de gran magnitud y </w:t>
      </w:r>
      <w:r w:rsidRPr="009712EB">
        <w:rPr>
          <w:sz w:val="20"/>
          <w:szCs w:val="20"/>
          <w:lang w:val="es-CO"/>
        </w:rPr>
        <w:t xml:space="preserve">afectó </w:t>
      </w:r>
      <w:r w:rsidR="00AD417D">
        <w:rPr>
          <w:sz w:val="20"/>
          <w:szCs w:val="20"/>
          <w:lang w:val="es-CO"/>
        </w:rPr>
        <w:t xml:space="preserve">con daños graves </w:t>
      </w:r>
      <w:r w:rsidRPr="009712EB">
        <w:rPr>
          <w:sz w:val="20"/>
          <w:szCs w:val="20"/>
          <w:lang w:val="es-CO"/>
        </w:rPr>
        <w:t>una porción significativa de las edificaciones de la zona,</w:t>
      </w:r>
      <w:r w:rsidR="00AD417D">
        <w:rPr>
          <w:sz w:val="20"/>
          <w:szCs w:val="20"/>
          <w:lang w:val="es-CO"/>
        </w:rPr>
        <w:t xml:space="preserve"> incluyendo</w:t>
      </w:r>
      <w:r w:rsidRPr="009712EB">
        <w:rPr>
          <w:sz w:val="20"/>
          <w:szCs w:val="20"/>
          <w:lang w:val="es-CO"/>
        </w:rPr>
        <w:t xml:space="preserve"> viviendas y negocios</w:t>
      </w:r>
      <w:r w:rsidR="00537BDB">
        <w:rPr>
          <w:rStyle w:val="FootnoteReference"/>
          <w:sz w:val="20"/>
          <w:szCs w:val="20"/>
          <w:lang w:val="es-CO"/>
        </w:rPr>
        <w:footnoteReference w:id="532"/>
      </w:r>
      <w:r w:rsidRPr="009712EB">
        <w:rPr>
          <w:sz w:val="20"/>
          <w:szCs w:val="20"/>
          <w:lang w:val="es-CO"/>
        </w:rPr>
        <w:t xml:space="preserve">. De igual forma </w:t>
      </w:r>
      <w:r w:rsidR="00AD417D">
        <w:rPr>
          <w:sz w:val="20"/>
          <w:szCs w:val="20"/>
          <w:lang w:val="es-CO"/>
        </w:rPr>
        <w:t xml:space="preserve">provocó </w:t>
      </w:r>
      <w:r w:rsidRPr="009712EB">
        <w:rPr>
          <w:sz w:val="20"/>
          <w:szCs w:val="20"/>
          <w:lang w:val="es-CO"/>
        </w:rPr>
        <w:t xml:space="preserve">interrupciones en el acceso a servicios públicos como agua y electricidad. </w:t>
      </w:r>
    </w:p>
    <w:p w:rsidR="005F4DC5" w:rsidRPr="009712EB" w:rsidRDefault="005F4DC5" w:rsidP="002F1C1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5D3F87">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 xml:space="preserve">El mismo 20 de diciembre y </w:t>
      </w:r>
      <w:r w:rsidR="00AD417D">
        <w:rPr>
          <w:sz w:val="20"/>
          <w:szCs w:val="20"/>
          <w:lang w:val="es-CO"/>
        </w:rPr>
        <w:t xml:space="preserve">en </w:t>
      </w:r>
      <w:r w:rsidRPr="009712EB">
        <w:rPr>
          <w:sz w:val="20"/>
          <w:szCs w:val="20"/>
          <w:lang w:val="es-CO"/>
        </w:rPr>
        <w:t xml:space="preserve">los días subsiguientes, individuos iniciaron saqueos a las viviendas y negocios </w:t>
      </w:r>
      <w:r w:rsidR="00AD417D">
        <w:rPr>
          <w:sz w:val="20"/>
          <w:szCs w:val="20"/>
          <w:lang w:val="es-CO"/>
        </w:rPr>
        <w:t xml:space="preserve">que habían sido </w:t>
      </w:r>
      <w:r w:rsidRPr="009712EB">
        <w:rPr>
          <w:sz w:val="20"/>
          <w:szCs w:val="20"/>
          <w:lang w:val="es-CO"/>
        </w:rPr>
        <w:t>desalojados</w:t>
      </w:r>
      <w:r w:rsidRPr="009712EB">
        <w:rPr>
          <w:rStyle w:val="FootnoteReference"/>
          <w:sz w:val="20"/>
          <w:szCs w:val="20"/>
        </w:rPr>
        <w:footnoteReference w:id="533"/>
      </w:r>
      <w:r w:rsidRPr="009712EB">
        <w:rPr>
          <w:sz w:val="20"/>
          <w:szCs w:val="20"/>
          <w:lang w:val="es-CO"/>
        </w:rPr>
        <w:t xml:space="preserve">. Como consecuencia, civiles perdieron </w:t>
      </w:r>
      <w:r w:rsidR="00AD417D">
        <w:rPr>
          <w:sz w:val="20"/>
          <w:szCs w:val="20"/>
          <w:lang w:val="es-CO"/>
        </w:rPr>
        <w:t xml:space="preserve">pertenencias que eran de vital </w:t>
      </w:r>
      <w:r w:rsidRPr="009712EB">
        <w:rPr>
          <w:sz w:val="20"/>
          <w:szCs w:val="20"/>
          <w:lang w:val="es-CO"/>
        </w:rPr>
        <w:t>importancia para su vida diaria</w:t>
      </w:r>
      <w:r w:rsidRPr="009712EB">
        <w:rPr>
          <w:sz w:val="20"/>
          <w:szCs w:val="20"/>
          <w:lang w:val="es-VE"/>
        </w:rPr>
        <w:t xml:space="preserve"> dentro de su residencia</w:t>
      </w:r>
      <w:r w:rsidRPr="009712EB">
        <w:rPr>
          <w:rStyle w:val="FootnoteReference"/>
          <w:sz w:val="20"/>
          <w:szCs w:val="20"/>
          <w:lang w:val="es-VE"/>
        </w:rPr>
        <w:footnoteReference w:id="534"/>
      </w:r>
      <w:r w:rsidRPr="009712EB">
        <w:rPr>
          <w:sz w:val="20"/>
          <w:szCs w:val="20"/>
          <w:lang w:val="es-CO"/>
        </w:rPr>
        <w:t xml:space="preserve">. La CIDH no cuenta con información suficiente para determinar </w:t>
      </w:r>
      <w:r w:rsidR="00AD3A64">
        <w:rPr>
          <w:sz w:val="20"/>
          <w:szCs w:val="20"/>
          <w:lang w:val="es-CO"/>
        </w:rPr>
        <w:t xml:space="preserve">si </w:t>
      </w:r>
      <w:r w:rsidR="00AD3A64" w:rsidRPr="00AD3A64">
        <w:rPr>
          <w:sz w:val="20"/>
          <w:szCs w:val="20"/>
          <w:lang w:val="es-CO"/>
        </w:rPr>
        <w:t xml:space="preserve">los miembros de las fuerzas de los Estados Unidos </w:t>
      </w:r>
      <w:r w:rsidR="005D3F87">
        <w:rPr>
          <w:sz w:val="20"/>
          <w:szCs w:val="20"/>
          <w:lang w:val="es-CO"/>
        </w:rPr>
        <w:t>participaron</w:t>
      </w:r>
      <w:r w:rsidR="00AD3A64">
        <w:rPr>
          <w:sz w:val="20"/>
          <w:szCs w:val="20"/>
          <w:lang w:val="es-CO"/>
        </w:rPr>
        <w:t xml:space="preserve"> y en qué medida</w:t>
      </w:r>
      <w:r w:rsidR="00AD3A64" w:rsidRPr="00AD3A64">
        <w:rPr>
          <w:sz w:val="20"/>
          <w:szCs w:val="20"/>
          <w:lang w:val="es-CO"/>
        </w:rPr>
        <w:t xml:space="preserve"> pudieron haber participado en los saqueos</w:t>
      </w:r>
      <w:r w:rsidR="005D3F87">
        <w:rPr>
          <w:sz w:val="20"/>
          <w:szCs w:val="20"/>
          <w:lang w:val="es-CO"/>
        </w:rPr>
        <w:t xml:space="preserve">. </w:t>
      </w:r>
      <w:r w:rsidR="005D3F87" w:rsidRPr="005D3F87">
        <w:rPr>
          <w:sz w:val="20"/>
          <w:szCs w:val="20"/>
          <w:lang w:val="es-CO"/>
        </w:rPr>
        <w:t xml:space="preserve">La Comisión </w:t>
      </w:r>
      <w:r w:rsidR="005D3F87">
        <w:rPr>
          <w:sz w:val="20"/>
          <w:szCs w:val="20"/>
          <w:lang w:val="es-CO"/>
        </w:rPr>
        <w:t>toma</w:t>
      </w:r>
      <w:r w:rsidR="005D3F87" w:rsidRPr="005D3F87">
        <w:rPr>
          <w:sz w:val="20"/>
          <w:szCs w:val="20"/>
          <w:lang w:val="es-CO"/>
        </w:rPr>
        <w:t xml:space="preserve"> </w:t>
      </w:r>
      <w:r w:rsidR="005D3F87">
        <w:rPr>
          <w:sz w:val="20"/>
          <w:szCs w:val="20"/>
          <w:lang w:val="es-CO"/>
        </w:rPr>
        <w:t xml:space="preserve">plenamente </w:t>
      </w:r>
      <w:r w:rsidR="005D3F87" w:rsidRPr="005D3F87">
        <w:rPr>
          <w:sz w:val="20"/>
          <w:szCs w:val="20"/>
          <w:lang w:val="es-CO"/>
        </w:rPr>
        <w:t xml:space="preserve">en cuenta el número de denuncias que indican con cierta coherencia que las fuerzas estadounidenses no tomaron </w:t>
      </w:r>
      <w:r w:rsidR="00175298">
        <w:rPr>
          <w:sz w:val="20"/>
          <w:szCs w:val="20"/>
          <w:lang w:val="es-CO"/>
        </w:rPr>
        <w:t xml:space="preserve">las </w:t>
      </w:r>
      <w:r w:rsidR="005D3F87" w:rsidRPr="005D3F87">
        <w:rPr>
          <w:sz w:val="20"/>
          <w:szCs w:val="20"/>
          <w:lang w:val="es-CO"/>
        </w:rPr>
        <w:t>medidas s</w:t>
      </w:r>
      <w:r w:rsidR="005D3F87">
        <w:rPr>
          <w:sz w:val="20"/>
          <w:szCs w:val="20"/>
          <w:lang w:val="es-CO"/>
        </w:rPr>
        <w:t xml:space="preserve">erias o adecuadas para </w:t>
      </w:r>
      <w:r w:rsidR="00175298">
        <w:rPr>
          <w:sz w:val="20"/>
          <w:szCs w:val="20"/>
          <w:lang w:val="es-CO"/>
        </w:rPr>
        <w:t>prevenirlo</w:t>
      </w:r>
      <w:r w:rsidRPr="009712EB">
        <w:rPr>
          <w:rStyle w:val="FootnoteReference"/>
          <w:sz w:val="20"/>
          <w:szCs w:val="20"/>
        </w:rPr>
        <w:footnoteReference w:id="535"/>
      </w:r>
      <w:r w:rsidR="005F4DC5" w:rsidRPr="009712EB">
        <w:rPr>
          <w:sz w:val="20"/>
          <w:szCs w:val="20"/>
          <w:lang w:val="es-CO"/>
        </w:rPr>
        <w:t xml:space="preserve">. </w:t>
      </w:r>
    </w:p>
    <w:p w:rsidR="005F4DC5" w:rsidRPr="009712EB" w:rsidRDefault="005F4DC5" w:rsidP="002F1C1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t xml:space="preserve">Existe un número de denuncias que vinculan al Estado con “actividades de limpieza” de El Chorrillo, en las que </w:t>
      </w:r>
      <w:r w:rsidR="00175298">
        <w:rPr>
          <w:sz w:val="20"/>
          <w:szCs w:val="20"/>
          <w:lang w:val="es-CO"/>
        </w:rPr>
        <w:t xml:space="preserve">medidas fueron tomadas con el </w:t>
      </w:r>
      <w:r w:rsidRPr="009712EB">
        <w:rPr>
          <w:sz w:val="20"/>
          <w:szCs w:val="20"/>
          <w:lang w:val="es-CO"/>
        </w:rPr>
        <w:t>objetivo de derrumbar aquellas edificaciones afectadas y remover los escombros. En torno a estas descripciones</w:t>
      </w:r>
      <w:r w:rsidR="00175298">
        <w:rPr>
          <w:sz w:val="20"/>
          <w:szCs w:val="20"/>
          <w:lang w:val="es-CO"/>
        </w:rPr>
        <w:t>,</w:t>
      </w:r>
      <w:r w:rsidRPr="009712EB">
        <w:rPr>
          <w:sz w:val="20"/>
          <w:szCs w:val="20"/>
          <w:lang w:val="es-CO"/>
        </w:rPr>
        <w:t xml:space="preserve"> </w:t>
      </w:r>
      <w:r w:rsidR="00175298">
        <w:rPr>
          <w:sz w:val="20"/>
          <w:szCs w:val="20"/>
          <w:lang w:val="es-CO"/>
        </w:rPr>
        <w:t xml:space="preserve">fue denunciado que estas medidas </w:t>
      </w:r>
      <w:r w:rsidR="00031EC7">
        <w:rPr>
          <w:sz w:val="20"/>
          <w:szCs w:val="20"/>
          <w:lang w:val="es-CO"/>
        </w:rPr>
        <w:t xml:space="preserve">tenían por objeto </w:t>
      </w:r>
      <w:r w:rsidRPr="009712EB">
        <w:rPr>
          <w:sz w:val="20"/>
          <w:szCs w:val="20"/>
          <w:lang w:val="es-CO"/>
        </w:rPr>
        <w:t xml:space="preserve">destrozar y eliminar evidencias de las </w:t>
      </w:r>
      <w:r w:rsidR="00031EC7">
        <w:rPr>
          <w:sz w:val="20"/>
          <w:szCs w:val="20"/>
          <w:lang w:val="es-CO"/>
        </w:rPr>
        <w:t xml:space="preserve">acciones mortales </w:t>
      </w:r>
      <w:r w:rsidRPr="009712EB">
        <w:rPr>
          <w:sz w:val="20"/>
          <w:szCs w:val="20"/>
          <w:lang w:val="es-CO"/>
        </w:rPr>
        <w:t xml:space="preserve">de los soldados estadounidenses, así como el ocultamiento de civiles fallecidos. </w:t>
      </w:r>
    </w:p>
    <w:p w:rsidR="005F4DC5" w:rsidRPr="009712EB" w:rsidRDefault="005F4DC5" w:rsidP="002F1C1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031EC7" w:rsidP="00031EC7">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031EC7">
        <w:rPr>
          <w:sz w:val="20"/>
          <w:szCs w:val="20"/>
          <w:lang w:val="es-CO"/>
        </w:rPr>
        <w:t xml:space="preserve">La Comisión observa que la interrupción de la vida de los residentes de estas áreas específicas se vio afectada de múltiples maneras, y tiene en cuenta en particular el profundo impacto que esto </w:t>
      </w:r>
      <w:r>
        <w:rPr>
          <w:sz w:val="20"/>
          <w:szCs w:val="20"/>
          <w:lang w:val="es-CO"/>
        </w:rPr>
        <w:t>podría haber producido para las personas viviendo</w:t>
      </w:r>
      <w:r w:rsidRPr="00031EC7">
        <w:rPr>
          <w:sz w:val="20"/>
          <w:szCs w:val="20"/>
          <w:lang w:val="es-CO"/>
        </w:rPr>
        <w:t xml:space="preserve"> con recursos materiales limitados.</w:t>
      </w:r>
      <w:r>
        <w:rPr>
          <w:sz w:val="20"/>
          <w:szCs w:val="20"/>
          <w:lang w:val="es-CO"/>
        </w:rPr>
        <w:t xml:space="preserve"> En estas líneas, u</w:t>
      </w:r>
      <w:r w:rsidR="00A062F9" w:rsidRPr="009712EB">
        <w:rPr>
          <w:sz w:val="20"/>
          <w:szCs w:val="20"/>
          <w:lang w:val="es-CO"/>
        </w:rPr>
        <w:t xml:space="preserve">n número importante de </w:t>
      </w:r>
      <w:r w:rsidR="0009739F" w:rsidRPr="009712EB">
        <w:rPr>
          <w:sz w:val="20"/>
          <w:szCs w:val="20"/>
          <w:lang w:val="es-CO"/>
        </w:rPr>
        <w:t xml:space="preserve">presuntas </w:t>
      </w:r>
      <w:r w:rsidR="00A062F9" w:rsidRPr="009712EB">
        <w:rPr>
          <w:sz w:val="20"/>
          <w:szCs w:val="20"/>
          <w:lang w:val="es-CO"/>
        </w:rPr>
        <w:t xml:space="preserve">víctimas especificó en sus denuncias la pérdida de </w:t>
      </w:r>
      <w:r>
        <w:rPr>
          <w:sz w:val="20"/>
          <w:szCs w:val="20"/>
          <w:lang w:val="es-CO"/>
        </w:rPr>
        <w:t xml:space="preserve">todos sus </w:t>
      </w:r>
      <w:r w:rsidR="00A062F9" w:rsidRPr="009712EB">
        <w:rPr>
          <w:sz w:val="20"/>
          <w:szCs w:val="20"/>
          <w:lang w:val="es-CO"/>
        </w:rPr>
        <w:t xml:space="preserve">alimentos como consecuencia de la falta de electricidad por 5 días. </w:t>
      </w:r>
      <w:r>
        <w:rPr>
          <w:sz w:val="20"/>
          <w:szCs w:val="20"/>
          <w:lang w:val="es-CO"/>
        </w:rPr>
        <w:t>Ellos i</w:t>
      </w:r>
      <w:r w:rsidR="00A062F9" w:rsidRPr="009712EB">
        <w:rPr>
          <w:sz w:val="20"/>
          <w:szCs w:val="20"/>
          <w:lang w:val="es-CO"/>
        </w:rPr>
        <w:t xml:space="preserve">nsistieron </w:t>
      </w:r>
      <w:r>
        <w:rPr>
          <w:sz w:val="20"/>
          <w:szCs w:val="20"/>
          <w:lang w:val="es-CO"/>
        </w:rPr>
        <w:t xml:space="preserve">igualmente que </w:t>
      </w:r>
      <w:r w:rsidR="00534CD5">
        <w:rPr>
          <w:sz w:val="20"/>
          <w:szCs w:val="20"/>
          <w:lang w:val="es-CO"/>
        </w:rPr>
        <w:t xml:space="preserve">las actividades comerciales quedaron congeladas </w:t>
      </w:r>
      <w:r w:rsidR="00A062F9" w:rsidRPr="009712EB">
        <w:rPr>
          <w:sz w:val="20"/>
          <w:szCs w:val="20"/>
          <w:lang w:val="es-CO"/>
        </w:rPr>
        <w:t xml:space="preserve">a raíz de la </w:t>
      </w:r>
      <w:r w:rsidR="006C5BC1" w:rsidRPr="009712EB">
        <w:rPr>
          <w:sz w:val="20"/>
          <w:szCs w:val="20"/>
          <w:lang w:val="es-CO"/>
        </w:rPr>
        <w:t>ocupación</w:t>
      </w:r>
      <w:r w:rsidR="00A062F9" w:rsidRPr="009712EB">
        <w:rPr>
          <w:sz w:val="20"/>
          <w:szCs w:val="20"/>
          <w:lang w:val="es-CO"/>
        </w:rPr>
        <w:t xml:space="preserve"> militar y el control por parte del ejército estadounidense de las zonas. </w:t>
      </w:r>
    </w:p>
    <w:p w:rsidR="005F4DC5" w:rsidRPr="009712EB" w:rsidRDefault="005F4DC5" w:rsidP="002F1C1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9712EB">
        <w:rPr>
          <w:sz w:val="20"/>
          <w:szCs w:val="20"/>
          <w:lang w:val="es-VE"/>
        </w:rPr>
        <w:t xml:space="preserve">En cuanto a la destrucción total o daño parcial de hogares, determinadas </w:t>
      </w:r>
      <w:r w:rsidR="0009739F" w:rsidRPr="009712EB">
        <w:rPr>
          <w:sz w:val="20"/>
          <w:szCs w:val="20"/>
          <w:lang w:val="es-VE"/>
        </w:rPr>
        <w:t xml:space="preserve">personas </w:t>
      </w:r>
      <w:r w:rsidRPr="009712EB">
        <w:rPr>
          <w:sz w:val="20"/>
          <w:szCs w:val="20"/>
          <w:lang w:val="es-VE"/>
        </w:rPr>
        <w:t>denunciaron la destrucción de estos y de sus pertenencias a raíz de impactos de explosivos</w:t>
      </w:r>
      <w:r w:rsidRPr="009712EB">
        <w:rPr>
          <w:rStyle w:val="FootnoteReference"/>
          <w:sz w:val="20"/>
          <w:szCs w:val="20"/>
          <w:lang w:val="es-VE"/>
        </w:rPr>
        <w:footnoteReference w:id="536"/>
      </w:r>
      <w:r w:rsidRPr="009712EB">
        <w:rPr>
          <w:sz w:val="20"/>
          <w:szCs w:val="20"/>
          <w:lang w:val="es-VE"/>
        </w:rPr>
        <w:t>, por el impacto de balas</w:t>
      </w:r>
      <w:r w:rsidRPr="009712EB">
        <w:rPr>
          <w:rStyle w:val="FootnoteReference"/>
          <w:sz w:val="20"/>
          <w:szCs w:val="20"/>
          <w:lang w:val="es-VE"/>
        </w:rPr>
        <w:footnoteReference w:id="537"/>
      </w:r>
      <w:r w:rsidR="00534CD5">
        <w:rPr>
          <w:sz w:val="20"/>
          <w:szCs w:val="20"/>
          <w:lang w:val="es-VE"/>
        </w:rPr>
        <w:t xml:space="preserve"> y a raíz de la propagación de </w:t>
      </w:r>
      <w:r w:rsidRPr="009712EB">
        <w:rPr>
          <w:sz w:val="20"/>
          <w:szCs w:val="20"/>
          <w:lang w:val="es-VE"/>
        </w:rPr>
        <w:t>incendio</w:t>
      </w:r>
      <w:r w:rsidR="00534CD5">
        <w:rPr>
          <w:sz w:val="20"/>
          <w:szCs w:val="20"/>
          <w:lang w:val="es-VE"/>
        </w:rPr>
        <w:t>s</w:t>
      </w:r>
      <w:r w:rsidRPr="009712EB">
        <w:rPr>
          <w:rStyle w:val="FootnoteReference"/>
          <w:sz w:val="20"/>
          <w:szCs w:val="20"/>
          <w:lang w:val="es-VE"/>
        </w:rPr>
        <w:footnoteReference w:id="538"/>
      </w:r>
      <w:r w:rsidRPr="009712EB">
        <w:rPr>
          <w:sz w:val="20"/>
          <w:szCs w:val="20"/>
          <w:lang w:val="es-VE"/>
        </w:rPr>
        <w:t xml:space="preserve">. </w:t>
      </w:r>
      <w:r w:rsidR="00534CD5">
        <w:rPr>
          <w:sz w:val="20"/>
          <w:szCs w:val="20"/>
          <w:lang w:val="es-VE"/>
        </w:rPr>
        <w:t>Al mismo tiempo</w:t>
      </w:r>
      <w:r w:rsidRPr="009712EB">
        <w:rPr>
          <w:sz w:val="20"/>
          <w:szCs w:val="20"/>
          <w:lang w:val="es-VE"/>
        </w:rPr>
        <w:t xml:space="preserve">, la CIDH </w:t>
      </w:r>
      <w:r w:rsidR="00534CD5">
        <w:rPr>
          <w:sz w:val="20"/>
          <w:szCs w:val="20"/>
          <w:lang w:val="es-VE"/>
        </w:rPr>
        <w:t xml:space="preserve">distingue de la situación a varias </w:t>
      </w:r>
      <w:r w:rsidRPr="009712EB">
        <w:rPr>
          <w:sz w:val="20"/>
          <w:szCs w:val="20"/>
          <w:lang w:val="es-VE"/>
        </w:rPr>
        <w:t>víctimas que aun cuando insisten haber perdido todos sus bienes o su vivienda, no presentan claridad en cuanto a la causa de los daños</w:t>
      </w:r>
      <w:r w:rsidRPr="009712EB">
        <w:rPr>
          <w:rStyle w:val="FootnoteReference"/>
          <w:sz w:val="20"/>
          <w:szCs w:val="20"/>
          <w:lang w:val="es-VE"/>
        </w:rPr>
        <w:footnoteReference w:id="539"/>
      </w:r>
      <w:r w:rsidRPr="009712EB">
        <w:rPr>
          <w:sz w:val="20"/>
          <w:szCs w:val="20"/>
          <w:lang w:val="es-VE"/>
        </w:rPr>
        <w:t>.</w:t>
      </w:r>
    </w:p>
    <w:p w:rsidR="005F4DC5" w:rsidRPr="009712EB" w:rsidRDefault="005F4DC5" w:rsidP="002F1C1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p>
    <w:p w:rsidR="00A062F9" w:rsidRPr="009712EB" w:rsidRDefault="00534CD5"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Pr>
          <w:sz w:val="20"/>
          <w:szCs w:val="20"/>
          <w:lang w:val="es-VE"/>
        </w:rPr>
        <w:t xml:space="preserve">Como es indicado en la siguiente sección, </w:t>
      </w:r>
      <w:r w:rsidR="00A062F9" w:rsidRPr="009712EB">
        <w:rPr>
          <w:sz w:val="20"/>
          <w:szCs w:val="20"/>
          <w:lang w:val="es-VE"/>
        </w:rPr>
        <w:t xml:space="preserve">la CIDH </w:t>
      </w:r>
      <w:r>
        <w:rPr>
          <w:sz w:val="20"/>
          <w:szCs w:val="20"/>
          <w:lang w:val="es-VE"/>
        </w:rPr>
        <w:t xml:space="preserve">ha identificado </w:t>
      </w:r>
      <w:r w:rsidR="00A062F9" w:rsidRPr="009712EB">
        <w:rPr>
          <w:sz w:val="20"/>
          <w:szCs w:val="20"/>
          <w:lang w:val="es-VE"/>
        </w:rPr>
        <w:t xml:space="preserve">que un alto número de peticiones presentadas en este caso son residentes del Complejo de Edificios Patio Pinel, ubicado en El Chorrillo.  </w:t>
      </w:r>
    </w:p>
    <w:p w:rsidR="005F4DC5" w:rsidRPr="009712EB"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VE"/>
        </w:rPr>
      </w:pPr>
    </w:p>
    <w:p w:rsidR="00D529F8" w:rsidRDefault="00D529F8">
      <w:pPr>
        <w:rPr>
          <w:rFonts w:ascii="Cambria" w:eastAsia="Cambria" w:hAnsi="Cambria" w:cs="Cambria"/>
          <w:i/>
          <w:color w:val="000000"/>
          <w:sz w:val="20"/>
          <w:szCs w:val="20"/>
          <w:u w:val="single" w:color="000000"/>
          <w:lang w:val="es-VE" w:eastAsia="es-ES"/>
        </w:rPr>
      </w:pPr>
      <w:r>
        <w:rPr>
          <w:i/>
          <w:sz w:val="20"/>
          <w:szCs w:val="20"/>
          <w:u w:val="single"/>
          <w:lang w:val="es-VE"/>
        </w:rPr>
        <w:br w:type="page"/>
      </w:r>
    </w:p>
    <w:p w:rsidR="005F4DC5" w:rsidRPr="009712EB" w:rsidRDefault="00A062F9" w:rsidP="009712EB">
      <w:pPr>
        <w:pStyle w:val="ListParagraph"/>
        <w:ind w:left="0" w:firstLine="720"/>
        <w:jc w:val="both"/>
        <w:rPr>
          <w:i/>
          <w:sz w:val="20"/>
          <w:szCs w:val="20"/>
          <w:u w:val="single"/>
          <w:lang w:val="es-VE"/>
        </w:rPr>
      </w:pPr>
      <w:r w:rsidRPr="009712EB">
        <w:rPr>
          <w:i/>
          <w:sz w:val="20"/>
          <w:szCs w:val="20"/>
          <w:u w:val="single"/>
          <w:lang w:val="es-VE"/>
        </w:rPr>
        <w:lastRenderedPageBreak/>
        <w:t>Complejo de edificios Patio Pinel</w:t>
      </w:r>
    </w:p>
    <w:p w:rsidR="005F4DC5" w:rsidRPr="009712EB" w:rsidRDefault="005F4DC5" w:rsidP="009712EB">
      <w:pPr>
        <w:pStyle w:val="ListParagraph"/>
        <w:ind w:left="0" w:firstLine="720"/>
        <w:jc w:val="both"/>
        <w:rPr>
          <w:i/>
          <w:sz w:val="20"/>
          <w:szCs w:val="20"/>
          <w:u w:val="single"/>
          <w:lang w:val="es-VE"/>
        </w:rPr>
      </w:pPr>
    </w:p>
    <w:p w:rsidR="005F4DC5"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9712EB">
        <w:rPr>
          <w:sz w:val="20"/>
          <w:szCs w:val="20"/>
          <w:lang w:val="es-VE"/>
        </w:rPr>
        <w:t>De conformidad con los relatos presentados, los residentes de estos edificios describen hechos y daños similares. En este sentido, el 20 de diciembre de 1989 los soldados estadounidenses estuvieron presentes con tanquetas, helicópteros y armas</w:t>
      </w:r>
      <w:r w:rsidRPr="009712EB">
        <w:rPr>
          <w:rStyle w:val="FootnoteReference"/>
          <w:sz w:val="20"/>
          <w:szCs w:val="20"/>
          <w:lang w:val="es-VE"/>
        </w:rPr>
        <w:footnoteReference w:id="540"/>
      </w:r>
      <w:r w:rsidRPr="009712EB">
        <w:rPr>
          <w:sz w:val="20"/>
          <w:szCs w:val="20"/>
          <w:lang w:val="es-VE"/>
        </w:rPr>
        <w:t>. Igualmente, una víctima identificó la presencia de miembros de los batallones de dignidad</w:t>
      </w:r>
      <w:r w:rsidRPr="009712EB">
        <w:rPr>
          <w:rStyle w:val="FootnoteReference"/>
          <w:sz w:val="20"/>
          <w:szCs w:val="20"/>
          <w:lang w:val="es-VE"/>
        </w:rPr>
        <w:footnoteReference w:id="541"/>
      </w:r>
      <w:r w:rsidR="005F4DC5" w:rsidRPr="009712EB">
        <w:rPr>
          <w:sz w:val="20"/>
          <w:szCs w:val="20"/>
          <w:lang w:val="es-VE"/>
        </w:rPr>
        <w:t>.</w:t>
      </w:r>
    </w:p>
    <w:p w:rsidR="005F4DC5" w:rsidRPr="009712EB" w:rsidRDefault="005F4DC5" w:rsidP="00D5655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9712EB">
        <w:rPr>
          <w:sz w:val="20"/>
          <w:szCs w:val="20"/>
          <w:lang w:val="es-VE"/>
        </w:rPr>
        <w:t>En el marco de intensos ruidos, detonaciones de “bombas y cañones” y disparos simultáneos</w:t>
      </w:r>
      <w:r w:rsidRPr="009712EB">
        <w:rPr>
          <w:rStyle w:val="FootnoteReference"/>
          <w:sz w:val="20"/>
          <w:szCs w:val="20"/>
          <w:lang w:val="es-VE"/>
        </w:rPr>
        <w:footnoteReference w:id="542"/>
      </w:r>
      <w:r w:rsidRPr="009712EB">
        <w:rPr>
          <w:sz w:val="20"/>
          <w:szCs w:val="20"/>
          <w:lang w:val="es-VE"/>
        </w:rPr>
        <w:t>, hubo al igual que en el resto de El Chorrillo, un nerviosismo generalizado y una gran confusión entre los civiles sobre la posibilidad de salir de sus residencias</w:t>
      </w:r>
      <w:r w:rsidR="00DC52F7">
        <w:rPr>
          <w:sz w:val="20"/>
          <w:szCs w:val="20"/>
          <w:lang w:val="es-VE"/>
        </w:rPr>
        <w:t xml:space="preserve"> en condiciones en las que estuviese protegida </w:t>
      </w:r>
      <w:r w:rsidRPr="009712EB">
        <w:rPr>
          <w:sz w:val="20"/>
          <w:szCs w:val="20"/>
          <w:lang w:val="es-VE"/>
        </w:rPr>
        <w:t>su seguridad</w:t>
      </w:r>
      <w:r w:rsidRPr="009712EB">
        <w:rPr>
          <w:rStyle w:val="FootnoteReference"/>
          <w:sz w:val="20"/>
          <w:szCs w:val="20"/>
          <w:lang w:val="es-VE"/>
        </w:rPr>
        <w:footnoteReference w:id="543"/>
      </w:r>
      <w:r w:rsidRPr="009712EB">
        <w:rPr>
          <w:sz w:val="20"/>
          <w:szCs w:val="20"/>
          <w:lang w:val="es-VE"/>
        </w:rPr>
        <w:t xml:space="preserve">. </w:t>
      </w:r>
    </w:p>
    <w:p w:rsidR="005F4DC5" w:rsidRPr="009712EB" w:rsidRDefault="005F4DC5" w:rsidP="00D5655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9712EB">
        <w:rPr>
          <w:sz w:val="20"/>
          <w:szCs w:val="20"/>
          <w:lang w:val="es-VE"/>
        </w:rPr>
        <w:t xml:space="preserve">Algunas víctimas relatan haber evacuado por órdenes emitidas por los soldados estadounidenses un poco antes del enfrentamiento, mientras que otras salieron de sus residencias al no sentirse seguras en ellas. </w:t>
      </w:r>
      <w:r w:rsidR="00DC52F7">
        <w:rPr>
          <w:sz w:val="20"/>
          <w:szCs w:val="20"/>
          <w:lang w:val="es-VE"/>
        </w:rPr>
        <w:t xml:space="preserve">En este respecto, </w:t>
      </w:r>
      <w:r w:rsidRPr="009712EB">
        <w:rPr>
          <w:sz w:val="20"/>
          <w:szCs w:val="20"/>
          <w:lang w:val="es-VE"/>
        </w:rPr>
        <w:t>algunos civiles no pudieron salir si</w:t>
      </w:r>
      <w:r w:rsidRPr="002F1C15">
        <w:rPr>
          <w:color w:val="auto"/>
          <w:sz w:val="20"/>
          <w:szCs w:val="20"/>
          <w:lang w:val="es-VE"/>
        </w:rPr>
        <w:t xml:space="preserve">n ver sus vidas en riesgo, por lo que fueron evacuados al día siguiente sin poder llevarse sus pertenencias. Las </w:t>
      </w:r>
      <w:r w:rsidR="00574781" w:rsidRPr="002F1C15">
        <w:rPr>
          <w:color w:val="auto"/>
          <w:sz w:val="20"/>
          <w:szCs w:val="20"/>
          <w:lang w:val="es-VE"/>
        </w:rPr>
        <w:t>presuntas</w:t>
      </w:r>
      <w:r w:rsidR="00574781" w:rsidRPr="00E266C4">
        <w:rPr>
          <w:color w:val="FF0000"/>
          <w:sz w:val="20"/>
          <w:szCs w:val="20"/>
          <w:lang w:val="es-VE"/>
        </w:rPr>
        <w:t xml:space="preserve"> </w:t>
      </w:r>
      <w:r w:rsidRPr="009712EB">
        <w:rPr>
          <w:sz w:val="20"/>
          <w:szCs w:val="20"/>
          <w:lang w:val="es-VE"/>
        </w:rPr>
        <w:t xml:space="preserve">víctimas destacan que fueron desalojados, algunas de manera forzada, por los funcionarios estatales de Estados Unidos sin tener acceso nuevamente a sus hogares por varios días.  </w:t>
      </w:r>
    </w:p>
    <w:p w:rsidR="005F4DC5" w:rsidRPr="009712EB" w:rsidRDefault="005F4DC5" w:rsidP="00D5655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p>
    <w:p w:rsidR="00A062F9" w:rsidRPr="009712EB" w:rsidRDefault="00A062F9" w:rsidP="00800BC4">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9712EB">
        <w:rPr>
          <w:sz w:val="20"/>
          <w:szCs w:val="20"/>
          <w:lang w:val="es-VE"/>
        </w:rPr>
        <w:t xml:space="preserve">Un alto número de individuos que se identificaron como residentes describieron haber sufrido de daños </w:t>
      </w:r>
      <w:r w:rsidR="00DC52F7">
        <w:rPr>
          <w:sz w:val="20"/>
          <w:szCs w:val="20"/>
          <w:lang w:val="es-VE"/>
        </w:rPr>
        <w:t xml:space="preserve">psicológicos y emocionales </w:t>
      </w:r>
      <w:r w:rsidRPr="009712EB">
        <w:rPr>
          <w:sz w:val="20"/>
          <w:szCs w:val="20"/>
          <w:lang w:val="es-VE"/>
        </w:rPr>
        <w:t xml:space="preserve">por los ruidos </w:t>
      </w:r>
      <w:r w:rsidR="00DC52F7">
        <w:rPr>
          <w:sz w:val="20"/>
          <w:szCs w:val="20"/>
          <w:lang w:val="es-VE"/>
        </w:rPr>
        <w:t xml:space="preserve">y la violencia </w:t>
      </w:r>
      <w:r w:rsidRPr="009712EB">
        <w:rPr>
          <w:sz w:val="20"/>
          <w:szCs w:val="20"/>
          <w:lang w:val="es-VE"/>
        </w:rPr>
        <w:t xml:space="preserve">de las detonaciones. No tuvieron electricidad y agua por 5 o más días, y se vieron </w:t>
      </w:r>
      <w:r w:rsidR="00537BDB">
        <w:rPr>
          <w:sz w:val="20"/>
          <w:szCs w:val="20"/>
          <w:lang w:val="es-VE"/>
        </w:rPr>
        <w:t>aislados</w:t>
      </w:r>
      <w:r w:rsidR="00537BDB" w:rsidRPr="009712EB">
        <w:rPr>
          <w:sz w:val="20"/>
          <w:szCs w:val="20"/>
          <w:lang w:val="es-VE"/>
        </w:rPr>
        <w:t xml:space="preserve"> </w:t>
      </w:r>
      <w:r w:rsidRPr="009712EB">
        <w:rPr>
          <w:sz w:val="20"/>
          <w:szCs w:val="20"/>
          <w:lang w:val="es-VE"/>
        </w:rPr>
        <w:t xml:space="preserve">por falta de líneas telefónicas. </w:t>
      </w:r>
      <w:r w:rsidR="00800BC4" w:rsidRPr="00800BC4">
        <w:rPr>
          <w:sz w:val="20"/>
          <w:szCs w:val="20"/>
          <w:lang w:val="es-VE"/>
        </w:rPr>
        <w:t>Debido a los cortes de energía o a la imposibilidad de tener acceso a electricidad</w:t>
      </w:r>
      <w:r w:rsidRPr="009712EB">
        <w:rPr>
          <w:sz w:val="20"/>
          <w:szCs w:val="20"/>
          <w:lang w:val="es-VE"/>
        </w:rPr>
        <w:t>, las víctimas describen el daño total de sus aparatos electrónicos dejándolos inservibles</w:t>
      </w:r>
      <w:r w:rsidRPr="009712EB">
        <w:rPr>
          <w:rStyle w:val="FootnoteReference"/>
          <w:sz w:val="20"/>
          <w:szCs w:val="20"/>
          <w:lang w:val="es-VE"/>
        </w:rPr>
        <w:footnoteReference w:id="544"/>
      </w:r>
      <w:r w:rsidRPr="009712EB">
        <w:rPr>
          <w:sz w:val="20"/>
          <w:szCs w:val="20"/>
          <w:lang w:val="es-VE"/>
        </w:rPr>
        <w:t xml:space="preserve">, lo cual a su vez tuvo como consecuencia que los alimentos no pudieran ser consumidos. </w:t>
      </w:r>
    </w:p>
    <w:p w:rsidR="005F4DC5" w:rsidRPr="009712EB" w:rsidRDefault="005F4DC5" w:rsidP="00D5655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p>
    <w:p w:rsidR="00A062F9" w:rsidRPr="009712EB" w:rsidRDefault="00800BC4"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Pr>
          <w:sz w:val="20"/>
          <w:szCs w:val="20"/>
          <w:lang w:val="es-VE"/>
        </w:rPr>
        <w:t>La CIDH ha tenido</w:t>
      </w:r>
      <w:r w:rsidR="00A062F9" w:rsidRPr="009712EB">
        <w:rPr>
          <w:sz w:val="20"/>
          <w:szCs w:val="20"/>
          <w:lang w:val="es-VE"/>
        </w:rPr>
        <w:t xml:space="preserve"> conocimiento de daños ocasionados a las viviendas de </w:t>
      </w:r>
      <w:r w:rsidR="00574781" w:rsidRPr="009712EB">
        <w:rPr>
          <w:sz w:val="20"/>
          <w:szCs w:val="20"/>
          <w:lang w:val="es-VE"/>
        </w:rPr>
        <w:t xml:space="preserve">presuntas </w:t>
      </w:r>
      <w:r w:rsidR="00A062F9" w:rsidRPr="009712EB">
        <w:rPr>
          <w:sz w:val="20"/>
          <w:szCs w:val="20"/>
          <w:lang w:val="es-VE"/>
        </w:rPr>
        <w:t>víctimas individualizadas, en particular a las paredes y ventanas como consecuencia de los impactos de bala o de los bombardeos</w:t>
      </w:r>
      <w:r w:rsidR="00A062F9" w:rsidRPr="009712EB">
        <w:rPr>
          <w:rStyle w:val="FootnoteReference"/>
          <w:sz w:val="20"/>
          <w:szCs w:val="20"/>
          <w:lang w:val="es-VE"/>
        </w:rPr>
        <w:footnoteReference w:id="545"/>
      </w:r>
      <w:r w:rsidR="00A062F9" w:rsidRPr="009712EB">
        <w:rPr>
          <w:sz w:val="20"/>
          <w:szCs w:val="20"/>
          <w:lang w:val="es-VE"/>
        </w:rPr>
        <w:t>.</w:t>
      </w:r>
      <w:r w:rsidR="0019553C" w:rsidRPr="009712EB">
        <w:rPr>
          <w:sz w:val="20"/>
          <w:szCs w:val="20"/>
          <w:lang w:val="es-VE"/>
        </w:rPr>
        <w:t xml:space="preserve"> </w:t>
      </w:r>
      <w:r w:rsidR="00A062F9" w:rsidRPr="009712EB">
        <w:rPr>
          <w:sz w:val="20"/>
          <w:szCs w:val="20"/>
          <w:lang w:val="es-VE"/>
        </w:rPr>
        <w:t xml:space="preserve">Sin embargo, aunque la mayor parte de los residentes describen “los saqueos indiscriminados” solo </w:t>
      </w:r>
      <w:r>
        <w:rPr>
          <w:sz w:val="20"/>
          <w:szCs w:val="20"/>
          <w:lang w:val="es-VE"/>
        </w:rPr>
        <w:t xml:space="preserve">hay </w:t>
      </w:r>
      <w:r w:rsidR="00A062F9" w:rsidRPr="009712EB">
        <w:rPr>
          <w:sz w:val="20"/>
          <w:szCs w:val="20"/>
          <w:lang w:val="es-VE"/>
        </w:rPr>
        <w:t>un caso en el cual describen</w:t>
      </w:r>
      <w:r w:rsidR="00BC234D">
        <w:rPr>
          <w:sz w:val="20"/>
          <w:szCs w:val="20"/>
          <w:lang w:val="es-VE"/>
        </w:rPr>
        <w:t xml:space="preserve"> expresamente</w:t>
      </w:r>
      <w:r w:rsidR="00A062F9" w:rsidRPr="009712EB">
        <w:rPr>
          <w:sz w:val="20"/>
          <w:szCs w:val="20"/>
          <w:lang w:val="es-VE"/>
        </w:rPr>
        <w:t xml:space="preserve"> haber perdido sus bienes en saqueos ocurridos en Patio Pinel</w:t>
      </w:r>
      <w:r w:rsidR="00A062F9" w:rsidRPr="009712EB">
        <w:rPr>
          <w:rStyle w:val="FootnoteReference"/>
          <w:sz w:val="20"/>
          <w:szCs w:val="20"/>
          <w:lang w:val="es-VE"/>
        </w:rPr>
        <w:footnoteReference w:id="546"/>
      </w:r>
      <w:r w:rsidR="005F4DC5" w:rsidRPr="009712EB">
        <w:rPr>
          <w:sz w:val="20"/>
          <w:szCs w:val="20"/>
          <w:lang w:val="es-VE"/>
        </w:rPr>
        <w:t>.</w:t>
      </w:r>
    </w:p>
    <w:p w:rsidR="005F4DC5" w:rsidRPr="009712EB" w:rsidRDefault="005F4DC5" w:rsidP="00D5655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VE"/>
        </w:rPr>
        <w:t>Vale destacar que, conforme a la información disponible, en el marco de los enfrentamientos y desalojos llevados a cabo en Patio Pinel específicamente durante la noche del 19 al 20 de diciembre, los soldados estadounidenses brindaron especial atención al edificio No.1 del Complejo Patio Pinel. Al respecto, según la descripción de los hechos, estos rodearon el edificio mientras estaban armados y lo cercaron con un “alambre de púas” dificultando la salida de civiles residentes</w:t>
      </w:r>
      <w:r w:rsidRPr="009712EB">
        <w:rPr>
          <w:rStyle w:val="FootnoteReference"/>
          <w:sz w:val="20"/>
          <w:szCs w:val="20"/>
          <w:lang w:val="es-VE"/>
        </w:rPr>
        <w:footnoteReference w:id="547"/>
      </w:r>
      <w:r w:rsidRPr="009712EB">
        <w:rPr>
          <w:sz w:val="20"/>
          <w:szCs w:val="20"/>
          <w:lang w:val="es-VE"/>
        </w:rPr>
        <w:t xml:space="preserve">. </w:t>
      </w:r>
    </w:p>
    <w:p w:rsidR="005F4DC5" w:rsidRPr="009712EB"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CO"/>
        </w:rPr>
      </w:pPr>
    </w:p>
    <w:p w:rsidR="00A062F9" w:rsidRPr="00BC234D" w:rsidRDefault="00BC234D"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jc w:val="both"/>
        <w:rPr>
          <w:sz w:val="20"/>
          <w:szCs w:val="20"/>
          <w:u w:val="single"/>
          <w:lang w:val="es-VE"/>
        </w:rPr>
      </w:pPr>
      <w:r>
        <w:rPr>
          <w:sz w:val="20"/>
          <w:szCs w:val="20"/>
          <w:u w:val="single"/>
          <w:lang w:val="es-VE"/>
        </w:rPr>
        <w:t xml:space="preserve">Pérdida de bienes relacionados con el trabajo de las víctimas de </w:t>
      </w:r>
      <w:r w:rsidR="00A062F9" w:rsidRPr="009712EB">
        <w:rPr>
          <w:sz w:val="20"/>
          <w:szCs w:val="20"/>
          <w:u w:val="single"/>
          <w:lang w:val="es-VE"/>
        </w:rPr>
        <w:t xml:space="preserve">El Chorrillo </w:t>
      </w:r>
    </w:p>
    <w:p w:rsidR="005F4DC5" w:rsidRPr="00BC234D"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jc w:val="both"/>
        <w:rPr>
          <w:sz w:val="20"/>
          <w:szCs w:val="20"/>
          <w:lang w:val="es-VE"/>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9712EB">
        <w:rPr>
          <w:sz w:val="20"/>
          <w:szCs w:val="20"/>
          <w:lang w:val="es-CO"/>
        </w:rPr>
        <w:t xml:space="preserve">La Comisión toma nota sobre </w:t>
      </w:r>
      <w:r w:rsidRPr="009712EB">
        <w:rPr>
          <w:sz w:val="20"/>
          <w:szCs w:val="20"/>
          <w:lang w:val="es-VE"/>
        </w:rPr>
        <w:t xml:space="preserve">la destrucción </w:t>
      </w:r>
      <w:r w:rsidR="006848F9" w:rsidRPr="009712EB">
        <w:rPr>
          <w:sz w:val="20"/>
          <w:szCs w:val="20"/>
          <w:lang w:val="es-VE"/>
        </w:rPr>
        <w:t>y/</w:t>
      </w:r>
      <w:r w:rsidRPr="009712EB">
        <w:rPr>
          <w:sz w:val="20"/>
          <w:szCs w:val="20"/>
          <w:lang w:val="es-VE"/>
        </w:rPr>
        <w:t>o pérdida de bienes relacion</w:t>
      </w:r>
      <w:r w:rsidR="006848F9" w:rsidRPr="009712EB">
        <w:rPr>
          <w:sz w:val="20"/>
          <w:szCs w:val="20"/>
          <w:lang w:val="es-VE"/>
        </w:rPr>
        <w:t>ado</w:t>
      </w:r>
      <w:r w:rsidRPr="009712EB">
        <w:rPr>
          <w:sz w:val="20"/>
          <w:szCs w:val="20"/>
          <w:lang w:val="es-VE"/>
        </w:rPr>
        <w:t>s al oficio de las víctimas. En este punto la Comisión</w:t>
      </w:r>
      <w:r w:rsidR="008767DA">
        <w:rPr>
          <w:sz w:val="20"/>
          <w:szCs w:val="20"/>
          <w:lang w:val="es-VE"/>
        </w:rPr>
        <w:t xml:space="preserve"> procede a </w:t>
      </w:r>
      <w:r w:rsidR="00574781" w:rsidRPr="009712EB">
        <w:rPr>
          <w:sz w:val="20"/>
          <w:szCs w:val="20"/>
          <w:lang w:val="es-VE"/>
        </w:rPr>
        <w:t>d</w:t>
      </w:r>
      <w:r w:rsidR="00574781" w:rsidRPr="00D56551">
        <w:rPr>
          <w:color w:val="auto"/>
          <w:sz w:val="20"/>
          <w:szCs w:val="20"/>
          <w:lang w:val="es-VE"/>
        </w:rPr>
        <w:t>escrib</w:t>
      </w:r>
      <w:r w:rsidR="008767DA">
        <w:rPr>
          <w:color w:val="auto"/>
          <w:sz w:val="20"/>
          <w:szCs w:val="20"/>
          <w:lang w:val="es-VE"/>
        </w:rPr>
        <w:t>ir</w:t>
      </w:r>
      <w:r w:rsidR="00574781" w:rsidRPr="00D56551">
        <w:rPr>
          <w:color w:val="auto"/>
          <w:sz w:val="20"/>
          <w:szCs w:val="20"/>
          <w:lang w:val="es-VE"/>
        </w:rPr>
        <w:t xml:space="preserve">, a la luz de los relatos presentados, </w:t>
      </w:r>
      <w:r w:rsidRPr="00D56551">
        <w:rPr>
          <w:color w:val="auto"/>
          <w:sz w:val="20"/>
          <w:szCs w:val="20"/>
          <w:lang w:val="es-VE"/>
        </w:rPr>
        <w:t xml:space="preserve">la afectación a locales en los cuales las </w:t>
      </w:r>
      <w:r w:rsidR="00574781" w:rsidRPr="00D56551">
        <w:rPr>
          <w:color w:val="auto"/>
          <w:sz w:val="20"/>
          <w:szCs w:val="20"/>
          <w:lang w:val="es-VE"/>
        </w:rPr>
        <w:t xml:space="preserve">presuntas </w:t>
      </w:r>
      <w:r w:rsidRPr="00D56551">
        <w:rPr>
          <w:color w:val="auto"/>
          <w:sz w:val="20"/>
          <w:szCs w:val="20"/>
          <w:lang w:val="es-VE"/>
        </w:rPr>
        <w:t xml:space="preserve">víctimas desarrollaban sus oficios de comercio, así como la pérdida de materiales, maquinaria y herramientas de </w:t>
      </w:r>
      <w:r w:rsidR="005F4DC5" w:rsidRPr="00D56551">
        <w:rPr>
          <w:color w:val="auto"/>
          <w:sz w:val="20"/>
          <w:szCs w:val="20"/>
          <w:lang w:val="es-VE"/>
        </w:rPr>
        <w:t>trabajo</w:t>
      </w:r>
      <w:r w:rsidRPr="00D56551">
        <w:rPr>
          <w:rStyle w:val="FootnoteReference"/>
          <w:color w:val="auto"/>
          <w:sz w:val="20"/>
          <w:szCs w:val="20"/>
          <w:lang w:val="es-VE"/>
        </w:rPr>
        <w:footnoteReference w:id="548"/>
      </w:r>
      <w:r w:rsidRPr="00D56551">
        <w:rPr>
          <w:color w:val="auto"/>
          <w:sz w:val="20"/>
          <w:szCs w:val="20"/>
          <w:lang w:val="es-VE"/>
        </w:rPr>
        <w:t>. Conforme a la información aportada, estas pérdidas fueron aún más significativas debido a la inmediatez de las festividades navid</w:t>
      </w:r>
      <w:r w:rsidRPr="009712EB">
        <w:rPr>
          <w:sz w:val="20"/>
          <w:szCs w:val="20"/>
          <w:lang w:val="es-VE"/>
        </w:rPr>
        <w:t>eñas al momento de la invasión, por lo cual los negocios contaban con un inventario abastecido por abundante mercancía</w:t>
      </w:r>
      <w:r w:rsidRPr="009712EB">
        <w:rPr>
          <w:rStyle w:val="FootnoteReference"/>
          <w:sz w:val="20"/>
          <w:szCs w:val="20"/>
          <w:lang w:val="es-VE"/>
        </w:rPr>
        <w:footnoteReference w:id="549"/>
      </w:r>
      <w:r w:rsidRPr="009712EB">
        <w:rPr>
          <w:sz w:val="20"/>
          <w:szCs w:val="20"/>
          <w:lang w:val="es-VE"/>
        </w:rPr>
        <w:t xml:space="preserve">. </w:t>
      </w:r>
      <w:r w:rsidR="008767DA">
        <w:rPr>
          <w:sz w:val="20"/>
          <w:szCs w:val="20"/>
          <w:lang w:val="es-VE"/>
        </w:rPr>
        <w:t xml:space="preserve">El </w:t>
      </w:r>
      <w:r w:rsidRPr="009712EB">
        <w:rPr>
          <w:sz w:val="20"/>
          <w:szCs w:val="20"/>
          <w:lang w:val="es-VE"/>
        </w:rPr>
        <w:t>impacto económico</w:t>
      </w:r>
      <w:r w:rsidR="008767DA">
        <w:rPr>
          <w:sz w:val="20"/>
          <w:szCs w:val="20"/>
          <w:lang w:val="es-VE"/>
        </w:rPr>
        <w:t xml:space="preserve"> fue significativo, afectando el </w:t>
      </w:r>
      <w:r w:rsidR="00D25612">
        <w:rPr>
          <w:sz w:val="20"/>
          <w:szCs w:val="20"/>
          <w:lang w:val="es-VE"/>
        </w:rPr>
        <w:t>nivel de vida y dificultando</w:t>
      </w:r>
      <w:r w:rsidRPr="009712EB">
        <w:rPr>
          <w:sz w:val="20"/>
          <w:szCs w:val="20"/>
          <w:lang w:val="es-VE"/>
        </w:rPr>
        <w:t xml:space="preserve"> </w:t>
      </w:r>
      <w:r w:rsidR="00D25612">
        <w:rPr>
          <w:sz w:val="20"/>
          <w:szCs w:val="20"/>
          <w:lang w:val="es-VE"/>
        </w:rPr>
        <w:t xml:space="preserve">asegurar </w:t>
      </w:r>
      <w:r w:rsidRPr="009712EB">
        <w:rPr>
          <w:sz w:val="20"/>
          <w:szCs w:val="20"/>
          <w:lang w:val="es-VE"/>
        </w:rPr>
        <w:t>una nueva fuente de ingresos</w:t>
      </w:r>
      <w:r w:rsidRPr="009712EB">
        <w:rPr>
          <w:rStyle w:val="FootnoteReference"/>
          <w:sz w:val="20"/>
          <w:szCs w:val="20"/>
          <w:lang w:val="es-VE"/>
        </w:rPr>
        <w:footnoteReference w:id="550"/>
      </w:r>
      <w:r w:rsidRPr="009712EB">
        <w:rPr>
          <w:sz w:val="20"/>
          <w:szCs w:val="20"/>
          <w:lang w:val="es-VE"/>
        </w:rPr>
        <w:t xml:space="preserve">, no solamente para los dueños de los negocios sino también para los trabajadores en </w:t>
      </w:r>
      <w:r w:rsidR="00D25612">
        <w:rPr>
          <w:sz w:val="20"/>
          <w:szCs w:val="20"/>
          <w:lang w:val="es-VE"/>
        </w:rPr>
        <w:t>esta zona</w:t>
      </w:r>
      <w:r w:rsidRPr="009712EB">
        <w:rPr>
          <w:sz w:val="20"/>
          <w:szCs w:val="20"/>
          <w:lang w:val="es-VE"/>
        </w:rPr>
        <w:t xml:space="preserve">. </w:t>
      </w:r>
    </w:p>
    <w:p w:rsidR="005F4DC5" w:rsidRPr="009712EB" w:rsidRDefault="005F4DC5" w:rsidP="00D5655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p>
    <w:p w:rsidR="00A062F9" w:rsidRPr="009712EB" w:rsidRDefault="00D25612"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Pr>
          <w:sz w:val="20"/>
          <w:szCs w:val="20"/>
          <w:lang w:val="es-VE"/>
        </w:rPr>
        <w:t xml:space="preserve">Como un asunto general, las declaraciones presentan </w:t>
      </w:r>
      <w:r w:rsidR="00A062F9" w:rsidRPr="009712EB">
        <w:rPr>
          <w:sz w:val="20"/>
          <w:szCs w:val="20"/>
          <w:lang w:val="es-VE"/>
        </w:rPr>
        <w:t>la afectación a negocios ubicados en las calles de El Chorrillo</w:t>
      </w:r>
      <w:r w:rsidR="00A062F9" w:rsidRPr="009712EB">
        <w:rPr>
          <w:rStyle w:val="FootnoteReference"/>
          <w:sz w:val="20"/>
          <w:szCs w:val="20"/>
          <w:lang w:val="es-VE"/>
        </w:rPr>
        <w:footnoteReference w:id="551"/>
      </w:r>
      <w:r w:rsidR="00A062F9" w:rsidRPr="009712EB">
        <w:rPr>
          <w:sz w:val="20"/>
          <w:szCs w:val="20"/>
          <w:lang w:val="es-VE"/>
        </w:rPr>
        <w:t>, en especial aquellos impactados por el incendio</w:t>
      </w:r>
      <w:r w:rsidR="00A062F9" w:rsidRPr="009712EB">
        <w:rPr>
          <w:rStyle w:val="FootnoteReference"/>
          <w:sz w:val="20"/>
          <w:szCs w:val="20"/>
          <w:lang w:val="es-VE"/>
        </w:rPr>
        <w:footnoteReference w:id="552"/>
      </w:r>
      <w:r w:rsidR="00A062F9" w:rsidRPr="009712EB">
        <w:rPr>
          <w:sz w:val="20"/>
          <w:szCs w:val="20"/>
          <w:lang w:val="es-VE"/>
        </w:rPr>
        <w:t xml:space="preserve">. Sin embargo, </w:t>
      </w:r>
      <w:r w:rsidRPr="009712EB">
        <w:rPr>
          <w:sz w:val="20"/>
          <w:szCs w:val="20"/>
          <w:lang w:val="es-VE"/>
        </w:rPr>
        <w:t xml:space="preserve">las presuntas víctimas </w:t>
      </w:r>
      <w:r>
        <w:rPr>
          <w:sz w:val="20"/>
          <w:szCs w:val="20"/>
          <w:lang w:val="es-VE"/>
        </w:rPr>
        <w:t xml:space="preserve">hacen </w:t>
      </w:r>
      <w:r w:rsidR="00A062F9" w:rsidRPr="009712EB">
        <w:rPr>
          <w:sz w:val="20"/>
          <w:szCs w:val="20"/>
          <w:lang w:val="es-VE"/>
        </w:rPr>
        <w:t xml:space="preserve">un énfasis </w:t>
      </w:r>
      <w:r w:rsidRPr="009712EB">
        <w:rPr>
          <w:sz w:val="20"/>
          <w:szCs w:val="20"/>
          <w:lang w:val="es-VE"/>
        </w:rPr>
        <w:t xml:space="preserve">especial </w:t>
      </w:r>
      <w:r>
        <w:rPr>
          <w:sz w:val="20"/>
          <w:szCs w:val="20"/>
          <w:lang w:val="es-VE"/>
        </w:rPr>
        <w:t xml:space="preserve">en los daños sufridos por </w:t>
      </w:r>
      <w:r w:rsidR="00A062F9" w:rsidRPr="009712EB">
        <w:rPr>
          <w:sz w:val="20"/>
          <w:szCs w:val="20"/>
          <w:lang w:val="es-VE"/>
        </w:rPr>
        <w:t xml:space="preserve">los negocios ubicados en el Mercado Periférico de El Chorrillo y </w:t>
      </w:r>
      <w:r>
        <w:rPr>
          <w:sz w:val="20"/>
          <w:szCs w:val="20"/>
          <w:lang w:val="es-VE"/>
        </w:rPr>
        <w:t xml:space="preserve">por </w:t>
      </w:r>
      <w:r w:rsidR="00A062F9" w:rsidRPr="009712EB">
        <w:rPr>
          <w:sz w:val="20"/>
          <w:szCs w:val="20"/>
          <w:lang w:val="es-VE"/>
        </w:rPr>
        <w:t>los comerciantes afectados</w:t>
      </w:r>
      <w:r w:rsidR="00A062F9" w:rsidRPr="009712EB">
        <w:rPr>
          <w:rStyle w:val="FootnoteReference"/>
          <w:sz w:val="20"/>
          <w:szCs w:val="20"/>
          <w:lang w:val="es-VE"/>
        </w:rPr>
        <w:footnoteReference w:id="553"/>
      </w:r>
      <w:r w:rsidR="00A062F9" w:rsidRPr="009712EB">
        <w:rPr>
          <w:sz w:val="20"/>
          <w:szCs w:val="20"/>
          <w:lang w:val="es-VE"/>
        </w:rPr>
        <w:t xml:space="preserve">.  </w:t>
      </w:r>
    </w:p>
    <w:p w:rsidR="005F4DC5" w:rsidRPr="009712EB" w:rsidRDefault="005F4DC5" w:rsidP="00D5655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9712EB">
        <w:rPr>
          <w:sz w:val="20"/>
          <w:szCs w:val="20"/>
          <w:lang w:val="es-VE"/>
        </w:rPr>
        <w:t xml:space="preserve">Conforme a la información presentada, el mismo 20 de diciembre el mencionado mercado fue </w:t>
      </w:r>
      <w:r w:rsidR="003A01AC">
        <w:rPr>
          <w:sz w:val="20"/>
          <w:szCs w:val="20"/>
          <w:lang w:val="es-VE"/>
        </w:rPr>
        <w:t xml:space="preserve">el escenario de </w:t>
      </w:r>
      <w:r w:rsidRPr="009712EB">
        <w:rPr>
          <w:sz w:val="20"/>
          <w:szCs w:val="20"/>
          <w:lang w:val="es-VE"/>
        </w:rPr>
        <w:t>saqueos realizados po</w:t>
      </w:r>
      <w:r w:rsidR="003A01AC">
        <w:rPr>
          <w:sz w:val="20"/>
          <w:szCs w:val="20"/>
          <w:lang w:val="es-VE"/>
        </w:rPr>
        <w:t xml:space="preserve">r individuos no identificados y </w:t>
      </w:r>
      <w:r w:rsidRPr="009712EB">
        <w:rPr>
          <w:sz w:val="20"/>
          <w:szCs w:val="20"/>
          <w:lang w:val="es-VE"/>
        </w:rPr>
        <w:t xml:space="preserve">se vio afectado por el incendio de gran magnitud generado en la barriada. </w:t>
      </w:r>
      <w:r w:rsidR="00D25612">
        <w:rPr>
          <w:sz w:val="20"/>
          <w:szCs w:val="20"/>
          <w:lang w:val="es-VE"/>
        </w:rPr>
        <w:t xml:space="preserve">Resulta importante mencionar </w:t>
      </w:r>
      <w:r w:rsidRPr="009712EB">
        <w:rPr>
          <w:sz w:val="20"/>
          <w:szCs w:val="20"/>
          <w:lang w:val="es-VE"/>
        </w:rPr>
        <w:t xml:space="preserve">la imposibilidad de determinar el orden de hechos ocurridos, en cuanto a los daños generados por el incendio propiamente y </w:t>
      </w:r>
      <w:r w:rsidR="00D25612">
        <w:rPr>
          <w:sz w:val="20"/>
          <w:szCs w:val="20"/>
          <w:lang w:val="es-VE"/>
        </w:rPr>
        <w:t>aquellos generados por las acciones relacionadas</w:t>
      </w:r>
      <w:r w:rsidRPr="009712EB">
        <w:rPr>
          <w:sz w:val="20"/>
          <w:szCs w:val="20"/>
          <w:lang w:val="es-VE"/>
        </w:rPr>
        <w:t xml:space="preserve"> o por las actividades ilegales. </w:t>
      </w:r>
    </w:p>
    <w:p w:rsidR="005F4DC5" w:rsidRPr="009712EB" w:rsidRDefault="005F4DC5" w:rsidP="00D5655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eastAsia="ja-JP"/>
        </w:rPr>
      </w:pPr>
      <w:r w:rsidRPr="009712EB">
        <w:rPr>
          <w:sz w:val="20"/>
          <w:szCs w:val="20"/>
          <w:lang w:val="es-VE"/>
        </w:rPr>
        <w:t xml:space="preserve"> En específico, aunque algunas víctimas describen haber quedado sin equipos ni mercancía tras los saqueos viéndose paralizados laboralmente</w:t>
      </w:r>
      <w:r w:rsidRPr="009712EB">
        <w:rPr>
          <w:rStyle w:val="FootnoteReference"/>
          <w:sz w:val="20"/>
          <w:szCs w:val="20"/>
          <w:lang w:val="es-VE"/>
        </w:rPr>
        <w:footnoteReference w:id="554"/>
      </w:r>
      <w:r w:rsidRPr="009712EB">
        <w:rPr>
          <w:sz w:val="20"/>
          <w:szCs w:val="20"/>
          <w:lang w:val="es-VE"/>
        </w:rPr>
        <w:t xml:space="preserve">, otras </w:t>
      </w:r>
      <w:r w:rsidR="00B60135">
        <w:rPr>
          <w:sz w:val="20"/>
          <w:szCs w:val="20"/>
          <w:lang w:val="es-VE"/>
        </w:rPr>
        <w:t>presenta</w:t>
      </w:r>
      <w:r w:rsidRPr="009712EB">
        <w:rPr>
          <w:sz w:val="20"/>
          <w:szCs w:val="20"/>
          <w:lang w:val="es-VE"/>
        </w:rPr>
        <w:t xml:space="preserve">n reserva de poder especificar la raíz de </w:t>
      </w:r>
      <w:r w:rsidRPr="009712EB">
        <w:rPr>
          <w:sz w:val="20"/>
          <w:szCs w:val="20"/>
          <w:lang w:val="es-VE"/>
        </w:rPr>
        <w:lastRenderedPageBreak/>
        <w:t>la pérdida de sus bienes</w:t>
      </w:r>
      <w:r w:rsidRPr="009712EB">
        <w:rPr>
          <w:rStyle w:val="FootnoteReference"/>
          <w:sz w:val="20"/>
          <w:szCs w:val="20"/>
          <w:lang w:val="es-VE"/>
        </w:rPr>
        <w:footnoteReference w:id="555"/>
      </w:r>
      <w:r w:rsidRPr="009712EB">
        <w:rPr>
          <w:sz w:val="20"/>
          <w:szCs w:val="20"/>
          <w:lang w:val="es-VE"/>
        </w:rPr>
        <w:t>. Sobre est</w:t>
      </w:r>
      <w:r w:rsidR="00B60135">
        <w:rPr>
          <w:sz w:val="20"/>
          <w:szCs w:val="20"/>
          <w:lang w:val="es-VE"/>
        </w:rPr>
        <w:t>e punto,</w:t>
      </w:r>
      <w:r w:rsidRPr="009712EB">
        <w:rPr>
          <w:sz w:val="20"/>
          <w:szCs w:val="20"/>
          <w:lang w:val="es-VE"/>
        </w:rPr>
        <w:t xml:space="preserve"> la CIDH especifica que muchos comerciantes eran arrendatarios de los locales. </w:t>
      </w:r>
    </w:p>
    <w:p w:rsidR="005F4DC5" w:rsidRPr="009712EB"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VE" w:eastAsia="ja-JP"/>
        </w:rPr>
      </w:pPr>
    </w:p>
    <w:p w:rsidR="005F4DC5" w:rsidRPr="009712EB" w:rsidRDefault="00A062F9" w:rsidP="009712EB">
      <w:pPr>
        <w:pStyle w:val="ListParagraph"/>
        <w:ind w:left="0" w:firstLine="720"/>
        <w:jc w:val="both"/>
        <w:rPr>
          <w:i/>
          <w:sz w:val="20"/>
          <w:szCs w:val="20"/>
          <w:u w:val="single"/>
          <w:lang w:val="es-VE" w:eastAsia="ja-JP"/>
        </w:rPr>
      </w:pPr>
      <w:r w:rsidRPr="009712EB">
        <w:rPr>
          <w:i/>
          <w:sz w:val="20"/>
          <w:szCs w:val="20"/>
          <w:u w:val="single"/>
          <w:lang w:val="es-VE" w:eastAsia="ja-JP"/>
        </w:rPr>
        <w:t xml:space="preserve">Vehículos destruidos </w:t>
      </w:r>
    </w:p>
    <w:p w:rsidR="005F4DC5" w:rsidRPr="009712EB" w:rsidRDefault="005F4DC5" w:rsidP="009712EB">
      <w:pPr>
        <w:pStyle w:val="ListParagraph"/>
        <w:ind w:left="0" w:firstLine="720"/>
        <w:jc w:val="both"/>
        <w:rPr>
          <w:i/>
          <w:sz w:val="20"/>
          <w:szCs w:val="20"/>
          <w:u w:val="single"/>
          <w:lang w:val="es-VE" w:eastAsia="ja-JP"/>
        </w:rPr>
      </w:pPr>
    </w:p>
    <w:p w:rsidR="006D72EB"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eastAsia="ja-JP"/>
        </w:rPr>
      </w:pPr>
      <w:r w:rsidRPr="009712EB">
        <w:rPr>
          <w:sz w:val="20"/>
          <w:szCs w:val="20"/>
          <w:lang w:val="es-VE"/>
        </w:rPr>
        <w:t>Entre las vícti</w:t>
      </w:r>
      <w:r w:rsidR="00B60135">
        <w:rPr>
          <w:sz w:val="20"/>
          <w:szCs w:val="20"/>
          <w:lang w:val="es-VE"/>
        </w:rPr>
        <w:t xml:space="preserve">mas de la zona de El Chorrillo, vale destacar que </w:t>
      </w:r>
      <w:r w:rsidRPr="009712EB">
        <w:rPr>
          <w:sz w:val="20"/>
          <w:szCs w:val="20"/>
          <w:lang w:val="es-VE"/>
        </w:rPr>
        <w:t xml:space="preserve">aquellas que alegan la pérdida total de vehículos </w:t>
      </w:r>
      <w:r w:rsidR="00B60135">
        <w:rPr>
          <w:sz w:val="20"/>
          <w:szCs w:val="20"/>
          <w:lang w:val="es-VE"/>
        </w:rPr>
        <w:t xml:space="preserve">que era utilizados </w:t>
      </w:r>
      <w:r w:rsidRPr="009712EB">
        <w:rPr>
          <w:sz w:val="20"/>
          <w:szCs w:val="20"/>
          <w:lang w:val="es-VE"/>
        </w:rPr>
        <w:t xml:space="preserve">directamente </w:t>
      </w:r>
      <w:r w:rsidR="00B60135">
        <w:rPr>
          <w:sz w:val="20"/>
          <w:szCs w:val="20"/>
          <w:lang w:val="es-VE"/>
        </w:rPr>
        <w:t xml:space="preserve">en relación </w:t>
      </w:r>
      <w:r w:rsidRPr="009712EB">
        <w:rPr>
          <w:sz w:val="20"/>
          <w:szCs w:val="20"/>
          <w:lang w:val="es-VE"/>
        </w:rPr>
        <w:t xml:space="preserve">con el oficio o negocio </w:t>
      </w:r>
      <w:r w:rsidR="00B60135">
        <w:rPr>
          <w:sz w:val="20"/>
          <w:szCs w:val="20"/>
          <w:lang w:val="es-VE"/>
        </w:rPr>
        <w:t xml:space="preserve">a través del cual </w:t>
      </w:r>
      <w:r w:rsidRPr="009712EB">
        <w:rPr>
          <w:sz w:val="20"/>
          <w:szCs w:val="20"/>
          <w:lang w:val="es-VE"/>
        </w:rPr>
        <w:t xml:space="preserve">desarrollaban </w:t>
      </w:r>
      <w:r w:rsidR="00B60135">
        <w:rPr>
          <w:sz w:val="20"/>
          <w:szCs w:val="20"/>
          <w:lang w:val="es-VE"/>
        </w:rPr>
        <w:t xml:space="preserve">un </w:t>
      </w:r>
      <w:r w:rsidRPr="009712EB">
        <w:rPr>
          <w:sz w:val="20"/>
          <w:szCs w:val="20"/>
          <w:lang w:val="es-VE"/>
        </w:rPr>
        <w:t>sustento económico. En este sentido, la CIDH nota la pérdida de buses utilizados como transporte público o como transporte colegial</w:t>
      </w:r>
      <w:r w:rsidRPr="009712EB">
        <w:rPr>
          <w:rStyle w:val="FootnoteReference"/>
          <w:sz w:val="20"/>
          <w:szCs w:val="20"/>
          <w:lang w:val="es-VE"/>
        </w:rPr>
        <w:footnoteReference w:id="556"/>
      </w:r>
      <w:r w:rsidRPr="009712EB">
        <w:rPr>
          <w:sz w:val="20"/>
          <w:szCs w:val="20"/>
          <w:lang w:val="es-VE"/>
        </w:rPr>
        <w:t>, y taxis</w:t>
      </w:r>
      <w:r w:rsidRPr="009712EB">
        <w:rPr>
          <w:rStyle w:val="FootnoteReference"/>
          <w:sz w:val="20"/>
          <w:szCs w:val="20"/>
          <w:lang w:val="es-VE"/>
        </w:rPr>
        <w:footnoteReference w:id="557"/>
      </w:r>
      <w:r w:rsidRPr="009712EB">
        <w:rPr>
          <w:sz w:val="20"/>
          <w:szCs w:val="20"/>
          <w:lang w:val="es-VE"/>
        </w:rPr>
        <w:t>.  Solo en tres casos se denuncia la pérdida de un vehículo de uso personal sin que esté relacionado con el oficio</w:t>
      </w:r>
      <w:r w:rsidRPr="009712EB">
        <w:rPr>
          <w:rStyle w:val="FootnoteReference"/>
          <w:sz w:val="20"/>
          <w:szCs w:val="20"/>
          <w:lang w:val="es-VE"/>
        </w:rPr>
        <w:footnoteReference w:id="558"/>
      </w:r>
      <w:r w:rsidRPr="009712EB">
        <w:rPr>
          <w:sz w:val="20"/>
          <w:szCs w:val="20"/>
          <w:lang w:val="es-VE"/>
        </w:rPr>
        <w:t>.</w:t>
      </w:r>
      <w:r w:rsidRPr="009712EB">
        <w:rPr>
          <w:sz w:val="20"/>
          <w:szCs w:val="20"/>
          <w:lang w:val="es-VE" w:eastAsia="ja-JP"/>
        </w:rPr>
        <w:t xml:space="preserve"> </w:t>
      </w:r>
      <w:r w:rsidRPr="009712EB">
        <w:rPr>
          <w:sz w:val="20"/>
          <w:szCs w:val="20"/>
          <w:lang w:val="es-VE"/>
        </w:rPr>
        <w:t>Al respecto</w:t>
      </w:r>
      <w:r w:rsidR="00B60135">
        <w:rPr>
          <w:sz w:val="20"/>
          <w:szCs w:val="20"/>
          <w:lang w:val="es-VE"/>
        </w:rPr>
        <w:t>,</w:t>
      </w:r>
      <w:r w:rsidRPr="009712EB">
        <w:rPr>
          <w:sz w:val="20"/>
          <w:szCs w:val="20"/>
          <w:lang w:val="es-VE"/>
        </w:rPr>
        <w:t xml:space="preserve"> </w:t>
      </w:r>
      <w:r w:rsidR="00BC234D">
        <w:rPr>
          <w:sz w:val="20"/>
          <w:szCs w:val="20"/>
          <w:lang w:val="es-VE"/>
        </w:rPr>
        <w:t>las denuncias enfatizan</w:t>
      </w:r>
      <w:r w:rsidRPr="009712EB">
        <w:rPr>
          <w:sz w:val="20"/>
          <w:szCs w:val="20"/>
          <w:lang w:val="es-VE"/>
        </w:rPr>
        <w:t xml:space="preserve"> </w:t>
      </w:r>
      <w:r w:rsidR="00105E88">
        <w:rPr>
          <w:sz w:val="20"/>
          <w:szCs w:val="20"/>
          <w:lang w:val="es-VE"/>
        </w:rPr>
        <w:t xml:space="preserve">que </w:t>
      </w:r>
      <w:r w:rsidRPr="009712EB">
        <w:rPr>
          <w:sz w:val="20"/>
          <w:szCs w:val="20"/>
          <w:lang w:val="es-VE"/>
        </w:rPr>
        <w:t xml:space="preserve">la destrucción </w:t>
      </w:r>
      <w:r w:rsidR="00105E88">
        <w:rPr>
          <w:sz w:val="20"/>
          <w:szCs w:val="20"/>
          <w:lang w:val="es-VE"/>
        </w:rPr>
        <w:t xml:space="preserve">fue el resultado </w:t>
      </w:r>
      <w:r w:rsidRPr="009712EB">
        <w:rPr>
          <w:sz w:val="20"/>
          <w:szCs w:val="20"/>
          <w:lang w:val="es-VE"/>
        </w:rPr>
        <w:t>del incendio que tuvo lugar el 20 de diciembre de 1989</w:t>
      </w:r>
      <w:r w:rsidRPr="009712EB">
        <w:rPr>
          <w:rStyle w:val="FootnoteReference"/>
          <w:sz w:val="20"/>
          <w:szCs w:val="20"/>
          <w:lang w:val="es-VE"/>
        </w:rPr>
        <w:footnoteReference w:id="559"/>
      </w:r>
      <w:r w:rsidRPr="009712EB">
        <w:rPr>
          <w:sz w:val="20"/>
          <w:szCs w:val="20"/>
          <w:lang w:val="es-VE"/>
        </w:rPr>
        <w:t>, y de los disparos por los soldados estadounidenses</w:t>
      </w:r>
      <w:r w:rsidRPr="009712EB">
        <w:rPr>
          <w:rStyle w:val="FootnoteReference"/>
          <w:sz w:val="20"/>
          <w:szCs w:val="20"/>
          <w:lang w:val="es-VE"/>
        </w:rPr>
        <w:footnoteReference w:id="560"/>
      </w:r>
      <w:r w:rsidRPr="009712EB">
        <w:rPr>
          <w:sz w:val="20"/>
          <w:szCs w:val="20"/>
          <w:lang w:val="es-VE"/>
        </w:rPr>
        <w:t xml:space="preserve">. </w:t>
      </w:r>
    </w:p>
    <w:p w:rsidR="006D72EB" w:rsidRPr="009712EB" w:rsidRDefault="006D72EB"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VE" w:eastAsia="ja-JP"/>
        </w:rPr>
      </w:pPr>
    </w:p>
    <w:p w:rsidR="00A062F9" w:rsidRPr="009712EB" w:rsidRDefault="00A062F9" w:rsidP="005950B0">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VE" w:eastAsia="ja-JP"/>
        </w:rPr>
      </w:pPr>
      <w:r w:rsidRPr="009712EB">
        <w:rPr>
          <w:b/>
          <w:sz w:val="20"/>
          <w:szCs w:val="20"/>
        </w:rPr>
        <w:t xml:space="preserve">Ciudad de Colón </w:t>
      </w:r>
    </w:p>
    <w:p w:rsidR="00303F89" w:rsidRPr="009712EB" w:rsidRDefault="00303F89" w:rsidP="00D5655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sz w:val="20"/>
          <w:szCs w:val="20"/>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VE"/>
        </w:rPr>
        <w:t xml:space="preserve">En atención a las otras zonas afectadas, la Comisión observa un número importante de </w:t>
      </w:r>
      <w:r w:rsidR="00574781" w:rsidRPr="00D56551">
        <w:rPr>
          <w:color w:val="auto"/>
          <w:sz w:val="20"/>
          <w:szCs w:val="20"/>
          <w:lang w:val="es-VE"/>
        </w:rPr>
        <w:t xml:space="preserve">presuntas </w:t>
      </w:r>
      <w:r w:rsidRPr="00D56551">
        <w:rPr>
          <w:color w:val="auto"/>
          <w:sz w:val="20"/>
          <w:szCs w:val="20"/>
          <w:lang w:val="es-VE"/>
        </w:rPr>
        <w:t>v</w:t>
      </w:r>
      <w:r w:rsidRPr="009712EB">
        <w:rPr>
          <w:sz w:val="20"/>
          <w:szCs w:val="20"/>
          <w:lang w:val="es-VE"/>
        </w:rPr>
        <w:t xml:space="preserve">íctimas de los actos realizados en el marco de la invasión en la ciudad de Colón. </w:t>
      </w:r>
      <w:r w:rsidR="00105E88">
        <w:rPr>
          <w:sz w:val="20"/>
          <w:szCs w:val="20"/>
          <w:lang w:val="es-VE"/>
        </w:rPr>
        <w:t xml:space="preserve">Estas denuncian indican que, </w:t>
      </w:r>
      <w:r w:rsidRPr="009712EB">
        <w:rPr>
          <w:sz w:val="20"/>
          <w:szCs w:val="20"/>
          <w:lang w:val="es-VE"/>
        </w:rPr>
        <w:t xml:space="preserve">al igual que en Ciudad de Panamá, bienes de civiles </w:t>
      </w:r>
      <w:r w:rsidR="00105E88">
        <w:rPr>
          <w:sz w:val="20"/>
          <w:szCs w:val="20"/>
          <w:lang w:val="es-VE"/>
        </w:rPr>
        <w:t xml:space="preserve">sufrieron daños </w:t>
      </w:r>
      <w:r w:rsidRPr="009712EB">
        <w:rPr>
          <w:sz w:val="20"/>
          <w:szCs w:val="20"/>
          <w:lang w:val="es-VE"/>
        </w:rPr>
        <w:t xml:space="preserve">como consecuencia del uso de materiales explosivos e incendios. </w:t>
      </w:r>
    </w:p>
    <w:p w:rsidR="005F4DC5" w:rsidRPr="009712EB" w:rsidRDefault="005F4DC5" w:rsidP="00D5655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105E88"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Pr>
          <w:sz w:val="20"/>
          <w:szCs w:val="20"/>
          <w:lang w:val="es-CO"/>
        </w:rPr>
        <w:t xml:space="preserve">Con respecto a la ciudad de Colón, </w:t>
      </w:r>
      <w:r w:rsidR="00A062F9" w:rsidRPr="009712EB">
        <w:rPr>
          <w:sz w:val="20"/>
          <w:szCs w:val="20"/>
          <w:lang w:val="es-VE"/>
        </w:rPr>
        <w:t xml:space="preserve">el mayor número de víctimas que identifican residir </w:t>
      </w:r>
      <w:r>
        <w:rPr>
          <w:sz w:val="20"/>
          <w:szCs w:val="20"/>
          <w:lang w:val="es-VE"/>
        </w:rPr>
        <w:t xml:space="preserve">allí indicaron específicamente </w:t>
      </w:r>
      <w:r w:rsidR="00A062F9" w:rsidRPr="009712EB">
        <w:rPr>
          <w:sz w:val="20"/>
          <w:szCs w:val="20"/>
          <w:lang w:val="es-VE"/>
        </w:rPr>
        <w:t>que el 22 de diciembre de 1989, aproximadamente a las 3 de la tarde, tuvieron lugar actos que llevaron a la pérdida por parte de civiles de “todos sus bienes”. En este sentido conforme a las denuncias presentadas, hubo daños a raíz de bombardeos</w:t>
      </w:r>
      <w:r w:rsidR="00A062F9" w:rsidRPr="009712EB">
        <w:rPr>
          <w:rStyle w:val="FootnoteReference"/>
          <w:sz w:val="20"/>
          <w:szCs w:val="20"/>
          <w:lang w:val="es-VE"/>
        </w:rPr>
        <w:footnoteReference w:id="561"/>
      </w:r>
      <w:r w:rsidR="00A062F9" w:rsidRPr="009712EB">
        <w:rPr>
          <w:sz w:val="20"/>
          <w:szCs w:val="20"/>
          <w:lang w:val="es-VE"/>
        </w:rPr>
        <w:t xml:space="preserve"> y del fuego que tuvo lugar posteriormente</w:t>
      </w:r>
      <w:r w:rsidR="00A062F9" w:rsidRPr="009712EB">
        <w:rPr>
          <w:rStyle w:val="FootnoteReference"/>
          <w:sz w:val="20"/>
          <w:szCs w:val="20"/>
          <w:lang w:val="es-VE"/>
        </w:rPr>
        <w:footnoteReference w:id="562"/>
      </w:r>
      <w:r w:rsidR="00A062F9" w:rsidRPr="009712EB">
        <w:rPr>
          <w:sz w:val="20"/>
          <w:szCs w:val="20"/>
          <w:lang w:val="es-VE"/>
        </w:rPr>
        <w:t xml:space="preserve">. </w:t>
      </w:r>
    </w:p>
    <w:p w:rsidR="005F4DC5" w:rsidRPr="009712EB"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VE"/>
        </w:rPr>
      </w:pPr>
    </w:p>
    <w:p w:rsidR="005F4DC5" w:rsidRPr="009712EB" w:rsidRDefault="00A062F9" w:rsidP="009712EB">
      <w:pPr>
        <w:pStyle w:val="ListParagraph"/>
        <w:ind w:left="0" w:firstLine="720"/>
        <w:jc w:val="both"/>
        <w:rPr>
          <w:i/>
          <w:sz w:val="20"/>
          <w:szCs w:val="20"/>
          <w:u w:val="single"/>
          <w:lang w:val="es-VE"/>
        </w:rPr>
      </w:pPr>
      <w:r w:rsidRPr="009712EB">
        <w:rPr>
          <w:i/>
          <w:sz w:val="20"/>
          <w:szCs w:val="20"/>
          <w:u w:val="single"/>
          <w:lang w:val="es-VE"/>
        </w:rPr>
        <w:t>Edificio residencial conocido como “15 Piso”</w:t>
      </w:r>
    </w:p>
    <w:p w:rsidR="005F4DC5" w:rsidRPr="009712EB" w:rsidRDefault="005F4DC5" w:rsidP="009712EB">
      <w:pPr>
        <w:pStyle w:val="ListParagraph"/>
        <w:ind w:left="0" w:firstLine="720"/>
        <w:jc w:val="both"/>
        <w:rPr>
          <w:i/>
          <w:sz w:val="20"/>
          <w:szCs w:val="20"/>
          <w:u w:val="single"/>
          <w:lang w:val="es-VE"/>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VE"/>
        </w:rPr>
        <w:t>De acuerdo con la información presentada, en horas de la tarde del 22 de diciembre de 1989 un número no determinado de individuos, presumiblemente miembros de los llamados batallones de dignidad, iniciaron fuego armado en contra de uno de los helicópteros de la armada estadounidense desde el edificio residencial conocido como “15 Piso”. En respuesta funcionarios que se encontraban dentro del helicóptero atacaron con armas explosivas al edificio con el objeto de anular la amenaza.</w:t>
      </w:r>
    </w:p>
    <w:p w:rsidR="005F4DC5" w:rsidRPr="009712EB" w:rsidRDefault="005F4DC5" w:rsidP="00E35B1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A062F9"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r w:rsidRPr="009712EB">
        <w:rPr>
          <w:sz w:val="20"/>
          <w:szCs w:val="20"/>
          <w:lang w:val="es-CO"/>
        </w:rPr>
        <w:lastRenderedPageBreak/>
        <w:t>Como resultado, el edificio sufrió daños estructurales importantes poniendo en duda su habitabilidad</w:t>
      </w:r>
      <w:r w:rsidRPr="009712EB">
        <w:rPr>
          <w:rStyle w:val="FootnoteReference"/>
          <w:sz w:val="20"/>
          <w:szCs w:val="20"/>
        </w:rPr>
        <w:footnoteReference w:id="563"/>
      </w:r>
      <w:r w:rsidRPr="009712EB">
        <w:rPr>
          <w:sz w:val="20"/>
          <w:szCs w:val="20"/>
          <w:lang w:val="es-CO"/>
        </w:rPr>
        <w:t xml:space="preserve">. Conforme a las declaraciones de las víctimas, el bombardeo ocasionó </w:t>
      </w:r>
      <w:r w:rsidR="00105E88">
        <w:rPr>
          <w:sz w:val="20"/>
          <w:szCs w:val="20"/>
          <w:lang w:val="es-CO"/>
        </w:rPr>
        <w:t>la fractura</w:t>
      </w:r>
      <w:r w:rsidRPr="009712EB">
        <w:rPr>
          <w:sz w:val="20"/>
          <w:szCs w:val="20"/>
          <w:lang w:val="es-CO"/>
        </w:rPr>
        <w:t xml:space="preserve"> de fragmentos de la estructura del mismo, </w:t>
      </w:r>
      <w:r w:rsidRPr="009712EB">
        <w:rPr>
          <w:sz w:val="20"/>
          <w:szCs w:val="20"/>
          <w:lang w:val="es-VE"/>
        </w:rPr>
        <w:t xml:space="preserve">el hundimiento de la base de la bomba de agua, rajaduras o quiebres en las paredes y las escaleras del edificio generando filtraciones, enormes orificios en la azotea, </w:t>
      </w:r>
      <w:r w:rsidRPr="009712EB">
        <w:rPr>
          <w:sz w:val="20"/>
          <w:szCs w:val="20"/>
          <w:lang w:val="es-CO"/>
        </w:rPr>
        <w:t>ventanas rotas, y la pérdida total del elevador</w:t>
      </w:r>
      <w:r w:rsidRPr="009712EB">
        <w:rPr>
          <w:rStyle w:val="FootnoteReference"/>
          <w:sz w:val="20"/>
          <w:szCs w:val="20"/>
          <w:lang w:val="es-VE"/>
        </w:rPr>
        <w:footnoteReference w:id="564"/>
      </w:r>
      <w:r w:rsidRPr="009712EB">
        <w:rPr>
          <w:sz w:val="20"/>
          <w:szCs w:val="20"/>
          <w:lang w:val="es-CO"/>
        </w:rPr>
        <w:t>. Existió una interrupción en el acceso al servicio de electricidad y agua por varios días</w:t>
      </w:r>
      <w:r w:rsidRPr="009712EB">
        <w:rPr>
          <w:rStyle w:val="FootnoteReference"/>
          <w:sz w:val="20"/>
          <w:szCs w:val="20"/>
        </w:rPr>
        <w:footnoteReference w:id="565"/>
      </w:r>
      <w:r w:rsidRPr="009712EB">
        <w:rPr>
          <w:sz w:val="20"/>
          <w:szCs w:val="20"/>
          <w:lang w:val="es-CO"/>
        </w:rPr>
        <w:t xml:space="preserve"> y se generaron daños importantes a apartamentos individuales. </w:t>
      </w:r>
    </w:p>
    <w:p w:rsidR="005F4DC5" w:rsidRPr="009712EB" w:rsidRDefault="005F4DC5" w:rsidP="009712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CO"/>
        </w:rPr>
      </w:pPr>
    </w:p>
    <w:p w:rsidR="00A062F9" w:rsidRPr="009712EB" w:rsidRDefault="00CF0A8A"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Pr>
          <w:sz w:val="20"/>
          <w:szCs w:val="20"/>
          <w:lang w:val="es-VE"/>
        </w:rPr>
        <w:t>Esta</w:t>
      </w:r>
      <w:r w:rsidR="00A062F9" w:rsidRPr="009712EB">
        <w:rPr>
          <w:sz w:val="20"/>
          <w:szCs w:val="20"/>
          <w:lang w:val="es-VE"/>
        </w:rPr>
        <w:t xml:space="preserve">s </w:t>
      </w:r>
      <w:r>
        <w:rPr>
          <w:sz w:val="20"/>
          <w:szCs w:val="20"/>
          <w:lang w:val="es-VE"/>
        </w:rPr>
        <w:t xml:space="preserve">víctimas describen que los </w:t>
      </w:r>
      <w:r w:rsidR="00A062F9" w:rsidRPr="009712EB">
        <w:rPr>
          <w:sz w:val="20"/>
          <w:szCs w:val="20"/>
          <w:lang w:val="es-VE"/>
        </w:rPr>
        <w:t xml:space="preserve">daños </w:t>
      </w:r>
      <w:r>
        <w:rPr>
          <w:sz w:val="20"/>
          <w:szCs w:val="20"/>
          <w:lang w:val="es-VE"/>
        </w:rPr>
        <w:t>llevaron</w:t>
      </w:r>
      <w:r w:rsidR="00A062F9" w:rsidRPr="009712EB">
        <w:rPr>
          <w:sz w:val="20"/>
          <w:szCs w:val="20"/>
          <w:lang w:val="es-VE"/>
        </w:rPr>
        <w:t xml:space="preserve"> </w:t>
      </w:r>
      <w:r>
        <w:rPr>
          <w:sz w:val="20"/>
          <w:szCs w:val="20"/>
          <w:lang w:val="es-VE"/>
        </w:rPr>
        <w:t xml:space="preserve">a </w:t>
      </w:r>
      <w:r w:rsidR="00A062F9" w:rsidRPr="009712EB">
        <w:rPr>
          <w:sz w:val="20"/>
          <w:szCs w:val="20"/>
          <w:lang w:val="es-VE"/>
        </w:rPr>
        <w:t xml:space="preserve">la pérdida total del apartamento </w:t>
      </w:r>
      <w:r>
        <w:rPr>
          <w:sz w:val="20"/>
          <w:szCs w:val="20"/>
          <w:lang w:val="es-VE"/>
        </w:rPr>
        <w:t xml:space="preserve">debido a </w:t>
      </w:r>
      <w:r w:rsidR="00A062F9" w:rsidRPr="009712EB">
        <w:rPr>
          <w:sz w:val="20"/>
          <w:szCs w:val="20"/>
          <w:lang w:val="es-VE"/>
        </w:rPr>
        <w:t>rajaduras en las paredes, filtraciones, ven</w:t>
      </w:r>
      <w:r>
        <w:rPr>
          <w:sz w:val="20"/>
          <w:szCs w:val="20"/>
          <w:lang w:val="es-VE"/>
        </w:rPr>
        <w:t>tanas rotas y afectaciones a la</w:t>
      </w:r>
      <w:r w:rsidR="00A062F9" w:rsidRPr="009712EB">
        <w:rPr>
          <w:sz w:val="20"/>
          <w:szCs w:val="20"/>
          <w:lang w:val="es-VE"/>
        </w:rPr>
        <w:t xml:space="preserve">s </w:t>
      </w:r>
      <w:r>
        <w:rPr>
          <w:sz w:val="20"/>
          <w:szCs w:val="20"/>
          <w:lang w:val="es-VE"/>
        </w:rPr>
        <w:t xml:space="preserve">pertenencias que </w:t>
      </w:r>
      <w:r w:rsidR="00A062F9" w:rsidRPr="009712EB">
        <w:rPr>
          <w:sz w:val="20"/>
          <w:szCs w:val="20"/>
          <w:lang w:val="es-VE"/>
        </w:rPr>
        <w:t>se encontraban dentro</w:t>
      </w:r>
      <w:r w:rsidR="00A062F9" w:rsidRPr="009712EB">
        <w:rPr>
          <w:rStyle w:val="FootnoteReference"/>
          <w:sz w:val="20"/>
          <w:szCs w:val="20"/>
          <w:lang w:val="es-VE"/>
        </w:rPr>
        <w:footnoteReference w:id="566"/>
      </w:r>
      <w:r w:rsidR="00A062F9" w:rsidRPr="009712EB">
        <w:rPr>
          <w:sz w:val="20"/>
          <w:szCs w:val="20"/>
          <w:lang w:val="es-VE"/>
        </w:rPr>
        <w:t xml:space="preserve">. </w:t>
      </w:r>
    </w:p>
    <w:p w:rsidR="005F4DC5" w:rsidRPr="009712EB" w:rsidRDefault="005F4DC5" w:rsidP="00E35B1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p>
    <w:p w:rsidR="005F4DC5" w:rsidRPr="009712EB" w:rsidRDefault="00A062F9" w:rsidP="003B6A9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9712EB">
        <w:rPr>
          <w:sz w:val="20"/>
          <w:szCs w:val="20"/>
          <w:lang w:val="es-VE"/>
        </w:rPr>
        <w:t xml:space="preserve">Es importante destacar que en el marco de este bombardeo, vecinos del Edificio Piso 15 también se vieron afectados al ser víctimas de explosivos desviados e incendios que </w:t>
      </w:r>
      <w:r w:rsidR="00CF0A8A">
        <w:rPr>
          <w:sz w:val="20"/>
          <w:szCs w:val="20"/>
          <w:lang w:val="es-VE"/>
        </w:rPr>
        <w:t xml:space="preserve">afectaron </w:t>
      </w:r>
      <w:r w:rsidRPr="009712EB">
        <w:rPr>
          <w:sz w:val="20"/>
          <w:szCs w:val="20"/>
          <w:lang w:val="es-VE"/>
        </w:rPr>
        <w:t>a sus hogares</w:t>
      </w:r>
      <w:r w:rsidR="00CF0A8A">
        <w:rPr>
          <w:sz w:val="20"/>
          <w:szCs w:val="20"/>
          <w:lang w:val="es-VE"/>
        </w:rPr>
        <w:t xml:space="preserve"> y produjeron </w:t>
      </w:r>
      <w:r w:rsidRPr="009712EB">
        <w:rPr>
          <w:sz w:val="20"/>
          <w:szCs w:val="20"/>
          <w:lang w:val="es-VE"/>
        </w:rPr>
        <w:t>lesiones y muertes</w:t>
      </w:r>
      <w:r w:rsidRPr="009712EB">
        <w:rPr>
          <w:rStyle w:val="FootnoteReference"/>
          <w:sz w:val="20"/>
          <w:szCs w:val="20"/>
          <w:lang w:val="es-VE"/>
        </w:rPr>
        <w:footnoteReference w:id="567"/>
      </w:r>
      <w:r w:rsidRPr="009712EB">
        <w:rPr>
          <w:sz w:val="20"/>
          <w:szCs w:val="20"/>
          <w:lang w:val="es-VE"/>
        </w:rPr>
        <w:t xml:space="preserve">. </w:t>
      </w:r>
    </w:p>
    <w:p w:rsidR="00895F53" w:rsidRPr="009712EB" w:rsidRDefault="00895F53" w:rsidP="009712EB">
      <w:pPr>
        <w:pStyle w:val="ListParagraph"/>
        <w:rPr>
          <w:sz w:val="20"/>
          <w:szCs w:val="20"/>
          <w:lang w:val="es-VE"/>
        </w:rPr>
      </w:pPr>
    </w:p>
    <w:p w:rsidR="00C0537F" w:rsidRPr="004C4A1D" w:rsidRDefault="00C0537F" w:rsidP="00D529F8">
      <w:pPr>
        <w:pStyle w:val="Heading1"/>
        <w:spacing w:before="0"/>
        <w:ind w:firstLine="0"/>
        <w:jc w:val="both"/>
        <w:rPr>
          <w:rFonts w:ascii="Cambria" w:hAnsi="Cambria"/>
          <w:color w:val="auto"/>
          <w:sz w:val="20"/>
          <w:lang w:val="es-VE"/>
        </w:rPr>
      </w:pPr>
      <w:bookmarkStart w:id="31" w:name="_Toc525294043"/>
      <w:r w:rsidRPr="004C4A1D">
        <w:rPr>
          <w:rFonts w:ascii="Cambria" w:hAnsi="Cambria"/>
          <w:color w:val="auto"/>
          <w:sz w:val="20"/>
          <w:lang w:val="es-VE"/>
        </w:rPr>
        <w:t>ANALISIS DE DERECHO</w:t>
      </w:r>
      <w:bookmarkEnd w:id="31"/>
    </w:p>
    <w:p w:rsidR="00B053C8" w:rsidRPr="004C4A1D" w:rsidRDefault="00B053C8" w:rsidP="00D529F8">
      <w:pPr>
        <w:pStyle w:val="ListParagraph"/>
        <w:suppressAutoHyphens/>
        <w:ind w:left="1440"/>
        <w:rPr>
          <w:color w:val="auto"/>
          <w:sz w:val="20"/>
          <w:szCs w:val="20"/>
          <w:lang w:val="es-VE"/>
        </w:rPr>
      </w:pPr>
    </w:p>
    <w:p w:rsidR="00C45D15" w:rsidRPr="003B3954" w:rsidRDefault="005177AF" w:rsidP="00D529F8">
      <w:pPr>
        <w:pStyle w:val="Heading2"/>
        <w:numPr>
          <w:ilvl w:val="1"/>
          <w:numId w:val="58"/>
        </w:numPr>
        <w:spacing w:before="0" w:after="0"/>
        <w:ind w:left="720" w:firstLine="0"/>
        <w:jc w:val="both"/>
        <w:rPr>
          <w:rFonts w:ascii="Cambria" w:hAnsi="Cambria"/>
          <w:i w:val="0"/>
          <w:sz w:val="20"/>
          <w:lang w:val="es-ES_tradnl"/>
        </w:rPr>
      </w:pPr>
      <w:bookmarkStart w:id="32" w:name="_Toc525294044"/>
      <w:r w:rsidRPr="003B3954">
        <w:rPr>
          <w:rFonts w:ascii="Cambria" w:hAnsi="Cambria"/>
          <w:i w:val="0"/>
          <w:sz w:val="20"/>
          <w:lang w:val="es-ES_tradnl"/>
        </w:rPr>
        <w:t>Responsabilidad internacional extraterritorial</w:t>
      </w:r>
      <w:r>
        <w:rPr>
          <w:rFonts w:ascii="Cambria" w:hAnsi="Cambria"/>
          <w:i w:val="0"/>
          <w:sz w:val="20"/>
          <w:lang w:val="es-ES_tradnl"/>
        </w:rPr>
        <w:t xml:space="preserve"> y control efectivo</w:t>
      </w:r>
      <w:bookmarkEnd w:id="32"/>
    </w:p>
    <w:p w:rsidR="00B053C8" w:rsidRPr="004C4A1D" w:rsidRDefault="00B053C8" w:rsidP="00B053C8">
      <w:pPr>
        <w:ind w:firstLine="720"/>
        <w:jc w:val="both"/>
        <w:rPr>
          <w:rFonts w:ascii="Cambria" w:hAnsi="Cambria"/>
          <w:sz w:val="20"/>
          <w:szCs w:val="20"/>
          <w:lang w:val="es-AR"/>
        </w:rPr>
      </w:pPr>
    </w:p>
    <w:p w:rsidR="00C45D15" w:rsidRDefault="00B053C8" w:rsidP="003B6A9B">
      <w:pPr>
        <w:pStyle w:val="ListParagraph"/>
        <w:numPr>
          <w:ilvl w:val="0"/>
          <w:numId w:val="58"/>
        </w:numPr>
        <w:ind w:left="0" w:firstLine="720"/>
        <w:jc w:val="both"/>
        <w:rPr>
          <w:sz w:val="20"/>
          <w:szCs w:val="20"/>
          <w:lang w:val="es-US"/>
        </w:rPr>
      </w:pPr>
      <w:r w:rsidRPr="004C4A1D">
        <w:rPr>
          <w:color w:val="auto"/>
          <w:sz w:val="20"/>
          <w:szCs w:val="20"/>
          <w:lang w:val="es-US"/>
        </w:rPr>
        <w:t xml:space="preserve">Tal como la Comisión señaló en la decisión de admisibilidad del presente caso, su competencia para revisar las denuncias presentadas deriva de los términos de la Carta de la OEA, su Estatuto y su Reglamento. De conformidad con la Carta, todos los Estados miembros se comprometen a </w:t>
      </w:r>
      <w:r w:rsidR="00F9526F">
        <w:rPr>
          <w:color w:val="auto"/>
          <w:sz w:val="20"/>
          <w:szCs w:val="20"/>
          <w:lang w:val="es-US"/>
        </w:rPr>
        <w:t>proteger</w:t>
      </w:r>
      <w:r w:rsidRPr="004C4A1D">
        <w:rPr>
          <w:color w:val="auto"/>
          <w:sz w:val="20"/>
          <w:szCs w:val="20"/>
          <w:lang w:val="es-US"/>
        </w:rPr>
        <w:t xml:space="preserve"> los derechos fundamentales de los </w:t>
      </w:r>
      <w:r w:rsidRPr="00B06A7F">
        <w:rPr>
          <w:sz w:val="20"/>
          <w:szCs w:val="20"/>
          <w:lang w:val="es-US"/>
        </w:rPr>
        <w:t>individuos</w:t>
      </w:r>
      <w:r w:rsidR="00F9526F">
        <w:rPr>
          <w:sz w:val="20"/>
          <w:szCs w:val="20"/>
          <w:lang w:val="es-US"/>
        </w:rPr>
        <w:t>. E</w:t>
      </w:r>
      <w:r w:rsidRPr="00B06A7F">
        <w:rPr>
          <w:sz w:val="20"/>
          <w:szCs w:val="20"/>
          <w:lang w:val="es-US"/>
        </w:rPr>
        <w:t xml:space="preserve">n el caso de los países que no son parte de la Convención, </w:t>
      </w:r>
      <w:r w:rsidR="00F9526F">
        <w:rPr>
          <w:sz w:val="20"/>
          <w:szCs w:val="20"/>
          <w:lang w:val="es-US"/>
        </w:rPr>
        <w:t xml:space="preserve">los derechos </w:t>
      </w:r>
      <w:r w:rsidR="00FE03F6">
        <w:rPr>
          <w:sz w:val="20"/>
          <w:szCs w:val="20"/>
          <w:lang w:val="es-US"/>
        </w:rPr>
        <w:t xml:space="preserve">en cuestión </w:t>
      </w:r>
      <w:r w:rsidRPr="00B06A7F">
        <w:rPr>
          <w:sz w:val="20"/>
          <w:szCs w:val="20"/>
          <w:lang w:val="es-US"/>
        </w:rPr>
        <w:t xml:space="preserve">son </w:t>
      </w:r>
      <w:r w:rsidR="00FE03F6">
        <w:rPr>
          <w:sz w:val="20"/>
          <w:szCs w:val="20"/>
          <w:lang w:val="es-US"/>
        </w:rPr>
        <w:t xml:space="preserve">aquellos </w:t>
      </w:r>
      <w:r w:rsidRPr="00B06A7F">
        <w:rPr>
          <w:sz w:val="20"/>
          <w:szCs w:val="20"/>
          <w:lang w:val="es-US"/>
        </w:rPr>
        <w:t>establecidos en la Declaración Americana, la cual constituye una fuente d</w:t>
      </w:r>
      <w:r w:rsidR="004C4A1D">
        <w:rPr>
          <w:sz w:val="20"/>
          <w:szCs w:val="20"/>
          <w:lang w:val="es-US"/>
        </w:rPr>
        <w:t xml:space="preserve">e obligaciones internacionales. </w:t>
      </w:r>
      <w:r w:rsidR="00FE03F6">
        <w:rPr>
          <w:sz w:val="20"/>
          <w:szCs w:val="20"/>
          <w:lang w:val="es-US"/>
        </w:rPr>
        <w:t xml:space="preserve">La </w:t>
      </w:r>
      <w:r w:rsidR="00FE03F6" w:rsidRPr="00B06A7F">
        <w:rPr>
          <w:sz w:val="20"/>
          <w:szCs w:val="20"/>
          <w:lang w:val="es-US"/>
        </w:rPr>
        <w:t xml:space="preserve">Comisión </w:t>
      </w:r>
      <w:r w:rsidR="00FE03F6">
        <w:rPr>
          <w:sz w:val="20"/>
          <w:szCs w:val="20"/>
          <w:lang w:val="es-US"/>
        </w:rPr>
        <w:t>está comprometida por s</w:t>
      </w:r>
      <w:r w:rsidRPr="00B06A7F">
        <w:rPr>
          <w:sz w:val="20"/>
          <w:szCs w:val="20"/>
          <w:lang w:val="es-US"/>
        </w:rPr>
        <w:t xml:space="preserve">u Estatuto </w:t>
      </w:r>
      <w:r w:rsidR="00FE03F6">
        <w:rPr>
          <w:sz w:val="20"/>
          <w:szCs w:val="20"/>
          <w:lang w:val="es-US"/>
        </w:rPr>
        <w:t xml:space="preserve">a prestar </w:t>
      </w:r>
      <w:r w:rsidRPr="00B06A7F">
        <w:rPr>
          <w:sz w:val="20"/>
          <w:szCs w:val="20"/>
          <w:lang w:val="es-US"/>
        </w:rPr>
        <w:t xml:space="preserve">atención </w:t>
      </w:r>
      <w:r w:rsidR="00FE03F6" w:rsidRPr="00B06A7F">
        <w:rPr>
          <w:sz w:val="20"/>
          <w:szCs w:val="20"/>
          <w:lang w:val="es-US"/>
        </w:rPr>
        <w:t xml:space="preserve">especial </w:t>
      </w:r>
      <w:r w:rsidRPr="00B06A7F">
        <w:rPr>
          <w:sz w:val="20"/>
          <w:szCs w:val="20"/>
          <w:lang w:val="es-US"/>
        </w:rPr>
        <w:t>al cumplimiento de los artículos I, II, III, IV, XVIII, XXV y XXVI de la Declaración al ejercer su jurisdicción con respecto a los países que no son partes</w:t>
      </w:r>
      <w:r w:rsidR="00FE03F6">
        <w:rPr>
          <w:sz w:val="20"/>
          <w:szCs w:val="20"/>
          <w:lang w:val="es-US"/>
        </w:rPr>
        <w:t xml:space="preserve"> de la Convención Americana</w:t>
      </w:r>
      <w:r w:rsidRPr="00B06A7F">
        <w:rPr>
          <w:rStyle w:val="FootnoteReference"/>
          <w:sz w:val="20"/>
          <w:szCs w:val="20"/>
        </w:rPr>
        <w:footnoteReference w:id="568"/>
      </w:r>
      <w:r w:rsidRPr="00B06A7F">
        <w:rPr>
          <w:sz w:val="20"/>
          <w:szCs w:val="20"/>
          <w:lang w:val="es-US"/>
        </w:rPr>
        <w:t>.</w:t>
      </w:r>
    </w:p>
    <w:p w:rsidR="00B053C8" w:rsidRDefault="00B053C8" w:rsidP="00B053C8">
      <w:pPr>
        <w:pStyle w:val="ListParagraph"/>
        <w:jc w:val="both"/>
        <w:rPr>
          <w:sz w:val="20"/>
          <w:szCs w:val="20"/>
          <w:lang w:val="es-US"/>
        </w:rPr>
      </w:pPr>
    </w:p>
    <w:p w:rsidR="00B053C8" w:rsidRDefault="00B053C8" w:rsidP="003B6A9B">
      <w:pPr>
        <w:pStyle w:val="ListParagraph"/>
        <w:numPr>
          <w:ilvl w:val="0"/>
          <w:numId w:val="58"/>
        </w:numPr>
        <w:ind w:left="0" w:firstLine="720"/>
        <w:jc w:val="both"/>
        <w:rPr>
          <w:sz w:val="20"/>
          <w:szCs w:val="20"/>
          <w:lang w:val="es-US"/>
        </w:rPr>
      </w:pPr>
      <w:r w:rsidRPr="00B053C8">
        <w:rPr>
          <w:sz w:val="20"/>
          <w:szCs w:val="20"/>
          <w:lang w:val="es-US"/>
        </w:rPr>
        <w:t>La Comisión considera pertinente señalar que, en ciertas circunstancias, el ejercicio de su jurisdicción sobre actos ocurridos fuera del territorio del Estado denunciado no sólo será congruente sino requerido por las normas pertinentes</w:t>
      </w:r>
      <w:r w:rsidRPr="00B06A7F">
        <w:rPr>
          <w:rStyle w:val="FootnoteReference"/>
          <w:sz w:val="20"/>
          <w:szCs w:val="20"/>
        </w:rPr>
        <w:footnoteReference w:id="569"/>
      </w:r>
      <w:r w:rsidRPr="00B053C8">
        <w:rPr>
          <w:sz w:val="20"/>
          <w:szCs w:val="20"/>
          <w:lang w:val="es-US"/>
        </w:rPr>
        <w:t>.</w:t>
      </w:r>
    </w:p>
    <w:p w:rsidR="00B053C8" w:rsidRDefault="00B053C8" w:rsidP="00B053C8">
      <w:pPr>
        <w:pStyle w:val="ListParagraph"/>
        <w:jc w:val="both"/>
        <w:rPr>
          <w:sz w:val="20"/>
          <w:szCs w:val="20"/>
          <w:lang w:val="es-US"/>
        </w:rPr>
      </w:pPr>
    </w:p>
    <w:p w:rsidR="00B053C8" w:rsidRDefault="00B053C8" w:rsidP="003B6A9B">
      <w:pPr>
        <w:pStyle w:val="ListParagraph"/>
        <w:numPr>
          <w:ilvl w:val="0"/>
          <w:numId w:val="58"/>
        </w:numPr>
        <w:ind w:left="0" w:firstLine="720"/>
        <w:jc w:val="both"/>
        <w:rPr>
          <w:sz w:val="20"/>
          <w:szCs w:val="20"/>
          <w:lang w:val="es-US"/>
        </w:rPr>
      </w:pPr>
      <w:r w:rsidRPr="00B053C8">
        <w:rPr>
          <w:sz w:val="20"/>
          <w:szCs w:val="20"/>
          <w:lang w:val="es-US"/>
        </w:rPr>
        <w:t xml:space="preserve">Dado que los derechos individuales son inherentes a las personas, todos los Estados americanos están obligados a respetar los derechos de cualquier persona sujeta a su jurisdicción. Si bien ello se refiere comúnmente a las personas que se hallan dentro del territorio de un Estado, en determinadas </w:t>
      </w:r>
      <w:r w:rsidRPr="00B053C8">
        <w:rPr>
          <w:sz w:val="20"/>
          <w:szCs w:val="20"/>
          <w:lang w:val="es-US"/>
        </w:rPr>
        <w:lastRenderedPageBreak/>
        <w:t>circunstancias puede referirse a situaciones en que la persona está presente en el territorio de un Estado, pero se encuentra sujeta al control o autoridad de otro Estado, por lo general a través de los actos de los agentes de este último</w:t>
      </w:r>
      <w:r w:rsidR="00A1365E">
        <w:rPr>
          <w:sz w:val="20"/>
          <w:szCs w:val="20"/>
          <w:lang w:val="es-US"/>
        </w:rPr>
        <w:t xml:space="preserve"> </w:t>
      </w:r>
      <w:r w:rsidR="00A1365E" w:rsidRPr="00B053C8">
        <w:rPr>
          <w:sz w:val="20"/>
          <w:szCs w:val="20"/>
          <w:lang w:val="es-US"/>
        </w:rPr>
        <w:t>en el exterior</w:t>
      </w:r>
      <w:r w:rsidRPr="00B06A7F">
        <w:rPr>
          <w:rStyle w:val="FootnoteReference"/>
          <w:sz w:val="20"/>
          <w:szCs w:val="20"/>
        </w:rPr>
        <w:footnoteReference w:id="570"/>
      </w:r>
      <w:r w:rsidR="004C4A1D">
        <w:rPr>
          <w:sz w:val="20"/>
          <w:szCs w:val="20"/>
          <w:lang w:val="es-US"/>
        </w:rPr>
        <w:t>.</w:t>
      </w:r>
    </w:p>
    <w:p w:rsidR="00B173C5" w:rsidRPr="00B053C8" w:rsidRDefault="00B173C5" w:rsidP="00B173C5">
      <w:pPr>
        <w:pStyle w:val="ListParagraph"/>
        <w:jc w:val="both"/>
        <w:rPr>
          <w:sz w:val="20"/>
          <w:szCs w:val="20"/>
          <w:lang w:val="es-US"/>
        </w:rPr>
      </w:pPr>
    </w:p>
    <w:p w:rsidR="00B053C8" w:rsidRPr="00B053C8" w:rsidRDefault="00B053C8" w:rsidP="003B6A9B">
      <w:pPr>
        <w:pStyle w:val="ListParagraph"/>
        <w:numPr>
          <w:ilvl w:val="0"/>
          <w:numId w:val="58"/>
        </w:numPr>
        <w:ind w:left="0" w:firstLine="720"/>
        <w:jc w:val="both"/>
        <w:rPr>
          <w:sz w:val="20"/>
          <w:szCs w:val="20"/>
          <w:lang w:val="es-US"/>
        </w:rPr>
      </w:pPr>
      <w:r w:rsidRPr="00B053C8">
        <w:rPr>
          <w:sz w:val="20"/>
          <w:szCs w:val="20"/>
          <w:lang w:val="es-AR"/>
        </w:rPr>
        <w:t xml:space="preserve">Esta aproximación resulta congruente con </w:t>
      </w:r>
      <w:r w:rsidRPr="00B053C8">
        <w:rPr>
          <w:sz w:val="20"/>
          <w:szCs w:val="20"/>
          <w:lang w:val="es-ES"/>
        </w:rPr>
        <w:t>el derecho internacional</w:t>
      </w:r>
      <w:r w:rsidR="00B173C5">
        <w:rPr>
          <w:sz w:val="20"/>
          <w:szCs w:val="20"/>
          <w:lang w:val="es-ES"/>
        </w:rPr>
        <w:t xml:space="preserve"> en un sentido más amplio</w:t>
      </w:r>
      <w:r w:rsidRPr="00B053C8">
        <w:rPr>
          <w:sz w:val="20"/>
          <w:szCs w:val="20"/>
          <w:lang w:val="es-ES"/>
        </w:rPr>
        <w:t xml:space="preserve">, en el cual las bases de la jurisdicción no son exclusivamente territoriales sino que puede </w:t>
      </w:r>
      <w:r w:rsidR="00A1365E">
        <w:rPr>
          <w:sz w:val="20"/>
          <w:szCs w:val="20"/>
          <w:lang w:val="es-ES"/>
        </w:rPr>
        <w:t xml:space="preserve">incluir otras </w:t>
      </w:r>
      <w:r w:rsidRPr="00B053C8">
        <w:rPr>
          <w:sz w:val="20"/>
          <w:szCs w:val="20"/>
          <w:lang w:val="es-ES"/>
        </w:rPr>
        <w:t>bases también</w:t>
      </w:r>
      <w:r w:rsidRPr="00B06A7F">
        <w:rPr>
          <w:rStyle w:val="FootnoteReference"/>
          <w:sz w:val="20"/>
          <w:szCs w:val="20"/>
          <w:lang w:val="es-ES"/>
        </w:rPr>
        <w:footnoteReference w:id="571"/>
      </w:r>
      <w:r w:rsidRPr="00B053C8">
        <w:rPr>
          <w:sz w:val="20"/>
          <w:szCs w:val="20"/>
          <w:lang w:val="es-ES"/>
        </w:rPr>
        <w:t xml:space="preserve">. </w:t>
      </w:r>
      <w:r w:rsidRPr="00B053C8">
        <w:rPr>
          <w:sz w:val="20"/>
          <w:szCs w:val="20"/>
          <w:lang w:val="es-ES_tradnl"/>
        </w:rPr>
        <w:t>De esta forma, aunque jurisdicción usualmente se refiere a la autoridad sobre personas que se encuentran dentro del territorio de un Estado, los derechos humanos son inherentes a todos los seres humanos y no se basan en su ciudadanía o ubicación</w:t>
      </w:r>
      <w:r w:rsidRPr="00B06A7F">
        <w:rPr>
          <w:rStyle w:val="FootnoteReference"/>
          <w:sz w:val="20"/>
          <w:szCs w:val="20"/>
          <w:lang w:val="es-ES_tradnl"/>
        </w:rPr>
        <w:footnoteReference w:id="572"/>
      </w:r>
      <w:r w:rsidRPr="00B053C8">
        <w:rPr>
          <w:sz w:val="20"/>
          <w:szCs w:val="20"/>
          <w:lang w:val="es-ES_tradnl"/>
        </w:rPr>
        <w:t>. La Comisión ha señalado que bajo el sistema interamericano, cada Estado está obligado a respetar los derechos de todas las personas dentro de su territorio y de aquellas presentes en el territorio de otro Estado pero sujetas al control de sus agentes</w:t>
      </w:r>
      <w:r w:rsidRPr="00B06A7F">
        <w:rPr>
          <w:sz w:val="20"/>
          <w:szCs w:val="20"/>
          <w:vertAlign w:val="superscript"/>
          <w:lang w:val="es-ES_tradnl"/>
        </w:rPr>
        <w:footnoteReference w:id="573"/>
      </w:r>
      <w:r w:rsidRPr="00B053C8">
        <w:rPr>
          <w:sz w:val="20"/>
          <w:szCs w:val="20"/>
          <w:lang w:val="es-ES_tradnl"/>
        </w:rPr>
        <w:t>. Esta postura coincide con la de otros organismos internacionales que al analizar el ámbito de aplicación de instrumentos internacionales de derechos humanos han contemplado su</w:t>
      </w:r>
      <w:r w:rsidR="00A1365E">
        <w:rPr>
          <w:sz w:val="20"/>
          <w:szCs w:val="20"/>
          <w:lang w:val="es-ES_tradnl"/>
        </w:rPr>
        <w:t xml:space="preserve"> posible aplicación  extraterritorial</w:t>
      </w:r>
      <w:r w:rsidRPr="00B06A7F">
        <w:rPr>
          <w:rStyle w:val="FootnoteReference"/>
          <w:sz w:val="20"/>
          <w:szCs w:val="20"/>
          <w:lang w:val="es-ES_tradnl"/>
        </w:rPr>
        <w:footnoteReference w:id="574"/>
      </w:r>
      <w:r w:rsidRPr="00B053C8">
        <w:rPr>
          <w:sz w:val="20"/>
          <w:szCs w:val="20"/>
          <w:lang w:val="es-ES_tradnl"/>
        </w:rPr>
        <w:t xml:space="preserve">. </w:t>
      </w:r>
    </w:p>
    <w:p w:rsidR="00B053C8" w:rsidRPr="00B053C8" w:rsidRDefault="00B053C8" w:rsidP="00B053C8">
      <w:pPr>
        <w:pStyle w:val="ListParagraph"/>
        <w:jc w:val="both"/>
        <w:rPr>
          <w:sz w:val="20"/>
          <w:szCs w:val="20"/>
          <w:lang w:val="es-US"/>
        </w:rPr>
      </w:pPr>
    </w:p>
    <w:p w:rsidR="00B053C8" w:rsidRDefault="00B053C8" w:rsidP="003B6A9B">
      <w:pPr>
        <w:pStyle w:val="ListParagraph"/>
        <w:numPr>
          <w:ilvl w:val="0"/>
          <w:numId w:val="58"/>
        </w:numPr>
        <w:ind w:left="0" w:firstLine="720"/>
        <w:jc w:val="both"/>
        <w:rPr>
          <w:sz w:val="20"/>
          <w:szCs w:val="20"/>
          <w:lang w:val="es-US"/>
        </w:rPr>
      </w:pPr>
      <w:r w:rsidRPr="00B053C8">
        <w:rPr>
          <w:sz w:val="20"/>
          <w:szCs w:val="20"/>
          <w:lang w:val="es-US"/>
        </w:rPr>
        <w:t xml:space="preserve">Por su parte, el Tribunal Europeo de Derechos Humanos ha arribado a conclusiones similares, y al respecto ha determinado que </w:t>
      </w:r>
      <w:r w:rsidRPr="00B053C8">
        <w:rPr>
          <w:sz w:val="20"/>
          <w:szCs w:val="20"/>
          <w:lang w:val="es-ES_tradnl"/>
        </w:rPr>
        <w:t>el término “jurisdicción” no se limita al territorio nacional de un Estado Parte, pues puede surgir responsabilidad por actos de sus autoridades que produzcan efectos fuera de su territorio</w:t>
      </w:r>
      <w:r w:rsidRPr="00B06A7F">
        <w:rPr>
          <w:rStyle w:val="FootnoteReference"/>
          <w:sz w:val="20"/>
          <w:szCs w:val="20"/>
        </w:rPr>
        <w:footnoteReference w:id="575"/>
      </w:r>
      <w:r w:rsidRPr="00B053C8">
        <w:rPr>
          <w:sz w:val="20"/>
          <w:szCs w:val="20"/>
          <w:lang w:val="es-ES_tradnl"/>
        </w:rPr>
        <w:t>. El ejercicio de jurisdicción es una condición necesaria para hacer a un estado responsable por los actos u omisiones que le sean imputables y que dieron lugar a una infracción de los derechos y libertades protegidos</w:t>
      </w:r>
      <w:r w:rsidRPr="00B06A7F">
        <w:rPr>
          <w:rStyle w:val="FootnoteReference"/>
          <w:sz w:val="20"/>
          <w:szCs w:val="20"/>
          <w:lang w:val="es-ES_tradnl"/>
        </w:rPr>
        <w:footnoteReference w:id="576"/>
      </w:r>
      <w:r w:rsidRPr="00B053C8">
        <w:rPr>
          <w:sz w:val="20"/>
          <w:szCs w:val="20"/>
          <w:lang w:val="es-ES_tradnl"/>
        </w:rPr>
        <w:t xml:space="preserve">. </w:t>
      </w:r>
    </w:p>
    <w:p w:rsidR="00B053C8" w:rsidRPr="00B053C8" w:rsidRDefault="00B053C8" w:rsidP="00B053C8">
      <w:pPr>
        <w:pStyle w:val="ListParagraph"/>
        <w:jc w:val="both"/>
        <w:rPr>
          <w:sz w:val="20"/>
          <w:szCs w:val="20"/>
          <w:lang w:val="es-US"/>
        </w:rPr>
      </w:pPr>
    </w:p>
    <w:p w:rsidR="00B053C8" w:rsidRPr="00B053C8" w:rsidRDefault="00B053C8" w:rsidP="003B6A9B">
      <w:pPr>
        <w:pStyle w:val="ListParagraph"/>
        <w:numPr>
          <w:ilvl w:val="0"/>
          <w:numId w:val="58"/>
        </w:numPr>
        <w:ind w:left="0" w:firstLine="720"/>
        <w:jc w:val="both"/>
        <w:rPr>
          <w:sz w:val="20"/>
          <w:szCs w:val="20"/>
          <w:lang w:val="es-US"/>
        </w:rPr>
      </w:pPr>
      <w:r w:rsidRPr="00B053C8">
        <w:rPr>
          <w:sz w:val="20"/>
          <w:szCs w:val="20"/>
          <w:lang w:val="es-ES_tradnl"/>
        </w:rPr>
        <w:t xml:space="preserve">Asimismo, en su decisión en el caso </w:t>
      </w:r>
      <w:r w:rsidRPr="00B053C8">
        <w:rPr>
          <w:i/>
          <w:sz w:val="20"/>
          <w:szCs w:val="20"/>
          <w:lang w:val="es-ES_tradnl"/>
        </w:rPr>
        <w:t>Bankovic y otros. vs. Bélgica</w:t>
      </w:r>
      <w:r w:rsidRPr="00B06A7F">
        <w:rPr>
          <w:sz w:val="20"/>
          <w:szCs w:val="20"/>
          <w:vertAlign w:val="superscript"/>
          <w:lang w:val="es-ES_tradnl"/>
        </w:rPr>
        <w:footnoteReference w:id="577"/>
      </w:r>
      <w:r w:rsidRPr="00B053C8">
        <w:rPr>
          <w:sz w:val="20"/>
          <w:szCs w:val="20"/>
          <w:lang w:val="es-ES_tradnl"/>
        </w:rPr>
        <w:t>, el Tribunal Europeo insistió en que el significado del término “jurisdicción” se deriva del derecho internacional y es primaria, pero no es exclusivamente territorial</w:t>
      </w:r>
      <w:r w:rsidRPr="00B06A7F">
        <w:rPr>
          <w:rStyle w:val="FootnoteReference"/>
          <w:sz w:val="20"/>
          <w:szCs w:val="20"/>
          <w:lang w:val="es-ES_tradnl"/>
        </w:rPr>
        <w:footnoteReference w:id="578"/>
      </w:r>
      <w:r w:rsidRPr="00B053C8">
        <w:rPr>
          <w:sz w:val="20"/>
          <w:szCs w:val="20"/>
          <w:lang w:val="es-ES_tradnl"/>
        </w:rPr>
        <w:t>.</w:t>
      </w:r>
    </w:p>
    <w:p w:rsidR="00B053C8" w:rsidRPr="00B06A7F" w:rsidRDefault="00B053C8" w:rsidP="00B053C8">
      <w:pPr>
        <w:jc w:val="both"/>
        <w:rPr>
          <w:rFonts w:ascii="Cambria" w:hAnsi="Cambria"/>
          <w:sz w:val="20"/>
          <w:szCs w:val="20"/>
          <w:lang w:val="es-ES_tradnl"/>
        </w:rPr>
      </w:pPr>
    </w:p>
    <w:p w:rsidR="00B053C8" w:rsidRPr="00B053C8" w:rsidRDefault="00B053C8" w:rsidP="003B6A9B">
      <w:pPr>
        <w:pStyle w:val="ListParagraph"/>
        <w:numPr>
          <w:ilvl w:val="0"/>
          <w:numId w:val="58"/>
        </w:numPr>
        <w:ind w:left="0" w:firstLine="720"/>
        <w:jc w:val="both"/>
        <w:rPr>
          <w:sz w:val="20"/>
          <w:szCs w:val="20"/>
          <w:lang w:val="es-AR"/>
        </w:rPr>
      </w:pPr>
      <w:r w:rsidRPr="00B06A7F">
        <w:rPr>
          <w:spacing w:val="-2"/>
          <w:sz w:val="20"/>
          <w:szCs w:val="20"/>
          <w:lang w:val="es-ES_tradnl"/>
        </w:rPr>
        <w:t xml:space="preserve">También la Corte Internacional de Justicia, al analizar el ámbito de aplicación del </w:t>
      </w:r>
      <w:r w:rsidRPr="00B06A7F">
        <w:rPr>
          <w:sz w:val="20"/>
          <w:szCs w:val="20"/>
          <w:lang w:val="es-ES_tradnl" w:eastAsia="es-ES_tradnl" w:bidi="x-none"/>
        </w:rPr>
        <w:t xml:space="preserve">Pacto Internacional de Derechos Civiles y Políticos en su Opinión Consultiva sobre las consecuencias jurídicas de la construcción de un muro en el territorio palestino ocupado,  afirmó que “si bien la jurisdicción de los Estados es primordialmente territorial, en ocasiones puede ejercerse fuera del territorio nacional” y que “[t]eniendo en cuenta el objeto y el fin del [PIDCP], parece lógico pensar que, aunque así sea, los Estados que son parte en el Pacto están </w:t>
      </w:r>
      <w:r w:rsidRPr="00B06A7F">
        <w:rPr>
          <w:sz w:val="20"/>
          <w:szCs w:val="20"/>
          <w:lang w:val="es-ES_tradnl"/>
        </w:rPr>
        <w:t>obligados</w:t>
      </w:r>
      <w:r w:rsidRPr="00B06A7F">
        <w:rPr>
          <w:sz w:val="20"/>
          <w:szCs w:val="20"/>
          <w:lang w:val="es-ES_tradnl" w:eastAsia="es-ES_tradnl" w:bidi="x-none"/>
        </w:rPr>
        <w:t xml:space="preserve"> a cumplir sus disposiciones”</w:t>
      </w:r>
      <w:r w:rsidRPr="00B06A7F">
        <w:rPr>
          <w:rStyle w:val="FootnoteReference"/>
          <w:sz w:val="20"/>
          <w:szCs w:val="20"/>
          <w:lang w:val="es-ES_tradnl" w:eastAsia="es-ES_tradnl" w:bidi="x-none"/>
        </w:rPr>
        <w:footnoteReference w:id="579"/>
      </w:r>
      <w:r w:rsidRPr="00B06A7F">
        <w:rPr>
          <w:sz w:val="20"/>
          <w:szCs w:val="20"/>
          <w:lang w:val="es-ES_tradnl" w:eastAsia="es-ES_tradnl" w:bidi="x-none"/>
        </w:rPr>
        <w:t>. De la misma manera se pronunció al decidir el caso RDC c. Uganda, en cuyo fallo expresó que el derecho internacional de los derechos humanos se aplica en relación con actos realizados por un Estado en el ejercicio de su jurisdicción fuera de su territorio</w:t>
      </w:r>
      <w:r w:rsidRPr="00B06A7F">
        <w:rPr>
          <w:rStyle w:val="FootnoteReference"/>
          <w:sz w:val="20"/>
          <w:szCs w:val="20"/>
          <w:lang w:val="es-ES_tradnl" w:eastAsia="es-ES_tradnl" w:bidi="x-none"/>
        </w:rPr>
        <w:footnoteReference w:id="580"/>
      </w:r>
      <w:r w:rsidRPr="00B06A7F">
        <w:rPr>
          <w:sz w:val="20"/>
          <w:szCs w:val="20"/>
          <w:lang w:val="es-ES_tradnl" w:eastAsia="es-ES_tradnl" w:bidi="x-none"/>
        </w:rPr>
        <w:t xml:space="preserve">.  </w:t>
      </w:r>
      <w:r w:rsidRPr="00B06A7F">
        <w:rPr>
          <w:sz w:val="20"/>
          <w:szCs w:val="20"/>
          <w:lang w:val="es-US"/>
        </w:rPr>
        <w:t xml:space="preserve">Por su parte </w:t>
      </w:r>
      <w:r w:rsidRPr="00B06A7F">
        <w:rPr>
          <w:sz w:val="20"/>
          <w:szCs w:val="20"/>
          <w:lang w:val="es-ES_tradnl"/>
        </w:rPr>
        <w:t xml:space="preserve">el Comité de Derechos Humanos, </w:t>
      </w:r>
      <w:r w:rsidR="00B173C5">
        <w:rPr>
          <w:sz w:val="20"/>
          <w:szCs w:val="20"/>
          <w:lang w:val="es-ES_tradnl"/>
        </w:rPr>
        <w:t xml:space="preserve"> respecto a</w:t>
      </w:r>
      <w:r w:rsidRPr="00B06A7F">
        <w:rPr>
          <w:sz w:val="20"/>
          <w:szCs w:val="20"/>
          <w:lang w:val="es-ES_tradnl"/>
        </w:rPr>
        <w:t xml:space="preserve">l Pacto Internacional de Derechos Civiles y Políticos </w:t>
      </w:r>
      <w:r w:rsidR="00B173C5">
        <w:rPr>
          <w:sz w:val="20"/>
          <w:szCs w:val="20"/>
          <w:lang w:val="es-ES_tradnl"/>
        </w:rPr>
        <w:t xml:space="preserve">que </w:t>
      </w:r>
      <w:r w:rsidRPr="00B06A7F">
        <w:rPr>
          <w:sz w:val="20"/>
          <w:szCs w:val="20"/>
          <w:lang w:val="es-ES_tradnl"/>
        </w:rPr>
        <w:t xml:space="preserve">establece la obligación de los Estados de respetar y garantizar los derechos humanos “a todos los individuos que se </w:t>
      </w:r>
      <w:r w:rsidRPr="00B06A7F">
        <w:rPr>
          <w:sz w:val="20"/>
          <w:szCs w:val="20"/>
          <w:lang w:val="es-ES_tradnl"/>
        </w:rPr>
        <w:lastRenderedPageBreak/>
        <w:t xml:space="preserve">encuentren en su territorio y estén sujetos a su jurisdicción”, ha </w:t>
      </w:r>
      <w:r w:rsidR="00A404A4">
        <w:rPr>
          <w:sz w:val="20"/>
          <w:szCs w:val="20"/>
          <w:lang w:val="es-ES_tradnl"/>
        </w:rPr>
        <w:t>considera</w:t>
      </w:r>
      <w:r w:rsidRPr="00B06A7F">
        <w:rPr>
          <w:sz w:val="20"/>
          <w:szCs w:val="20"/>
          <w:lang w:val="es-ES_tradnl"/>
        </w:rPr>
        <w:t xml:space="preserve">do </w:t>
      </w:r>
      <w:r w:rsidR="00A404A4">
        <w:rPr>
          <w:sz w:val="20"/>
          <w:szCs w:val="20"/>
          <w:lang w:val="es-ES_tradnl"/>
        </w:rPr>
        <w:t xml:space="preserve">admisible </w:t>
      </w:r>
      <w:r w:rsidRPr="00B06A7F">
        <w:rPr>
          <w:sz w:val="20"/>
          <w:szCs w:val="20"/>
          <w:lang w:val="es-ES_tradnl"/>
        </w:rPr>
        <w:t xml:space="preserve">la aplicabilidad extraterritorial del Pacto sobre la base del requisito de la autoridad o el control tanto en el contexto de casos individuales como </w:t>
      </w:r>
      <w:r w:rsidR="00A404A4">
        <w:rPr>
          <w:sz w:val="20"/>
          <w:szCs w:val="20"/>
          <w:lang w:val="es-ES_tradnl"/>
        </w:rPr>
        <w:t xml:space="preserve">en el </w:t>
      </w:r>
      <w:r w:rsidRPr="00B06A7F">
        <w:rPr>
          <w:sz w:val="20"/>
          <w:szCs w:val="20"/>
          <w:lang w:val="es-ES_tradnl"/>
        </w:rPr>
        <w:t>de sus observaciones finales sobre informes periódicos de los Estados</w:t>
      </w:r>
      <w:r w:rsidRPr="00B06A7F">
        <w:rPr>
          <w:rStyle w:val="FootnoteReference"/>
          <w:sz w:val="20"/>
          <w:szCs w:val="20"/>
        </w:rPr>
        <w:footnoteReference w:id="581"/>
      </w:r>
      <w:r w:rsidRPr="00B06A7F">
        <w:rPr>
          <w:sz w:val="20"/>
          <w:szCs w:val="20"/>
          <w:lang w:val="es-ES_tradnl"/>
        </w:rPr>
        <w:t>.</w:t>
      </w:r>
    </w:p>
    <w:p w:rsidR="00B053C8" w:rsidRDefault="00B053C8" w:rsidP="00B053C8">
      <w:pPr>
        <w:pStyle w:val="ListParagraph"/>
        <w:jc w:val="both"/>
        <w:rPr>
          <w:sz w:val="20"/>
          <w:szCs w:val="20"/>
          <w:lang w:val="es-AR"/>
        </w:rPr>
      </w:pPr>
    </w:p>
    <w:p w:rsidR="00DF63CA" w:rsidRPr="00DF63CA" w:rsidRDefault="00B173C5" w:rsidP="003B6A9B">
      <w:pPr>
        <w:pStyle w:val="ListParagraph"/>
        <w:numPr>
          <w:ilvl w:val="0"/>
          <w:numId w:val="58"/>
        </w:numPr>
        <w:ind w:left="0" w:firstLine="720"/>
        <w:jc w:val="both"/>
        <w:rPr>
          <w:sz w:val="20"/>
          <w:szCs w:val="20"/>
          <w:lang w:val="es-AR"/>
        </w:rPr>
      </w:pPr>
      <w:r>
        <w:rPr>
          <w:sz w:val="20"/>
          <w:szCs w:val="20"/>
          <w:lang w:val="es-AR"/>
        </w:rPr>
        <w:t>S</w:t>
      </w:r>
      <w:r w:rsidR="00B053C8" w:rsidRPr="00B053C8">
        <w:rPr>
          <w:sz w:val="20"/>
          <w:szCs w:val="20"/>
          <w:lang w:val="es-AR"/>
        </w:rPr>
        <w:t>obre el ejercicio extraterritorial de jurisdicción</w:t>
      </w:r>
      <w:r w:rsidR="00B053C8" w:rsidRPr="00B053C8">
        <w:rPr>
          <w:sz w:val="20"/>
          <w:szCs w:val="20"/>
          <w:lang w:val="es-US"/>
        </w:rPr>
        <w:t xml:space="preserve">, la CIDH ha señalado que es preciso verificar que el territorio en cuestión y consecuentemente las presuntas víctimas, hayan estado sometidas a </w:t>
      </w:r>
      <w:r w:rsidR="00B053C8" w:rsidRPr="00B053C8">
        <w:rPr>
          <w:sz w:val="20"/>
          <w:szCs w:val="20"/>
          <w:lang w:val="es-ES_tradnl"/>
        </w:rPr>
        <w:t>la autoridad y control de los agentes</w:t>
      </w:r>
      <w:r w:rsidR="00B053C8" w:rsidRPr="00B06A7F">
        <w:rPr>
          <w:sz w:val="20"/>
          <w:szCs w:val="20"/>
          <w:vertAlign w:val="superscript"/>
          <w:lang w:val="es-ES_tradnl"/>
        </w:rPr>
        <w:footnoteReference w:id="582"/>
      </w:r>
      <w:r w:rsidR="00B053C8" w:rsidRPr="00B053C8">
        <w:rPr>
          <w:sz w:val="20"/>
          <w:szCs w:val="20"/>
          <w:lang w:val="es-ES_tradnl"/>
        </w:rPr>
        <w:t xml:space="preserve"> de las fuerzas extranjeras. En ese sentido, la CIDH ha enfatizado que la responsabilidad de los Estados</w:t>
      </w:r>
      <w:r>
        <w:rPr>
          <w:sz w:val="20"/>
          <w:szCs w:val="20"/>
          <w:lang w:val="es-ES_tradnl"/>
        </w:rPr>
        <w:t xml:space="preserve"> miembros bajo</w:t>
      </w:r>
      <w:r w:rsidR="00B053C8" w:rsidRPr="00B053C8">
        <w:rPr>
          <w:sz w:val="20"/>
          <w:szCs w:val="20"/>
          <w:lang w:val="es-ES_tradnl"/>
        </w:rPr>
        <w:t xml:space="preserve"> la Declaración Americana y la Convención </w:t>
      </w:r>
      <w:r w:rsidR="00B053C8" w:rsidRPr="00B053C8">
        <w:rPr>
          <w:spacing w:val="-2"/>
          <w:sz w:val="20"/>
          <w:szCs w:val="20"/>
          <w:lang w:val="es-ES_tradnl"/>
        </w:rPr>
        <w:t>Americana</w:t>
      </w:r>
      <w:r w:rsidR="00B053C8" w:rsidRPr="00B053C8">
        <w:rPr>
          <w:sz w:val="20"/>
          <w:szCs w:val="20"/>
          <w:lang w:val="es-ES_tradnl"/>
        </w:rPr>
        <w:t>, se compromete por la acción u omisión de sus agentes</w:t>
      </w:r>
      <w:r w:rsidR="00B053C8" w:rsidRPr="00B06A7F">
        <w:rPr>
          <w:rStyle w:val="FootnoteReference"/>
          <w:sz w:val="20"/>
          <w:szCs w:val="20"/>
          <w:lang w:val="es-ES_tradnl"/>
        </w:rPr>
        <w:footnoteReference w:id="583"/>
      </w:r>
      <w:r w:rsidR="00A404A4">
        <w:rPr>
          <w:sz w:val="20"/>
          <w:szCs w:val="20"/>
          <w:lang w:val="es-ES_tradnl"/>
        </w:rPr>
        <w:t xml:space="preserve">. Ésta </w:t>
      </w:r>
      <w:r w:rsidR="00B053C8" w:rsidRPr="00B053C8">
        <w:rPr>
          <w:sz w:val="20"/>
          <w:szCs w:val="20"/>
          <w:lang w:val="es-ES_tradnl"/>
        </w:rPr>
        <w:t>no se limita a las actuaciones dentro de su</w:t>
      </w:r>
      <w:r w:rsidR="00A404A4">
        <w:rPr>
          <w:sz w:val="20"/>
          <w:szCs w:val="20"/>
          <w:lang w:val="es-ES_tradnl"/>
        </w:rPr>
        <w:t xml:space="preserve"> territorio</w:t>
      </w:r>
      <w:r w:rsidR="00B053C8" w:rsidRPr="00B053C8">
        <w:rPr>
          <w:sz w:val="20"/>
          <w:szCs w:val="20"/>
          <w:lang w:val="es-ES_tradnl"/>
        </w:rPr>
        <w:t>, sino que se extienden además sobre los hechos ocurridos en el territorio de otro Estado, siempre y cuando se verifique el control y autoridad de sus agentes sobre dicho territorio</w:t>
      </w:r>
      <w:r w:rsidR="00B053C8" w:rsidRPr="00B06A7F">
        <w:rPr>
          <w:sz w:val="20"/>
          <w:szCs w:val="20"/>
          <w:vertAlign w:val="superscript"/>
          <w:lang w:val="es-ES_tradnl"/>
        </w:rPr>
        <w:footnoteReference w:id="584"/>
      </w:r>
      <w:r w:rsidR="00B053C8" w:rsidRPr="00B053C8">
        <w:rPr>
          <w:sz w:val="20"/>
          <w:szCs w:val="20"/>
          <w:lang w:val="es-ES_tradnl"/>
        </w:rPr>
        <w:t xml:space="preserve">. </w:t>
      </w:r>
    </w:p>
    <w:p w:rsidR="00DF63CA" w:rsidRDefault="00DF63CA" w:rsidP="00DF63CA">
      <w:pPr>
        <w:pStyle w:val="ListParagraph"/>
        <w:jc w:val="both"/>
        <w:rPr>
          <w:sz w:val="20"/>
          <w:szCs w:val="20"/>
          <w:lang w:val="es-AR"/>
        </w:rPr>
      </w:pPr>
    </w:p>
    <w:p w:rsidR="00DF63CA" w:rsidRPr="00DF63CA" w:rsidRDefault="00B053C8" w:rsidP="003B6A9B">
      <w:pPr>
        <w:pStyle w:val="ListParagraph"/>
        <w:numPr>
          <w:ilvl w:val="0"/>
          <w:numId w:val="58"/>
        </w:numPr>
        <w:ind w:left="0" w:firstLine="720"/>
        <w:jc w:val="both"/>
        <w:rPr>
          <w:sz w:val="20"/>
          <w:szCs w:val="20"/>
          <w:lang w:val="es-AR"/>
        </w:rPr>
      </w:pPr>
      <w:r w:rsidRPr="00DF63CA">
        <w:rPr>
          <w:sz w:val="20"/>
          <w:szCs w:val="20"/>
          <w:lang w:val="es-ES_tradnl"/>
        </w:rPr>
        <w:t xml:space="preserve">Al </w:t>
      </w:r>
      <w:r w:rsidRPr="00DF63CA">
        <w:rPr>
          <w:sz w:val="20"/>
          <w:szCs w:val="20"/>
          <w:lang w:val="es-AR"/>
        </w:rPr>
        <w:t>respecto</w:t>
      </w:r>
      <w:r w:rsidRPr="00DF63CA">
        <w:rPr>
          <w:sz w:val="20"/>
          <w:szCs w:val="20"/>
          <w:lang w:val="es-ES_tradnl"/>
        </w:rPr>
        <w:t xml:space="preserve">, la Comisión </w:t>
      </w:r>
      <w:r w:rsidR="00A404A4">
        <w:rPr>
          <w:sz w:val="20"/>
          <w:szCs w:val="20"/>
          <w:lang w:val="es-ES_tradnl"/>
        </w:rPr>
        <w:t xml:space="preserve">ha </w:t>
      </w:r>
      <w:r w:rsidRPr="00DF63CA">
        <w:rPr>
          <w:sz w:val="20"/>
          <w:szCs w:val="20"/>
          <w:lang w:val="es-ES_tradnl"/>
        </w:rPr>
        <w:t>destaca</w:t>
      </w:r>
      <w:r w:rsidR="00A404A4">
        <w:rPr>
          <w:sz w:val="20"/>
          <w:szCs w:val="20"/>
          <w:lang w:val="es-ES_tradnl"/>
        </w:rPr>
        <w:t>do</w:t>
      </w:r>
      <w:r w:rsidRPr="00DF63CA">
        <w:rPr>
          <w:sz w:val="20"/>
          <w:szCs w:val="20"/>
          <w:lang w:val="es-ES_tradnl"/>
        </w:rPr>
        <w:t xml:space="preserve"> que al momento de analizar el ámbito de jurisdicción de la Declaración Americana, es necesario determinar si existe un nexo de causalidad entre la conducta extraterritorial de un Estado mediante las actuaciones u omisiones de sus agentes y/o de personas que hayan actuado bajo su mando o aquiescencia y la alegada violación de los derechos y libertades de una persona</w:t>
      </w:r>
      <w:r w:rsidRPr="00B06A7F">
        <w:rPr>
          <w:rStyle w:val="FootnoteReference"/>
          <w:sz w:val="20"/>
          <w:szCs w:val="20"/>
          <w:lang w:val="es-ES_tradnl"/>
        </w:rPr>
        <w:footnoteReference w:id="585"/>
      </w:r>
      <w:r w:rsidRPr="00DF63CA">
        <w:rPr>
          <w:sz w:val="20"/>
          <w:szCs w:val="20"/>
          <w:lang w:val="es-ES_tradnl"/>
        </w:rPr>
        <w:t>.</w:t>
      </w:r>
    </w:p>
    <w:p w:rsidR="00DF63CA" w:rsidRDefault="00DF63CA" w:rsidP="00DF63CA">
      <w:pPr>
        <w:pStyle w:val="ListParagraph"/>
        <w:jc w:val="both"/>
        <w:rPr>
          <w:sz w:val="20"/>
          <w:szCs w:val="20"/>
          <w:lang w:val="es-AR"/>
        </w:rPr>
      </w:pPr>
    </w:p>
    <w:p w:rsidR="00B053C8" w:rsidRPr="00DF63CA" w:rsidRDefault="00440480" w:rsidP="003B6A9B">
      <w:pPr>
        <w:pStyle w:val="ListParagraph"/>
        <w:numPr>
          <w:ilvl w:val="0"/>
          <w:numId w:val="58"/>
        </w:numPr>
        <w:ind w:left="0" w:firstLine="720"/>
        <w:jc w:val="both"/>
        <w:rPr>
          <w:sz w:val="20"/>
          <w:szCs w:val="20"/>
          <w:lang w:val="es-AR"/>
        </w:rPr>
      </w:pPr>
      <w:r>
        <w:rPr>
          <w:sz w:val="20"/>
          <w:szCs w:val="20"/>
          <w:lang w:val="es-ES_tradnl"/>
        </w:rPr>
        <w:t>En una perspectiva similar</w:t>
      </w:r>
      <w:r w:rsidR="00B053C8" w:rsidRPr="00DF63CA">
        <w:rPr>
          <w:sz w:val="20"/>
          <w:szCs w:val="20"/>
          <w:lang w:val="es-ES_tradnl"/>
        </w:rPr>
        <w:t xml:space="preserve">, el Tribunal Europeo en el caso </w:t>
      </w:r>
      <w:r w:rsidR="00B053C8" w:rsidRPr="00DF63CA">
        <w:rPr>
          <w:i/>
          <w:sz w:val="20"/>
          <w:szCs w:val="20"/>
          <w:lang w:val="es-ES_tradnl"/>
        </w:rPr>
        <w:t>Loizidou vs. Turquía</w:t>
      </w:r>
      <w:r w:rsidR="00B053C8" w:rsidRPr="00DF63CA">
        <w:rPr>
          <w:sz w:val="20"/>
          <w:szCs w:val="20"/>
          <w:lang w:val="es-ES_tradnl"/>
        </w:rPr>
        <w:t>, determinó que donde un Estado ejerce control efectivo sobre un territorio, como en el caso de las ocupaciones militares, ejerce jurisdicción</w:t>
      </w:r>
      <w:r w:rsidR="00B053C8" w:rsidRPr="00B06A7F">
        <w:rPr>
          <w:rStyle w:val="FootnoteReference"/>
          <w:sz w:val="20"/>
          <w:szCs w:val="20"/>
          <w:lang w:val="es-ES_tradnl"/>
        </w:rPr>
        <w:footnoteReference w:id="586"/>
      </w:r>
      <w:r w:rsidR="00B053C8" w:rsidRPr="00DF63CA">
        <w:rPr>
          <w:sz w:val="20"/>
          <w:szCs w:val="20"/>
          <w:lang w:val="es-ES_tradnl"/>
        </w:rPr>
        <w:t>. El Tribunal expuso</w:t>
      </w:r>
      <w:r>
        <w:rPr>
          <w:sz w:val="20"/>
          <w:szCs w:val="20"/>
          <w:lang w:val="es-ES_tradnl"/>
        </w:rPr>
        <w:t xml:space="preserve"> ésto</w:t>
      </w:r>
      <w:r w:rsidR="00B053C8" w:rsidRPr="00DF63CA">
        <w:rPr>
          <w:sz w:val="20"/>
          <w:szCs w:val="20"/>
          <w:lang w:val="es-ES_tradnl"/>
        </w:rPr>
        <w:t xml:space="preserve"> en los siguientes términos:</w:t>
      </w:r>
    </w:p>
    <w:p w:rsidR="00B053C8" w:rsidRPr="00B06A7F" w:rsidRDefault="00B053C8" w:rsidP="00B053C8">
      <w:pPr>
        <w:ind w:firstLine="720"/>
        <w:jc w:val="both"/>
        <w:rPr>
          <w:rFonts w:ascii="Cambria" w:hAnsi="Cambria"/>
          <w:sz w:val="20"/>
          <w:szCs w:val="20"/>
          <w:lang w:val="es-ES_tradnl"/>
        </w:rPr>
      </w:pPr>
    </w:p>
    <w:p w:rsidR="00B053C8" w:rsidRPr="00B06A7F" w:rsidRDefault="00B053C8" w:rsidP="00B053C8">
      <w:pPr>
        <w:autoSpaceDE w:val="0"/>
        <w:autoSpaceDN w:val="0"/>
        <w:adjustRightInd w:val="0"/>
        <w:ind w:left="720" w:right="720"/>
        <w:jc w:val="both"/>
        <w:rPr>
          <w:rFonts w:ascii="Cambria" w:hAnsi="Cambria"/>
          <w:sz w:val="20"/>
          <w:szCs w:val="20"/>
          <w:lang w:val="es-ES_tradnl"/>
        </w:rPr>
      </w:pPr>
      <w:r w:rsidRPr="00B06A7F">
        <w:rPr>
          <w:rFonts w:ascii="Cambria" w:hAnsi="Cambria"/>
          <w:sz w:val="20"/>
          <w:szCs w:val="20"/>
          <w:lang w:val="es-ES_tradnl"/>
        </w:rPr>
        <w:t>Al respecto, la Corte recuerda que, aunque el artículo 1 (art.1) establece límites al alcance de la Convención, según esta disposición el concepto de “jurisdicción” no se restringe al territorio nacional de las Altas Partes Contratantes. […] la responsabilidad de las Partes Contratantes puede verse involucrada por actos de sus autoridades, ya sea que se lleven a cabo dentro o fuera de sus fronteras nacionales, que produzcan efectos fuera de su propio territorio […]</w:t>
      </w:r>
    </w:p>
    <w:p w:rsidR="00B053C8" w:rsidRPr="00B06A7F" w:rsidRDefault="00B053C8" w:rsidP="00B053C8">
      <w:pPr>
        <w:autoSpaceDE w:val="0"/>
        <w:autoSpaceDN w:val="0"/>
        <w:adjustRightInd w:val="0"/>
        <w:ind w:left="720" w:right="720"/>
        <w:jc w:val="both"/>
        <w:rPr>
          <w:rFonts w:ascii="Cambria" w:hAnsi="Cambria"/>
          <w:sz w:val="20"/>
          <w:szCs w:val="20"/>
          <w:lang w:val="es-ES_tradnl"/>
        </w:rPr>
      </w:pPr>
    </w:p>
    <w:p w:rsidR="00B053C8" w:rsidRPr="00B06A7F" w:rsidRDefault="00B053C8" w:rsidP="00B053C8">
      <w:pPr>
        <w:autoSpaceDE w:val="0"/>
        <w:autoSpaceDN w:val="0"/>
        <w:adjustRightInd w:val="0"/>
        <w:ind w:left="720" w:right="720"/>
        <w:jc w:val="both"/>
        <w:rPr>
          <w:rFonts w:ascii="Cambria" w:hAnsi="Cambria"/>
          <w:sz w:val="20"/>
          <w:szCs w:val="20"/>
          <w:lang w:val="es-ES_tradnl"/>
        </w:rPr>
      </w:pPr>
      <w:r w:rsidRPr="00B06A7F">
        <w:rPr>
          <w:rFonts w:ascii="Cambria" w:hAnsi="Cambria"/>
          <w:sz w:val="20"/>
          <w:szCs w:val="20"/>
          <w:lang w:val="es-ES_tradnl"/>
        </w:rPr>
        <w:t>Teniendo en cuenta el objeto y fin de la Convención, la responsabilidad de una Parte Contratante puede surgir también cuando como consecuencia de una acción militar- ya sea legal o ilegal- ejerce control efectivo de un área fuera de su territorio nacional. La obligación de garantizar en dicha área, los derechos y libertades consagradas en la Convención, deriva del hecho de tal control, ya sea ejercido directamente a través de sus fuerzas armadas, o a través de una administración local subordinada.</w:t>
      </w:r>
      <w:r w:rsidRPr="00B06A7F">
        <w:rPr>
          <w:rStyle w:val="FootnoteReference"/>
          <w:rFonts w:ascii="Cambria" w:hAnsi="Cambria"/>
          <w:sz w:val="20"/>
          <w:szCs w:val="20"/>
          <w:lang w:val="es-ES_tradnl"/>
        </w:rPr>
        <w:footnoteReference w:id="587"/>
      </w:r>
    </w:p>
    <w:p w:rsidR="00B053C8" w:rsidRPr="00B06A7F" w:rsidRDefault="00B053C8" w:rsidP="00B053C8">
      <w:pPr>
        <w:ind w:firstLine="720"/>
        <w:jc w:val="both"/>
        <w:rPr>
          <w:rFonts w:ascii="Cambria" w:hAnsi="Cambria"/>
          <w:sz w:val="20"/>
          <w:szCs w:val="20"/>
          <w:lang w:val="es-AR"/>
        </w:rPr>
      </w:pPr>
      <w:r w:rsidRPr="00B06A7F">
        <w:rPr>
          <w:rFonts w:ascii="Cambria" w:hAnsi="Cambria"/>
          <w:sz w:val="20"/>
          <w:szCs w:val="20"/>
          <w:lang w:val="es-ES_tradnl"/>
        </w:rPr>
        <w:t xml:space="preserve"> </w:t>
      </w:r>
    </w:p>
    <w:p w:rsidR="00DF63CA" w:rsidRPr="00DF63CA" w:rsidRDefault="00B053C8" w:rsidP="003B6A9B">
      <w:pPr>
        <w:pStyle w:val="ListParagraph"/>
        <w:numPr>
          <w:ilvl w:val="0"/>
          <w:numId w:val="58"/>
        </w:numPr>
        <w:ind w:left="0" w:firstLine="720"/>
        <w:jc w:val="both"/>
        <w:rPr>
          <w:sz w:val="20"/>
          <w:szCs w:val="20"/>
          <w:lang w:val="es-AR"/>
        </w:rPr>
      </w:pPr>
      <w:r w:rsidRPr="00B06A7F">
        <w:rPr>
          <w:sz w:val="20"/>
          <w:szCs w:val="20"/>
          <w:lang w:val="es-ES_tradnl"/>
        </w:rPr>
        <w:t xml:space="preserve">Posteriormente en el caso </w:t>
      </w:r>
      <w:r w:rsidRPr="00B06A7F">
        <w:rPr>
          <w:i/>
          <w:sz w:val="20"/>
          <w:szCs w:val="20"/>
          <w:lang w:val="es-ES_tradnl"/>
        </w:rPr>
        <w:t>Issa y otros vs. Turquía</w:t>
      </w:r>
      <w:r w:rsidRPr="00B06A7F">
        <w:rPr>
          <w:sz w:val="20"/>
          <w:szCs w:val="20"/>
          <w:lang w:val="es-ES_tradnl"/>
        </w:rPr>
        <w:t xml:space="preserve">, el Tribunal Europeo reiteró que la responsabilidad de un Estado puede generarse por la violación de derechos y libertades de personas que están en el territorio de otro Estado, pero que se encontraban bajo el control y la autoridad de agentes del primer </w:t>
      </w:r>
      <w:r w:rsidRPr="00B06A7F">
        <w:rPr>
          <w:sz w:val="20"/>
          <w:szCs w:val="20"/>
          <w:lang w:val="es-ES_tradnl"/>
        </w:rPr>
        <w:lastRenderedPageBreak/>
        <w:t>Estado quienes operaban, legal o ilegalmente, en territorio del segundo. El test aplicado es el del “control efectivo”. Según el Tribunal Europeo, la responsabilidad en ese tipo de situaciones se genera como resultado de que no puede interpretarse el artículo 1 del Convenio Europeo de tal forma que le permita a un Estado parte cometer violaciones de derechos humanos en el territorio de otro Estado, que en su propio territorio no podría cometer</w:t>
      </w:r>
      <w:r w:rsidRPr="00B06A7F">
        <w:rPr>
          <w:rStyle w:val="FootnoteReference"/>
          <w:sz w:val="20"/>
          <w:szCs w:val="20"/>
          <w:lang w:val="es-ES_tradnl"/>
        </w:rPr>
        <w:footnoteReference w:id="588"/>
      </w:r>
      <w:r w:rsidRPr="00B06A7F">
        <w:rPr>
          <w:sz w:val="20"/>
          <w:szCs w:val="20"/>
          <w:lang w:val="es-ES_tradnl"/>
        </w:rPr>
        <w:t xml:space="preserve">.  </w:t>
      </w:r>
      <w:r w:rsidR="00232729">
        <w:rPr>
          <w:sz w:val="20"/>
          <w:szCs w:val="20"/>
          <w:lang w:val="es-ES_tradnl"/>
        </w:rPr>
        <w:t xml:space="preserve">La Corte indicó que el “control efectivo” global, por ejemplo como resultado de una operación militar podría ser temporal, y sobre una porción particular del territorio del segundo estado, y todavía dar lugar a responsabilidad internacional para el primer estado. </w:t>
      </w:r>
    </w:p>
    <w:p w:rsidR="00DF63CA" w:rsidRDefault="00DF63CA" w:rsidP="00DF63CA">
      <w:pPr>
        <w:pStyle w:val="ListParagraph"/>
        <w:jc w:val="both"/>
        <w:rPr>
          <w:sz w:val="20"/>
          <w:szCs w:val="20"/>
          <w:lang w:val="es-AR"/>
        </w:rPr>
      </w:pPr>
    </w:p>
    <w:p w:rsidR="00B053C8" w:rsidRPr="00DF63CA" w:rsidRDefault="00B053C8" w:rsidP="003B6A9B">
      <w:pPr>
        <w:pStyle w:val="ListParagraph"/>
        <w:numPr>
          <w:ilvl w:val="0"/>
          <w:numId w:val="58"/>
        </w:numPr>
        <w:ind w:left="0" w:firstLine="720"/>
        <w:jc w:val="both"/>
        <w:rPr>
          <w:sz w:val="20"/>
          <w:szCs w:val="20"/>
          <w:lang w:val="es-AR"/>
        </w:rPr>
      </w:pPr>
      <w:r w:rsidRPr="00DF63CA">
        <w:rPr>
          <w:sz w:val="20"/>
          <w:szCs w:val="20"/>
          <w:lang w:val="es-ES_tradnl"/>
        </w:rPr>
        <w:t xml:space="preserve">El Comité de Derechos Humanos estableció en su Observación General 31, que: </w:t>
      </w:r>
    </w:p>
    <w:p w:rsidR="00B053C8" w:rsidRPr="00B06A7F" w:rsidRDefault="00B053C8" w:rsidP="00B053C8">
      <w:pPr>
        <w:ind w:firstLine="720"/>
        <w:jc w:val="both"/>
        <w:rPr>
          <w:rFonts w:ascii="Cambria" w:hAnsi="Cambria"/>
          <w:sz w:val="20"/>
          <w:szCs w:val="20"/>
          <w:lang w:val="es-AR"/>
        </w:rPr>
      </w:pPr>
    </w:p>
    <w:p w:rsidR="00B053C8" w:rsidRPr="00713E68" w:rsidRDefault="00B053C8" w:rsidP="00B053C8">
      <w:pPr>
        <w:ind w:left="720" w:right="720"/>
        <w:jc w:val="both"/>
        <w:rPr>
          <w:rFonts w:ascii="Cambria" w:hAnsi="Cambria"/>
          <w:spacing w:val="-2"/>
          <w:sz w:val="20"/>
          <w:szCs w:val="20"/>
          <w:lang w:val="es-ES"/>
        </w:rPr>
      </w:pPr>
      <w:r w:rsidRPr="00B06A7F">
        <w:rPr>
          <w:rFonts w:ascii="Cambria" w:hAnsi="Cambria"/>
          <w:sz w:val="20"/>
          <w:szCs w:val="20"/>
          <w:lang w:val="es-ES_tradnl"/>
        </w:rPr>
        <w:t xml:space="preserve">[…] </w:t>
      </w:r>
      <w:r w:rsidR="00232729">
        <w:rPr>
          <w:rFonts w:ascii="Cambria" w:hAnsi="Cambria"/>
          <w:sz w:val="20"/>
          <w:szCs w:val="20"/>
          <w:lang w:val="es-ES_tradnl"/>
        </w:rPr>
        <w:t>E</w:t>
      </w:r>
      <w:r w:rsidRPr="00B06A7F">
        <w:rPr>
          <w:rFonts w:ascii="Cambria" w:hAnsi="Cambria"/>
          <w:sz w:val="20"/>
          <w:szCs w:val="20"/>
          <w:lang w:val="es-ES_tradnl"/>
        </w:rPr>
        <w:t>l disfrute de los derechos del Pacto no se restringe a los ciudadanos de los Estados Partes, sino que debe también extenderse a todos los individuos, independientemente de su nacionalidad o de su situación apátrida […]. Este principio se aplica asimismo a los sometidos al poder o al control eficaz de las fuerzas de un Estado Parte que actúan fuera de su territorio, independientemente de las circunstancias en las que ese poder o control eficaz se obtuvo, como las fuerzas que constituyen un contingente nacional de un Estado Parte asignado a una operación internacional encargada de</w:t>
      </w:r>
      <w:r w:rsidR="00EA0F0A">
        <w:rPr>
          <w:rFonts w:ascii="Cambria" w:hAnsi="Cambria"/>
          <w:sz w:val="20"/>
          <w:szCs w:val="20"/>
          <w:lang w:val="es-ES_tradnl"/>
        </w:rPr>
        <w:t xml:space="preserve"> imponer la paz o de mantenerla</w:t>
      </w:r>
      <w:r w:rsidRPr="00B06A7F">
        <w:rPr>
          <w:rStyle w:val="FootnoteReference"/>
          <w:rFonts w:ascii="Cambria" w:hAnsi="Cambria"/>
          <w:sz w:val="20"/>
          <w:szCs w:val="20"/>
        </w:rPr>
        <w:footnoteReference w:id="589"/>
      </w:r>
      <w:r w:rsidR="00EA0F0A" w:rsidRPr="00713E68">
        <w:rPr>
          <w:rFonts w:ascii="Cambria" w:hAnsi="Cambria"/>
          <w:sz w:val="20"/>
          <w:szCs w:val="20"/>
          <w:lang w:val="es-ES"/>
        </w:rPr>
        <w:t>.</w:t>
      </w:r>
    </w:p>
    <w:p w:rsidR="00DF63CA" w:rsidRDefault="00DF63CA" w:rsidP="00DF63CA">
      <w:pPr>
        <w:pStyle w:val="ListParagraph"/>
        <w:jc w:val="both"/>
        <w:rPr>
          <w:sz w:val="20"/>
          <w:szCs w:val="20"/>
          <w:lang w:val="es-AR"/>
        </w:rPr>
      </w:pPr>
    </w:p>
    <w:p w:rsidR="00DF63CA" w:rsidRPr="00DF63CA" w:rsidRDefault="00B053C8" w:rsidP="00612BB4">
      <w:pPr>
        <w:pStyle w:val="ListParagraph"/>
        <w:numPr>
          <w:ilvl w:val="0"/>
          <w:numId w:val="58"/>
        </w:numPr>
        <w:ind w:left="0" w:firstLine="720"/>
        <w:jc w:val="both"/>
        <w:rPr>
          <w:sz w:val="20"/>
          <w:szCs w:val="20"/>
          <w:lang w:val="es-AR"/>
        </w:rPr>
      </w:pPr>
      <w:r w:rsidRPr="00DF63CA">
        <w:rPr>
          <w:sz w:val="20"/>
          <w:szCs w:val="20"/>
          <w:lang w:val="es-AR"/>
        </w:rPr>
        <w:t xml:space="preserve">En estos escenarios de ocupación, </w:t>
      </w:r>
      <w:r w:rsidRPr="00DF63CA">
        <w:rPr>
          <w:sz w:val="20"/>
          <w:szCs w:val="20"/>
          <w:lang w:val="es-US"/>
        </w:rPr>
        <w:t xml:space="preserve">la Comisión Interamericana observa que es preciso </w:t>
      </w:r>
      <w:r w:rsidR="00612BB4">
        <w:rPr>
          <w:sz w:val="20"/>
          <w:szCs w:val="20"/>
          <w:lang w:val="es-US"/>
        </w:rPr>
        <w:t xml:space="preserve">verificar </w:t>
      </w:r>
      <w:r w:rsidRPr="00DF63CA">
        <w:rPr>
          <w:sz w:val="20"/>
          <w:szCs w:val="20"/>
          <w:lang w:val="es-US"/>
        </w:rPr>
        <w:t>la e</w:t>
      </w:r>
      <w:r w:rsidR="00612BB4">
        <w:rPr>
          <w:sz w:val="20"/>
          <w:szCs w:val="20"/>
          <w:lang w:val="es-US"/>
        </w:rPr>
        <w:t>xistencia de “control efectivo”</w:t>
      </w:r>
      <w:r w:rsidR="00612BB4" w:rsidRPr="00612BB4">
        <w:rPr>
          <w:sz w:val="20"/>
          <w:szCs w:val="20"/>
          <w:lang w:val="es-US"/>
        </w:rPr>
        <w:t>, y para ello se aplican las normas pertinentes del derecho internacional humanitario y los derechos humanos para el territorio sujeto a ocupación.</w:t>
      </w:r>
      <w:r w:rsidRPr="00B06A7F">
        <w:rPr>
          <w:rStyle w:val="FootnoteReference"/>
          <w:sz w:val="20"/>
          <w:szCs w:val="20"/>
        </w:rPr>
        <w:footnoteReference w:id="590"/>
      </w:r>
      <w:r w:rsidRPr="00DF63CA">
        <w:rPr>
          <w:sz w:val="20"/>
          <w:szCs w:val="20"/>
          <w:lang w:val="es-US"/>
        </w:rPr>
        <w:t xml:space="preserve">. </w:t>
      </w:r>
    </w:p>
    <w:p w:rsidR="00DF63CA" w:rsidRDefault="00DF63CA" w:rsidP="00DF63CA">
      <w:pPr>
        <w:pStyle w:val="ListParagraph"/>
        <w:jc w:val="both"/>
        <w:rPr>
          <w:sz w:val="20"/>
          <w:szCs w:val="20"/>
          <w:lang w:val="es-AR"/>
        </w:rPr>
      </w:pPr>
    </w:p>
    <w:p w:rsidR="00DF63CA" w:rsidRPr="00DF63CA" w:rsidRDefault="00B053C8" w:rsidP="003B6A9B">
      <w:pPr>
        <w:pStyle w:val="ListParagraph"/>
        <w:numPr>
          <w:ilvl w:val="0"/>
          <w:numId w:val="58"/>
        </w:numPr>
        <w:ind w:left="0" w:firstLine="720"/>
        <w:jc w:val="both"/>
        <w:rPr>
          <w:sz w:val="20"/>
          <w:szCs w:val="20"/>
          <w:lang w:val="es-AR"/>
        </w:rPr>
      </w:pPr>
      <w:r w:rsidRPr="00DF63CA">
        <w:rPr>
          <w:sz w:val="20"/>
          <w:szCs w:val="20"/>
          <w:lang w:val="es-US"/>
        </w:rPr>
        <w:t xml:space="preserve">Al respecto, el artículo 42 del Reglamento de La Haya de 1907 establece que "se considera un territorio como ocupado cuando se encuentra de hecho colocado bajo la autoridad del ejército enemigo. La ocupación no se extiende más que a los territorios donde dicha autoridad se halla establecida y con medios para ser ejecutada”. Frente a esto el Comité Internacional de la Cruz Roja </w:t>
      </w:r>
      <w:r w:rsidR="00612BB4">
        <w:rPr>
          <w:sz w:val="20"/>
          <w:szCs w:val="20"/>
          <w:lang w:val="es-US"/>
        </w:rPr>
        <w:t xml:space="preserve">(en adelante “CICR”) </w:t>
      </w:r>
      <w:r w:rsidRPr="00DF63CA">
        <w:rPr>
          <w:sz w:val="20"/>
          <w:szCs w:val="20"/>
          <w:lang w:val="es-US"/>
        </w:rPr>
        <w:t xml:space="preserve">ha establecido que virtud del artículo 2 común a los cuatro Convenios de Ginebra de 1949, </w:t>
      </w:r>
      <w:r w:rsidR="00612BB4">
        <w:rPr>
          <w:sz w:val="20"/>
          <w:szCs w:val="20"/>
          <w:lang w:val="es-US"/>
        </w:rPr>
        <w:t>estos tratados</w:t>
      </w:r>
      <w:r w:rsidRPr="00DF63CA">
        <w:rPr>
          <w:sz w:val="20"/>
          <w:szCs w:val="20"/>
          <w:lang w:val="es-US"/>
        </w:rPr>
        <w:t xml:space="preserve"> aplican a todos los casos de ocupación de territorios durante conflictos internacionales, así como en situaciones en las que la ocupación del territorio de un Estado no encuentra resistencia armada</w:t>
      </w:r>
      <w:r w:rsidRPr="00B06A7F">
        <w:rPr>
          <w:rStyle w:val="FootnoteReference"/>
          <w:sz w:val="20"/>
          <w:szCs w:val="20"/>
        </w:rPr>
        <w:footnoteReference w:id="591"/>
      </w:r>
      <w:r w:rsidRPr="00DF63CA">
        <w:rPr>
          <w:sz w:val="20"/>
          <w:szCs w:val="20"/>
          <w:lang w:val="es-US"/>
        </w:rPr>
        <w:t xml:space="preserve">. </w:t>
      </w:r>
    </w:p>
    <w:p w:rsidR="00DF63CA" w:rsidRDefault="00DF63CA" w:rsidP="00DF63CA">
      <w:pPr>
        <w:pStyle w:val="ListParagraph"/>
        <w:jc w:val="both"/>
        <w:rPr>
          <w:sz w:val="20"/>
          <w:szCs w:val="20"/>
          <w:lang w:val="es-AR"/>
        </w:rPr>
      </w:pPr>
    </w:p>
    <w:p w:rsidR="00DF63CA" w:rsidRPr="008A2E32" w:rsidRDefault="00B053C8" w:rsidP="003B6A9B">
      <w:pPr>
        <w:pStyle w:val="ListParagraph"/>
        <w:numPr>
          <w:ilvl w:val="0"/>
          <w:numId w:val="58"/>
        </w:numPr>
        <w:ind w:left="0" w:firstLine="720"/>
        <w:jc w:val="both"/>
        <w:rPr>
          <w:sz w:val="20"/>
          <w:szCs w:val="20"/>
          <w:lang w:val="es-AR"/>
        </w:rPr>
      </w:pPr>
      <w:r w:rsidRPr="008A2E32">
        <w:rPr>
          <w:sz w:val="20"/>
          <w:szCs w:val="20"/>
          <w:lang w:val="es-AR"/>
        </w:rPr>
        <w:t xml:space="preserve">Más aún, </w:t>
      </w:r>
      <w:r w:rsidR="00612BB4">
        <w:rPr>
          <w:sz w:val="20"/>
          <w:szCs w:val="20"/>
          <w:lang w:val="es-US"/>
        </w:rPr>
        <w:t xml:space="preserve">el Comité Internacional de la Cruz Roja </w:t>
      </w:r>
      <w:r w:rsidRPr="008A2E32">
        <w:rPr>
          <w:sz w:val="20"/>
          <w:szCs w:val="20"/>
          <w:lang w:val="es-US"/>
        </w:rPr>
        <w:t xml:space="preserve">ha establecido que a pesar de que la ocupación se encuentra regulada por la Carta de las Naciones Unidas y por el derecho conocido como </w:t>
      </w:r>
      <w:r w:rsidRPr="008A2E32">
        <w:rPr>
          <w:i/>
          <w:sz w:val="20"/>
          <w:szCs w:val="20"/>
          <w:lang w:val="es-US"/>
        </w:rPr>
        <w:t>jus ad bellum</w:t>
      </w:r>
      <w:r w:rsidRPr="008A2E32">
        <w:rPr>
          <w:sz w:val="20"/>
          <w:szCs w:val="20"/>
          <w:lang w:val="es-US"/>
        </w:rPr>
        <w:t xml:space="preserve">, cuando existe una situación que, en los hechos, equivale a una ocupación, se aplica el derecho de la </w:t>
      </w:r>
      <w:r w:rsidR="008A2E32" w:rsidRPr="008A2E32">
        <w:rPr>
          <w:sz w:val="20"/>
          <w:szCs w:val="20"/>
          <w:lang w:val="es-US"/>
        </w:rPr>
        <w:t>ocupación, independientemente</w:t>
      </w:r>
      <w:r w:rsidRPr="008A2E32">
        <w:rPr>
          <w:sz w:val="20"/>
          <w:szCs w:val="20"/>
          <w:lang w:val="es-US"/>
        </w:rPr>
        <w:t xml:space="preserve"> de que la ocupación se considere lícita o no. Es decir, -tal y como lo ha respaldado el CICR-, </w:t>
      </w:r>
      <w:r w:rsidR="006A4E59">
        <w:rPr>
          <w:sz w:val="20"/>
          <w:szCs w:val="20"/>
          <w:lang w:val="es-US"/>
        </w:rPr>
        <w:t xml:space="preserve">que para determinar </w:t>
      </w:r>
      <w:r w:rsidRPr="008A2E32">
        <w:rPr>
          <w:sz w:val="20"/>
          <w:szCs w:val="20"/>
          <w:lang w:val="es-US"/>
        </w:rPr>
        <w:t>la aplicabilidad del derecho de la ocupación</w:t>
      </w:r>
      <w:r w:rsidR="006A4E59">
        <w:rPr>
          <w:sz w:val="20"/>
          <w:szCs w:val="20"/>
          <w:lang w:val="es-US"/>
        </w:rPr>
        <w:t>,</w:t>
      </w:r>
      <w:r w:rsidRPr="008A2E32">
        <w:rPr>
          <w:sz w:val="20"/>
          <w:szCs w:val="20"/>
          <w:lang w:val="es-US"/>
        </w:rPr>
        <w:t xml:space="preserve"> no depende de que el Consejo de Seguridad haya aprobado la ocupación, ni del objetivo que ésta persiga, ni de la calificación que reciba, </w:t>
      </w:r>
      <w:r w:rsidR="006A4E59">
        <w:rPr>
          <w:sz w:val="20"/>
          <w:szCs w:val="20"/>
          <w:lang w:val="es-US"/>
        </w:rPr>
        <w:t xml:space="preserve">más bien, la determinación de su aplicabilidad se determina </w:t>
      </w:r>
      <w:r w:rsidRPr="008A2E32">
        <w:rPr>
          <w:sz w:val="20"/>
          <w:szCs w:val="20"/>
          <w:lang w:val="es-US"/>
        </w:rPr>
        <w:t>únicamente a partir de los hechos que ocurren sobre el terreno. Asimismo, el CICR ha establecido que el derecho de ocupación aplica en los casos de ocupación total o parcial de territorios extranjeros, independientemente de si la ocupación se enfrenta o no a resistencia armada</w:t>
      </w:r>
      <w:r w:rsidRPr="00B06A7F">
        <w:rPr>
          <w:rStyle w:val="FootnoteReference"/>
          <w:sz w:val="20"/>
          <w:szCs w:val="20"/>
        </w:rPr>
        <w:footnoteReference w:id="592"/>
      </w:r>
      <w:r w:rsidRPr="008A2E32">
        <w:rPr>
          <w:rFonts w:cs="Times"/>
          <w:sz w:val="20"/>
          <w:szCs w:val="20"/>
          <w:lang w:val="es-US"/>
        </w:rPr>
        <w:t xml:space="preserve">. </w:t>
      </w:r>
    </w:p>
    <w:p w:rsidR="00DF63CA" w:rsidRPr="00DF63CA" w:rsidRDefault="00DF63CA" w:rsidP="00DF63CA">
      <w:pPr>
        <w:pStyle w:val="ListParagraph"/>
        <w:jc w:val="both"/>
        <w:rPr>
          <w:sz w:val="20"/>
          <w:szCs w:val="20"/>
          <w:lang w:val="es-AR"/>
        </w:rPr>
      </w:pPr>
    </w:p>
    <w:p w:rsidR="00B053C8" w:rsidRPr="00DF63CA" w:rsidRDefault="00B053C8" w:rsidP="003B6A9B">
      <w:pPr>
        <w:pStyle w:val="ListParagraph"/>
        <w:numPr>
          <w:ilvl w:val="0"/>
          <w:numId w:val="58"/>
        </w:numPr>
        <w:ind w:left="0" w:firstLine="720"/>
        <w:jc w:val="both"/>
        <w:rPr>
          <w:sz w:val="20"/>
          <w:szCs w:val="20"/>
          <w:lang w:val="es-AR"/>
        </w:rPr>
      </w:pPr>
      <w:r w:rsidRPr="00DF63CA">
        <w:rPr>
          <w:sz w:val="20"/>
          <w:szCs w:val="20"/>
          <w:lang w:val="es-US"/>
        </w:rPr>
        <w:t>En adición, en un caso similar al que nos ocupa, la CIDH estableció que l</w:t>
      </w:r>
      <w:r w:rsidRPr="00DF63CA">
        <w:rPr>
          <w:rFonts w:eastAsia="Times New Roman"/>
          <w:sz w:val="20"/>
          <w:szCs w:val="20"/>
          <w:lang w:val="es-US"/>
        </w:rPr>
        <w:t>a protección del Cuarto Convenio de Ginebra comienza a aplicarse "desde el principio de cualquier conflicto u ocupación mencionados en el artículo 2</w:t>
      </w:r>
      <w:r w:rsidR="006A4E59">
        <w:rPr>
          <w:rFonts w:eastAsia="Times New Roman"/>
          <w:sz w:val="20"/>
          <w:szCs w:val="20"/>
          <w:lang w:val="es-US"/>
        </w:rPr>
        <w:t>”</w:t>
      </w:r>
      <w:r w:rsidRPr="00B06A7F">
        <w:rPr>
          <w:rStyle w:val="FootnoteReference"/>
          <w:rFonts w:eastAsia="Times New Roman"/>
          <w:sz w:val="20"/>
          <w:szCs w:val="20"/>
        </w:rPr>
        <w:footnoteReference w:id="593"/>
      </w:r>
      <w:r w:rsidRPr="00DF63CA">
        <w:rPr>
          <w:rFonts w:eastAsia="Times New Roman"/>
          <w:sz w:val="20"/>
          <w:szCs w:val="20"/>
          <w:lang w:val="es-US"/>
        </w:rPr>
        <w:t xml:space="preserve">. Las relaciones entre las tropas que avanzan y los civiles están regidas por el Convenio (independientemente de que dicho avance incluya o no hostilidades), y no existe una brecha en la aplicación </w:t>
      </w:r>
      <w:r w:rsidRPr="00DF63CA">
        <w:rPr>
          <w:rFonts w:eastAsia="Times New Roman"/>
          <w:sz w:val="20"/>
          <w:szCs w:val="20"/>
          <w:lang w:val="es-US"/>
        </w:rPr>
        <w:lastRenderedPageBreak/>
        <w:t>de las disposiciones "entre lo que podría calificarse como la fase de invasión y la inauguración de un régimen estable de ocupación"</w:t>
      </w:r>
      <w:r w:rsidRPr="00B06A7F">
        <w:rPr>
          <w:rStyle w:val="FootnoteReference"/>
          <w:rFonts w:eastAsia="Times New Roman"/>
          <w:sz w:val="20"/>
          <w:szCs w:val="20"/>
        </w:rPr>
        <w:footnoteReference w:id="594"/>
      </w:r>
      <w:r w:rsidRPr="00DF63CA">
        <w:rPr>
          <w:rFonts w:eastAsia="Times New Roman"/>
          <w:sz w:val="20"/>
          <w:szCs w:val="20"/>
          <w:lang w:val="es-US"/>
        </w:rPr>
        <w:t xml:space="preserve">. </w:t>
      </w:r>
    </w:p>
    <w:p w:rsidR="00EA0F0A" w:rsidRPr="00713E68" w:rsidRDefault="00EA0F0A" w:rsidP="00B053C8">
      <w:pPr>
        <w:jc w:val="both"/>
        <w:rPr>
          <w:rFonts w:ascii="Cambria" w:hAnsi="Cambria"/>
          <w:sz w:val="20"/>
          <w:szCs w:val="20"/>
          <w:lang w:val="es-ES"/>
        </w:rPr>
      </w:pPr>
    </w:p>
    <w:p w:rsidR="00B053C8" w:rsidRPr="005177AF" w:rsidRDefault="005177AF" w:rsidP="00D529F8">
      <w:pPr>
        <w:pStyle w:val="Heading2"/>
        <w:numPr>
          <w:ilvl w:val="0"/>
          <w:numId w:val="71"/>
        </w:numPr>
        <w:spacing w:before="0" w:after="0"/>
        <w:ind w:firstLine="0"/>
        <w:jc w:val="both"/>
        <w:rPr>
          <w:rFonts w:ascii="Cambria" w:hAnsi="Cambria"/>
          <w:sz w:val="20"/>
          <w:szCs w:val="20"/>
          <w:lang w:val="es-VE"/>
        </w:rPr>
      </w:pPr>
      <w:bookmarkStart w:id="33" w:name="_Toc525294045"/>
      <w:r w:rsidRPr="00177DF2">
        <w:rPr>
          <w:rFonts w:ascii="Cambria" w:eastAsia="Cambria" w:hAnsi="Cambria"/>
          <w:i w:val="0"/>
          <w:sz w:val="20"/>
          <w:szCs w:val="20"/>
          <w:lang w:val="es-VE"/>
        </w:rPr>
        <w:t xml:space="preserve">Aplicabilidad del derecho internacional humanitario como </w:t>
      </w:r>
      <w:r w:rsidRPr="005177AF">
        <w:rPr>
          <w:rFonts w:ascii="Cambria" w:eastAsia="Cambria" w:hAnsi="Cambria"/>
          <w:sz w:val="20"/>
          <w:szCs w:val="20"/>
          <w:lang w:val="es-VE"/>
        </w:rPr>
        <w:t>lex speciali</w:t>
      </w:r>
      <w:r w:rsidRPr="005177AF">
        <w:rPr>
          <w:rFonts w:ascii="Cambria" w:hAnsi="Cambria"/>
          <w:sz w:val="20"/>
          <w:szCs w:val="20"/>
          <w:lang w:val="es-VE"/>
        </w:rPr>
        <w:t>s</w:t>
      </w:r>
      <w:bookmarkEnd w:id="33"/>
    </w:p>
    <w:p w:rsidR="00B053C8" w:rsidRPr="00B06A7F" w:rsidRDefault="00B053C8" w:rsidP="00B053C8">
      <w:pPr>
        <w:ind w:firstLine="720"/>
        <w:jc w:val="both"/>
        <w:rPr>
          <w:rFonts w:ascii="Cambria" w:hAnsi="Cambria"/>
          <w:sz w:val="20"/>
          <w:szCs w:val="20"/>
          <w:lang w:val="es-AR"/>
        </w:rPr>
      </w:pPr>
    </w:p>
    <w:p w:rsidR="00DF63CA" w:rsidRDefault="00B053C8" w:rsidP="003B6A9B">
      <w:pPr>
        <w:pStyle w:val="ListParagraph"/>
        <w:numPr>
          <w:ilvl w:val="0"/>
          <w:numId w:val="58"/>
        </w:numPr>
        <w:ind w:left="0" w:firstLine="720"/>
        <w:jc w:val="both"/>
        <w:rPr>
          <w:sz w:val="20"/>
          <w:szCs w:val="20"/>
          <w:lang w:val="es-AR"/>
        </w:rPr>
      </w:pPr>
      <w:r w:rsidRPr="00B06A7F">
        <w:rPr>
          <w:rFonts w:eastAsia="Times New Roman"/>
          <w:spacing w:val="-2"/>
          <w:sz w:val="20"/>
          <w:szCs w:val="20"/>
          <w:lang w:val="es-US"/>
        </w:rPr>
        <w:t xml:space="preserve">Al igual que </w:t>
      </w:r>
      <w:r w:rsidRPr="00B06A7F">
        <w:rPr>
          <w:rFonts w:eastAsia="Times New Roman"/>
          <w:sz w:val="20"/>
          <w:szCs w:val="20"/>
          <w:lang w:val="es-US"/>
        </w:rPr>
        <w:t>otros</w:t>
      </w:r>
      <w:r w:rsidRPr="00B06A7F">
        <w:rPr>
          <w:rFonts w:eastAsia="Times New Roman"/>
          <w:spacing w:val="-2"/>
          <w:sz w:val="20"/>
          <w:szCs w:val="20"/>
          <w:lang w:val="es-US"/>
        </w:rPr>
        <w:t xml:space="preserve"> instrumentos universales y regionales sobre derechos humanos, la Declaración Americana guarda</w:t>
      </w:r>
      <w:r w:rsidR="006A4E59">
        <w:rPr>
          <w:rFonts w:eastAsia="Times New Roman"/>
          <w:spacing w:val="-2"/>
          <w:sz w:val="20"/>
          <w:szCs w:val="20"/>
          <w:lang w:val="es-US"/>
        </w:rPr>
        <w:t xml:space="preserve"> </w:t>
      </w:r>
      <w:r w:rsidRPr="00B06A7F">
        <w:rPr>
          <w:rFonts w:eastAsia="Times New Roman"/>
          <w:spacing w:val="-2"/>
          <w:sz w:val="20"/>
          <w:szCs w:val="20"/>
          <w:lang w:val="es-US"/>
        </w:rPr>
        <w:t>relación con los Convenios de Ginebra de 1949, dado que comparten un núcleo común de derechos no suspendibles y el objetivo común de proteger la integridad física y la dignidad del ser humano</w:t>
      </w:r>
      <w:r w:rsidRPr="00B06A7F">
        <w:rPr>
          <w:rStyle w:val="FootnoteReference"/>
          <w:rFonts w:eastAsia="Times New Roman"/>
          <w:spacing w:val="-2"/>
          <w:sz w:val="20"/>
          <w:szCs w:val="20"/>
        </w:rPr>
        <w:footnoteReference w:id="595"/>
      </w:r>
      <w:r w:rsidRPr="00B06A7F">
        <w:rPr>
          <w:rFonts w:eastAsia="Times New Roman"/>
          <w:spacing w:val="-2"/>
          <w:sz w:val="20"/>
          <w:szCs w:val="20"/>
          <w:lang w:val="es-US"/>
        </w:rPr>
        <w:t>.  A pesar de que los tratados sobre derechos humanos son aplicables tanto en tiempo de paz como en situaciones de conflictos armados</w:t>
      </w:r>
      <w:r w:rsidRPr="00B06A7F">
        <w:rPr>
          <w:rStyle w:val="FootnoteReference"/>
          <w:rFonts w:eastAsia="Times New Roman"/>
          <w:spacing w:val="-2"/>
          <w:sz w:val="20"/>
          <w:szCs w:val="20"/>
        </w:rPr>
        <w:footnoteReference w:id="596"/>
      </w:r>
      <w:r w:rsidRPr="00B06A7F">
        <w:rPr>
          <w:rFonts w:eastAsia="Times New Roman"/>
          <w:spacing w:val="-2"/>
          <w:sz w:val="20"/>
          <w:szCs w:val="20"/>
          <w:lang w:val="es-US"/>
        </w:rPr>
        <w:t xml:space="preserve">, esos instrumentos de derechos humanos </w:t>
      </w:r>
      <w:r w:rsidR="00DD7A1D">
        <w:rPr>
          <w:rFonts w:eastAsia="Times New Roman"/>
          <w:spacing w:val="-2"/>
          <w:sz w:val="20"/>
          <w:szCs w:val="20"/>
          <w:lang w:val="es-US"/>
        </w:rPr>
        <w:t xml:space="preserve">no </w:t>
      </w:r>
      <w:r w:rsidRPr="00B06A7F">
        <w:rPr>
          <w:rFonts w:eastAsia="Times New Roman"/>
          <w:spacing w:val="-2"/>
          <w:sz w:val="20"/>
          <w:szCs w:val="20"/>
          <w:lang w:val="es-US"/>
        </w:rPr>
        <w:t>h</w:t>
      </w:r>
      <w:r w:rsidR="00DD7A1D">
        <w:rPr>
          <w:rFonts w:eastAsia="Times New Roman"/>
          <w:spacing w:val="-2"/>
          <w:sz w:val="20"/>
          <w:szCs w:val="20"/>
          <w:lang w:val="es-US"/>
        </w:rPr>
        <w:t>an</w:t>
      </w:r>
      <w:r w:rsidRPr="00B06A7F">
        <w:rPr>
          <w:rFonts w:eastAsia="Times New Roman"/>
          <w:spacing w:val="-2"/>
          <w:sz w:val="20"/>
          <w:szCs w:val="20"/>
          <w:lang w:val="es-US"/>
        </w:rPr>
        <w:t xml:space="preserve"> sido diseñado</w:t>
      </w:r>
      <w:r w:rsidR="00DD7A1D">
        <w:rPr>
          <w:rFonts w:eastAsia="Times New Roman"/>
          <w:spacing w:val="-2"/>
          <w:sz w:val="20"/>
          <w:szCs w:val="20"/>
          <w:lang w:val="es-US"/>
        </w:rPr>
        <w:t>s</w:t>
      </w:r>
      <w:r w:rsidRPr="00B06A7F">
        <w:rPr>
          <w:rFonts w:eastAsia="Times New Roman"/>
          <w:spacing w:val="-2"/>
          <w:sz w:val="20"/>
          <w:szCs w:val="20"/>
          <w:lang w:val="es-US"/>
        </w:rPr>
        <w:t xml:space="preserve"> para regular situaciones de </w:t>
      </w:r>
      <w:r w:rsidR="00DD7A1D">
        <w:rPr>
          <w:rFonts w:eastAsia="Times New Roman"/>
          <w:spacing w:val="-2"/>
          <w:sz w:val="20"/>
          <w:szCs w:val="20"/>
          <w:lang w:val="es-US"/>
        </w:rPr>
        <w:t>guerra</w:t>
      </w:r>
      <w:r w:rsidRPr="00B06A7F">
        <w:rPr>
          <w:rFonts w:eastAsia="Times New Roman"/>
          <w:spacing w:val="-2"/>
          <w:sz w:val="20"/>
          <w:szCs w:val="20"/>
          <w:lang w:val="es-US"/>
        </w:rPr>
        <w:t xml:space="preserve"> y, por lo tanto, no incluyen </w:t>
      </w:r>
      <w:r w:rsidRPr="00B06A7F">
        <w:rPr>
          <w:rFonts w:eastAsia="Times New Roman"/>
          <w:sz w:val="20"/>
          <w:szCs w:val="20"/>
          <w:lang w:val="es-US"/>
        </w:rPr>
        <w:t>normas</w:t>
      </w:r>
      <w:r w:rsidRPr="00B06A7F">
        <w:rPr>
          <w:rFonts w:eastAsia="Times New Roman"/>
          <w:spacing w:val="-2"/>
          <w:sz w:val="20"/>
          <w:szCs w:val="20"/>
          <w:lang w:val="es-US"/>
        </w:rPr>
        <w:t xml:space="preserve"> que rijan los medios y los métodos de los conflictos armados</w:t>
      </w:r>
      <w:r w:rsidRPr="00B06A7F">
        <w:rPr>
          <w:rStyle w:val="FootnoteReference"/>
          <w:rFonts w:eastAsia="Times New Roman"/>
          <w:spacing w:val="-2"/>
          <w:sz w:val="20"/>
          <w:szCs w:val="20"/>
        </w:rPr>
        <w:footnoteReference w:id="597"/>
      </w:r>
      <w:r w:rsidRPr="00B06A7F">
        <w:rPr>
          <w:rFonts w:eastAsia="Times New Roman"/>
          <w:spacing w:val="-2"/>
          <w:sz w:val="20"/>
          <w:szCs w:val="20"/>
          <w:lang w:val="es-US"/>
        </w:rPr>
        <w:t xml:space="preserve">.   </w:t>
      </w:r>
    </w:p>
    <w:p w:rsidR="00DF63CA" w:rsidRDefault="00DF63CA" w:rsidP="00DF63CA">
      <w:pPr>
        <w:pStyle w:val="ListParagraph"/>
        <w:jc w:val="both"/>
        <w:rPr>
          <w:sz w:val="20"/>
          <w:szCs w:val="20"/>
          <w:lang w:val="es-AR"/>
        </w:rPr>
      </w:pPr>
    </w:p>
    <w:p w:rsidR="00DF63CA" w:rsidRPr="00DF63CA" w:rsidRDefault="00B053C8" w:rsidP="003B6A9B">
      <w:pPr>
        <w:pStyle w:val="ListParagraph"/>
        <w:numPr>
          <w:ilvl w:val="0"/>
          <w:numId w:val="58"/>
        </w:numPr>
        <w:ind w:left="0" w:firstLine="720"/>
        <w:jc w:val="both"/>
        <w:rPr>
          <w:sz w:val="20"/>
          <w:szCs w:val="20"/>
          <w:lang w:val="es-AR"/>
        </w:rPr>
      </w:pPr>
      <w:r w:rsidRPr="00DF63CA">
        <w:rPr>
          <w:sz w:val="20"/>
          <w:szCs w:val="20"/>
          <w:lang w:val="es-ES_tradnl"/>
        </w:rPr>
        <w:t>Es así como tanto el artículo 3 común de los Convenios de Ginebra y el artículo 1 de la Declaración Americana de los Derechos y Deberes del Hombre protegen el derecho a la vida y</w:t>
      </w:r>
      <w:r w:rsidR="00CF30F9">
        <w:rPr>
          <w:sz w:val="20"/>
          <w:szCs w:val="20"/>
          <w:lang w:val="es-ES_tradnl"/>
        </w:rPr>
        <w:t>,</w:t>
      </w:r>
      <w:r w:rsidRPr="00DF63CA">
        <w:rPr>
          <w:sz w:val="20"/>
          <w:szCs w:val="20"/>
          <w:lang w:val="es-ES_tradnl"/>
        </w:rPr>
        <w:t xml:space="preserve"> en consecuencia, prohíben las ejecuciones extrajudiciales en cualquier circunstancia</w:t>
      </w:r>
      <w:r w:rsidRPr="00B06A7F">
        <w:rPr>
          <w:rStyle w:val="FootnoteReference"/>
          <w:sz w:val="20"/>
          <w:szCs w:val="20"/>
          <w:lang w:val="es-ES_tradnl"/>
        </w:rPr>
        <w:footnoteReference w:id="598"/>
      </w:r>
      <w:r w:rsidRPr="00DF63CA">
        <w:rPr>
          <w:sz w:val="20"/>
          <w:szCs w:val="20"/>
          <w:lang w:val="es-ES_tradnl"/>
        </w:rPr>
        <w:t>. Por lo tanto, las denuncias que aleguen privaciones arbitrarias del derecho a la vida, atribuibles a agentes del Estado, están claramente dentro de la competencia</w:t>
      </w:r>
      <w:r w:rsidR="00F969F2">
        <w:rPr>
          <w:sz w:val="20"/>
          <w:szCs w:val="20"/>
          <w:lang w:val="es-ES_tradnl"/>
        </w:rPr>
        <w:t xml:space="preserve"> de la Comisión Interamericana; si ha sido establecida</w:t>
      </w:r>
      <w:r w:rsidRPr="00DF63CA">
        <w:rPr>
          <w:sz w:val="20"/>
          <w:szCs w:val="20"/>
          <w:lang w:val="es-ES_tradnl"/>
        </w:rPr>
        <w:t xml:space="preserve"> la existencia de un </w:t>
      </w:r>
      <w:r w:rsidRPr="00DF63CA">
        <w:rPr>
          <w:rFonts w:eastAsia="Times New Roman"/>
          <w:spacing w:val="-2"/>
          <w:sz w:val="20"/>
          <w:szCs w:val="20"/>
          <w:lang w:val="es-US"/>
        </w:rPr>
        <w:t>conflicto</w:t>
      </w:r>
      <w:r w:rsidRPr="00DF63CA">
        <w:rPr>
          <w:sz w:val="20"/>
          <w:szCs w:val="20"/>
          <w:lang w:val="es-ES_tradnl"/>
        </w:rPr>
        <w:t xml:space="preserve"> armado, resulta indispensable acudir al DIH como fuente de interpretación autorizada que permita aplicar la </w:t>
      </w:r>
      <w:r w:rsidR="00DD7A1D">
        <w:rPr>
          <w:sz w:val="20"/>
          <w:szCs w:val="20"/>
          <w:lang w:val="es-ES_tradnl"/>
        </w:rPr>
        <w:t xml:space="preserve">Declaración </w:t>
      </w:r>
      <w:r w:rsidRPr="00DF63CA">
        <w:rPr>
          <w:sz w:val="20"/>
          <w:szCs w:val="20"/>
          <w:lang w:val="es-ES_tradnl"/>
        </w:rPr>
        <w:t>Americana con una debida consideración de las características particulares de esta situación</w:t>
      </w:r>
      <w:r w:rsidRPr="00B06A7F">
        <w:rPr>
          <w:rStyle w:val="FootnoteReference"/>
          <w:sz w:val="20"/>
          <w:szCs w:val="20"/>
          <w:lang w:val="es-ES_tradnl"/>
        </w:rPr>
        <w:footnoteReference w:id="599"/>
      </w:r>
      <w:r w:rsidRPr="00DF63CA">
        <w:rPr>
          <w:sz w:val="20"/>
          <w:szCs w:val="20"/>
          <w:lang w:val="es-ES_tradnl"/>
        </w:rPr>
        <w:t>.</w:t>
      </w:r>
    </w:p>
    <w:p w:rsidR="00DF63CA" w:rsidRDefault="00DF63CA" w:rsidP="00DF63CA">
      <w:pPr>
        <w:pStyle w:val="ListParagraph"/>
        <w:jc w:val="both"/>
        <w:rPr>
          <w:sz w:val="20"/>
          <w:szCs w:val="20"/>
          <w:lang w:val="es-AR"/>
        </w:rPr>
      </w:pPr>
    </w:p>
    <w:p w:rsidR="00DF63CA" w:rsidRPr="00DF63CA" w:rsidRDefault="00B053C8" w:rsidP="003B6A9B">
      <w:pPr>
        <w:pStyle w:val="ListParagraph"/>
        <w:numPr>
          <w:ilvl w:val="0"/>
          <w:numId w:val="58"/>
        </w:numPr>
        <w:ind w:left="0" w:firstLine="720"/>
        <w:jc w:val="both"/>
        <w:rPr>
          <w:sz w:val="20"/>
          <w:szCs w:val="20"/>
          <w:lang w:val="es-AR"/>
        </w:rPr>
      </w:pPr>
      <w:r w:rsidRPr="00DF63CA">
        <w:rPr>
          <w:sz w:val="20"/>
          <w:szCs w:val="20"/>
          <w:lang w:val="es-AR"/>
        </w:rPr>
        <w:t xml:space="preserve">De lo anterior se desprende la competencia de la </w:t>
      </w:r>
      <w:r w:rsidRPr="00DF63CA">
        <w:rPr>
          <w:sz w:val="20"/>
          <w:szCs w:val="20"/>
          <w:lang w:val="es-ES_tradnl"/>
        </w:rPr>
        <w:t xml:space="preserve">Comisión frente a hechos </w:t>
      </w:r>
      <w:r w:rsidRPr="00DF63CA">
        <w:rPr>
          <w:sz w:val="20"/>
          <w:szCs w:val="20"/>
          <w:lang w:val="es-ES"/>
        </w:rPr>
        <w:t xml:space="preserve">denunciados, ocurridos en el contexto de un conflicto armado. </w:t>
      </w:r>
      <w:r w:rsidR="00CF30F9">
        <w:rPr>
          <w:sz w:val="20"/>
          <w:szCs w:val="20"/>
          <w:lang w:val="es-ES"/>
        </w:rPr>
        <w:t xml:space="preserve">En el contexto de la Convención Americana, como referencia general, el </w:t>
      </w:r>
      <w:r w:rsidRPr="00DF63CA">
        <w:rPr>
          <w:sz w:val="20"/>
          <w:szCs w:val="20"/>
          <w:lang w:val="es-ES"/>
        </w:rPr>
        <w:t xml:space="preserve">artículo 27 </w:t>
      </w:r>
      <w:r w:rsidR="00F969F2">
        <w:rPr>
          <w:sz w:val="20"/>
          <w:szCs w:val="20"/>
          <w:lang w:val="es-ES"/>
        </w:rPr>
        <w:t xml:space="preserve">indica que es posible </w:t>
      </w:r>
      <w:r w:rsidRPr="00DF63CA">
        <w:rPr>
          <w:sz w:val="20"/>
          <w:szCs w:val="20"/>
          <w:lang w:val="es-ES"/>
        </w:rPr>
        <w:t xml:space="preserve">la </w:t>
      </w:r>
      <w:r w:rsidRPr="00DF63CA">
        <w:rPr>
          <w:rFonts w:eastAsia="Times New Roman"/>
          <w:spacing w:val="-2"/>
          <w:sz w:val="20"/>
          <w:szCs w:val="20"/>
          <w:lang w:val="es-US"/>
        </w:rPr>
        <w:t>suspensión</w:t>
      </w:r>
      <w:r w:rsidRPr="00DF63CA">
        <w:rPr>
          <w:sz w:val="20"/>
          <w:szCs w:val="20"/>
          <w:lang w:val="es-ES"/>
        </w:rPr>
        <w:t xml:space="preserve"> de ciertos derechos en el contexto de conflictos armados pero </w:t>
      </w:r>
      <w:r w:rsidR="00F969F2">
        <w:rPr>
          <w:sz w:val="20"/>
          <w:szCs w:val="20"/>
          <w:lang w:val="es-ES"/>
        </w:rPr>
        <w:t xml:space="preserve">establece claramente que no es posible </w:t>
      </w:r>
      <w:r w:rsidRPr="00DF63CA">
        <w:rPr>
          <w:sz w:val="20"/>
          <w:szCs w:val="20"/>
          <w:lang w:val="es-ES"/>
        </w:rPr>
        <w:t>suspende</w:t>
      </w:r>
      <w:r w:rsidR="00F969F2">
        <w:rPr>
          <w:sz w:val="20"/>
          <w:szCs w:val="20"/>
          <w:lang w:val="es-ES"/>
        </w:rPr>
        <w:t>r</w:t>
      </w:r>
      <w:r w:rsidRPr="00DF63CA">
        <w:rPr>
          <w:sz w:val="20"/>
          <w:szCs w:val="20"/>
          <w:lang w:val="es-ES"/>
        </w:rPr>
        <w:t xml:space="preserve"> la vigencia de la Convención en su integridad ni priva</w:t>
      </w:r>
      <w:r w:rsidR="00F969F2">
        <w:rPr>
          <w:sz w:val="20"/>
          <w:szCs w:val="20"/>
          <w:lang w:val="es-ES"/>
        </w:rPr>
        <w:t>r</w:t>
      </w:r>
      <w:r w:rsidRPr="00DF63CA">
        <w:rPr>
          <w:sz w:val="20"/>
          <w:szCs w:val="20"/>
          <w:lang w:val="es-ES"/>
        </w:rPr>
        <w:t xml:space="preserve"> a esta Comisión de sus atribuciones</w:t>
      </w:r>
      <w:r w:rsidRPr="00B06A7F">
        <w:rPr>
          <w:rStyle w:val="FootnoteReference"/>
          <w:sz w:val="20"/>
          <w:szCs w:val="20"/>
          <w:lang w:val="es-ES"/>
        </w:rPr>
        <w:footnoteReference w:id="600"/>
      </w:r>
      <w:r w:rsidRPr="00DF63CA">
        <w:rPr>
          <w:sz w:val="20"/>
          <w:szCs w:val="20"/>
          <w:lang w:val="es-ES"/>
        </w:rPr>
        <w:t xml:space="preserve">. </w:t>
      </w:r>
    </w:p>
    <w:p w:rsidR="00DF63CA" w:rsidRDefault="00DF63CA" w:rsidP="00DF63CA">
      <w:pPr>
        <w:pStyle w:val="ListParagraph"/>
        <w:jc w:val="both"/>
        <w:rPr>
          <w:sz w:val="20"/>
          <w:szCs w:val="20"/>
          <w:lang w:val="es-AR"/>
        </w:rPr>
      </w:pPr>
    </w:p>
    <w:p w:rsidR="00A20B20" w:rsidRDefault="00CF30F9" w:rsidP="00C8126E">
      <w:pPr>
        <w:pStyle w:val="ListParagraph"/>
        <w:numPr>
          <w:ilvl w:val="0"/>
          <w:numId w:val="58"/>
        </w:numPr>
        <w:ind w:left="0" w:firstLine="720"/>
        <w:jc w:val="both"/>
        <w:rPr>
          <w:sz w:val="20"/>
          <w:szCs w:val="20"/>
          <w:lang w:val="es-AR"/>
        </w:rPr>
      </w:pPr>
      <w:r>
        <w:rPr>
          <w:sz w:val="20"/>
          <w:szCs w:val="20"/>
          <w:lang w:val="es-ES"/>
        </w:rPr>
        <w:t>Como l</w:t>
      </w:r>
      <w:r w:rsidR="00B053C8" w:rsidRPr="00DF63CA">
        <w:rPr>
          <w:sz w:val="20"/>
          <w:szCs w:val="20"/>
          <w:lang w:val="es-ES"/>
        </w:rPr>
        <w:t>a CIDH</w:t>
      </w:r>
      <w:r>
        <w:rPr>
          <w:sz w:val="20"/>
          <w:szCs w:val="20"/>
          <w:lang w:val="es-ES"/>
        </w:rPr>
        <w:t xml:space="preserve"> ha establecido,</w:t>
      </w:r>
      <w:r w:rsidR="00B053C8" w:rsidRPr="00DF63CA">
        <w:rPr>
          <w:sz w:val="20"/>
          <w:szCs w:val="20"/>
          <w:lang w:val="es-ES"/>
        </w:rPr>
        <w:t xml:space="preserve"> el mismo análisis aplica frente a la </w:t>
      </w:r>
      <w:r w:rsidR="00B053C8" w:rsidRPr="00DF63CA">
        <w:rPr>
          <w:sz w:val="20"/>
          <w:szCs w:val="20"/>
          <w:lang w:val="es-ES_tradnl"/>
        </w:rPr>
        <w:t>Declaración Americana</w:t>
      </w:r>
      <w:r>
        <w:rPr>
          <w:sz w:val="20"/>
          <w:szCs w:val="20"/>
          <w:lang w:val="es-ES_tradnl"/>
        </w:rPr>
        <w:t>,</w:t>
      </w:r>
      <w:r w:rsidR="00B053C8" w:rsidRPr="00DF63CA">
        <w:rPr>
          <w:sz w:val="20"/>
          <w:szCs w:val="20"/>
          <w:lang w:val="es-ES_tradnl"/>
        </w:rPr>
        <w:t xml:space="preserve"> un instrumento redactado </w:t>
      </w:r>
      <w:r w:rsidR="00F969F2">
        <w:rPr>
          <w:sz w:val="20"/>
          <w:szCs w:val="20"/>
          <w:lang w:val="es-US"/>
        </w:rPr>
        <w:t>en términos generales que</w:t>
      </w:r>
      <w:r w:rsidR="00B053C8" w:rsidRPr="00DF63CA">
        <w:rPr>
          <w:sz w:val="20"/>
          <w:szCs w:val="20"/>
          <w:lang w:val="es-US"/>
        </w:rPr>
        <w:t xml:space="preserve"> no incluye disposiciones específicas relacionadas con su aplicabilidad en situaciones de conflicto</w:t>
      </w:r>
      <w:r w:rsidR="00B053C8" w:rsidRPr="00B06A7F">
        <w:rPr>
          <w:rStyle w:val="FootnoteReference"/>
          <w:sz w:val="20"/>
          <w:szCs w:val="20"/>
        </w:rPr>
        <w:footnoteReference w:id="601"/>
      </w:r>
      <w:r w:rsidR="00F969F2">
        <w:rPr>
          <w:sz w:val="20"/>
          <w:szCs w:val="20"/>
          <w:lang w:val="es-US"/>
        </w:rPr>
        <w:t xml:space="preserve"> </w:t>
      </w:r>
      <w:r w:rsidR="00B053C8" w:rsidRPr="00DF63CA">
        <w:rPr>
          <w:sz w:val="20"/>
          <w:szCs w:val="20"/>
          <w:lang w:val="es-US"/>
        </w:rPr>
        <w:t>o suspensión de garantías.</w:t>
      </w:r>
      <w:r w:rsidR="00C8126E">
        <w:rPr>
          <w:sz w:val="20"/>
          <w:szCs w:val="20"/>
          <w:lang w:val="es-US"/>
        </w:rPr>
        <w:t xml:space="preserve"> </w:t>
      </w:r>
      <w:r w:rsidR="00C8126E" w:rsidRPr="00C8126E">
        <w:rPr>
          <w:sz w:val="20"/>
          <w:szCs w:val="20"/>
          <w:lang w:val="es-US"/>
        </w:rPr>
        <w:t xml:space="preserve">En consecuencia, en la etapa de fondo, la CIDH debe analizar las obligaciones del Estado en virtud de la Declaración Americana a la luz de los estándares del derecho internacional humanitario que se aplican como </w:t>
      </w:r>
      <w:r w:rsidR="00C8126E" w:rsidRPr="00C8126E">
        <w:rPr>
          <w:i/>
          <w:sz w:val="20"/>
          <w:szCs w:val="20"/>
          <w:lang w:val="es-US"/>
        </w:rPr>
        <w:t>lex specialis</w:t>
      </w:r>
      <w:r w:rsidR="00C8126E" w:rsidRPr="00C8126E">
        <w:rPr>
          <w:sz w:val="20"/>
          <w:szCs w:val="20"/>
          <w:lang w:val="es-US"/>
        </w:rPr>
        <w:t xml:space="preserve"> para fines de interpretación.</w:t>
      </w:r>
      <w:r w:rsidR="00B053C8" w:rsidRPr="00B06A7F">
        <w:rPr>
          <w:rStyle w:val="FootnoteReference"/>
          <w:sz w:val="20"/>
          <w:szCs w:val="20"/>
        </w:rPr>
        <w:footnoteReference w:id="602"/>
      </w:r>
      <w:r w:rsidR="00B053C8" w:rsidRPr="00DF63CA">
        <w:rPr>
          <w:sz w:val="20"/>
          <w:szCs w:val="20"/>
          <w:lang w:val="es-US"/>
        </w:rPr>
        <w:t xml:space="preserve">. </w:t>
      </w:r>
    </w:p>
    <w:p w:rsidR="00A20B20" w:rsidRDefault="00A20B20" w:rsidP="00A20B20">
      <w:pPr>
        <w:pStyle w:val="ListParagraph"/>
        <w:jc w:val="both"/>
        <w:rPr>
          <w:sz w:val="20"/>
          <w:szCs w:val="20"/>
          <w:lang w:val="es-AR"/>
        </w:rPr>
      </w:pPr>
    </w:p>
    <w:p w:rsidR="00A20B20" w:rsidRPr="00A20B20" w:rsidRDefault="00B053C8" w:rsidP="003B6A9B">
      <w:pPr>
        <w:pStyle w:val="ListParagraph"/>
        <w:numPr>
          <w:ilvl w:val="0"/>
          <w:numId w:val="58"/>
        </w:numPr>
        <w:ind w:left="0" w:firstLine="720"/>
        <w:jc w:val="both"/>
        <w:rPr>
          <w:sz w:val="20"/>
          <w:szCs w:val="20"/>
          <w:lang w:val="es-AR"/>
        </w:rPr>
      </w:pPr>
      <w:r w:rsidRPr="00A20B20">
        <w:rPr>
          <w:sz w:val="20"/>
          <w:szCs w:val="20"/>
          <w:lang w:val="es-AR"/>
        </w:rPr>
        <w:t xml:space="preserve">En la misma línea, la Comisión observa </w:t>
      </w:r>
      <w:r w:rsidRPr="00A20B20">
        <w:rPr>
          <w:sz w:val="20"/>
          <w:szCs w:val="20"/>
          <w:lang w:val="es-US"/>
        </w:rPr>
        <w:t>que a una conclusión similar arribaron un grupo de personas expertas del CICR, al establecer que el derecho internacional de los derechos humanos es plenamente aplicable en los casos de ocupación</w:t>
      </w:r>
      <w:r w:rsidR="000E0FAB">
        <w:rPr>
          <w:sz w:val="20"/>
          <w:szCs w:val="20"/>
          <w:lang w:val="es-US"/>
        </w:rPr>
        <w:t>. Los expertos</w:t>
      </w:r>
      <w:r w:rsidRPr="00A20B20">
        <w:rPr>
          <w:sz w:val="20"/>
          <w:szCs w:val="20"/>
          <w:lang w:val="es-US"/>
        </w:rPr>
        <w:t xml:space="preserve"> destacaron que en dichos casos procede un abordaje </w:t>
      </w:r>
      <w:r w:rsidRPr="00A20B20">
        <w:rPr>
          <w:sz w:val="20"/>
          <w:szCs w:val="20"/>
          <w:lang w:val="es-ES_tradnl"/>
        </w:rPr>
        <w:t>simultáneo</w:t>
      </w:r>
      <w:r w:rsidRPr="00A20B20">
        <w:rPr>
          <w:sz w:val="20"/>
          <w:szCs w:val="20"/>
          <w:lang w:val="es-US"/>
        </w:rPr>
        <w:t xml:space="preserve"> de ambos regímenes guardando un balance entre la interpretación y aplicación de la </w:t>
      </w:r>
      <w:r w:rsidRPr="000E0FAB">
        <w:rPr>
          <w:i/>
          <w:sz w:val="20"/>
          <w:szCs w:val="20"/>
          <w:lang w:val="es-US"/>
        </w:rPr>
        <w:t>lex specialis</w:t>
      </w:r>
      <w:r w:rsidRPr="00A20B20">
        <w:rPr>
          <w:sz w:val="20"/>
          <w:szCs w:val="20"/>
          <w:lang w:val="es-US"/>
        </w:rPr>
        <w:t xml:space="preserve">, y </w:t>
      </w:r>
      <w:r w:rsidRPr="00A20B20">
        <w:rPr>
          <w:sz w:val="20"/>
          <w:szCs w:val="20"/>
          <w:lang w:val="es-US"/>
        </w:rPr>
        <w:lastRenderedPageBreak/>
        <w:t>el derecho internacional de los derechos humanos en la medida que se respeten las consideraciones humanitarias y las necesidades militares</w:t>
      </w:r>
      <w:r w:rsidRPr="00B06A7F">
        <w:rPr>
          <w:sz w:val="20"/>
          <w:szCs w:val="20"/>
          <w:vertAlign w:val="superscript"/>
        </w:rPr>
        <w:footnoteReference w:id="603"/>
      </w:r>
      <w:r w:rsidRPr="00A20B20">
        <w:rPr>
          <w:sz w:val="20"/>
          <w:szCs w:val="20"/>
          <w:lang w:val="es-US"/>
        </w:rPr>
        <w:t xml:space="preserve">. Más aún, </w:t>
      </w:r>
      <w:r w:rsidR="000E0FAB">
        <w:rPr>
          <w:sz w:val="20"/>
          <w:szCs w:val="20"/>
          <w:lang w:val="es-US"/>
        </w:rPr>
        <w:t xml:space="preserve">la interacción de los </w:t>
      </w:r>
      <w:r w:rsidR="00544855">
        <w:rPr>
          <w:sz w:val="20"/>
          <w:szCs w:val="20"/>
          <w:lang w:val="es-US"/>
        </w:rPr>
        <w:t xml:space="preserve">regímenes debe ser determinada </w:t>
      </w:r>
      <w:r w:rsidRPr="00A20B20">
        <w:rPr>
          <w:sz w:val="20"/>
          <w:szCs w:val="20"/>
          <w:lang w:val="es-US"/>
        </w:rPr>
        <w:t xml:space="preserve">y </w:t>
      </w:r>
      <w:r w:rsidR="00544855">
        <w:rPr>
          <w:sz w:val="20"/>
          <w:szCs w:val="20"/>
          <w:lang w:val="es-US"/>
        </w:rPr>
        <w:t xml:space="preserve">analizada </w:t>
      </w:r>
      <w:r w:rsidRPr="00A20B20">
        <w:rPr>
          <w:sz w:val="20"/>
          <w:szCs w:val="20"/>
          <w:lang w:val="es-US"/>
        </w:rPr>
        <w:t xml:space="preserve">caso por caso. </w:t>
      </w:r>
    </w:p>
    <w:p w:rsidR="00A20B20" w:rsidRDefault="00A20B20" w:rsidP="00A20B20">
      <w:pPr>
        <w:pStyle w:val="ListParagraph"/>
        <w:jc w:val="both"/>
        <w:rPr>
          <w:sz w:val="20"/>
          <w:szCs w:val="20"/>
          <w:lang w:val="es-AR"/>
        </w:rPr>
      </w:pPr>
    </w:p>
    <w:p w:rsidR="00A20B20" w:rsidRPr="00A20B20" w:rsidRDefault="00B053C8" w:rsidP="003B6A9B">
      <w:pPr>
        <w:pStyle w:val="ListParagraph"/>
        <w:numPr>
          <w:ilvl w:val="0"/>
          <w:numId w:val="58"/>
        </w:numPr>
        <w:ind w:left="0" w:firstLine="720"/>
        <w:jc w:val="both"/>
        <w:rPr>
          <w:sz w:val="20"/>
          <w:szCs w:val="20"/>
          <w:lang w:val="es-AR"/>
        </w:rPr>
      </w:pPr>
      <w:r w:rsidRPr="00A20B20">
        <w:rPr>
          <w:sz w:val="20"/>
          <w:szCs w:val="20"/>
          <w:lang w:val="es-US"/>
        </w:rPr>
        <w:t xml:space="preserve">En general, si bien la Comisión puede considerar necesario apelar a las normas aplicables del derecho internacional humanitario al interpretar y aplicar las normas del </w:t>
      </w:r>
      <w:r w:rsidR="00544855">
        <w:rPr>
          <w:sz w:val="20"/>
          <w:szCs w:val="20"/>
          <w:lang w:val="es-US"/>
        </w:rPr>
        <w:t>S</w:t>
      </w:r>
      <w:r w:rsidRPr="00A20B20">
        <w:rPr>
          <w:sz w:val="20"/>
          <w:szCs w:val="20"/>
          <w:lang w:val="es-US"/>
        </w:rPr>
        <w:t xml:space="preserve">istema </w:t>
      </w:r>
      <w:r w:rsidR="00544855">
        <w:rPr>
          <w:sz w:val="20"/>
          <w:szCs w:val="20"/>
          <w:lang w:val="es-US"/>
        </w:rPr>
        <w:t>I</w:t>
      </w:r>
      <w:r w:rsidRPr="00A20B20">
        <w:rPr>
          <w:sz w:val="20"/>
          <w:szCs w:val="20"/>
          <w:lang w:val="es-US"/>
        </w:rPr>
        <w:t xml:space="preserve">nteramericano de </w:t>
      </w:r>
      <w:r w:rsidR="00544855">
        <w:rPr>
          <w:sz w:val="20"/>
          <w:szCs w:val="20"/>
          <w:lang w:val="es-US"/>
        </w:rPr>
        <w:t>D</w:t>
      </w:r>
      <w:r w:rsidRPr="00A20B20">
        <w:rPr>
          <w:sz w:val="20"/>
          <w:szCs w:val="20"/>
          <w:lang w:val="es-US"/>
        </w:rPr>
        <w:t xml:space="preserve">erechos </w:t>
      </w:r>
      <w:r w:rsidR="00544855">
        <w:rPr>
          <w:sz w:val="20"/>
          <w:szCs w:val="20"/>
          <w:lang w:val="es-US"/>
        </w:rPr>
        <w:t>H</w:t>
      </w:r>
      <w:r w:rsidRPr="00A20B20">
        <w:rPr>
          <w:sz w:val="20"/>
          <w:szCs w:val="20"/>
          <w:lang w:val="es-US"/>
        </w:rPr>
        <w:t>umanos, dos ordenamientos que ofrecen distintos niveles de protección, la Carta de la OEA le ha impuesto el mandato de hacer efectiva la normatividad que mejor proteja los derechos del individuo</w:t>
      </w:r>
      <w:r w:rsidRPr="00B06A7F">
        <w:rPr>
          <w:rStyle w:val="FootnoteReference"/>
          <w:sz w:val="20"/>
          <w:szCs w:val="20"/>
        </w:rPr>
        <w:footnoteReference w:id="604"/>
      </w:r>
      <w:r w:rsidRPr="00A20B20">
        <w:rPr>
          <w:sz w:val="20"/>
          <w:szCs w:val="20"/>
          <w:lang w:val="es-US"/>
        </w:rPr>
        <w:t>.</w:t>
      </w:r>
    </w:p>
    <w:p w:rsidR="00A20B20" w:rsidRPr="00A20B20" w:rsidRDefault="00A20B20" w:rsidP="00A20B20">
      <w:pPr>
        <w:pStyle w:val="ListParagraph"/>
        <w:jc w:val="both"/>
        <w:rPr>
          <w:sz w:val="20"/>
          <w:szCs w:val="20"/>
          <w:lang w:val="es-AR"/>
        </w:rPr>
      </w:pPr>
    </w:p>
    <w:p w:rsidR="00A20B20" w:rsidRPr="00B1190A" w:rsidRDefault="00B053C8" w:rsidP="003B6A9B">
      <w:pPr>
        <w:pStyle w:val="ListParagraph"/>
        <w:numPr>
          <w:ilvl w:val="0"/>
          <w:numId w:val="58"/>
        </w:numPr>
        <w:ind w:left="0" w:firstLine="720"/>
        <w:jc w:val="both"/>
        <w:rPr>
          <w:sz w:val="20"/>
          <w:szCs w:val="20"/>
          <w:lang w:val="es-AR"/>
        </w:rPr>
      </w:pPr>
      <w:r w:rsidRPr="00A20B20">
        <w:rPr>
          <w:sz w:val="20"/>
          <w:szCs w:val="20"/>
          <w:lang w:val="es-ES_tradnl"/>
        </w:rPr>
        <w:t>Por su complementariedad y el hecho de que ambas normativas se basan en los mismos principios y valores, el derecho internacional de los derechos humanos y el DIH pueden influirse y reforzarse mutuamente</w:t>
      </w:r>
      <w:r w:rsidR="00544855">
        <w:rPr>
          <w:sz w:val="20"/>
          <w:szCs w:val="20"/>
          <w:lang w:val="es-ES_tradnl"/>
        </w:rPr>
        <w:t xml:space="preserve">. Esto resulta consistente con </w:t>
      </w:r>
      <w:r w:rsidR="00544855">
        <w:rPr>
          <w:sz w:val="20"/>
          <w:szCs w:val="20"/>
          <w:lang w:val="es-US"/>
        </w:rPr>
        <w:t xml:space="preserve">las condiciones del </w:t>
      </w:r>
      <w:r w:rsidRPr="00A20B20">
        <w:rPr>
          <w:sz w:val="20"/>
          <w:szCs w:val="20"/>
          <w:lang w:val="es-ES_tradnl"/>
        </w:rPr>
        <w:t>artículo 31.3 (c) de la Convención de Viena sobre el</w:t>
      </w:r>
      <w:r w:rsidR="006A0786">
        <w:rPr>
          <w:sz w:val="20"/>
          <w:szCs w:val="20"/>
          <w:lang w:val="es-ES_tradnl"/>
        </w:rPr>
        <w:t xml:space="preserve"> </w:t>
      </w:r>
      <w:r w:rsidR="00E910D2">
        <w:rPr>
          <w:sz w:val="20"/>
          <w:szCs w:val="20"/>
          <w:lang w:val="es-ES_tradnl"/>
        </w:rPr>
        <w:t>D</w:t>
      </w:r>
      <w:r w:rsidRPr="00A20B20">
        <w:rPr>
          <w:sz w:val="20"/>
          <w:szCs w:val="20"/>
          <w:lang w:val="es-ES_tradnl"/>
        </w:rPr>
        <w:t>erecho de los Tratados</w:t>
      </w:r>
      <w:r w:rsidR="00E910D2">
        <w:rPr>
          <w:rStyle w:val="FootnoteReference"/>
          <w:sz w:val="20"/>
          <w:szCs w:val="20"/>
          <w:lang w:val="es-ES_tradnl"/>
        </w:rPr>
        <w:footnoteReference w:id="605"/>
      </w:r>
      <w:r w:rsidRPr="00A20B20">
        <w:rPr>
          <w:sz w:val="20"/>
          <w:szCs w:val="20"/>
          <w:lang w:val="es-ES_tradnl"/>
        </w:rPr>
        <w:t>, que establece que al interpretar una norma debe considerarse “toda norma pertinente del derecho internacional aplicable en las relaciones entre las partes”</w:t>
      </w:r>
      <w:r w:rsidRPr="00B06A7F">
        <w:rPr>
          <w:sz w:val="20"/>
          <w:szCs w:val="20"/>
          <w:vertAlign w:val="superscript"/>
          <w:lang w:val="es-ES_tradnl"/>
        </w:rPr>
        <w:footnoteReference w:id="606"/>
      </w:r>
      <w:r w:rsidR="00E910D2">
        <w:rPr>
          <w:sz w:val="20"/>
          <w:szCs w:val="20"/>
          <w:lang w:val="es-ES_tradnl"/>
        </w:rPr>
        <w:t xml:space="preserve">. </w:t>
      </w:r>
      <w:r w:rsidRPr="00A20B20">
        <w:rPr>
          <w:sz w:val="20"/>
          <w:szCs w:val="20"/>
          <w:lang w:val="es-ES_tradnl"/>
        </w:rPr>
        <w:t>De lo anterior se desprende que el derecho internacional de los derechos humanos puede ser interpretado a la luz del DIH y éste último a su vez, puede ser interpretado a la luz del derecho internacional de los derechos humanos, de resultar requerido</w:t>
      </w:r>
      <w:r w:rsidRPr="00B06A7F">
        <w:rPr>
          <w:rStyle w:val="FootnoteReference"/>
          <w:sz w:val="20"/>
          <w:szCs w:val="20"/>
          <w:lang w:val="es-ES_tradnl"/>
        </w:rPr>
        <w:footnoteReference w:id="607"/>
      </w:r>
      <w:r w:rsidRPr="00A20B20">
        <w:rPr>
          <w:sz w:val="20"/>
          <w:szCs w:val="20"/>
          <w:lang w:val="es-ES_tradnl"/>
        </w:rPr>
        <w:t>.</w:t>
      </w:r>
    </w:p>
    <w:p w:rsidR="00A20B20" w:rsidRDefault="00A20B20" w:rsidP="00A20B20">
      <w:pPr>
        <w:pStyle w:val="ListParagraph"/>
        <w:jc w:val="both"/>
        <w:rPr>
          <w:sz w:val="20"/>
          <w:szCs w:val="20"/>
          <w:lang w:val="es-AR"/>
        </w:rPr>
      </w:pPr>
    </w:p>
    <w:p w:rsidR="00A20B20" w:rsidRDefault="00B053C8" w:rsidP="003B6A9B">
      <w:pPr>
        <w:pStyle w:val="ListParagraph"/>
        <w:numPr>
          <w:ilvl w:val="0"/>
          <w:numId w:val="58"/>
        </w:numPr>
        <w:ind w:left="0" w:firstLine="720"/>
        <w:jc w:val="both"/>
        <w:rPr>
          <w:sz w:val="20"/>
          <w:szCs w:val="20"/>
          <w:lang w:val="es-AR"/>
        </w:rPr>
      </w:pPr>
      <w:r w:rsidRPr="00A20B20">
        <w:rPr>
          <w:sz w:val="20"/>
          <w:szCs w:val="20"/>
          <w:lang w:val="es-ES_tradnl"/>
        </w:rPr>
        <w:t xml:space="preserve">De esta manera, la CIDH afirma que aunque la </w:t>
      </w:r>
      <w:r w:rsidRPr="00A20B20">
        <w:rPr>
          <w:i/>
          <w:sz w:val="20"/>
          <w:szCs w:val="20"/>
          <w:lang w:val="es-ES_tradnl"/>
        </w:rPr>
        <w:t>lex specialis</w:t>
      </w:r>
      <w:r w:rsidRPr="00A20B20">
        <w:rPr>
          <w:sz w:val="20"/>
          <w:szCs w:val="20"/>
          <w:lang w:val="es-ES_tradnl"/>
        </w:rPr>
        <w:t xml:space="preserve"> respecto a hechos que tienen lugar en el contexto de un conflicto armado es el DIH, ello no significa que el derecho internacional de los derechos humanos no se aplique. Al contrario, lo que significa es que al aplicar el derecho de los derechos humanos</w:t>
      </w:r>
      <w:r w:rsidR="00E910D2">
        <w:rPr>
          <w:sz w:val="20"/>
          <w:szCs w:val="20"/>
          <w:lang w:val="es-ES_tradnl"/>
        </w:rPr>
        <w:t xml:space="preserve"> según su mandato</w:t>
      </w:r>
      <w:r w:rsidRPr="00A20B20">
        <w:rPr>
          <w:sz w:val="20"/>
          <w:szCs w:val="20"/>
          <w:lang w:val="es-ES_tradnl"/>
        </w:rPr>
        <w:t xml:space="preserve">, en este caso la Declaración Americana, </w:t>
      </w:r>
      <w:r w:rsidR="00544855">
        <w:rPr>
          <w:sz w:val="20"/>
          <w:szCs w:val="20"/>
          <w:lang w:val="es-ES_tradnl"/>
        </w:rPr>
        <w:t xml:space="preserve">se puede y en situaciones se debe recurrir </w:t>
      </w:r>
      <w:r w:rsidRPr="00A20B20">
        <w:rPr>
          <w:sz w:val="20"/>
          <w:szCs w:val="20"/>
          <w:lang w:val="es-ES_tradnl"/>
        </w:rPr>
        <w:t>al DIH para efectos de interpretación como normativa</w:t>
      </w:r>
      <w:r w:rsidR="00544855">
        <w:rPr>
          <w:sz w:val="20"/>
          <w:szCs w:val="20"/>
          <w:lang w:val="es-ES_tradnl"/>
        </w:rPr>
        <w:t xml:space="preserve"> más</w:t>
      </w:r>
      <w:r w:rsidRPr="00A20B20">
        <w:rPr>
          <w:sz w:val="20"/>
          <w:szCs w:val="20"/>
          <w:lang w:val="es-ES_tradnl"/>
        </w:rPr>
        <w:t xml:space="preserve"> específica que rige en </w:t>
      </w:r>
      <w:r w:rsidR="00544855">
        <w:rPr>
          <w:sz w:val="20"/>
          <w:szCs w:val="20"/>
          <w:lang w:val="es-ES_tradnl"/>
        </w:rPr>
        <w:t>un conflicto armado</w:t>
      </w:r>
      <w:r w:rsidRPr="00B06A7F">
        <w:rPr>
          <w:rStyle w:val="FootnoteReference"/>
          <w:sz w:val="20"/>
          <w:szCs w:val="20"/>
          <w:lang w:val="es-ES_tradnl"/>
        </w:rPr>
        <w:footnoteReference w:id="608"/>
      </w:r>
      <w:r w:rsidR="00544855">
        <w:rPr>
          <w:sz w:val="20"/>
          <w:szCs w:val="20"/>
          <w:lang w:val="es-ES_tradnl"/>
        </w:rPr>
        <w:t>.</w:t>
      </w:r>
      <w:r w:rsidRPr="00A20B20">
        <w:rPr>
          <w:sz w:val="20"/>
          <w:szCs w:val="20"/>
          <w:lang w:val="es-ES_tradnl"/>
        </w:rPr>
        <w:t xml:space="preserve">  </w:t>
      </w:r>
    </w:p>
    <w:p w:rsidR="00A20B20" w:rsidRDefault="00A20B20" w:rsidP="00A20B20">
      <w:pPr>
        <w:pStyle w:val="ListParagraph"/>
        <w:jc w:val="both"/>
        <w:rPr>
          <w:sz w:val="20"/>
          <w:szCs w:val="20"/>
          <w:lang w:val="es-AR"/>
        </w:rPr>
      </w:pPr>
    </w:p>
    <w:p w:rsidR="00A20B20" w:rsidRPr="006D123A" w:rsidRDefault="00B053C8" w:rsidP="003B6A9B">
      <w:pPr>
        <w:pStyle w:val="ListParagraph"/>
        <w:numPr>
          <w:ilvl w:val="0"/>
          <w:numId w:val="58"/>
        </w:numPr>
        <w:ind w:left="0" w:firstLine="720"/>
        <w:jc w:val="both"/>
        <w:rPr>
          <w:sz w:val="20"/>
          <w:szCs w:val="20"/>
          <w:lang w:val="es-AR"/>
        </w:rPr>
      </w:pPr>
      <w:r w:rsidRPr="00E910D2">
        <w:rPr>
          <w:sz w:val="20"/>
          <w:szCs w:val="20"/>
          <w:lang w:val="es-AR"/>
        </w:rPr>
        <w:t xml:space="preserve">Más aún, </w:t>
      </w:r>
      <w:r w:rsidRPr="00E910D2">
        <w:rPr>
          <w:sz w:val="20"/>
          <w:szCs w:val="20"/>
          <w:lang w:val="es-ES_tradnl"/>
        </w:rPr>
        <w:t>la Comisión Interamericana recuerda que se encuentra obligada por su Estatuto a examinar las denuncias que alegan la violación de un derecho protegido en el marco de la Declaración Americana</w:t>
      </w:r>
      <w:r w:rsidRPr="00B06A7F">
        <w:rPr>
          <w:rStyle w:val="FootnoteReference"/>
          <w:sz w:val="20"/>
          <w:szCs w:val="20"/>
          <w:lang w:val="es-ES_tradnl"/>
        </w:rPr>
        <w:footnoteReference w:id="609"/>
      </w:r>
      <w:r w:rsidRPr="00E910D2">
        <w:rPr>
          <w:sz w:val="20"/>
          <w:szCs w:val="20"/>
          <w:lang w:val="es-ES_tradnl"/>
        </w:rPr>
        <w:t>. Por lo tanto, el he</w:t>
      </w:r>
      <w:r w:rsidR="004F5A6B">
        <w:rPr>
          <w:sz w:val="20"/>
          <w:szCs w:val="20"/>
          <w:lang w:val="es-ES_tradnl"/>
        </w:rPr>
        <w:t xml:space="preserve">cho de que la resolución de la </w:t>
      </w:r>
      <w:r w:rsidRPr="00E910D2">
        <w:rPr>
          <w:sz w:val="20"/>
          <w:szCs w:val="20"/>
          <w:lang w:val="es-ES_tradnl"/>
        </w:rPr>
        <w:t xml:space="preserve">denuncia pueda requerir referencia a otro tratado no impide la </w:t>
      </w:r>
      <w:r w:rsidR="00E910D2" w:rsidRPr="00E910D2">
        <w:rPr>
          <w:sz w:val="20"/>
          <w:szCs w:val="20"/>
          <w:lang w:val="es-ES_tradnl"/>
        </w:rPr>
        <w:t>competencia</w:t>
      </w:r>
      <w:r w:rsidRPr="00E910D2">
        <w:rPr>
          <w:sz w:val="20"/>
          <w:szCs w:val="20"/>
          <w:lang w:val="es-ES_tradnl"/>
        </w:rPr>
        <w:t>, y la Corte Interamericana ha respaldado la práctica de la Comisión de invocar "otros tratados relacionados con la protección de los derechos humanos" en sus resoluciones e informes</w:t>
      </w:r>
      <w:r w:rsidRPr="00B06A7F">
        <w:rPr>
          <w:rStyle w:val="FootnoteReference"/>
          <w:sz w:val="20"/>
          <w:szCs w:val="20"/>
          <w:lang w:val="es-ES_tradnl"/>
        </w:rPr>
        <w:footnoteReference w:id="610"/>
      </w:r>
      <w:r w:rsidRPr="00E910D2">
        <w:rPr>
          <w:sz w:val="20"/>
          <w:szCs w:val="20"/>
          <w:lang w:val="es-ES_tradnl"/>
        </w:rPr>
        <w:t>.</w:t>
      </w:r>
      <w:r w:rsidR="006D123A">
        <w:rPr>
          <w:sz w:val="20"/>
          <w:szCs w:val="20"/>
          <w:lang w:val="es-AR"/>
        </w:rPr>
        <w:t xml:space="preserve"> </w:t>
      </w:r>
      <w:r w:rsidRPr="006D123A">
        <w:rPr>
          <w:rFonts w:eastAsia="Times New Roman"/>
          <w:sz w:val="20"/>
          <w:szCs w:val="20"/>
          <w:lang w:val="es-US"/>
        </w:rPr>
        <w:t>Eso sólo implica que la CIDH puede observar las regulaciones del DIH, en tanto normativa concreta en la materia, para dar aplicación más específica al contenido de la Declaración Americana en la definición de los alcances de las obligaciones estatales</w:t>
      </w:r>
      <w:r w:rsidRPr="00B06A7F">
        <w:rPr>
          <w:rStyle w:val="FootnoteReference"/>
          <w:rFonts w:eastAsia="Times New Roman"/>
          <w:sz w:val="20"/>
          <w:szCs w:val="20"/>
        </w:rPr>
        <w:footnoteReference w:id="611"/>
      </w:r>
      <w:r w:rsidR="008D2862">
        <w:rPr>
          <w:rFonts w:eastAsia="Times New Roman"/>
          <w:sz w:val="20"/>
          <w:szCs w:val="20"/>
          <w:lang w:val="es-US"/>
        </w:rPr>
        <w:t>.</w:t>
      </w:r>
    </w:p>
    <w:p w:rsidR="00B053C8" w:rsidRPr="00B06A7F" w:rsidRDefault="00B053C8" w:rsidP="00B053C8">
      <w:pPr>
        <w:ind w:firstLine="720"/>
        <w:jc w:val="both"/>
        <w:rPr>
          <w:rFonts w:ascii="Cambria" w:hAnsi="Cambria"/>
          <w:sz w:val="20"/>
          <w:szCs w:val="20"/>
          <w:lang w:val="es-AR"/>
        </w:rPr>
      </w:pPr>
    </w:p>
    <w:p w:rsidR="00A20B20" w:rsidRPr="00A20B20" w:rsidRDefault="00B053C8" w:rsidP="003B6A9B">
      <w:pPr>
        <w:pStyle w:val="ListParagraph"/>
        <w:numPr>
          <w:ilvl w:val="0"/>
          <w:numId w:val="58"/>
        </w:numPr>
        <w:ind w:left="0" w:firstLine="720"/>
        <w:jc w:val="both"/>
        <w:rPr>
          <w:sz w:val="20"/>
          <w:szCs w:val="20"/>
          <w:lang w:val="es-AR"/>
        </w:rPr>
      </w:pPr>
      <w:r w:rsidRPr="00B06A7F">
        <w:rPr>
          <w:sz w:val="20"/>
          <w:szCs w:val="20"/>
          <w:lang w:val="es-ES_tradnl"/>
        </w:rPr>
        <w:t xml:space="preserve">En casos similares al presente, la Comisión ha establecido de manera reiterada que </w:t>
      </w:r>
      <w:r w:rsidRPr="00B06A7F">
        <w:rPr>
          <w:sz w:val="20"/>
          <w:szCs w:val="20"/>
          <w:lang w:val="es-US"/>
        </w:rPr>
        <w:t xml:space="preserve">ciertas garantías básicas se aplican </w:t>
      </w:r>
      <w:r w:rsidRPr="00B06A7F">
        <w:rPr>
          <w:sz w:val="20"/>
          <w:szCs w:val="20"/>
          <w:lang w:val="es-ES_tradnl"/>
        </w:rPr>
        <w:t>en</w:t>
      </w:r>
      <w:r w:rsidRPr="00B06A7F">
        <w:rPr>
          <w:sz w:val="20"/>
          <w:szCs w:val="20"/>
          <w:lang w:val="es-US"/>
        </w:rPr>
        <w:t xml:space="preserve"> todas las circunstancias, incluidas las situaciones de conflicto</w:t>
      </w:r>
      <w:r w:rsidRPr="00B06A7F">
        <w:rPr>
          <w:rStyle w:val="FootnoteReference"/>
          <w:sz w:val="20"/>
          <w:szCs w:val="20"/>
        </w:rPr>
        <w:footnoteReference w:id="612"/>
      </w:r>
      <w:r w:rsidRPr="00B06A7F">
        <w:rPr>
          <w:sz w:val="20"/>
          <w:szCs w:val="20"/>
          <w:lang w:val="es-US"/>
        </w:rPr>
        <w:t>,</w:t>
      </w:r>
      <w:r w:rsidRPr="00B06A7F">
        <w:rPr>
          <w:b/>
          <w:bCs/>
          <w:sz w:val="20"/>
          <w:szCs w:val="20"/>
          <w:lang w:val="es-US"/>
        </w:rPr>
        <w:t xml:space="preserve"> </w:t>
      </w:r>
      <w:r w:rsidR="008D2862">
        <w:rPr>
          <w:sz w:val="20"/>
          <w:szCs w:val="20"/>
          <w:lang w:val="es-US"/>
        </w:rPr>
        <w:t xml:space="preserve">y ello se refleja, </w:t>
      </w:r>
      <w:r w:rsidRPr="00B06A7F">
        <w:rPr>
          <w:i/>
          <w:iCs/>
          <w:sz w:val="20"/>
          <w:szCs w:val="20"/>
          <w:lang w:val="es-US"/>
        </w:rPr>
        <w:t>i</w:t>
      </w:r>
      <w:r w:rsidR="008D2862">
        <w:rPr>
          <w:i/>
          <w:iCs/>
          <w:sz w:val="20"/>
          <w:szCs w:val="20"/>
          <w:lang w:val="es-US"/>
        </w:rPr>
        <w:t xml:space="preserve">nter alia, </w:t>
      </w:r>
      <w:r w:rsidRPr="00B06A7F">
        <w:rPr>
          <w:sz w:val="20"/>
          <w:szCs w:val="20"/>
          <w:lang w:val="es-US"/>
        </w:rPr>
        <w:t>en la designación de ciertas protecciones relacionadas con la persona como normas perentorias (</w:t>
      </w:r>
      <w:r w:rsidRPr="00B06A7F">
        <w:rPr>
          <w:i/>
          <w:iCs/>
          <w:sz w:val="20"/>
          <w:szCs w:val="20"/>
          <w:lang w:val="es-US"/>
        </w:rPr>
        <w:t>jus cogens</w:t>
      </w:r>
      <w:r w:rsidR="008D2862">
        <w:rPr>
          <w:sz w:val="20"/>
          <w:szCs w:val="20"/>
          <w:lang w:val="es-US"/>
        </w:rPr>
        <w:t xml:space="preserve">) y obligaciones </w:t>
      </w:r>
      <w:r w:rsidRPr="00B06A7F">
        <w:rPr>
          <w:i/>
          <w:iCs/>
          <w:sz w:val="20"/>
          <w:szCs w:val="20"/>
          <w:lang w:val="es-US"/>
        </w:rPr>
        <w:t>erga omnes</w:t>
      </w:r>
      <w:r w:rsidRPr="00B06A7F">
        <w:rPr>
          <w:sz w:val="20"/>
          <w:szCs w:val="20"/>
          <w:lang w:val="es-US"/>
        </w:rPr>
        <w:t>, en principios de derecho internacional consuetudinario, y en la doctrina y la práctica de los órganos de derechos humanos como esta Comisión</w:t>
      </w:r>
      <w:r w:rsidRPr="00B06A7F">
        <w:rPr>
          <w:rStyle w:val="FootnoteReference"/>
          <w:sz w:val="20"/>
          <w:szCs w:val="20"/>
        </w:rPr>
        <w:footnoteReference w:id="613"/>
      </w:r>
      <w:r w:rsidRPr="00B06A7F">
        <w:rPr>
          <w:sz w:val="20"/>
          <w:szCs w:val="20"/>
          <w:lang w:val="es-US"/>
        </w:rPr>
        <w:t xml:space="preserve">. </w:t>
      </w:r>
      <w:r w:rsidRPr="00B06A7F">
        <w:rPr>
          <w:sz w:val="20"/>
          <w:szCs w:val="20"/>
          <w:lang w:val="es-ES_tradnl"/>
        </w:rPr>
        <w:t xml:space="preserve">Más aún, ha señalado que </w:t>
      </w:r>
      <w:r w:rsidRPr="00B06A7F">
        <w:rPr>
          <w:sz w:val="20"/>
          <w:szCs w:val="20"/>
          <w:lang w:val="es-US"/>
        </w:rPr>
        <w:t xml:space="preserve">un </w:t>
      </w:r>
      <w:r w:rsidRPr="00B06A7F">
        <w:rPr>
          <w:sz w:val="20"/>
          <w:szCs w:val="20"/>
          <w:lang w:val="es-US"/>
        </w:rPr>
        <w:lastRenderedPageBreak/>
        <w:t xml:space="preserve">instrumento </w:t>
      </w:r>
      <w:r w:rsidR="006D123A">
        <w:rPr>
          <w:sz w:val="20"/>
          <w:szCs w:val="20"/>
          <w:lang w:val="es-US"/>
        </w:rPr>
        <w:t>de derechos humanos</w:t>
      </w:r>
      <w:r w:rsidRPr="00B06A7F">
        <w:rPr>
          <w:sz w:val="20"/>
          <w:szCs w:val="20"/>
          <w:lang w:val="es-US"/>
        </w:rPr>
        <w:t xml:space="preserve"> –como la Declaración Americana- debe ser interpretado y aplicado en el marco general del sistema jurídico vigente en el momento de su interpretación</w:t>
      </w:r>
      <w:r w:rsidRPr="00B06A7F">
        <w:rPr>
          <w:rStyle w:val="FootnoteReference"/>
          <w:sz w:val="20"/>
          <w:szCs w:val="20"/>
        </w:rPr>
        <w:footnoteReference w:id="614"/>
      </w:r>
      <w:r w:rsidRPr="00B06A7F">
        <w:rPr>
          <w:sz w:val="20"/>
          <w:szCs w:val="20"/>
          <w:lang w:val="es-US"/>
        </w:rPr>
        <w:t>. En consecuencia, en el presente caso esto implica interpretarla a la luz del Derecho Internacional Humanitario.</w:t>
      </w:r>
    </w:p>
    <w:p w:rsidR="00A20B20" w:rsidRPr="00A20B20" w:rsidRDefault="00A20B20" w:rsidP="00A20B20">
      <w:pPr>
        <w:pStyle w:val="ListParagraph"/>
        <w:jc w:val="both"/>
        <w:rPr>
          <w:sz w:val="20"/>
          <w:szCs w:val="20"/>
          <w:lang w:val="es-AR"/>
        </w:rPr>
      </w:pPr>
    </w:p>
    <w:p w:rsidR="006D123A" w:rsidRPr="006D123A" w:rsidRDefault="00B053C8" w:rsidP="003B6A9B">
      <w:pPr>
        <w:pStyle w:val="ListParagraph"/>
        <w:numPr>
          <w:ilvl w:val="0"/>
          <w:numId w:val="58"/>
        </w:numPr>
        <w:ind w:left="0" w:firstLine="720"/>
        <w:jc w:val="both"/>
        <w:rPr>
          <w:sz w:val="20"/>
          <w:szCs w:val="20"/>
          <w:lang w:val="es-AR"/>
        </w:rPr>
      </w:pPr>
      <w:r w:rsidRPr="006D123A">
        <w:rPr>
          <w:rFonts w:eastAsia="Times New Roman"/>
          <w:sz w:val="20"/>
          <w:szCs w:val="20"/>
          <w:lang w:val="es-US"/>
        </w:rPr>
        <w:t>De</w:t>
      </w:r>
      <w:r w:rsidR="004F5A6B">
        <w:rPr>
          <w:rFonts w:eastAsia="Times New Roman"/>
          <w:sz w:val="20"/>
          <w:szCs w:val="20"/>
          <w:lang w:val="es-US"/>
        </w:rPr>
        <w:t xml:space="preserve"> acuerdo con</w:t>
      </w:r>
      <w:r w:rsidRPr="006D123A">
        <w:rPr>
          <w:rFonts w:eastAsia="Times New Roman"/>
          <w:sz w:val="20"/>
          <w:szCs w:val="20"/>
          <w:lang w:val="es-US"/>
        </w:rPr>
        <w:t xml:space="preserve"> lo anterior la Comisión concluye que si bien carece de competencia para declarar que un Estado es internacionalmente responsable por la violación de tratados internacionales que no le atribuyen dicha</w:t>
      </w:r>
      <w:r w:rsidR="00BB52A6">
        <w:rPr>
          <w:rFonts w:eastAsia="Times New Roman"/>
          <w:sz w:val="20"/>
          <w:szCs w:val="20"/>
          <w:lang w:val="es-US"/>
        </w:rPr>
        <w:t xml:space="preserve"> capacidad</w:t>
      </w:r>
      <w:r w:rsidRPr="006D123A">
        <w:rPr>
          <w:rFonts w:eastAsia="Times New Roman"/>
          <w:sz w:val="20"/>
          <w:szCs w:val="20"/>
          <w:lang w:val="es-US"/>
        </w:rPr>
        <w:t xml:space="preserve">, </w:t>
      </w:r>
      <w:r w:rsidRPr="006D123A">
        <w:rPr>
          <w:sz w:val="20"/>
          <w:szCs w:val="20"/>
          <w:lang w:val="es-ES_tradnl"/>
        </w:rPr>
        <w:t>si</w:t>
      </w:r>
      <w:r w:rsidRPr="006D123A">
        <w:rPr>
          <w:rFonts w:eastAsia="Times New Roman"/>
          <w:sz w:val="20"/>
          <w:szCs w:val="20"/>
          <w:lang w:val="es-US"/>
        </w:rPr>
        <w:t xml:space="preserve"> tiene competencia para </w:t>
      </w:r>
      <w:r w:rsidR="006D123A" w:rsidRPr="006D123A">
        <w:rPr>
          <w:rFonts w:eastAsia="Times New Roman"/>
          <w:sz w:val="20"/>
          <w:szCs w:val="20"/>
          <w:lang w:val="es-US"/>
        </w:rPr>
        <w:t xml:space="preserve">interpretar y aplicar la Declaración Americana a la luz del conjunto de las obligaciones aplicables para el Estado en cuestión, en el presente caso, las obligaciones del derecho internacional humanitario. </w:t>
      </w:r>
    </w:p>
    <w:p w:rsidR="006D123A" w:rsidRPr="006D123A" w:rsidRDefault="006D123A" w:rsidP="006D123A">
      <w:pPr>
        <w:pStyle w:val="ListParagraph"/>
        <w:jc w:val="both"/>
        <w:rPr>
          <w:sz w:val="20"/>
          <w:szCs w:val="20"/>
          <w:lang w:val="es-AR"/>
        </w:rPr>
      </w:pPr>
    </w:p>
    <w:p w:rsidR="00B053C8" w:rsidRPr="00A20B20" w:rsidRDefault="00B053C8" w:rsidP="003B6A9B">
      <w:pPr>
        <w:pStyle w:val="ListParagraph"/>
        <w:numPr>
          <w:ilvl w:val="0"/>
          <w:numId w:val="58"/>
        </w:numPr>
        <w:ind w:left="0" w:firstLine="720"/>
        <w:jc w:val="both"/>
        <w:rPr>
          <w:sz w:val="20"/>
          <w:szCs w:val="20"/>
          <w:lang w:val="es-AR"/>
        </w:rPr>
      </w:pPr>
      <w:r w:rsidRPr="00A20B20">
        <w:rPr>
          <w:sz w:val="20"/>
          <w:szCs w:val="20"/>
          <w:lang w:val="es-US"/>
        </w:rPr>
        <w:t xml:space="preserve">Las partes no disputan que la situación bajo estudio se originó en el contexto de un conflicto armado internacional definido </w:t>
      </w:r>
      <w:r w:rsidRPr="00A20B20">
        <w:rPr>
          <w:sz w:val="20"/>
          <w:szCs w:val="20"/>
          <w:lang w:val="es-ES_tradnl"/>
        </w:rPr>
        <w:t>en</w:t>
      </w:r>
      <w:r w:rsidRPr="00A20B20">
        <w:rPr>
          <w:sz w:val="20"/>
          <w:szCs w:val="20"/>
          <w:lang w:val="es-US"/>
        </w:rPr>
        <w:t xml:space="preserve"> el artículo 2 común de los Convenios de Ginebra</w:t>
      </w:r>
      <w:r w:rsidRPr="00B06A7F">
        <w:rPr>
          <w:rStyle w:val="FootnoteReference"/>
          <w:sz w:val="20"/>
          <w:szCs w:val="20"/>
        </w:rPr>
        <w:footnoteReference w:id="615"/>
      </w:r>
      <w:r w:rsidR="00EA0F0A">
        <w:rPr>
          <w:b/>
          <w:sz w:val="20"/>
          <w:szCs w:val="20"/>
          <w:lang w:val="es-VE"/>
        </w:rPr>
        <w:t>.</w:t>
      </w:r>
    </w:p>
    <w:p w:rsidR="00B053C8" w:rsidRPr="00B06A7F" w:rsidRDefault="00B053C8" w:rsidP="00B053C8">
      <w:pPr>
        <w:jc w:val="both"/>
        <w:rPr>
          <w:rFonts w:ascii="Cambria" w:hAnsi="Cambria"/>
          <w:b/>
          <w:sz w:val="20"/>
          <w:szCs w:val="20"/>
          <w:lang w:val="es-ES_tradnl"/>
        </w:rPr>
      </w:pPr>
    </w:p>
    <w:p w:rsidR="00A20B20" w:rsidRPr="00A20B20" w:rsidRDefault="00B053C8" w:rsidP="003B6A9B">
      <w:pPr>
        <w:pStyle w:val="ListParagraph"/>
        <w:numPr>
          <w:ilvl w:val="0"/>
          <w:numId w:val="58"/>
        </w:numPr>
        <w:ind w:left="0" w:firstLine="720"/>
        <w:jc w:val="both"/>
        <w:rPr>
          <w:sz w:val="20"/>
          <w:szCs w:val="20"/>
          <w:lang w:val="es-AR"/>
        </w:rPr>
      </w:pPr>
      <w:bookmarkStart w:id="34" w:name="_Hlk499824711"/>
      <w:r w:rsidRPr="00A20B20">
        <w:rPr>
          <w:sz w:val="20"/>
          <w:szCs w:val="20"/>
          <w:lang w:val="es-VE"/>
        </w:rPr>
        <w:t xml:space="preserve">Por lo anterior, y visto el control efectivo ejercido por los Estados Unidos sobre Panamá </w:t>
      </w:r>
      <w:r w:rsidR="00BB52A6">
        <w:rPr>
          <w:sz w:val="20"/>
          <w:szCs w:val="20"/>
          <w:lang w:val="es-VE"/>
        </w:rPr>
        <w:t xml:space="preserve">durante dicho tiempo </w:t>
      </w:r>
      <w:r w:rsidRPr="00A20B20">
        <w:rPr>
          <w:sz w:val="20"/>
          <w:szCs w:val="20"/>
          <w:lang w:val="es-VE"/>
        </w:rPr>
        <w:t>en el marco de la ocupación militar, la CIDH analizar</w:t>
      </w:r>
      <w:r w:rsidR="00BB52A6">
        <w:rPr>
          <w:sz w:val="20"/>
          <w:szCs w:val="20"/>
          <w:lang w:val="es-VE"/>
        </w:rPr>
        <w:t>á</w:t>
      </w:r>
      <w:r w:rsidRPr="00A20B20">
        <w:rPr>
          <w:sz w:val="20"/>
          <w:szCs w:val="20"/>
          <w:lang w:val="es-VE"/>
        </w:rPr>
        <w:t xml:space="preserve"> los hechos a la luz de las obligaciones de respeto y garantía los derechos consagrados en la Declaración Americana. </w:t>
      </w:r>
      <w:r w:rsidRPr="00A20B20">
        <w:rPr>
          <w:sz w:val="20"/>
          <w:szCs w:val="20"/>
          <w:lang w:val="es-AR"/>
        </w:rPr>
        <w:t xml:space="preserve">Bajo este punto la </w:t>
      </w:r>
      <w:r w:rsidRPr="00A20B20">
        <w:rPr>
          <w:sz w:val="20"/>
          <w:szCs w:val="20"/>
          <w:lang w:val="es-VE"/>
        </w:rPr>
        <w:t xml:space="preserve">CIDH destaca que en el trámite del presente caso, Estados Unidos </w:t>
      </w:r>
      <w:r w:rsidR="00422A0D">
        <w:rPr>
          <w:sz w:val="20"/>
          <w:szCs w:val="20"/>
          <w:lang w:val="es-VE"/>
        </w:rPr>
        <w:t xml:space="preserve">no </w:t>
      </w:r>
      <w:r w:rsidR="00C12879">
        <w:rPr>
          <w:sz w:val="20"/>
          <w:szCs w:val="20"/>
          <w:lang w:val="es-VE"/>
        </w:rPr>
        <w:t xml:space="preserve">controvirtió </w:t>
      </w:r>
      <w:r w:rsidRPr="00A20B20">
        <w:rPr>
          <w:sz w:val="20"/>
          <w:szCs w:val="20"/>
          <w:lang w:val="es-VE"/>
        </w:rPr>
        <w:t>la vigencia de su autoridad y control temporal sobre el territorio panameño</w:t>
      </w:r>
      <w:r w:rsidR="00DC67AB">
        <w:rPr>
          <w:sz w:val="20"/>
          <w:szCs w:val="20"/>
          <w:lang w:val="es-VE"/>
        </w:rPr>
        <w:t xml:space="preserve"> durante el periodo bajo análisis</w:t>
      </w:r>
      <w:r w:rsidRPr="00A20B20">
        <w:rPr>
          <w:sz w:val="20"/>
          <w:szCs w:val="20"/>
          <w:lang w:val="es-VE"/>
        </w:rPr>
        <w:t xml:space="preserve">. </w:t>
      </w:r>
    </w:p>
    <w:bookmarkEnd w:id="34"/>
    <w:p w:rsidR="00366A8E" w:rsidRPr="004F5A6B" w:rsidRDefault="00366A8E" w:rsidP="004F5A6B">
      <w:pPr>
        <w:jc w:val="both"/>
        <w:rPr>
          <w:sz w:val="20"/>
          <w:szCs w:val="20"/>
          <w:lang w:val="es-AR"/>
        </w:rPr>
      </w:pPr>
    </w:p>
    <w:p w:rsidR="00B053C8" w:rsidRPr="00EC5E87" w:rsidRDefault="005177AF" w:rsidP="00D529F8">
      <w:pPr>
        <w:pStyle w:val="Heading2"/>
        <w:numPr>
          <w:ilvl w:val="0"/>
          <w:numId w:val="71"/>
        </w:numPr>
        <w:spacing w:before="0" w:after="0"/>
        <w:ind w:firstLine="0"/>
        <w:jc w:val="both"/>
        <w:rPr>
          <w:rFonts w:ascii="Cambria" w:hAnsi="Cambria"/>
          <w:i w:val="0"/>
          <w:sz w:val="20"/>
          <w:lang w:val="es-ES_tradnl"/>
        </w:rPr>
      </w:pPr>
      <w:bookmarkStart w:id="35" w:name="_Toc525294046"/>
      <w:r>
        <w:rPr>
          <w:rFonts w:ascii="Cambria" w:hAnsi="Cambria"/>
          <w:i w:val="0"/>
          <w:sz w:val="20"/>
          <w:lang w:val="es-ES_tradnl"/>
        </w:rPr>
        <w:t>Derecho</w:t>
      </w:r>
      <w:r w:rsidRPr="00EC5E87">
        <w:rPr>
          <w:rFonts w:ascii="Cambria" w:hAnsi="Cambria"/>
          <w:i w:val="0"/>
          <w:sz w:val="20"/>
          <w:lang w:val="es-ES_tradnl"/>
        </w:rPr>
        <w:t xml:space="preserve"> a la vida, integridad personal y protección a la infancia</w:t>
      </w:r>
      <w:bookmarkEnd w:id="35"/>
    </w:p>
    <w:p w:rsidR="00B053C8" w:rsidRPr="00B06A7F" w:rsidRDefault="00B053C8" w:rsidP="00A20B20">
      <w:pPr>
        <w:ind w:firstLine="720"/>
        <w:jc w:val="both"/>
        <w:rPr>
          <w:rFonts w:ascii="Cambria" w:hAnsi="Cambria"/>
          <w:sz w:val="20"/>
          <w:szCs w:val="20"/>
          <w:lang w:val="es-ES_tradnl"/>
        </w:rPr>
      </w:pPr>
    </w:p>
    <w:p w:rsidR="00B053C8" w:rsidRPr="00B06A7F" w:rsidRDefault="00B053C8" w:rsidP="003B6A9B">
      <w:pPr>
        <w:pStyle w:val="ListParagraph"/>
        <w:numPr>
          <w:ilvl w:val="0"/>
          <w:numId w:val="58"/>
        </w:numPr>
        <w:ind w:left="0" w:firstLine="720"/>
        <w:jc w:val="both"/>
        <w:rPr>
          <w:sz w:val="20"/>
          <w:szCs w:val="20"/>
          <w:lang w:val="es-ES_tradnl"/>
        </w:rPr>
      </w:pPr>
      <w:r w:rsidRPr="00B06A7F">
        <w:rPr>
          <w:sz w:val="20"/>
          <w:szCs w:val="20"/>
          <w:lang w:val="es-ES_tradnl"/>
        </w:rPr>
        <w:t xml:space="preserve">El </w:t>
      </w:r>
      <w:r w:rsidRPr="00B06A7F">
        <w:rPr>
          <w:sz w:val="20"/>
          <w:szCs w:val="20"/>
          <w:lang w:val="es-US"/>
        </w:rPr>
        <w:t>artículo</w:t>
      </w:r>
      <w:r w:rsidRPr="00B06A7F">
        <w:rPr>
          <w:sz w:val="20"/>
          <w:szCs w:val="20"/>
          <w:lang w:val="es-ES_tradnl"/>
        </w:rPr>
        <w:t xml:space="preserve"> I de la Declaración Americana consagra el derecho a la vida, a la libertad y a la integridad personal en los siguientes términos:</w:t>
      </w:r>
    </w:p>
    <w:p w:rsidR="00B053C8" w:rsidRPr="00B06A7F" w:rsidRDefault="00B053C8" w:rsidP="00B053C8">
      <w:pPr>
        <w:jc w:val="both"/>
        <w:rPr>
          <w:rFonts w:ascii="Cambria" w:hAnsi="Cambria"/>
          <w:sz w:val="20"/>
          <w:szCs w:val="20"/>
          <w:lang w:val="es-ES_tradnl"/>
        </w:rPr>
      </w:pPr>
    </w:p>
    <w:p w:rsidR="00B053C8" w:rsidRPr="00B06A7F" w:rsidRDefault="00B053C8" w:rsidP="005177AF">
      <w:pPr>
        <w:ind w:left="720" w:right="720"/>
        <w:jc w:val="both"/>
        <w:rPr>
          <w:rFonts w:ascii="Cambria" w:hAnsi="Cambria"/>
          <w:sz w:val="20"/>
          <w:szCs w:val="20"/>
          <w:lang w:val="es-ES_tradnl"/>
        </w:rPr>
      </w:pPr>
      <w:r w:rsidRPr="00B06A7F">
        <w:rPr>
          <w:rFonts w:ascii="Cambria" w:hAnsi="Cambria"/>
          <w:sz w:val="20"/>
          <w:szCs w:val="20"/>
          <w:lang w:val="es-ES_tradnl"/>
        </w:rPr>
        <w:t>Todo ser humano tiene derecho a la vida, a la libertad y a la seguridad de su persona.</w:t>
      </w:r>
    </w:p>
    <w:p w:rsidR="00B053C8" w:rsidRPr="00B06A7F" w:rsidRDefault="00B053C8" w:rsidP="00B053C8">
      <w:pPr>
        <w:jc w:val="both"/>
        <w:rPr>
          <w:rFonts w:ascii="Cambria" w:hAnsi="Cambria"/>
          <w:sz w:val="20"/>
          <w:szCs w:val="20"/>
          <w:lang w:val="es-ES_tradnl"/>
        </w:rPr>
      </w:pPr>
    </w:p>
    <w:p w:rsidR="00B053C8" w:rsidRPr="00B06A7F" w:rsidRDefault="00696D72" w:rsidP="003B6A9B">
      <w:pPr>
        <w:pStyle w:val="ListParagraph"/>
        <w:numPr>
          <w:ilvl w:val="0"/>
          <w:numId w:val="58"/>
        </w:numPr>
        <w:ind w:left="0" w:firstLine="720"/>
        <w:jc w:val="both"/>
        <w:rPr>
          <w:sz w:val="20"/>
          <w:szCs w:val="20"/>
          <w:lang w:val="es-ES_tradnl"/>
        </w:rPr>
      </w:pPr>
      <w:r>
        <w:rPr>
          <w:sz w:val="20"/>
          <w:szCs w:val="20"/>
          <w:lang w:val="es-ES_tradnl"/>
        </w:rPr>
        <w:t>E</w:t>
      </w:r>
      <w:r w:rsidR="00B053C8" w:rsidRPr="00B06A7F">
        <w:rPr>
          <w:sz w:val="20"/>
          <w:szCs w:val="20"/>
          <w:lang w:val="es-ES_tradnl"/>
        </w:rPr>
        <w:t xml:space="preserve">l artículo VII de la Declaración Americana establece: </w:t>
      </w:r>
    </w:p>
    <w:p w:rsidR="00B053C8" w:rsidRPr="00B06A7F" w:rsidRDefault="00B053C8" w:rsidP="00B053C8">
      <w:pPr>
        <w:jc w:val="both"/>
        <w:rPr>
          <w:rFonts w:ascii="Cambria" w:hAnsi="Cambria"/>
          <w:sz w:val="20"/>
          <w:szCs w:val="20"/>
          <w:lang w:val="es-ES_tradnl"/>
        </w:rPr>
      </w:pPr>
    </w:p>
    <w:p w:rsidR="00B053C8" w:rsidRPr="00B06A7F" w:rsidRDefault="00B053C8" w:rsidP="005177AF">
      <w:pPr>
        <w:ind w:left="720" w:right="720"/>
        <w:jc w:val="both"/>
        <w:rPr>
          <w:rFonts w:ascii="Cambria" w:hAnsi="Cambria"/>
          <w:sz w:val="20"/>
          <w:szCs w:val="20"/>
          <w:lang w:val="es-ES_tradnl"/>
        </w:rPr>
      </w:pPr>
      <w:r w:rsidRPr="00B06A7F">
        <w:rPr>
          <w:rFonts w:ascii="Cambria" w:hAnsi="Cambria"/>
          <w:sz w:val="20"/>
          <w:szCs w:val="20"/>
          <w:lang w:val="es-ES_tradnl"/>
        </w:rPr>
        <w:t xml:space="preserve">Toda mujer en estado de gravidez o en época de lactancia, así como todo niño, tienen derecho a protección, cuidado y ayuda especiales. </w:t>
      </w:r>
    </w:p>
    <w:p w:rsidR="00B053C8" w:rsidRPr="00B06A7F" w:rsidRDefault="00B053C8" w:rsidP="00B053C8">
      <w:pPr>
        <w:jc w:val="both"/>
        <w:rPr>
          <w:rFonts w:ascii="Cambria" w:hAnsi="Cambria"/>
          <w:sz w:val="20"/>
          <w:szCs w:val="20"/>
          <w:lang w:val="es-ES_tradnl"/>
        </w:rPr>
      </w:pPr>
    </w:p>
    <w:p w:rsidR="00A20B20" w:rsidRDefault="00B053C8" w:rsidP="003B6A9B">
      <w:pPr>
        <w:pStyle w:val="ListParagraph"/>
        <w:numPr>
          <w:ilvl w:val="0"/>
          <w:numId w:val="58"/>
        </w:numPr>
        <w:ind w:left="0" w:firstLine="720"/>
        <w:jc w:val="both"/>
        <w:rPr>
          <w:sz w:val="20"/>
          <w:szCs w:val="20"/>
          <w:lang w:val="es-ES_tradnl"/>
        </w:rPr>
      </w:pPr>
      <w:r w:rsidRPr="00B06A7F">
        <w:rPr>
          <w:sz w:val="20"/>
          <w:szCs w:val="20"/>
          <w:lang w:val="es-ES_tradnl"/>
        </w:rPr>
        <w:t>La Comisión ha recalcado que el derecho a la vida es un prerrequisito del disfrute de todos los demás derechos humanos y sin cuyo respeto todos los demás carecen de sentido</w:t>
      </w:r>
      <w:r w:rsidRPr="00B06A7F">
        <w:rPr>
          <w:rStyle w:val="FootnoteReference"/>
          <w:sz w:val="20"/>
          <w:szCs w:val="20"/>
          <w:lang w:val="es-ES_tradnl"/>
        </w:rPr>
        <w:footnoteReference w:id="616"/>
      </w:r>
      <w:r w:rsidRPr="00B06A7F">
        <w:rPr>
          <w:sz w:val="20"/>
          <w:szCs w:val="20"/>
          <w:lang w:val="es-ES_tradnl"/>
        </w:rPr>
        <w:t xml:space="preserve">. Su importancia está reflejada en su incorporación en todos los instrumentos internacionales fundamentales en materia de derechos humanos, así como en diversos instrumentos de derecho internacional humanitario los cuales establecen garantías fundamentales en relación con la protección de este derecho. </w:t>
      </w:r>
    </w:p>
    <w:p w:rsidR="00A20B20" w:rsidRDefault="00A20B20" w:rsidP="00A20B20">
      <w:pPr>
        <w:pStyle w:val="ListParagraph"/>
        <w:jc w:val="both"/>
        <w:rPr>
          <w:sz w:val="20"/>
          <w:szCs w:val="20"/>
          <w:lang w:val="es-ES_tradnl"/>
        </w:rPr>
      </w:pPr>
    </w:p>
    <w:p w:rsidR="00A20B20" w:rsidRDefault="00B053C8" w:rsidP="003B6A9B">
      <w:pPr>
        <w:pStyle w:val="ListParagraph"/>
        <w:numPr>
          <w:ilvl w:val="0"/>
          <w:numId w:val="58"/>
        </w:numPr>
        <w:ind w:left="0" w:firstLine="720"/>
        <w:jc w:val="both"/>
        <w:rPr>
          <w:sz w:val="20"/>
          <w:szCs w:val="20"/>
          <w:lang w:val="es-ES_tradnl"/>
        </w:rPr>
      </w:pPr>
      <w:r w:rsidRPr="00A20B20">
        <w:rPr>
          <w:sz w:val="20"/>
          <w:szCs w:val="20"/>
          <w:lang w:val="es-ES_tradnl"/>
        </w:rPr>
        <w:t>En este sentido, la prohibición de la privación arbitraria de la vida es absoluta incluso en una situación de conflicto armado</w:t>
      </w:r>
      <w:r w:rsidRPr="00B06A7F">
        <w:rPr>
          <w:sz w:val="20"/>
          <w:szCs w:val="20"/>
          <w:vertAlign w:val="superscript"/>
          <w:lang w:val="es-ES_tradnl"/>
        </w:rPr>
        <w:footnoteReference w:id="617"/>
      </w:r>
      <w:r w:rsidRPr="00A20B20">
        <w:rPr>
          <w:sz w:val="20"/>
          <w:szCs w:val="20"/>
          <w:lang w:val="es-ES_tradnl"/>
        </w:rPr>
        <w:t>. Igual protección tiene el der</w:t>
      </w:r>
      <w:r w:rsidR="00D94CE9">
        <w:rPr>
          <w:sz w:val="20"/>
          <w:szCs w:val="20"/>
          <w:lang w:val="es-ES_tradnl"/>
        </w:rPr>
        <w:t>echo a un trato humano. En un</w:t>
      </w:r>
      <w:r w:rsidRPr="00A20B20">
        <w:rPr>
          <w:sz w:val="20"/>
          <w:szCs w:val="20"/>
          <w:lang w:val="es-ES_tradnl"/>
        </w:rPr>
        <w:t xml:space="preserve"> contexto</w:t>
      </w:r>
      <w:r w:rsidR="00D94CE9">
        <w:rPr>
          <w:sz w:val="20"/>
          <w:szCs w:val="20"/>
          <w:lang w:val="es-ES_tradnl"/>
        </w:rPr>
        <w:t xml:space="preserve"> de conflicto armado</w:t>
      </w:r>
      <w:r w:rsidRPr="00A20B20">
        <w:rPr>
          <w:sz w:val="20"/>
          <w:szCs w:val="20"/>
          <w:lang w:val="es-ES_tradnl"/>
        </w:rPr>
        <w:t xml:space="preserve">, los límites y la extensión de la protección del derecho a la vida e integridad personal, tienen una interpretación y alcance distintos que en tiempos de paz. </w:t>
      </w:r>
      <w:r w:rsidR="00B1190A">
        <w:rPr>
          <w:sz w:val="20"/>
          <w:szCs w:val="20"/>
          <w:lang w:val="es-ES_tradnl"/>
        </w:rPr>
        <w:t xml:space="preserve">En actuaciones de conflicto armado, </w:t>
      </w:r>
      <w:r w:rsidRPr="00A20B20">
        <w:rPr>
          <w:sz w:val="20"/>
          <w:szCs w:val="20"/>
          <w:lang w:val="es-ES_tradnl"/>
        </w:rPr>
        <w:t xml:space="preserve">el análisis debe hacerse en consonancia con los principios de proporcionalidad, distinción, necesidad y precaución, los </w:t>
      </w:r>
      <w:r w:rsidRPr="00A20B20">
        <w:rPr>
          <w:sz w:val="20"/>
          <w:szCs w:val="20"/>
          <w:lang w:val="es-ES_tradnl"/>
        </w:rPr>
        <w:lastRenderedPageBreak/>
        <w:t>cuales rigen el uso de la fuerza procurando limitar el sufrimiento en la población civil y la pérdida innecesaria de vida</w:t>
      </w:r>
      <w:r w:rsidRPr="00B06A7F">
        <w:rPr>
          <w:sz w:val="20"/>
          <w:szCs w:val="20"/>
          <w:vertAlign w:val="superscript"/>
          <w:lang w:val="es-ES_tradnl"/>
        </w:rPr>
        <w:footnoteReference w:id="618"/>
      </w:r>
      <w:r w:rsidRPr="00A20B20">
        <w:rPr>
          <w:sz w:val="20"/>
          <w:szCs w:val="20"/>
          <w:lang w:val="es-ES_tradnl"/>
        </w:rPr>
        <w:t xml:space="preserve">. </w:t>
      </w:r>
    </w:p>
    <w:p w:rsidR="00A20B20" w:rsidRDefault="00A20B20" w:rsidP="00A20B20">
      <w:pPr>
        <w:pStyle w:val="ListParagraph"/>
        <w:jc w:val="both"/>
        <w:rPr>
          <w:sz w:val="20"/>
          <w:szCs w:val="20"/>
          <w:lang w:val="es-ES_tradnl"/>
        </w:rPr>
      </w:pPr>
    </w:p>
    <w:p w:rsidR="00A20B20" w:rsidRDefault="00B053C8" w:rsidP="003B6A9B">
      <w:pPr>
        <w:pStyle w:val="ListParagraph"/>
        <w:numPr>
          <w:ilvl w:val="0"/>
          <w:numId w:val="58"/>
        </w:numPr>
        <w:ind w:left="0" w:firstLine="720"/>
        <w:jc w:val="both"/>
        <w:rPr>
          <w:sz w:val="20"/>
          <w:szCs w:val="20"/>
          <w:lang w:val="es-ES_tradnl"/>
        </w:rPr>
      </w:pPr>
      <w:r w:rsidRPr="00A20B20">
        <w:rPr>
          <w:sz w:val="20"/>
          <w:szCs w:val="20"/>
          <w:lang w:val="es-ES_tradnl"/>
        </w:rPr>
        <w:t>De no responder a esos principios, el uso de la fuerza letal en un contexto de conflicto armado, puede constituir una privación arbitraria de la vida y una violación a la integridad personal incompatible con la Declaración Americana.</w:t>
      </w:r>
    </w:p>
    <w:p w:rsidR="00A20B20" w:rsidRDefault="00A20B20" w:rsidP="00A20B20">
      <w:pPr>
        <w:pStyle w:val="ListParagraph"/>
        <w:jc w:val="both"/>
        <w:rPr>
          <w:sz w:val="20"/>
          <w:szCs w:val="20"/>
          <w:lang w:val="es-ES_tradnl"/>
        </w:rPr>
      </w:pPr>
    </w:p>
    <w:p w:rsidR="00B053C8" w:rsidRPr="00A20B20" w:rsidRDefault="00B053C8" w:rsidP="003B6A9B">
      <w:pPr>
        <w:pStyle w:val="ListParagraph"/>
        <w:numPr>
          <w:ilvl w:val="0"/>
          <w:numId w:val="58"/>
        </w:numPr>
        <w:ind w:left="0" w:firstLine="720"/>
        <w:jc w:val="both"/>
        <w:rPr>
          <w:sz w:val="20"/>
          <w:szCs w:val="20"/>
          <w:lang w:val="es-ES_tradnl"/>
        </w:rPr>
      </w:pPr>
      <w:r w:rsidRPr="00A20B20">
        <w:rPr>
          <w:sz w:val="20"/>
          <w:szCs w:val="20"/>
          <w:lang w:val="es-ES_tradnl"/>
        </w:rPr>
        <w:t xml:space="preserve">Tomando en cuenta las consideraciones efectuadas anteriormente sobre la necesidad de utilizar el derecho internacional humanitario como </w:t>
      </w:r>
      <w:r w:rsidRPr="00A20B20">
        <w:rPr>
          <w:i/>
          <w:sz w:val="20"/>
          <w:szCs w:val="20"/>
          <w:lang w:val="es-ES_tradnl"/>
        </w:rPr>
        <w:t xml:space="preserve">lex specialis </w:t>
      </w:r>
      <w:r w:rsidRPr="00A20B20">
        <w:rPr>
          <w:sz w:val="20"/>
          <w:szCs w:val="20"/>
          <w:lang w:val="es-ES_tradnl"/>
        </w:rPr>
        <w:t xml:space="preserve">para interpretar adecuadamente en un contexto de conflicto armado las protecciones que se desprenden de la Declaración Americana, a continuación, la CIDH se referirá al contenido de los principios del referido marco normativo que resultan pertinentes para analizar los hechos del presente caso. </w:t>
      </w:r>
    </w:p>
    <w:p w:rsidR="00A20B20" w:rsidRDefault="00A20B20" w:rsidP="00A20B20">
      <w:pPr>
        <w:pBdr>
          <w:top w:val="none" w:sz="0" w:space="0" w:color="auto"/>
          <w:left w:val="none" w:sz="0" w:space="0" w:color="auto"/>
          <w:bottom w:val="none" w:sz="0" w:space="0" w:color="auto"/>
          <w:right w:val="none" w:sz="0" w:space="0" w:color="auto"/>
          <w:between w:val="none" w:sz="0" w:space="0" w:color="auto"/>
          <w:bar w:val="none" w:sz="0" w:color="auto"/>
        </w:pBdr>
        <w:ind w:left="1800"/>
        <w:jc w:val="both"/>
        <w:rPr>
          <w:rFonts w:ascii="Cambria" w:hAnsi="Cambria"/>
          <w:sz w:val="20"/>
          <w:szCs w:val="20"/>
          <w:lang w:val="es-ES_tradnl"/>
        </w:rPr>
      </w:pPr>
    </w:p>
    <w:p w:rsidR="00B053C8" w:rsidRPr="00EC5E87" w:rsidRDefault="00B053C8" w:rsidP="00D529F8">
      <w:pPr>
        <w:pStyle w:val="Heading3"/>
        <w:numPr>
          <w:ilvl w:val="0"/>
          <w:numId w:val="68"/>
        </w:numPr>
        <w:spacing w:before="0" w:after="0"/>
        <w:ind w:firstLine="0"/>
        <w:jc w:val="both"/>
        <w:rPr>
          <w:rFonts w:ascii="Cambria" w:hAnsi="Cambria"/>
          <w:sz w:val="20"/>
          <w:szCs w:val="20"/>
          <w:lang w:val="es-ES_tradnl"/>
        </w:rPr>
      </w:pPr>
      <w:bookmarkStart w:id="37" w:name="_Toc525294047"/>
      <w:r w:rsidRPr="00EC5E87">
        <w:rPr>
          <w:rFonts w:ascii="Cambria" w:hAnsi="Cambria"/>
          <w:sz w:val="20"/>
          <w:szCs w:val="20"/>
          <w:lang w:val="es-ES_tradnl"/>
        </w:rPr>
        <w:t>Principios de distinción, proporcionalidad, necesidad y precaución</w:t>
      </w:r>
      <w:bookmarkEnd w:id="37"/>
    </w:p>
    <w:p w:rsidR="00B053C8" w:rsidRPr="00B06A7F" w:rsidRDefault="00B053C8" w:rsidP="00B053C8">
      <w:pPr>
        <w:ind w:left="720"/>
        <w:jc w:val="both"/>
        <w:rPr>
          <w:rFonts w:ascii="Cambria" w:hAnsi="Cambria"/>
          <w:sz w:val="20"/>
          <w:szCs w:val="20"/>
          <w:lang w:val="es-ES_tradnl"/>
        </w:rPr>
      </w:pPr>
    </w:p>
    <w:p w:rsidR="00A20B20" w:rsidRPr="00B1190A" w:rsidRDefault="00B1190A" w:rsidP="003B6A9B">
      <w:pPr>
        <w:pStyle w:val="ListParagraph"/>
        <w:numPr>
          <w:ilvl w:val="0"/>
          <w:numId w:val="58"/>
        </w:numPr>
        <w:ind w:left="0" w:firstLine="720"/>
        <w:jc w:val="both"/>
        <w:rPr>
          <w:rFonts w:eastAsia="Times New Roman"/>
          <w:sz w:val="20"/>
          <w:szCs w:val="20"/>
          <w:bdr w:val="none" w:sz="0" w:space="0" w:color="auto"/>
          <w:shd w:val="clear" w:color="auto" w:fill="FFFFFF"/>
          <w:lang w:val="es-ES_tradnl"/>
        </w:rPr>
      </w:pPr>
      <w:r w:rsidRPr="00B1190A">
        <w:rPr>
          <w:rFonts w:eastAsia="Times New Roman"/>
          <w:sz w:val="20"/>
          <w:szCs w:val="20"/>
          <w:bdr w:val="none" w:sz="0" w:space="0" w:color="auto"/>
          <w:shd w:val="clear" w:color="auto" w:fill="FFFFFF"/>
          <w:lang w:val="es-ES_tradnl"/>
        </w:rPr>
        <w:t>Como la Comisión explica en la sección anterior</w:t>
      </w:r>
      <w:r w:rsidR="00B053C8" w:rsidRPr="00B1190A">
        <w:rPr>
          <w:rFonts w:eastAsia="Times New Roman"/>
          <w:sz w:val="20"/>
          <w:szCs w:val="20"/>
          <w:bdr w:val="none" w:sz="0" w:space="0" w:color="auto"/>
          <w:shd w:val="clear" w:color="auto" w:fill="FFFFFF"/>
          <w:lang w:val="es-ES_tradnl"/>
        </w:rPr>
        <w:t xml:space="preserve">, en el presente caso resulta pertinente tomar en consideración, como </w:t>
      </w:r>
      <w:r w:rsidR="00B053C8" w:rsidRPr="00B1190A">
        <w:rPr>
          <w:rFonts w:eastAsia="Times New Roman"/>
          <w:i/>
          <w:sz w:val="20"/>
          <w:szCs w:val="20"/>
          <w:bdr w:val="none" w:sz="0" w:space="0" w:color="auto"/>
          <w:shd w:val="clear" w:color="auto" w:fill="FFFFFF"/>
          <w:lang w:val="es-ES_tradnl"/>
        </w:rPr>
        <w:t>lex specialis</w:t>
      </w:r>
      <w:r w:rsidR="00B053C8" w:rsidRPr="00B1190A">
        <w:rPr>
          <w:rFonts w:eastAsia="Times New Roman"/>
          <w:sz w:val="20"/>
          <w:szCs w:val="20"/>
          <w:bdr w:val="none" w:sz="0" w:space="0" w:color="auto"/>
          <w:shd w:val="clear" w:color="auto" w:fill="FFFFFF"/>
          <w:lang w:val="es-ES_tradnl"/>
        </w:rPr>
        <w:t>, las normas relevantes del DIH. El derecho internacional humanitario contempla una serie de principios generales que representan el mínimo de humanidad aplicable en todo tiempo, lugar y circunstancia y son utilizados, principalmente, para interpretar las normas aplicables en los conflictos armados</w:t>
      </w:r>
      <w:r w:rsidR="00B053C8" w:rsidRPr="00B06A7F">
        <w:rPr>
          <w:rStyle w:val="FootnoteReference"/>
          <w:rFonts w:eastAsia="Times New Roman"/>
          <w:sz w:val="20"/>
          <w:szCs w:val="20"/>
          <w:bdr w:val="none" w:sz="0" w:space="0" w:color="auto"/>
          <w:shd w:val="clear" w:color="auto" w:fill="FFFFFF"/>
          <w:lang w:val="es-ES_tradnl"/>
        </w:rPr>
        <w:footnoteReference w:id="619"/>
      </w:r>
      <w:r w:rsidR="00BF55AB">
        <w:rPr>
          <w:rFonts w:eastAsia="Times New Roman"/>
          <w:sz w:val="20"/>
          <w:szCs w:val="20"/>
          <w:bdr w:val="none" w:sz="0" w:space="0" w:color="auto"/>
          <w:shd w:val="clear" w:color="auto" w:fill="FFFFFF"/>
          <w:lang w:val="es-ES_tradnl"/>
        </w:rPr>
        <w:t xml:space="preserve">. </w:t>
      </w:r>
      <w:r w:rsidR="00B053C8" w:rsidRPr="00B1190A">
        <w:rPr>
          <w:rFonts w:eastAsia="Times New Roman"/>
          <w:sz w:val="20"/>
          <w:szCs w:val="20"/>
          <w:bdr w:val="none" w:sz="0" w:space="0" w:color="auto"/>
          <w:shd w:val="clear" w:color="auto" w:fill="FFFFFF"/>
          <w:lang w:val="es-ES_tradnl"/>
        </w:rPr>
        <w:t>Cabe destacar que dichos principios son válidos incluso para los Estados que no sean partes en los Convenios, dado que ex</w:t>
      </w:r>
      <w:r w:rsidR="008C4041">
        <w:rPr>
          <w:rFonts w:eastAsia="Times New Roman"/>
          <w:sz w:val="20"/>
          <w:szCs w:val="20"/>
          <w:bdr w:val="none" w:sz="0" w:space="0" w:color="auto"/>
          <w:shd w:val="clear" w:color="auto" w:fill="FFFFFF"/>
          <w:lang w:val="es-ES_tradnl"/>
        </w:rPr>
        <w:t xml:space="preserve">presan </w:t>
      </w:r>
      <w:r w:rsidR="00B053C8" w:rsidRPr="00B1190A">
        <w:rPr>
          <w:rFonts w:eastAsia="Times New Roman"/>
          <w:sz w:val="20"/>
          <w:szCs w:val="20"/>
          <w:bdr w:val="none" w:sz="0" w:space="0" w:color="auto"/>
          <w:shd w:val="clear" w:color="auto" w:fill="FFFFFF"/>
          <w:lang w:val="es-ES_tradnl"/>
        </w:rPr>
        <w:t xml:space="preserve">la costumbre </w:t>
      </w:r>
      <w:r w:rsidR="008C4041">
        <w:rPr>
          <w:rFonts w:eastAsia="Times New Roman"/>
          <w:sz w:val="20"/>
          <w:szCs w:val="20"/>
          <w:bdr w:val="none" w:sz="0" w:space="0" w:color="auto"/>
          <w:shd w:val="clear" w:color="auto" w:fill="FFFFFF"/>
          <w:lang w:val="es-ES_tradnl"/>
        </w:rPr>
        <w:t>internacional</w:t>
      </w:r>
      <w:r w:rsidR="00B053C8" w:rsidRPr="00B06A7F">
        <w:rPr>
          <w:rStyle w:val="FootnoteReference"/>
          <w:rFonts w:eastAsia="Times New Roman"/>
          <w:sz w:val="20"/>
          <w:szCs w:val="20"/>
          <w:bdr w:val="none" w:sz="0" w:space="0" w:color="auto"/>
          <w:shd w:val="clear" w:color="auto" w:fill="FFFFFF"/>
          <w:lang w:val="es-ES_tradnl"/>
        </w:rPr>
        <w:footnoteReference w:id="620"/>
      </w:r>
      <w:r w:rsidR="00B053C8" w:rsidRPr="00B1190A">
        <w:rPr>
          <w:rFonts w:eastAsia="Times New Roman"/>
          <w:sz w:val="20"/>
          <w:szCs w:val="20"/>
          <w:bdr w:val="none" w:sz="0" w:space="0" w:color="auto"/>
          <w:shd w:val="clear" w:color="auto" w:fill="FFFFFF"/>
          <w:lang w:val="es-ES_tradnl"/>
        </w:rPr>
        <w:t xml:space="preserve">. </w:t>
      </w:r>
    </w:p>
    <w:p w:rsidR="00A20B20" w:rsidRDefault="00A20B20" w:rsidP="00A20B20">
      <w:pPr>
        <w:pStyle w:val="ListParagraph"/>
        <w:ind w:left="0" w:firstLine="720"/>
        <w:jc w:val="both"/>
        <w:rPr>
          <w:rFonts w:eastAsia="Times New Roman"/>
          <w:sz w:val="20"/>
          <w:szCs w:val="20"/>
          <w:bdr w:val="none" w:sz="0" w:space="0" w:color="auto"/>
          <w:shd w:val="clear" w:color="auto" w:fill="FFFFFF"/>
          <w:lang w:val="es-ES_tradnl"/>
        </w:rPr>
      </w:pPr>
    </w:p>
    <w:p w:rsidR="00A20B20" w:rsidRDefault="008C4041" w:rsidP="003B6A9B">
      <w:pPr>
        <w:pStyle w:val="ListParagraph"/>
        <w:numPr>
          <w:ilvl w:val="0"/>
          <w:numId w:val="58"/>
        </w:numPr>
        <w:ind w:left="0" w:firstLine="720"/>
        <w:jc w:val="both"/>
        <w:rPr>
          <w:rFonts w:eastAsia="Times New Roman"/>
          <w:sz w:val="20"/>
          <w:szCs w:val="20"/>
          <w:bdr w:val="none" w:sz="0" w:space="0" w:color="auto"/>
          <w:shd w:val="clear" w:color="auto" w:fill="FFFFFF"/>
          <w:lang w:val="es-ES_tradnl"/>
        </w:rPr>
      </w:pPr>
      <w:r>
        <w:rPr>
          <w:rFonts w:eastAsia="Times New Roman"/>
          <w:sz w:val="20"/>
          <w:szCs w:val="20"/>
          <w:bdr w:val="none" w:sz="0" w:space="0" w:color="auto"/>
          <w:shd w:val="clear" w:color="auto" w:fill="FFFFFF"/>
          <w:lang w:val="es-ES_tradnl"/>
        </w:rPr>
        <w:t>L</w:t>
      </w:r>
      <w:r w:rsidR="00B053C8" w:rsidRPr="00A20B20">
        <w:rPr>
          <w:rFonts w:eastAsia="Times New Roman"/>
          <w:sz w:val="20"/>
          <w:szCs w:val="20"/>
          <w:bdr w:val="none" w:sz="0" w:space="0" w:color="auto"/>
          <w:shd w:val="clear" w:color="auto" w:fill="FFFFFF"/>
          <w:lang w:val="es-ES_tradnl"/>
        </w:rPr>
        <w:t>os principios fundamentales de derecho internacional humanitario pueden definirse como aquellas directrices universales reconocidas por las naciones civilizadas como obligatorias para los Estados más allá de un vínculo convencional, que se abstraen de las normas contenidas en los Convenios de Ginebra de 1949 y sus Protocolos Adicionales e inspiran esta particular rama del Derecho</w:t>
      </w:r>
      <w:r>
        <w:rPr>
          <w:rFonts w:eastAsia="Times New Roman"/>
          <w:sz w:val="20"/>
          <w:szCs w:val="20"/>
          <w:bdr w:val="none" w:sz="0" w:space="0" w:color="auto"/>
          <w:shd w:val="clear" w:color="auto" w:fill="FFFFFF"/>
          <w:lang w:val="es-ES_tradnl"/>
        </w:rPr>
        <w:t>. D</w:t>
      </w:r>
      <w:r w:rsidR="00B053C8" w:rsidRPr="00A20B20">
        <w:rPr>
          <w:rFonts w:eastAsia="Times New Roman"/>
          <w:sz w:val="20"/>
          <w:szCs w:val="20"/>
          <w:bdr w:val="none" w:sz="0" w:space="0" w:color="auto"/>
          <w:shd w:val="clear" w:color="auto" w:fill="FFFFFF"/>
          <w:lang w:val="es-ES_tradnl"/>
        </w:rPr>
        <w:t>eterminan, limitan y encauzan el comportamiento a seguir por los intervinientes en un conflicto armado nacional o internacional para cumplir precisamente con las finalidades perseguidas por este marco normativo</w:t>
      </w:r>
      <w:r w:rsidR="00B053C8" w:rsidRPr="00B06A7F">
        <w:rPr>
          <w:rStyle w:val="FootnoteReference"/>
          <w:rFonts w:eastAsia="Times New Roman"/>
          <w:sz w:val="20"/>
          <w:szCs w:val="20"/>
          <w:bdr w:val="none" w:sz="0" w:space="0" w:color="auto"/>
          <w:shd w:val="clear" w:color="auto" w:fill="FFFFFF"/>
          <w:lang w:val="es-ES_tradnl"/>
        </w:rPr>
        <w:footnoteReference w:id="621"/>
      </w:r>
      <w:r w:rsidR="00B053C8" w:rsidRPr="00A20B20">
        <w:rPr>
          <w:rFonts w:eastAsia="Times New Roman"/>
          <w:sz w:val="20"/>
          <w:szCs w:val="20"/>
          <w:bdr w:val="none" w:sz="0" w:space="0" w:color="auto"/>
          <w:shd w:val="clear" w:color="auto" w:fill="FFFFFF"/>
          <w:lang w:val="es-ES_tradnl"/>
        </w:rPr>
        <w:t>.</w:t>
      </w:r>
    </w:p>
    <w:p w:rsidR="00A20B20" w:rsidRDefault="00A20B20" w:rsidP="00A20B20">
      <w:pPr>
        <w:pStyle w:val="ListParagraph"/>
        <w:ind w:left="0" w:firstLine="720"/>
        <w:jc w:val="both"/>
        <w:rPr>
          <w:rFonts w:eastAsia="Times New Roman"/>
          <w:sz w:val="20"/>
          <w:szCs w:val="20"/>
          <w:bdr w:val="none" w:sz="0" w:space="0" w:color="auto"/>
          <w:shd w:val="clear" w:color="auto" w:fill="FFFFFF"/>
          <w:lang w:val="es-ES_tradnl"/>
        </w:rPr>
      </w:pPr>
    </w:p>
    <w:p w:rsidR="00A20B20" w:rsidRDefault="00B053C8" w:rsidP="003B6A9B">
      <w:pPr>
        <w:pStyle w:val="ListParagraph"/>
        <w:numPr>
          <w:ilvl w:val="0"/>
          <w:numId w:val="58"/>
        </w:numPr>
        <w:ind w:left="0" w:firstLine="720"/>
        <w:jc w:val="both"/>
        <w:rPr>
          <w:rFonts w:eastAsia="Times New Roman"/>
          <w:sz w:val="20"/>
          <w:szCs w:val="20"/>
          <w:bdr w:val="none" w:sz="0" w:space="0" w:color="auto"/>
          <w:shd w:val="clear" w:color="auto" w:fill="FFFFFF"/>
          <w:lang w:val="es-ES_tradnl"/>
        </w:rPr>
      </w:pPr>
      <w:r w:rsidRPr="00A20B20">
        <w:rPr>
          <w:rFonts w:eastAsia="Times New Roman"/>
          <w:sz w:val="20"/>
          <w:szCs w:val="20"/>
          <w:bdr w:val="none" w:sz="0" w:space="0" w:color="auto"/>
          <w:shd w:val="clear" w:color="auto" w:fill="FFFFFF"/>
          <w:lang w:val="es-ES_tradnl"/>
        </w:rPr>
        <w:t>La Comisión toma nota de que tanto el derecho convencional como el derecho consuetudinario son las fuentes principales del derecho internacional humanitario</w:t>
      </w:r>
      <w:r w:rsidRPr="00B06A7F">
        <w:rPr>
          <w:rStyle w:val="FootnoteReference"/>
          <w:rFonts w:eastAsia="Times New Roman"/>
          <w:sz w:val="20"/>
          <w:szCs w:val="20"/>
          <w:bdr w:val="none" w:sz="0" w:space="0" w:color="auto"/>
          <w:shd w:val="clear" w:color="auto" w:fill="FFFFFF"/>
          <w:lang w:val="es-ES_tradnl"/>
        </w:rPr>
        <w:footnoteReference w:id="622"/>
      </w:r>
      <w:r w:rsidRPr="00A20B20">
        <w:rPr>
          <w:rFonts w:eastAsia="Times New Roman"/>
          <w:sz w:val="20"/>
          <w:szCs w:val="20"/>
          <w:bdr w:val="none" w:sz="0" w:space="0" w:color="auto"/>
          <w:shd w:val="clear" w:color="auto" w:fill="FFFFFF"/>
          <w:lang w:val="es-ES_tradnl"/>
        </w:rPr>
        <w:t>, por lo tanto para hacer una interpretación adecuada de su contenido y alcance, se debe acudir a ambas como herramientas de interpretación que se complementan entre sí. En la misma línea, la CIDH destaca que aunque la tendencia en los últimos años ha sido de elaborar tratados de derecho internacional humanitario, la mayoría de estos instrumentos no han alcanzado aún su ratificación universal, por consiguiente es esencial acudir a las normas del derecho internacional con</w:t>
      </w:r>
      <w:r w:rsidR="008C4041">
        <w:rPr>
          <w:rFonts w:eastAsia="Times New Roman"/>
          <w:sz w:val="20"/>
          <w:szCs w:val="20"/>
          <w:bdr w:val="none" w:sz="0" w:space="0" w:color="auto"/>
          <w:shd w:val="clear" w:color="auto" w:fill="FFFFFF"/>
          <w:lang w:val="es-ES_tradnl"/>
        </w:rPr>
        <w:t>suetudinario que son de obligatorio</w:t>
      </w:r>
      <w:r w:rsidRPr="00A20B20">
        <w:rPr>
          <w:rFonts w:eastAsia="Times New Roman"/>
          <w:sz w:val="20"/>
          <w:szCs w:val="20"/>
          <w:bdr w:val="none" w:sz="0" w:space="0" w:color="auto"/>
          <w:shd w:val="clear" w:color="auto" w:fill="FFFFFF"/>
          <w:lang w:val="es-ES_tradnl"/>
        </w:rPr>
        <w:t xml:space="preserve"> cumplimiento para los Estados que no son parte de los tratados</w:t>
      </w:r>
      <w:r w:rsidRPr="00B06A7F">
        <w:rPr>
          <w:rStyle w:val="FootnoteReference"/>
          <w:rFonts w:eastAsia="Times New Roman"/>
          <w:sz w:val="20"/>
          <w:szCs w:val="20"/>
          <w:bdr w:val="none" w:sz="0" w:space="0" w:color="auto"/>
          <w:shd w:val="clear" w:color="auto" w:fill="FFFFFF"/>
          <w:lang w:val="es-ES_tradnl"/>
        </w:rPr>
        <w:footnoteReference w:id="623"/>
      </w:r>
      <w:r w:rsidRPr="00A20B20">
        <w:rPr>
          <w:rFonts w:eastAsia="Times New Roman"/>
          <w:sz w:val="20"/>
          <w:szCs w:val="20"/>
          <w:bdr w:val="none" w:sz="0" w:space="0" w:color="auto"/>
          <w:shd w:val="clear" w:color="auto" w:fill="FFFFFF"/>
          <w:lang w:val="es-ES_tradnl"/>
        </w:rPr>
        <w:t xml:space="preserve">. </w:t>
      </w:r>
    </w:p>
    <w:p w:rsidR="00A20B20" w:rsidRDefault="00A20B20" w:rsidP="00A20B20">
      <w:pPr>
        <w:pStyle w:val="ListParagraph"/>
        <w:ind w:left="0" w:firstLine="720"/>
        <w:jc w:val="both"/>
        <w:rPr>
          <w:rFonts w:eastAsia="Times New Roman"/>
          <w:sz w:val="20"/>
          <w:szCs w:val="20"/>
          <w:bdr w:val="none" w:sz="0" w:space="0" w:color="auto"/>
          <w:shd w:val="clear" w:color="auto" w:fill="FFFFFF"/>
          <w:lang w:val="es-ES_tradnl"/>
        </w:rPr>
      </w:pPr>
    </w:p>
    <w:p w:rsidR="00A20B20" w:rsidRDefault="00B053C8" w:rsidP="003B6A9B">
      <w:pPr>
        <w:pStyle w:val="ListParagraph"/>
        <w:numPr>
          <w:ilvl w:val="0"/>
          <w:numId w:val="58"/>
        </w:numPr>
        <w:ind w:left="0" w:firstLine="720"/>
        <w:jc w:val="both"/>
        <w:rPr>
          <w:rFonts w:eastAsia="Times New Roman"/>
          <w:sz w:val="20"/>
          <w:szCs w:val="20"/>
          <w:bdr w:val="none" w:sz="0" w:space="0" w:color="auto"/>
          <w:shd w:val="clear" w:color="auto" w:fill="FFFFFF"/>
          <w:lang w:val="es-ES_tradnl"/>
        </w:rPr>
      </w:pPr>
      <w:r w:rsidRPr="00A20B20">
        <w:rPr>
          <w:rFonts w:eastAsia="Times New Roman"/>
          <w:sz w:val="20"/>
          <w:szCs w:val="20"/>
          <w:bdr w:val="none" w:sz="0" w:space="0" w:color="auto"/>
          <w:shd w:val="clear" w:color="auto" w:fill="FFFFFF"/>
          <w:lang w:val="es-ES_tradnl"/>
        </w:rPr>
        <w:t xml:space="preserve">En este sentido, la Comisión Interamericana observa que los Estados Unidos es </w:t>
      </w:r>
      <w:r w:rsidR="00C22F6E">
        <w:rPr>
          <w:rFonts w:eastAsia="Times New Roman"/>
          <w:sz w:val="20"/>
          <w:szCs w:val="20"/>
          <w:bdr w:val="none" w:sz="0" w:space="0" w:color="auto"/>
          <w:shd w:val="clear" w:color="auto" w:fill="FFFFFF"/>
          <w:lang w:val="es-ES_tradnl"/>
        </w:rPr>
        <w:t xml:space="preserve">parte de los Convenios de Ginebra de 1949 y del Protocolo III, y es </w:t>
      </w:r>
      <w:r w:rsidRPr="00A20B20">
        <w:rPr>
          <w:rFonts w:eastAsia="Times New Roman"/>
          <w:sz w:val="20"/>
          <w:szCs w:val="20"/>
          <w:bdr w:val="none" w:sz="0" w:space="0" w:color="auto"/>
          <w:shd w:val="clear" w:color="auto" w:fill="FFFFFF"/>
          <w:lang w:val="es-ES_tradnl"/>
        </w:rPr>
        <w:t>signatario del Protocolo Adicional I</w:t>
      </w:r>
      <w:r w:rsidR="00DD6728">
        <w:rPr>
          <w:rFonts w:eastAsia="Times New Roman"/>
          <w:sz w:val="20"/>
          <w:szCs w:val="20"/>
          <w:bdr w:val="none" w:sz="0" w:space="0" w:color="auto"/>
          <w:shd w:val="clear" w:color="auto" w:fill="FFFFFF"/>
          <w:lang w:val="es-ES_tradnl"/>
        </w:rPr>
        <w:t xml:space="preserve"> </w:t>
      </w:r>
      <w:r w:rsidRPr="00A20B20">
        <w:rPr>
          <w:rFonts w:eastAsia="Times New Roman"/>
          <w:sz w:val="20"/>
          <w:szCs w:val="20"/>
          <w:bdr w:val="none" w:sz="0" w:space="0" w:color="auto"/>
          <w:shd w:val="clear" w:color="auto" w:fill="FFFFFF"/>
          <w:lang w:val="es-ES_tradnl"/>
        </w:rPr>
        <w:t>a los Convenios de Ginebra relativo</w:t>
      </w:r>
      <w:r w:rsidR="00DD6728">
        <w:rPr>
          <w:rFonts w:eastAsia="Times New Roman"/>
          <w:sz w:val="20"/>
          <w:szCs w:val="20"/>
          <w:bdr w:val="none" w:sz="0" w:space="0" w:color="auto"/>
          <w:shd w:val="clear" w:color="auto" w:fill="FFFFFF"/>
          <w:lang w:val="es-ES_tradnl"/>
        </w:rPr>
        <w:t>s</w:t>
      </w:r>
      <w:r w:rsidRPr="00A20B20">
        <w:rPr>
          <w:rFonts w:eastAsia="Times New Roman"/>
          <w:sz w:val="20"/>
          <w:szCs w:val="20"/>
          <w:bdr w:val="none" w:sz="0" w:space="0" w:color="auto"/>
          <w:shd w:val="clear" w:color="auto" w:fill="FFFFFF"/>
          <w:lang w:val="es-ES_tradnl"/>
        </w:rPr>
        <w:t xml:space="preserve"> a la protección de personas civiles en conflictos armados internacionales</w:t>
      </w:r>
      <w:r w:rsidR="00DD6728">
        <w:rPr>
          <w:rFonts w:eastAsia="Times New Roman"/>
          <w:sz w:val="20"/>
          <w:szCs w:val="20"/>
          <w:bdr w:val="none" w:sz="0" w:space="0" w:color="auto"/>
          <w:shd w:val="clear" w:color="auto" w:fill="FFFFFF"/>
          <w:lang w:val="es-ES_tradnl"/>
        </w:rPr>
        <w:t xml:space="preserve"> desde 1977</w:t>
      </w:r>
      <w:r w:rsidRPr="00B06A7F">
        <w:rPr>
          <w:rStyle w:val="FootnoteReference"/>
          <w:rFonts w:eastAsia="Times New Roman"/>
          <w:sz w:val="20"/>
          <w:szCs w:val="20"/>
          <w:bdr w:val="none" w:sz="0" w:space="0" w:color="auto"/>
          <w:shd w:val="clear" w:color="auto" w:fill="FFFFFF"/>
          <w:lang w:val="es-ES_tradnl"/>
        </w:rPr>
        <w:footnoteReference w:id="624"/>
      </w:r>
      <w:r w:rsidRPr="00A20B20">
        <w:rPr>
          <w:rFonts w:eastAsia="Times New Roman"/>
          <w:sz w:val="20"/>
          <w:szCs w:val="20"/>
          <w:bdr w:val="none" w:sz="0" w:space="0" w:color="auto"/>
          <w:shd w:val="clear" w:color="auto" w:fill="FFFFFF"/>
          <w:lang w:val="es-ES_tradnl"/>
        </w:rPr>
        <w:t xml:space="preserve">. Por lo tanto, si bien esto implica que éste no ha adquirido las obligaciones de los Estados que lo han ratificado, </w:t>
      </w:r>
      <w:r w:rsidR="008C4041">
        <w:rPr>
          <w:rFonts w:eastAsia="Times New Roman"/>
          <w:sz w:val="20"/>
          <w:szCs w:val="20"/>
          <w:bdr w:val="none" w:sz="0" w:space="0" w:color="auto"/>
          <w:shd w:val="clear" w:color="auto" w:fill="FFFFFF"/>
          <w:lang w:val="es-ES_tradnl"/>
        </w:rPr>
        <w:t xml:space="preserve">como un Estado firmante, tiene </w:t>
      </w:r>
      <w:r w:rsidRPr="00A20B20">
        <w:rPr>
          <w:rFonts w:eastAsia="Times New Roman"/>
          <w:sz w:val="20"/>
          <w:szCs w:val="20"/>
          <w:bdr w:val="none" w:sz="0" w:space="0" w:color="auto"/>
          <w:shd w:val="clear" w:color="auto" w:fill="FFFFFF"/>
          <w:lang w:val="es-ES_tradnl"/>
        </w:rPr>
        <w:t xml:space="preserve">la obligación de abstenerse de cualquier acto que </w:t>
      </w:r>
      <w:r w:rsidR="0015730E">
        <w:rPr>
          <w:rFonts w:eastAsia="Times New Roman"/>
          <w:sz w:val="20"/>
          <w:szCs w:val="20"/>
          <w:bdr w:val="none" w:sz="0" w:space="0" w:color="auto"/>
          <w:shd w:val="clear" w:color="auto" w:fill="FFFFFF"/>
          <w:lang w:val="es-ES_tradnl"/>
        </w:rPr>
        <w:t>debilite los</w:t>
      </w:r>
      <w:r w:rsidRPr="00A20B20">
        <w:rPr>
          <w:rFonts w:eastAsia="Times New Roman"/>
          <w:sz w:val="20"/>
          <w:szCs w:val="20"/>
          <w:bdr w:val="none" w:sz="0" w:space="0" w:color="auto"/>
          <w:shd w:val="clear" w:color="auto" w:fill="FFFFFF"/>
          <w:lang w:val="es-ES_tradnl"/>
        </w:rPr>
        <w:t xml:space="preserve"> objetivos y el propósito del </w:t>
      </w:r>
      <w:r w:rsidR="0015730E">
        <w:rPr>
          <w:rFonts w:eastAsia="Times New Roman"/>
          <w:sz w:val="20"/>
          <w:szCs w:val="20"/>
          <w:bdr w:val="none" w:sz="0" w:space="0" w:color="auto"/>
          <w:shd w:val="clear" w:color="auto" w:fill="FFFFFF"/>
          <w:lang w:val="es-ES_tradnl"/>
        </w:rPr>
        <w:t>mismo</w:t>
      </w:r>
      <w:r w:rsidRPr="00A20B20">
        <w:rPr>
          <w:rFonts w:eastAsia="Times New Roman"/>
          <w:sz w:val="20"/>
          <w:szCs w:val="20"/>
          <w:bdr w:val="none" w:sz="0" w:space="0" w:color="auto"/>
          <w:shd w:val="clear" w:color="auto" w:fill="FFFFFF"/>
          <w:lang w:val="es-ES_tradnl"/>
        </w:rPr>
        <w:t xml:space="preserve">. </w:t>
      </w:r>
    </w:p>
    <w:p w:rsidR="00A20B20" w:rsidRDefault="00A20B20" w:rsidP="00A20B20">
      <w:pPr>
        <w:pStyle w:val="ListParagraph"/>
        <w:ind w:left="0" w:firstLine="720"/>
        <w:jc w:val="both"/>
        <w:rPr>
          <w:rFonts w:eastAsia="Times New Roman"/>
          <w:sz w:val="20"/>
          <w:szCs w:val="20"/>
          <w:bdr w:val="none" w:sz="0" w:space="0" w:color="auto"/>
          <w:shd w:val="clear" w:color="auto" w:fill="FFFFFF"/>
          <w:lang w:val="es-ES_tradnl"/>
        </w:rPr>
      </w:pPr>
    </w:p>
    <w:p w:rsidR="00A20B20" w:rsidRDefault="00B053C8" w:rsidP="003B6A9B">
      <w:pPr>
        <w:pStyle w:val="ListParagraph"/>
        <w:numPr>
          <w:ilvl w:val="0"/>
          <w:numId w:val="58"/>
        </w:numPr>
        <w:ind w:left="0" w:firstLine="720"/>
        <w:jc w:val="both"/>
        <w:rPr>
          <w:rFonts w:eastAsia="Times New Roman"/>
          <w:sz w:val="20"/>
          <w:szCs w:val="20"/>
          <w:bdr w:val="none" w:sz="0" w:space="0" w:color="auto"/>
          <w:shd w:val="clear" w:color="auto" w:fill="FFFFFF"/>
          <w:lang w:val="es-ES_tradnl"/>
        </w:rPr>
      </w:pPr>
      <w:r w:rsidRPr="00A20B20">
        <w:rPr>
          <w:rFonts w:eastAsia="Times New Roman"/>
          <w:sz w:val="20"/>
          <w:szCs w:val="20"/>
          <w:bdr w:val="none" w:sz="0" w:space="0" w:color="auto"/>
          <w:shd w:val="clear" w:color="auto" w:fill="FFFFFF"/>
          <w:lang w:val="es-ES_tradnl"/>
        </w:rPr>
        <w:lastRenderedPageBreak/>
        <w:t>En virtud de lo anterior, los Estados firmantes del Protocolo Adicional I, deben abstenerse de adoptar actuaciones que pongan en peligro la vida e integridad de personas civiles y sus bienes en los contextos de conflictos armados internacionales</w:t>
      </w:r>
      <w:r w:rsidR="0015730E">
        <w:rPr>
          <w:rFonts w:eastAsia="Times New Roman"/>
          <w:sz w:val="20"/>
          <w:szCs w:val="20"/>
          <w:bdr w:val="none" w:sz="0" w:space="0" w:color="auto"/>
          <w:shd w:val="clear" w:color="auto" w:fill="FFFFFF"/>
          <w:lang w:val="es-ES_tradnl"/>
        </w:rPr>
        <w:t>.</w:t>
      </w:r>
      <w:r w:rsidRPr="00A20B20">
        <w:rPr>
          <w:rFonts w:eastAsia="Times New Roman"/>
          <w:sz w:val="20"/>
          <w:szCs w:val="20"/>
          <w:bdr w:val="none" w:sz="0" w:space="0" w:color="auto"/>
          <w:shd w:val="clear" w:color="auto" w:fill="FFFFFF"/>
          <w:lang w:val="es-ES_tradnl"/>
        </w:rPr>
        <w:t xml:space="preserve"> En ese sentido, sus actuaciones se verán limitadas tanto por la salvaguarda del objeto y fin del protocolo, así como por aquellas normas consuetudinarias del DIH que contienen principios </w:t>
      </w:r>
      <w:r w:rsidR="0015730E">
        <w:rPr>
          <w:rFonts w:eastAsia="Times New Roman"/>
          <w:sz w:val="20"/>
          <w:szCs w:val="20"/>
          <w:bdr w:val="none" w:sz="0" w:space="0" w:color="auto"/>
          <w:shd w:val="clear" w:color="auto" w:fill="FFFFFF"/>
          <w:lang w:val="es-ES_tradnl"/>
        </w:rPr>
        <w:t xml:space="preserve">que rigen </w:t>
      </w:r>
      <w:r w:rsidRPr="00A20B20">
        <w:rPr>
          <w:rFonts w:eastAsia="Times New Roman"/>
          <w:sz w:val="20"/>
          <w:szCs w:val="20"/>
          <w:bdr w:val="none" w:sz="0" w:space="0" w:color="auto"/>
          <w:shd w:val="clear" w:color="auto" w:fill="FFFFFF"/>
          <w:lang w:val="es-ES_tradnl"/>
        </w:rPr>
        <w:t xml:space="preserve">sus actuaciones durante los conflictos armados internacionales. </w:t>
      </w:r>
    </w:p>
    <w:p w:rsidR="00A20B20" w:rsidRPr="00A20B20" w:rsidRDefault="00A20B20" w:rsidP="00A20B20">
      <w:pPr>
        <w:pStyle w:val="ListParagraph"/>
        <w:ind w:left="0" w:firstLine="720"/>
        <w:jc w:val="both"/>
        <w:rPr>
          <w:rFonts w:eastAsia="Times New Roman"/>
          <w:sz w:val="20"/>
          <w:szCs w:val="20"/>
          <w:bdr w:val="none" w:sz="0" w:space="0" w:color="auto"/>
          <w:shd w:val="clear" w:color="auto" w:fill="FFFFFF"/>
          <w:lang w:val="es-ES_tradnl"/>
        </w:rPr>
      </w:pPr>
    </w:p>
    <w:p w:rsidR="00B053C8" w:rsidRPr="00A20B20" w:rsidRDefault="00B053C8" w:rsidP="005F1FD8">
      <w:pPr>
        <w:pStyle w:val="ListParagraph"/>
        <w:numPr>
          <w:ilvl w:val="0"/>
          <w:numId w:val="58"/>
        </w:numPr>
        <w:ind w:left="0" w:firstLine="720"/>
        <w:jc w:val="both"/>
        <w:rPr>
          <w:rFonts w:eastAsia="Times New Roman"/>
          <w:sz w:val="20"/>
          <w:szCs w:val="20"/>
          <w:bdr w:val="none" w:sz="0" w:space="0" w:color="auto"/>
          <w:shd w:val="clear" w:color="auto" w:fill="FFFFFF"/>
          <w:lang w:val="es-ES_tradnl"/>
        </w:rPr>
      </w:pPr>
      <w:r w:rsidRPr="00A20B20">
        <w:rPr>
          <w:rFonts w:eastAsia="Times New Roman"/>
          <w:sz w:val="20"/>
          <w:szCs w:val="20"/>
          <w:bdr w:val="none" w:sz="0" w:space="0" w:color="auto"/>
          <w:lang w:val="es-ES_tradnl"/>
        </w:rPr>
        <w:t>La CIDH toma nota de que a partir de la noción de Derecho Internacional Humanitario y las finalidades específicas perseguidas por éste, se han formulado determinados principios rectores, los cuales encuentran su fundamento tanto en normas consuetudinarias como convencionales</w:t>
      </w:r>
      <w:r w:rsidR="005F1FD8">
        <w:rPr>
          <w:rFonts w:eastAsia="Times New Roman"/>
          <w:sz w:val="20"/>
          <w:szCs w:val="20"/>
          <w:bdr w:val="none" w:sz="0" w:space="0" w:color="auto"/>
          <w:lang w:val="es-ES_tradnl"/>
        </w:rPr>
        <w:t xml:space="preserve">. Estos </w:t>
      </w:r>
      <w:r w:rsidRPr="00A20B20">
        <w:rPr>
          <w:rFonts w:eastAsia="Times New Roman"/>
          <w:sz w:val="20"/>
          <w:szCs w:val="20"/>
          <w:bdr w:val="none" w:sz="0" w:space="0" w:color="auto"/>
          <w:lang w:val="es-ES_tradnl"/>
        </w:rPr>
        <w:t xml:space="preserve">consecuentemente serán desarrollados a </w:t>
      </w:r>
      <w:r w:rsidRPr="00A20B20">
        <w:rPr>
          <w:rFonts w:eastAsia="Times New Roman"/>
          <w:sz w:val="20"/>
          <w:szCs w:val="20"/>
          <w:bdr w:val="none" w:sz="0" w:space="0" w:color="auto"/>
          <w:shd w:val="clear" w:color="auto" w:fill="FFFFFF"/>
          <w:lang w:val="es-ES_tradnl"/>
        </w:rPr>
        <w:t>continuación</w:t>
      </w:r>
      <w:r w:rsidRPr="00A20B20">
        <w:rPr>
          <w:rFonts w:eastAsia="Times New Roman"/>
          <w:sz w:val="20"/>
          <w:szCs w:val="20"/>
          <w:bdr w:val="none" w:sz="0" w:space="0" w:color="auto"/>
          <w:lang w:val="es-ES_tradnl"/>
        </w:rPr>
        <w:t xml:space="preserve"> en la medida de lo relevante para el análisis del presente caso. </w:t>
      </w:r>
      <w:r w:rsidR="005F1FD8" w:rsidRPr="005F1FD8">
        <w:rPr>
          <w:rFonts w:eastAsia="Times New Roman"/>
          <w:sz w:val="20"/>
          <w:szCs w:val="20"/>
          <w:bdr w:val="none" w:sz="0" w:space="0" w:color="auto"/>
          <w:lang w:val="es-ES_tradnl"/>
        </w:rPr>
        <w:t>Las referencias que siguen se basan en la costumbre y</w:t>
      </w:r>
      <w:r w:rsidR="00403AEA">
        <w:rPr>
          <w:rFonts w:eastAsia="Times New Roman"/>
          <w:sz w:val="20"/>
          <w:szCs w:val="20"/>
          <w:bdr w:val="none" w:sz="0" w:space="0" w:color="auto"/>
          <w:lang w:val="es-ES_tradnl"/>
        </w:rPr>
        <w:t xml:space="preserve"> en</w:t>
      </w:r>
      <w:r w:rsidR="005F1FD8" w:rsidRPr="005F1FD8">
        <w:rPr>
          <w:rFonts w:eastAsia="Times New Roman"/>
          <w:sz w:val="20"/>
          <w:szCs w:val="20"/>
          <w:bdr w:val="none" w:sz="0" w:space="0" w:color="auto"/>
          <w:lang w:val="es-ES_tradnl"/>
        </w:rPr>
        <w:t xml:space="preserve"> el tratado. La CIDH incluye referencias a los Convenios de Ginebr</w:t>
      </w:r>
      <w:r w:rsidR="00503EEC">
        <w:rPr>
          <w:rFonts w:eastAsia="Times New Roman"/>
          <w:sz w:val="20"/>
          <w:szCs w:val="20"/>
          <w:bdr w:val="none" w:sz="0" w:space="0" w:color="auto"/>
          <w:lang w:val="es-ES_tradnl"/>
        </w:rPr>
        <w:t>a, ratificados por los EE. UU.; a</w:t>
      </w:r>
      <w:r w:rsidR="005F1FD8" w:rsidRPr="005F1FD8">
        <w:rPr>
          <w:rFonts w:eastAsia="Times New Roman"/>
          <w:sz w:val="20"/>
          <w:szCs w:val="20"/>
          <w:bdr w:val="none" w:sz="0" w:space="0" w:color="auto"/>
          <w:lang w:val="es-ES_tradnl"/>
        </w:rPr>
        <w:t>l Protocolo I, que ha firmado pero no ratificado</w:t>
      </w:r>
      <w:r w:rsidR="00503EEC">
        <w:rPr>
          <w:rFonts w:eastAsia="Times New Roman"/>
          <w:sz w:val="20"/>
          <w:szCs w:val="20"/>
          <w:bdr w:val="none" w:sz="0" w:space="0" w:color="auto"/>
          <w:lang w:val="es-ES_tradnl"/>
        </w:rPr>
        <w:t>;</w:t>
      </w:r>
      <w:r w:rsidR="005F1FD8" w:rsidRPr="005F1FD8">
        <w:rPr>
          <w:rFonts w:eastAsia="Times New Roman"/>
          <w:sz w:val="20"/>
          <w:szCs w:val="20"/>
          <w:bdr w:val="none" w:sz="0" w:space="0" w:color="auto"/>
          <w:lang w:val="es-ES_tradnl"/>
        </w:rPr>
        <w:t xml:space="preserve"> y varios otros instrumentos, en algunos casos de los cuales es parte y en otros en los que no </w:t>
      </w:r>
      <w:r w:rsidR="00503EEC">
        <w:rPr>
          <w:rFonts w:eastAsia="Times New Roman"/>
          <w:sz w:val="20"/>
          <w:szCs w:val="20"/>
          <w:bdr w:val="none" w:sz="0" w:space="0" w:color="auto"/>
          <w:lang w:val="es-ES_tradnl"/>
        </w:rPr>
        <w:t xml:space="preserve">lo </w:t>
      </w:r>
      <w:r w:rsidR="005F1FD8" w:rsidRPr="005F1FD8">
        <w:rPr>
          <w:rFonts w:eastAsia="Times New Roman"/>
          <w:sz w:val="20"/>
          <w:szCs w:val="20"/>
          <w:bdr w:val="none" w:sz="0" w:space="0" w:color="auto"/>
          <w:lang w:val="es-ES_tradnl"/>
        </w:rPr>
        <w:t xml:space="preserve">es. La CIDH aclara que las referencias a los tratados de los </w:t>
      </w:r>
      <w:r w:rsidR="00503EEC">
        <w:rPr>
          <w:rFonts w:eastAsia="Times New Roman"/>
          <w:sz w:val="20"/>
          <w:szCs w:val="20"/>
          <w:bdr w:val="none" w:sz="0" w:space="0" w:color="auto"/>
          <w:lang w:val="es-ES_tradnl"/>
        </w:rPr>
        <w:t>que los Estados Unidos no es</w:t>
      </w:r>
      <w:r w:rsidR="005F1FD8" w:rsidRPr="005F1FD8">
        <w:rPr>
          <w:rFonts w:eastAsia="Times New Roman"/>
          <w:sz w:val="20"/>
          <w:szCs w:val="20"/>
          <w:bdr w:val="none" w:sz="0" w:space="0" w:color="auto"/>
          <w:lang w:val="es-ES_tradnl"/>
        </w:rPr>
        <w:t xml:space="preserve"> parte son a los fines de referencia gene</w:t>
      </w:r>
      <w:r w:rsidR="00503EEC">
        <w:rPr>
          <w:rFonts w:eastAsia="Times New Roman"/>
          <w:sz w:val="20"/>
          <w:szCs w:val="20"/>
          <w:bdr w:val="none" w:sz="0" w:space="0" w:color="auto"/>
          <w:lang w:val="es-ES_tradnl"/>
        </w:rPr>
        <w:t>ral para indicar el grado en el que</w:t>
      </w:r>
      <w:r w:rsidR="005F1FD8" w:rsidRPr="005F1FD8">
        <w:rPr>
          <w:rFonts w:eastAsia="Times New Roman"/>
          <w:sz w:val="20"/>
          <w:szCs w:val="20"/>
          <w:bdr w:val="none" w:sz="0" w:space="0" w:color="auto"/>
          <w:lang w:val="es-ES_tradnl"/>
        </w:rPr>
        <w:t xml:space="preserve"> estos principios se han incorporado en el derecho internacional de los tratados.</w:t>
      </w:r>
    </w:p>
    <w:p w:rsidR="00B053C8" w:rsidRPr="00B06A7F" w:rsidRDefault="00B053C8" w:rsidP="00B053C8">
      <w:pPr>
        <w:pStyle w:val="ListParagraph"/>
        <w:jc w:val="both"/>
        <w:rPr>
          <w:b/>
          <w:sz w:val="20"/>
          <w:szCs w:val="20"/>
          <w:lang w:val="es-ES_tradnl"/>
        </w:rPr>
      </w:pPr>
    </w:p>
    <w:p w:rsidR="00B053C8" w:rsidRPr="00B06A7F" w:rsidRDefault="00B053C8" w:rsidP="00F8455E">
      <w:pPr>
        <w:pStyle w:val="ListParagraph"/>
        <w:numPr>
          <w:ilvl w:val="1"/>
          <w:numId w:val="63"/>
        </w:numPr>
        <w:ind w:left="1080"/>
        <w:jc w:val="both"/>
        <w:rPr>
          <w:b/>
          <w:sz w:val="20"/>
          <w:szCs w:val="20"/>
          <w:lang w:val="es-ES_tradnl"/>
        </w:rPr>
      </w:pPr>
      <w:r w:rsidRPr="00B06A7F">
        <w:rPr>
          <w:b/>
          <w:sz w:val="20"/>
          <w:szCs w:val="20"/>
          <w:lang w:val="es-ES_tradnl"/>
        </w:rPr>
        <w:t xml:space="preserve">Distinción </w:t>
      </w:r>
    </w:p>
    <w:p w:rsidR="00B053C8" w:rsidRPr="00B06A7F" w:rsidRDefault="00B053C8" w:rsidP="00B053C8">
      <w:pPr>
        <w:ind w:firstLine="720"/>
        <w:jc w:val="both"/>
        <w:rPr>
          <w:rFonts w:ascii="Cambria" w:hAnsi="Cambria"/>
          <w:b/>
          <w:sz w:val="20"/>
          <w:szCs w:val="20"/>
          <w:lang w:val="es-ES_tradnl"/>
        </w:rPr>
      </w:pPr>
    </w:p>
    <w:p w:rsidR="00A20B20" w:rsidRPr="00A20B20" w:rsidRDefault="00B053C8" w:rsidP="003B6A9B">
      <w:pPr>
        <w:pStyle w:val="ListParagraph"/>
        <w:numPr>
          <w:ilvl w:val="0"/>
          <w:numId w:val="58"/>
        </w:numPr>
        <w:ind w:left="0" w:firstLine="720"/>
        <w:jc w:val="both"/>
        <w:rPr>
          <w:sz w:val="20"/>
          <w:szCs w:val="20"/>
          <w:lang w:val="es-ES_tradnl"/>
        </w:rPr>
      </w:pPr>
      <w:r w:rsidRPr="00A20B20">
        <w:rPr>
          <w:sz w:val="20"/>
          <w:szCs w:val="20"/>
          <w:lang w:val="es-ES_tradnl"/>
        </w:rPr>
        <w:t>La Comisión observa que este principio</w:t>
      </w:r>
      <w:r w:rsidR="00503EEC">
        <w:rPr>
          <w:sz w:val="20"/>
          <w:szCs w:val="20"/>
          <w:lang w:val="es-ES_tradnl"/>
        </w:rPr>
        <w:t>, además de ser de naturaleza consuetudinaria,</w:t>
      </w:r>
      <w:r w:rsidRPr="00A20B20">
        <w:rPr>
          <w:sz w:val="20"/>
          <w:szCs w:val="20"/>
          <w:lang w:val="es-ES_tradnl"/>
        </w:rPr>
        <w:t xml:space="preserve"> </w:t>
      </w:r>
      <w:r w:rsidR="00503EEC">
        <w:rPr>
          <w:sz w:val="20"/>
          <w:szCs w:val="20"/>
          <w:lang w:val="es-ES_tradnl"/>
        </w:rPr>
        <w:t xml:space="preserve">ha sido </w:t>
      </w:r>
      <w:r w:rsidRPr="00A20B20">
        <w:rPr>
          <w:sz w:val="20"/>
          <w:szCs w:val="20"/>
          <w:lang w:val="es-ES_tradnl"/>
        </w:rPr>
        <w:t xml:space="preserve">codificado en los artículos 48, 51, párrafo 2, y 52, párrafo 2, del Protocolo </w:t>
      </w:r>
      <w:r w:rsidRPr="00A20B20">
        <w:rPr>
          <w:rFonts w:eastAsia="Times New Roman"/>
          <w:sz w:val="20"/>
          <w:szCs w:val="20"/>
          <w:bdr w:val="none" w:sz="0" w:space="0" w:color="auto"/>
          <w:lang w:val="es-ES_tradnl"/>
        </w:rPr>
        <w:t>Adicional</w:t>
      </w:r>
      <w:r w:rsidRPr="00A20B20">
        <w:rPr>
          <w:sz w:val="20"/>
          <w:szCs w:val="20"/>
          <w:lang w:val="es-ES_tradnl"/>
        </w:rPr>
        <w:t xml:space="preserve"> I, a los que no se ha hecho ninguna reserva. En esta línea se entiende por ‘ataques’ los actos de violencia contra el adversario, sean ofensivos o defensivos. </w:t>
      </w:r>
      <w:r w:rsidRPr="00A20B20">
        <w:rPr>
          <w:bCs/>
          <w:sz w:val="20"/>
          <w:szCs w:val="20"/>
          <w:lang w:val="es-ES_tradnl"/>
        </w:rPr>
        <w:t>A la luz del principio de distinción las partes en conflicto deberán distinguir en todo momento entre personas civiles y combatientes, consecuentemente los ataques sólo podrán dirigirse contra combatientes, y por lo tanto las personas civiles no deben ser atacadas</w:t>
      </w:r>
      <w:r w:rsidRPr="00B06A7F">
        <w:rPr>
          <w:rStyle w:val="FootnoteReference"/>
          <w:bCs/>
          <w:sz w:val="20"/>
          <w:szCs w:val="20"/>
          <w:lang w:val="es-ES_tradnl"/>
        </w:rPr>
        <w:footnoteReference w:id="625"/>
      </w:r>
      <w:r w:rsidRPr="00A20B20">
        <w:rPr>
          <w:bCs/>
          <w:sz w:val="20"/>
          <w:szCs w:val="20"/>
          <w:lang w:val="es-ES_tradnl"/>
        </w:rPr>
        <w:t>.</w:t>
      </w:r>
    </w:p>
    <w:p w:rsidR="00A20B20" w:rsidRDefault="00A20B20" w:rsidP="00A20B20">
      <w:pPr>
        <w:pStyle w:val="ListParagraph"/>
        <w:ind w:left="0" w:firstLine="720"/>
        <w:jc w:val="both"/>
        <w:rPr>
          <w:sz w:val="20"/>
          <w:szCs w:val="20"/>
          <w:lang w:val="es-ES_tradnl"/>
        </w:rPr>
      </w:pPr>
    </w:p>
    <w:p w:rsidR="00A20B20" w:rsidRPr="00A20B20" w:rsidRDefault="00B053C8" w:rsidP="003B6A9B">
      <w:pPr>
        <w:pStyle w:val="ListParagraph"/>
        <w:numPr>
          <w:ilvl w:val="0"/>
          <w:numId w:val="58"/>
        </w:numPr>
        <w:ind w:left="0" w:firstLine="720"/>
        <w:jc w:val="both"/>
        <w:rPr>
          <w:sz w:val="20"/>
          <w:szCs w:val="20"/>
          <w:lang w:val="es-ES_tradnl"/>
        </w:rPr>
      </w:pPr>
      <w:r w:rsidRPr="00A20B20">
        <w:rPr>
          <w:sz w:val="20"/>
          <w:szCs w:val="20"/>
          <w:lang w:val="es-ES_tradnl"/>
        </w:rPr>
        <w:t xml:space="preserve">Cabe destacar que en la misma línea la prohibición de dirigir ataques contra personas civiles también se estipula en el Protocolo II, en el Protocolo II enmendado y en el Protocolo III de la Convención sobre ciertas armas </w:t>
      </w:r>
      <w:r w:rsidRPr="00A20B20">
        <w:rPr>
          <w:rFonts w:eastAsia="Times New Roman"/>
          <w:sz w:val="20"/>
          <w:szCs w:val="20"/>
          <w:bdr w:val="none" w:sz="0" w:space="0" w:color="auto"/>
          <w:lang w:val="es-ES_tradnl"/>
        </w:rPr>
        <w:t>convencionales</w:t>
      </w:r>
      <w:r w:rsidRPr="00A20B20">
        <w:rPr>
          <w:sz w:val="20"/>
          <w:szCs w:val="20"/>
          <w:lang w:val="es-ES_tradnl"/>
        </w:rPr>
        <w:t>, así como en la Convención de Ottawa que prohíbe las minas terrestres antipersonal</w:t>
      </w:r>
      <w:r w:rsidRPr="00B06A7F">
        <w:rPr>
          <w:rStyle w:val="FootnoteReference"/>
          <w:sz w:val="20"/>
          <w:szCs w:val="20"/>
          <w:lang w:val="es-ES_tradnl"/>
        </w:rPr>
        <w:footnoteReference w:id="626"/>
      </w:r>
      <w:r w:rsidRPr="00A20B20">
        <w:rPr>
          <w:sz w:val="20"/>
          <w:szCs w:val="20"/>
          <w:lang w:val="es-ES_tradnl"/>
        </w:rPr>
        <w:t>. Además, según se establece en el Estatuto de la Corte Penal Internacional, “dirigir intencionalmente ataques contra la población civil en cuanto tal o contra civiles que no participen directamente en las hostilidades” constituye un crimen de guerra en los conflictos armados internacionales</w:t>
      </w:r>
      <w:r w:rsidRPr="00B06A7F">
        <w:rPr>
          <w:rStyle w:val="FootnoteReference"/>
          <w:sz w:val="20"/>
          <w:szCs w:val="20"/>
          <w:lang w:val="es-ES_tradnl"/>
        </w:rPr>
        <w:footnoteReference w:id="627"/>
      </w:r>
      <w:r w:rsidRPr="00A20B20">
        <w:rPr>
          <w:sz w:val="20"/>
          <w:szCs w:val="20"/>
          <w:lang w:val="es-ES_tradnl"/>
        </w:rPr>
        <w:t>.</w:t>
      </w:r>
    </w:p>
    <w:p w:rsidR="00A20B20" w:rsidRDefault="00A20B20" w:rsidP="00A20B20">
      <w:pPr>
        <w:pStyle w:val="ListParagraph"/>
        <w:ind w:left="0" w:firstLine="720"/>
        <w:jc w:val="both"/>
        <w:rPr>
          <w:sz w:val="20"/>
          <w:szCs w:val="20"/>
          <w:lang w:val="es-ES_tradnl"/>
        </w:rPr>
      </w:pPr>
    </w:p>
    <w:p w:rsidR="00A20B20" w:rsidRDefault="00503EEC" w:rsidP="003B6A9B">
      <w:pPr>
        <w:pStyle w:val="ListParagraph"/>
        <w:numPr>
          <w:ilvl w:val="0"/>
          <w:numId w:val="58"/>
        </w:numPr>
        <w:ind w:left="0" w:firstLine="720"/>
        <w:jc w:val="both"/>
        <w:rPr>
          <w:sz w:val="20"/>
          <w:szCs w:val="20"/>
          <w:lang w:val="es-ES_tradnl"/>
        </w:rPr>
      </w:pPr>
      <w:r>
        <w:rPr>
          <w:sz w:val="20"/>
          <w:szCs w:val="20"/>
          <w:lang w:val="es-ES_tradnl"/>
        </w:rPr>
        <w:t>L</w:t>
      </w:r>
      <w:r w:rsidR="00B053C8" w:rsidRPr="00A20B20">
        <w:rPr>
          <w:sz w:val="20"/>
          <w:szCs w:val="20"/>
          <w:lang w:val="es-ES_tradnl"/>
        </w:rPr>
        <w:t>as normas que rigen el derecho internacional humanitario prohíben conductas que constituyen ataques indiscriminados “en los que se emplean métodos o medios de combate cuyos efectos no sea posible limitar, como exige el derecho internacional humanitario […] y que en consecuencia, pueden alcanzar indistintamente, […] tanto a objetivos militares como a personas civiles”</w:t>
      </w:r>
      <w:r w:rsidR="00B053C8" w:rsidRPr="00B06A7F">
        <w:rPr>
          <w:rStyle w:val="FootnoteReference"/>
          <w:sz w:val="20"/>
          <w:szCs w:val="20"/>
          <w:lang w:val="es-ES_tradnl"/>
        </w:rPr>
        <w:footnoteReference w:id="628"/>
      </w:r>
      <w:r w:rsidR="00B053C8" w:rsidRPr="00A20B20">
        <w:rPr>
          <w:sz w:val="20"/>
          <w:szCs w:val="20"/>
          <w:lang w:val="es-ES_tradnl"/>
        </w:rPr>
        <w:t>. Del mismo modo, la jurisprudencia del Tribunal Penal para la Ex-Yugoslavia (en adelante también “TPIY”) ha señalado que “los ataques indiscriminados, es decir, los ataques que golpean a civiles o bienes civiles, y objetivos militares sin distinción, pueden calificar como ataques directos contra civiles” y que los mismos “están expresamente prohibidos por el Protocolo Adicional I</w:t>
      </w:r>
      <w:r w:rsidR="00B053C8" w:rsidRPr="00B06A7F">
        <w:rPr>
          <w:rStyle w:val="FootnoteReference"/>
          <w:sz w:val="20"/>
          <w:szCs w:val="20"/>
          <w:lang w:val="es-ES_tradnl"/>
        </w:rPr>
        <w:footnoteReference w:id="629"/>
      </w:r>
      <w:r w:rsidR="00B053C8" w:rsidRPr="00A20B20">
        <w:rPr>
          <w:sz w:val="20"/>
          <w:szCs w:val="20"/>
          <w:lang w:val="es-ES_tradnl"/>
        </w:rPr>
        <w:t>, reflejando esta prohibición  que el principio de distinción responde a una regla bien establecida dentro del derecho consuetudinario aplicable a todos los conflictos armados”</w:t>
      </w:r>
      <w:r w:rsidR="00B053C8" w:rsidRPr="00B06A7F">
        <w:rPr>
          <w:rStyle w:val="FootnoteReference"/>
          <w:sz w:val="20"/>
          <w:szCs w:val="20"/>
          <w:lang w:val="es-ES_tradnl"/>
        </w:rPr>
        <w:footnoteReference w:id="630"/>
      </w:r>
      <w:r w:rsidR="00B053C8" w:rsidRPr="00A20B20">
        <w:rPr>
          <w:sz w:val="20"/>
          <w:szCs w:val="20"/>
          <w:lang w:val="es-ES_tradnl"/>
        </w:rPr>
        <w:t>.</w:t>
      </w:r>
      <w:r w:rsidR="00B053C8" w:rsidRPr="00A20B20">
        <w:rPr>
          <w:b/>
          <w:i/>
          <w:sz w:val="20"/>
          <w:szCs w:val="20"/>
          <w:u w:val="single"/>
          <w:lang w:val="es-ES_tradnl"/>
        </w:rPr>
        <w:t xml:space="preserve"> </w:t>
      </w:r>
    </w:p>
    <w:p w:rsidR="00A20B20" w:rsidRDefault="00A20B20" w:rsidP="00A20B20">
      <w:pPr>
        <w:pStyle w:val="ListParagraph"/>
        <w:ind w:left="0" w:firstLine="720"/>
        <w:jc w:val="both"/>
        <w:rPr>
          <w:sz w:val="20"/>
          <w:szCs w:val="20"/>
          <w:lang w:val="es-ES_tradnl"/>
        </w:rPr>
      </w:pPr>
    </w:p>
    <w:p w:rsidR="00A20B20" w:rsidRDefault="00503EEC" w:rsidP="003B6A9B">
      <w:pPr>
        <w:pStyle w:val="ListParagraph"/>
        <w:numPr>
          <w:ilvl w:val="0"/>
          <w:numId w:val="58"/>
        </w:numPr>
        <w:ind w:left="0" w:firstLine="720"/>
        <w:jc w:val="both"/>
        <w:rPr>
          <w:sz w:val="20"/>
          <w:szCs w:val="20"/>
          <w:lang w:val="es-ES_tradnl"/>
        </w:rPr>
      </w:pPr>
      <w:r>
        <w:rPr>
          <w:sz w:val="20"/>
          <w:szCs w:val="20"/>
          <w:lang w:val="es-ES_tradnl"/>
        </w:rPr>
        <w:lastRenderedPageBreak/>
        <w:t>E</w:t>
      </w:r>
      <w:r w:rsidR="00B053C8" w:rsidRPr="00A20B20">
        <w:rPr>
          <w:sz w:val="20"/>
          <w:szCs w:val="20"/>
          <w:lang w:val="es-ES_tradnl"/>
        </w:rPr>
        <w:t xml:space="preserve">l principio de distinción encuentra su fundamento universal en </w:t>
      </w:r>
      <w:r w:rsidR="00DD6728">
        <w:rPr>
          <w:sz w:val="20"/>
          <w:szCs w:val="20"/>
          <w:lang w:val="es-ES_tradnl"/>
        </w:rPr>
        <w:t xml:space="preserve">normas consuetudinarias </w:t>
      </w:r>
      <w:r w:rsidR="007B44EB">
        <w:rPr>
          <w:sz w:val="20"/>
          <w:szCs w:val="20"/>
          <w:lang w:val="es-ES_tradnl"/>
        </w:rPr>
        <w:t xml:space="preserve">de derecho internacional humanitario </w:t>
      </w:r>
      <w:r w:rsidR="00B053C8" w:rsidRPr="00A20B20">
        <w:rPr>
          <w:sz w:val="20"/>
          <w:szCs w:val="20"/>
          <w:lang w:val="es-ES_tradnl"/>
        </w:rPr>
        <w:t xml:space="preserve">y consecuentemente abarca, -entre otras cosas-: i) </w:t>
      </w:r>
      <w:r w:rsidR="00B053C8" w:rsidRPr="00A20B20">
        <w:rPr>
          <w:bCs/>
          <w:sz w:val="20"/>
          <w:szCs w:val="20"/>
          <w:lang w:val="es-ES_tradnl"/>
        </w:rPr>
        <w:t>la prohibición de los actos o las amenazas de violencia cuya finalidad principal sea aterrorizar a la población civil; ii) la identificación adecuada de quienes conforman las fuerzas armadas para posteriormente identificar que las personas no pertenecientes a dicho grupo podrían clasificarse como civiles; iii) la protección de civiles contra ataques; iv) la distinción entre bienes civiles y militares; v) la prohibición de ataques indiscriminados; y vi) la prohibición de desplegar ataques de bombardeo que traten como un objetivo militar único varios objetivos militares precisos y claramente separados, situados en una ciudad, un pueblo, una aldea u otra zona en la que haya una concentración análoga de personas civiles o bienes de carácter civil</w:t>
      </w:r>
      <w:r w:rsidR="00B053C8" w:rsidRPr="00B06A7F">
        <w:rPr>
          <w:rStyle w:val="FootnoteReference"/>
          <w:bCs/>
          <w:sz w:val="20"/>
          <w:szCs w:val="20"/>
          <w:lang w:val="es-ES_tradnl"/>
        </w:rPr>
        <w:footnoteReference w:id="631"/>
      </w:r>
      <w:r w:rsidR="00B053C8" w:rsidRPr="00A20B20">
        <w:rPr>
          <w:bCs/>
          <w:sz w:val="20"/>
          <w:szCs w:val="20"/>
          <w:lang w:val="es-ES_tradnl"/>
        </w:rPr>
        <w:t>.</w:t>
      </w:r>
      <w:r w:rsidR="007B44EB">
        <w:rPr>
          <w:bCs/>
          <w:sz w:val="20"/>
          <w:szCs w:val="20"/>
          <w:lang w:val="es-ES_tradnl"/>
        </w:rPr>
        <w:t xml:space="preserve"> </w:t>
      </w:r>
    </w:p>
    <w:p w:rsidR="00A20B20" w:rsidRPr="00A20B20" w:rsidRDefault="00A20B20" w:rsidP="00A20B20">
      <w:pPr>
        <w:pStyle w:val="ListParagraph"/>
        <w:ind w:left="0" w:firstLine="720"/>
        <w:jc w:val="both"/>
        <w:rPr>
          <w:sz w:val="20"/>
          <w:szCs w:val="20"/>
          <w:lang w:val="es-ES_tradnl"/>
        </w:rPr>
      </w:pPr>
    </w:p>
    <w:p w:rsidR="00A20B20" w:rsidRDefault="00B053C8" w:rsidP="003B6A9B">
      <w:pPr>
        <w:pStyle w:val="ListParagraph"/>
        <w:numPr>
          <w:ilvl w:val="0"/>
          <w:numId w:val="58"/>
        </w:numPr>
        <w:ind w:left="0" w:firstLine="720"/>
        <w:jc w:val="both"/>
        <w:rPr>
          <w:sz w:val="20"/>
          <w:szCs w:val="20"/>
          <w:lang w:val="es-ES_tradnl"/>
        </w:rPr>
      </w:pPr>
      <w:r w:rsidRPr="00A20B20">
        <w:rPr>
          <w:bCs/>
          <w:sz w:val="20"/>
          <w:szCs w:val="20"/>
          <w:lang w:val="es-ES_tradnl"/>
        </w:rPr>
        <w:t xml:space="preserve">Al respecto, </w:t>
      </w:r>
      <w:r w:rsidR="007B44EB">
        <w:rPr>
          <w:bCs/>
          <w:sz w:val="20"/>
          <w:szCs w:val="20"/>
          <w:lang w:val="es-ES_tradnl"/>
        </w:rPr>
        <w:t>en n</w:t>
      </w:r>
      <w:r w:rsidRPr="00A20B20">
        <w:rPr>
          <w:bCs/>
          <w:sz w:val="20"/>
          <w:szCs w:val="20"/>
          <w:lang w:val="es-ES_tradnl"/>
        </w:rPr>
        <w:t xml:space="preserve">ormas </w:t>
      </w:r>
      <w:r w:rsidR="007B44EB">
        <w:rPr>
          <w:bCs/>
          <w:sz w:val="20"/>
          <w:szCs w:val="20"/>
          <w:lang w:val="es-ES_tradnl"/>
        </w:rPr>
        <w:t>c</w:t>
      </w:r>
      <w:r w:rsidRPr="00A20B20">
        <w:rPr>
          <w:bCs/>
          <w:sz w:val="20"/>
          <w:szCs w:val="20"/>
          <w:lang w:val="es-ES_tradnl"/>
        </w:rPr>
        <w:t xml:space="preserve">onsuetudinarias del </w:t>
      </w:r>
      <w:r w:rsidR="007B44EB">
        <w:rPr>
          <w:bCs/>
          <w:sz w:val="20"/>
          <w:szCs w:val="20"/>
          <w:lang w:val="es-ES_tradnl"/>
        </w:rPr>
        <w:t>d</w:t>
      </w:r>
      <w:r w:rsidRPr="00A20B20">
        <w:rPr>
          <w:bCs/>
          <w:sz w:val="20"/>
          <w:szCs w:val="20"/>
          <w:lang w:val="es-ES_tradnl"/>
        </w:rPr>
        <w:t xml:space="preserve">erecho </w:t>
      </w:r>
      <w:r w:rsidR="007B44EB">
        <w:rPr>
          <w:bCs/>
          <w:sz w:val="20"/>
          <w:szCs w:val="20"/>
          <w:lang w:val="es-ES_tradnl"/>
        </w:rPr>
        <w:t>i</w:t>
      </w:r>
      <w:r w:rsidRPr="00A20B20">
        <w:rPr>
          <w:bCs/>
          <w:sz w:val="20"/>
          <w:szCs w:val="20"/>
          <w:lang w:val="es-ES_tradnl"/>
        </w:rPr>
        <w:t xml:space="preserve">nternacional </w:t>
      </w:r>
      <w:r w:rsidR="007B44EB">
        <w:rPr>
          <w:bCs/>
          <w:sz w:val="20"/>
          <w:szCs w:val="20"/>
          <w:lang w:val="es-ES_tradnl"/>
        </w:rPr>
        <w:t>h</w:t>
      </w:r>
      <w:r w:rsidRPr="00A20B20">
        <w:rPr>
          <w:bCs/>
          <w:sz w:val="20"/>
          <w:szCs w:val="20"/>
          <w:lang w:val="es-ES_tradnl"/>
        </w:rPr>
        <w:t>umanitario</w:t>
      </w:r>
      <w:r w:rsidR="007B44EB">
        <w:rPr>
          <w:bCs/>
          <w:sz w:val="20"/>
          <w:szCs w:val="20"/>
          <w:lang w:val="es-ES_tradnl"/>
        </w:rPr>
        <w:t xml:space="preserve"> se</w:t>
      </w:r>
      <w:r w:rsidRPr="00A20B20">
        <w:rPr>
          <w:bCs/>
          <w:sz w:val="20"/>
          <w:szCs w:val="20"/>
          <w:lang w:val="es-ES_tradnl"/>
        </w:rPr>
        <w:t xml:space="preserve"> contempla la obligación de las partes en conflicto de distinguir en todo momento entre personas civiles y combatientes. Los </w:t>
      </w:r>
      <w:r w:rsidRPr="00A20B20">
        <w:rPr>
          <w:sz w:val="20"/>
          <w:szCs w:val="20"/>
          <w:lang w:val="es-ES_tradnl"/>
        </w:rPr>
        <w:t>ataques</w:t>
      </w:r>
      <w:r w:rsidRPr="00A20B20">
        <w:rPr>
          <w:bCs/>
          <w:sz w:val="20"/>
          <w:szCs w:val="20"/>
          <w:lang w:val="es-ES_tradnl"/>
        </w:rPr>
        <w:t xml:space="preserve"> sólo podrán dirigirse contra combatientes. Los civiles no deben ser atacados.</w:t>
      </w:r>
    </w:p>
    <w:p w:rsidR="00A20B20" w:rsidRDefault="00A20B20" w:rsidP="00A20B20">
      <w:pPr>
        <w:pStyle w:val="ListParagraph"/>
        <w:ind w:left="0" w:firstLine="720"/>
        <w:jc w:val="both"/>
        <w:rPr>
          <w:sz w:val="20"/>
          <w:szCs w:val="20"/>
          <w:lang w:val="es-ES_tradnl"/>
        </w:rPr>
      </w:pPr>
    </w:p>
    <w:p w:rsidR="00A20B20" w:rsidRDefault="00B053C8" w:rsidP="003B6A9B">
      <w:pPr>
        <w:pStyle w:val="ListParagraph"/>
        <w:numPr>
          <w:ilvl w:val="0"/>
          <w:numId w:val="58"/>
        </w:numPr>
        <w:ind w:left="0" w:firstLine="720"/>
        <w:jc w:val="both"/>
        <w:rPr>
          <w:sz w:val="20"/>
          <w:szCs w:val="20"/>
          <w:lang w:val="es-ES_tradnl"/>
        </w:rPr>
      </w:pPr>
      <w:r w:rsidRPr="00A20B20">
        <w:rPr>
          <w:sz w:val="20"/>
          <w:szCs w:val="20"/>
          <w:lang w:val="es-ES_tradnl"/>
        </w:rPr>
        <w:t xml:space="preserve">Asimismo, </w:t>
      </w:r>
      <w:r w:rsidR="007B44EB">
        <w:rPr>
          <w:sz w:val="20"/>
          <w:szCs w:val="20"/>
          <w:lang w:val="es-ES_tradnl"/>
        </w:rPr>
        <w:t xml:space="preserve">estas normas contemplan </w:t>
      </w:r>
      <w:r w:rsidRPr="00A20B20">
        <w:rPr>
          <w:bCs/>
          <w:sz w:val="20"/>
          <w:szCs w:val="20"/>
          <w:lang w:val="es-ES_tradnl"/>
        </w:rPr>
        <w:t xml:space="preserve">la prohibición </w:t>
      </w:r>
      <w:r w:rsidR="00DD6728">
        <w:rPr>
          <w:bCs/>
          <w:sz w:val="20"/>
          <w:szCs w:val="20"/>
          <w:lang w:val="es-ES_tradnl"/>
        </w:rPr>
        <w:t xml:space="preserve">de </w:t>
      </w:r>
      <w:r w:rsidRPr="00A20B20">
        <w:rPr>
          <w:bCs/>
          <w:sz w:val="20"/>
          <w:szCs w:val="20"/>
          <w:lang w:val="es-ES_tradnl"/>
        </w:rPr>
        <w:t>los actos o las amenazas de violencia cuya finalidad principal sea aterrorizar a la población civil</w:t>
      </w:r>
      <w:r w:rsidR="007B44EB">
        <w:rPr>
          <w:bCs/>
          <w:sz w:val="20"/>
          <w:szCs w:val="20"/>
          <w:lang w:val="es-ES_tradnl"/>
        </w:rPr>
        <w:t xml:space="preserve">. </w:t>
      </w:r>
      <w:r w:rsidR="00503EEC">
        <w:rPr>
          <w:bCs/>
          <w:sz w:val="20"/>
          <w:szCs w:val="20"/>
          <w:lang w:val="es-ES_tradnl"/>
        </w:rPr>
        <w:t>L</w:t>
      </w:r>
      <w:r w:rsidRPr="00A20B20">
        <w:rPr>
          <w:bCs/>
          <w:sz w:val="20"/>
          <w:szCs w:val="20"/>
          <w:lang w:val="es-ES_tradnl"/>
        </w:rPr>
        <w:t>a prohibición de los actos o las amenazas de violencia que tienen por objeto atemorizar a la población civil es</w:t>
      </w:r>
      <w:r w:rsidR="00503EEC">
        <w:rPr>
          <w:bCs/>
          <w:sz w:val="20"/>
          <w:szCs w:val="20"/>
          <w:lang w:val="es-ES_tradnl"/>
        </w:rPr>
        <w:t xml:space="preserve"> consistente con </w:t>
      </w:r>
      <w:r w:rsidRPr="00A20B20">
        <w:rPr>
          <w:bCs/>
          <w:sz w:val="20"/>
          <w:szCs w:val="20"/>
          <w:lang w:val="es-ES_tradnl"/>
        </w:rPr>
        <w:t xml:space="preserve">la </w:t>
      </w:r>
      <w:r w:rsidRPr="00A20B20">
        <w:rPr>
          <w:sz w:val="20"/>
          <w:szCs w:val="20"/>
          <w:lang w:val="es-ES_tradnl"/>
        </w:rPr>
        <w:t>prohibición</w:t>
      </w:r>
      <w:r w:rsidRPr="00A20B20">
        <w:rPr>
          <w:bCs/>
          <w:sz w:val="20"/>
          <w:szCs w:val="20"/>
          <w:lang w:val="es-ES_tradnl"/>
        </w:rPr>
        <w:t xml:space="preserve"> más amplia de “toda medida de intimidación o de terrorismo”, estipulada en el artículo 33 del IV Convenio de Ginebra</w:t>
      </w:r>
      <w:r w:rsidRPr="00B06A7F">
        <w:rPr>
          <w:rStyle w:val="FootnoteReference"/>
          <w:bCs/>
          <w:sz w:val="20"/>
          <w:szCs w:val="20"/>
          <w:lang w:val="es-ES_tradnl"/>
        </w:rPr>
        <w:footnoteReference w:id="632"/>
      </w:r>
      <w:r w:rsidRPr="00A20B20">
        <w:rPr>
          <w:bCs/>
          <w:sz w:val="20"/>
          <w:szCs w:val="20"/>
          <w:lang w:val="es-ES_tradnl"/>
        </w:rPr>
        <w:t>.</w:t>
      </w:r>
    </w:p>
    <w:p w:rsidR="00A20B20" w:rsidRPr="00A20B20" w:rsidRDefault="00A20B20" w:rsidP="00A20B20">
      <w:pPr>
        <w:pStyle w:val="ListParagraph"/>
        <w:jc w:val="both"/>
        <w:rPr>
          <w:sz w:val="20"/>
          <w:szCs w:val="20"/>
          <w:lang w:val="es-ES_tradnl"/>
        </w:rPr>
      </w:pPr>
    </w:p>
    <w:p w:rsidR="00A20B20" w:rsidRPr="007B44EB" w:rsidRDefault="00B053C8" w:rsidP="003B6A9B">
      <w:pPr>
        <w:pStyle w:val="ListParagraph"/>
        <w:numPr>
          <w:ilvl w:val="0"/>
          <w:numId w:val="58"/>
        </w:numPr>
        <w:ind w:left="0" w:firstLine="720"/>
        <w:jc w:val="both"/>
        <w:rPr>
          <w:sz w:val="20"/>
          <w:szCs w:val="20"/>
          <w:lang w:val="es-ES_tradnl"/>
        </w:rPr>
      </w:pPr>
      <w:r w:rsidRPr="00A20B20">
        <w:rPr>
          <w:bCs/>
          <w:sz w:val="20"/>
          <w:szCs w:val="20"/>
          <w:lang w:val="es-ES_tradnl"/>
        </w:rPr>
        <w:t>En la misma línea el Tribunal Penal Internacional para la ex-Yugoslavia en el caso Blaskic de 2000 definió a los civiles como “personas que no son o ya no son miembros de las fuerzas armadas”</w:t>
      </w:r>
      <w:r w:rsidRPr="00B06A7F">
        <w:rPr>
          <w:rStyle w:val="FootnoteReference"/>
          <w:bCs/>
          <w:sz w:val="20"/>
          <w:szCs w:val="20"/>
          <w:lang w:val="es-ES_tradnl"/>
        </w:rPr>
        <w:footnoteReference w:id="633"/>
      </w:r>
      <w:r w:rsidRPr="00A20B20">
        <w:rPr>
          <w:bCs/>
          <w:sz w:val="20"/>
          <w:szCs w:val="20"/>
          <w:lang w:val="es-ES_tradnl"/>
        </w:rPr>
        <w:t xml:space="preserve">. </w:t>
      </w:r>
      <w:r w:rsidR="00503EEC">
        <w:rPr>
          <w:bCs/>
          <w:sz w:val="20"/>
          <w:szCs w:val="20"/>
          <w:lang w:val="es-ES_tradnl"/>
        </w:rPr>
        <w:t xml:space="preserve">Debido a que los civiles no participan en los conflictos armados, </w:t>
      </w:r>
      <w:r w:rsidR="00404D99">
        <w:rPr>
          <w:bCs/>
          <w:sz w:val="20"/>
          <w:szCs w:val="20"/>
          <w:lang w:val="es-ES_tradnl"/>
        </w:rPr>
        <w:t>los mismos deben ser protegido</w:t>
      </w:r>
      <w:r w:rsidRPr="00A20B20">
        <w:rPr>
          <w:bCs/>
          <w:sz w:val="20"/>
          <w:szCs w:val="20"/>
          <w:lang w:val="es-ES_tradnl"/>
        </w:rPr>
        <w:t xml:space="preserve">s </w:t>
      </w:r>
      <w:r w:rsidR="00404D99">
        <w:rPr>
          <w:bCs/>
          <w:sz w:val="20"/>
          <w:szCs w:val="20"/>
          <w:lang w:val="es-ES_tradnl"/>
        </w:rPr>
        <w:t xml:space="preserve">durante las hostilidades </w:t>
      </w:r>
      <w:r w:rsidRPr="00A20B20">
        <w:rPr>
          <w:bCs/>
          <w:sz w:val="20"/>
          <w:szCs w:val="20"/>
          <w:lang w:val="es-ES_tradnl"/>
        </w:rPr>
        <w:t xml:space="preserve">y no </w:t>
      </w:r>
      <w:r w:rsidR="00404D99">
        <w:rPr>
          <w:bCs/>
          <w:sz w:val="20"/>
          <w:szCs w:val="20"/>
          <w:lang w:val="es-ES_tradnl"/>
        </w:rPr>
        <w:t xml:space="preserve">pueden </w:t>
      </w:r>
      <w:r w:rsidRPr="00A20B20">
        <w:rPr>
          <w:bCs/>
          <w:sz w:val="20"/>
          <w:szCs w:val="20"/>
          <w:lang w:val="es-ES_tradnl"/>
        </w:rPr>
        <w:t>ser blancos de ataques por parte de fuerzas militares que intervienen.</w:t>
      </w:r>
    </w:p>
    <w:p w:rsidR="007B44EB" w:rsidRPr="007B44EB" w:rsidRDefault="007B44EB" w:rsidP="007B44EB">
      <w:pPr>
        <w:pStyle w:val="ListParagraph"/>
        <w:jc w:val="both"/>
        <w:rPr>
          <w:sz w:val="20"/>
          <w:szCs w:val="20"/>
          <w:lang w:val="es-ES_tradnl"/>
        </w:rPr>
      </w:pPr>
    </w:p>
    <w:p w:rsidR="007B44EB" w:rsidRDefault="007B44EB" w:rsidP="003B6A9B">
      <w:pPr>
        <w:pStyle w:val="ListParagraph"/>
        <w:numPr>
          <w:ilvl w:val="0"/>
          <w:numId w:val="58"/>
        </w:numPr>
        <w:ind w:left="0" w:firstLine="720"/>
        <w:jc w:val="both"/>
        <w:rPr>
          <w:sz w:val="20"/>
          <w:szCs w:val="20"/>
          <w:lang w:val="es-ES_tradnl"/>
        </w:rPr>
      </w:pPr>
      <w:r w:rsidRPr="00A20B20">
        <w:rPr>
          <w:rFonts w:cs="Times"/>
          <w:bCs/>
          <w:sz w:val="20"/>
          <w:szCs w:val="20"/>
          <w:lang w:val="es-ES_tradnl"/>
        </w:rPr>
        <w:t xml:space="preserve">Por otro lado, parte esencial del principio de distinción responde a la prohibición de los ataques indiscriminados estipulado en las </w:t>
      </w:r>
      <w:r>
        <w:rPr>
          <w:rFonts w:cs="Times"/>
          <w:bCs/>
          <w:sz w:val="20"/>
          <w:szCs w:val="20"/>
          <w:lang w:val="es-ES_tradnl"/>
        </w:rPr>
        <w:t>normas consuetudinaria</w:t>
      </w:r>
      <w:r w:rsidR="00C937F3">
        <w:rPr>
          <w:rFonts w:cs="Times"/>
          <w:bCs/>
          <w:sz w:val="20"/>
          <w:szCs w:val="20"/>
          <w:lang w:val="es-ES_tradnl"/>
        </w:rPr>
        <w:t xml:space="preserve">s </w:t>
      </w:r>
      <w:r w:rsidRPr="00A20B20">
        <w:rPr>
          <w:rFonts w:cs="Times"/>
          <w:bCs/>
          <w:sz w:val="20"/>
          <w:szCs w:val="20"/>
          <w:lang w:val="es-ES_tradnl"/>
        </w:rPr>
        <w:t>del DIH. Al respecto, dichas normas establecen: a) la prohibición de ataques indiscriminados</w:t>
      </w:r>
      <w:r w:rsidR="00F8455E">
        <w:rPr>
          <w:rFonts w:cs="Times"/>
          <w:bCs/>
          <w:sz w:val="20"/>
          <w:szCs w:val="20"/>
          <w:lang w:val="es-ES_tradnl"/>
        </w:rPr>
        <w:t>; b) l</w:t>
      </w:r>
      <w:r w:rsidRPr="00A20B20">
        <w:rPr>
          <w:rFonts w:cs="Times"/>
          <w:bCs/>
          <w:sz w:val="20"/>
          <w:szCs w:val="20"/>
          <w:lang w:val="es-ES_tradnl"/>
        </w:rPr>
        <w:t xml:space="preserve">a indicación de que los ataques indiscriminados son aquellos que no están dirigidos contra un objetivo militar concreto; en los que se emplean métodos o medios de combate que no pueden dirigirse contra un objetivo militar concreto; en los que se emplean métodos o medios de combate cuyos efectos no sea posible limitar, como exige el derecho  internacional humanitario; y aquellos que </w:t>
      </w:r>
      <w:r w:rsidRPr="00A20B20">
        <w:rPr>
          <w:rFonts w:eastAsia="Times New Roman"/>
          <w:sz w:val="20"/>
          <w:szCs w:val="20"/>
          <w:lang w:val="es-ES_tradnl"/>
        </w:rPr>
        <w:t>pueden alcanzar indistintamente, tanto a objetivos militares como a personas civiles o bienes de carácter civil</w:t>
      </w:r>
      <w:r w:rsidRPr="00A20B20">
        <w:rPr>
          <w:rFonts w:cs="Times"/>
          <w:bCs/>
          <w:sz w:val="20"/>
          <w:szCs w:val="20"/>
          <w:lang w:val="es-ES_tradnl"/>
        </w:rPr>
        <w:t>; y c) la prohibición de ataques por bombardeo, cualesquiera que sean los métodos o medios utilizados, que traten como un objetivo militar único varios objetivos militares precisos y claramente separados, situados en una ciudad, un pueblo, una aldea u otra zona en la que haya una concentración análoga de personas civi</w:t>
      </w:r>
      <w:r w:rsidR="00F8455E">
        <w:rPr>
          <w:rFonts w:cs="Times"/>
          <w:bCs/>
          <w:sz w:val="20"/>
          <w:szCs w:val="20"/>
          <w:lang w:val="es-ES_tradnl"/>
        </w:rPr>
        <w:t>les o bienes de carácter civil.</w:t>
      </w:r>
    </w:p>
    <w:p w:rsidR="007B44EB" w:rsidRPr="00A20B20" w:rsidRDefault="007B44EB" w:rsidP="007B44EB">
      <w:pPr>
        <w:pStyle w:val="ListParagraph"/>
        <w:jc w:val="both"/>
        <w:rPr>
          <w:sz w:val="20"/>
          <w:szCs w:val="20"/>
          <w:lang w:val="es-ES_tradnl"/>
        </w:rPr>
      </w:pPr>
    </w:p>
    <w:p w:rsidR="007B44EB" w:rsidRPr="007B44EB" w:rsidRDefault="007B44EB" w:rsidP="003B6A9B">
      <w:pPr>
        <w:pStyle w:val="ListParagraph"/>
        <w:numPr>
          <w:ilvl w:val="0"/>
          <w:numId w:val="58"/>
        </w:numPr>
        <w:ind w:left="0" w:firstLine="720"/>
        <w:jc w:val="both"/>
        <w:rPr>
          <w:sz w:val="20"/>
          <w:szCs w:val="20"/>
          <w:lang w:val="es-ES_tradnl"/>
        </w:rPr>
      </w:pPr>
      <w:r w:rsidRPr="00A20B20">
        <w:rPr>
          <w:rFonts w:cs="Times"/>
          <w:bCs/>
          <w:sz w:val="20"/>
          <w:szCs w:val="20"/>
          <w:lang w:val="es-ES_tradnl"/>
        </w:rPr>
        <w:t xml:space="preserve">La CIDH destaca que dentro de esta prohibición de ataques indiscriminados por bombardeos se encuentran </w:t>
      </w:r>
      <w:r w:rsidRPr="00A20B20">
        <w:rPr>
          <w:rFonts w:cs="Times"/>
          <w:sz w:val="20"/>
          <w:szCs w:val="20"/>
          <w:lang w:val="es-ES_tradnl"/>
        </w:rPr>
        <w:t xml:space="preserve">los métodos o medios utilizados contra un pueblo, una aldea u otra zona en la que haya una concentración análoga de </w:t>
      </w:r>
      <w:r w:rsidRPr="00A20B20">
        <w:rPr>
          <w:rFonts w:cs="Times"/>
          <w:bCs/>
          <w:sz w:val="20"/>
          <w:szCs w:val="20"/>
          <w:lang w:val="es-ES_tradnl"/>
        </w:rPr>
        <w:t>personas</w:t>
      </w:r>
      <w:r w:rsidRPr="00A20B20">
        <w:rPr>
          <w:rFonts w:cs="Times"/>
          <w:sz w:val="20"/>
          <w:szCs w:val="20"/>
          <w:lang w:val="es-ES_tradnl"/>
        </w:rPr>
        <w:t xml:space="preserve"> civiles o bienes de carácter civil, denominados “bombardeos de zona”</w:t>
      </w:r>
      <w:r w:rsidRPr="00B06A7F">
        <w:rPr>
          <w:rStyle w:val="FootnoteReference"/>
          <w:rFonts w:cs="Times"/>
          <w:sz w:val="20"/>
          <w:szCs w:val="20"/>
          <w:lang w:val="es-ES_tradnl"/>
        </w:rPr>
        <w:footnoteReference w:id="634"/>
      </w:r>
      <w:r w:rsidRPr="00A20B20">
        <w:rPr>
          <w:rFonts w:cs="Times"/>
          <w:sz w:val="20"/>
          <w:szCs w:val="20"/>
          <w:lang w:val="es-ES_tradnl"/>
        </w:rPr>
        <w:t xml:space="preserve">. </w:t>
      </w:r>
    </w:p>
    <w:p w:rsidR="00A20B20" w:rsidRPr="00A20B20" w:rsidRDefault="00A20B20" w:rsidP="00A20B20">
      <w:pPr>
        <w:pStyle w:val="ListParagraph"/>
        <w:jc w:val="both"/>
        <w:rPr>
          <w:sz w:val="20"/>
          <w:szCs w:val="20"/>
          <w:lang w:val="es-ES_tradnl"/>
        </w:rPr>
      </w:pPr>
    </w:p>
    <w:p w:rsidR="00A20B20" w:rsidRDefault="00B053C8" w:rsidP="003B6A9B">
      <w:pPr>
        <w:pStyle w:val="ListParagraph"/>
        <w:numPr>
          <w:ilvl w:val="0"/>
          <w:numId w:val="58"/>
        </w:numPr>
        <w:ind w:left="0" w:firstLine="720"/>
        <w:jc w:val="both"/>
        <w:rPr>
          <w:sz w:val="20"/>
          <w:szCs w:val="20"/>
          <w:lang w:val="es-ES_tradnl"/>
        </w:rPr>
      </w:pPr>
      <w:r w:rsidRPr="00A20B20">
        <w:rPr>
          <w:bCs/>
          <w:sz w:val="20"/>
          <w:szCs w:val="20"/>
          <w:lang w:val="es-ES_tradnl"/>
        </w:rPr>
        <w:t xml:space="preserve">Más aún, la protección que reviste a las personas civiles durante los conflictos trasciende la preservación de su integridad física, y abarca en igual medida sus bienes. En este sentido </w:t>
      </w:r>
      <w:r w:rsidR="00C937F3" w:rsidRPr="00A20B20">
        <w:rPr>
          <w:bCs/>
          <w:sz w:val="20"/>
          <w:szCs w:val="20"/>
          <w:lang w:val="es-ES_tradnl"/>
        </w:rPr>
        <w:t xml:space="preserve">normas consuetudinarias del </w:t>
      </w:r>
      <w:r w:rsidRPr="00A20B20">
        <w:rPr>
          <w:bCs/>
          <w:sz w:val="20"/>
          <w:szCs w:val="20"/>
          <w:lang w:val="es-ES_tradnl"/>
        </w:rPr>
        <w:t>Derecho Internacional Humanitario establece</w:t>
      </w:r>
      <w:r w:rsidR="00C937F3">
        <w:rPr>
          <w:bCs/>
          <w:sz w:val="20"/>
          <w:szCs w:val="20"/>
          <w:lang w:val="es-ES_tradnl"/>
        </w:rPr>
        <w:t>n</w:t>
      </w:r>
      <w:r w:rsidRPr="00A20B20">
        <w:rPr>
          <w:bCs/>
          <w:sz w:val="20"/>
          <w:szCs w:val="20"/>
          <w:lang w:val="es-ES_tradnl"/>
        </w:rPr>
        <w:t xml:space="preserve"> que las partes en conflicto deberán hacer en todo momento la distinción entre bienes de carácter civil y objetivos militares, dado que los ataques sólo podrán dirigirse contra objetivos militares. </w:t>
      </w:r>
    </w:p>
    <w:p w:rsidR="00A20B20" w:rsidRPr="00A20B20" w:rsidRDefault="00A20B20" w:rsidP="00A20B20">
      <w:pPr>
        <w:pStyle w:val="ListParagraph"/>
        <w:jc w:val="both"/>
        <w:rPr>
          <w:sz w:val="20"/>
          <w:szCs w:val="20"/>
          <w:lang w:val="es-ES_tradnl"/>
        </w:rPr>
      </w:pPr>
    </w:p>
    <w:p w:rsidR="00A20B20" w:rsidRDefault="00404D99" w:rsidP="003B6A9B">
      <w:pPr>
        <w:pStyle w:val="ListParagraph"/>
        <w:numPr>
          <w:ilvl w:val="0"/>
          <w:numId w:val="58"/>
        </w:numPr>
        <w:ind w:left="0" w:firstLine="720"/>
        <w:jc w:val="both"/>
        <w:rPr>
          <w:sz w:val="20"/>
          <w:szCs w:val="20"/>
          <w:lang w:val="es-ES_tradnl"/>
        </w:rPr>
      </w:pPr>
      <w:r>
        <w:rPr>
          <w:bCs/>
          <w:sz w:val="20"/>
          <w:szCs w:val="20"/>
          <w:lang w:val="es-ES_tradnl"/>
        </w:rPr>
        <w:lastRenderedPageBreak/>
        <w:t>En términos amplios, l</w:t>
      </w:r>
      <w:r w:rsidR="00B053C8" w:rsidRPr="00A20B20">
        <w:rPr>
          <w:bCs/>
          <w:sz w:val="20"/>
          <w:szCs w:val="20"/>
          <w:lang w:val="es-ES_tradnl"/>
        </w:rPr>
        <w:t>a CIDH observa que</w:t>
      </w:r>
      <w:r w:rsidR="009A681A">
        <w:rPr>
          <w:bCs/>
          <w:sz w:val="20"/>
          <w:szCs w:val="20"/>
          <w:lang w:val="es-ES_tradnl"/>
        </w:rPr>
        <w:t>,</w:t>
      </w:r>
      <w:r w:rsidR="00B053C8" w:rsidRPr="00A20B20">
        <w:rPr>
          <w:bCs/>
          <w:sz w:val="20"/>
          <w:szCs w:val="20"/>
          <w:lang w:val="es-ES_tradnl"/>
        </w:rPr>
        <w:t xml:space="preserve"> según el Estatuto de la Corte Penal Internacional, “dirigir intencionalmente ataques contra bienes civiles, es decir, bienes que no son objetivos militares”, constituye un crimen de guerra en los conflictos armados internacionales</w:t>
      </w:r>
      <w:r w:rsidR="00B053C8" w:rsidRPr="00B06A7F">
        <w:rPr>
          <w:rStyle w:val="FootnoteReference"/>
          <w:bCs/>
          <w:sz w:val="20"/>
          <w:szCs w:val="20"/>
          <w:lang w:val="es-ES_tradnl"/>
        </w:rPr>
        <w:footnoteReference w:id="635"/>
      </w:r>
      <w:r w:rsidR="00B053C8" w:rsidRPr="00A20B20">
        <w:rPr>
          <w:bCs/>
          <w:sz w:val="20"/>
          <w:szCs w:val="20"/>
          <w:lang w:val="es-ES_tradnl"/>
        </w:rPr>
        <w:t xml:space="preserve">. </w:t>
      </w:r>
    </w:p>
    <w:p w:rsidR="00A20B20" w:rsidRPr="00A20B20" w:rsidRDefault="00A20B20" w:rsidP="00A20B20">
      <w:pPr>
        <w:pStyle w:val="ListParagraph"/>
        <w:jc w:val="both"/>
        <w:rPr>
          <w:sz w:val="20"/>
          <w:szCs w:val="20"/>
          <w:lang w:val="es-ES_tradnl"/>
        </w:rPr>
      </w:pPr>
    </w:p>
    <w:p w:rsidR="00A20B20" w:rsidRDefault="00B053C8" w:rsidP="003B6A9B">
      <w:pPr>
        <w:pStyle w:val="ListParagraph"/>
        <w:numPr>
          <w:ilvl w:val="0"/>
          <w:numId w:val="58"/>
        </w:numPr>
        <w:ind w:left="0" w:firstLine="720"/>
        <w:jc w:val="both"/>
        <w:rPr>
          <w:sz w:val="20"/>
          <w:szCs w:val="20"/>
          <w:lang w:val="es-ES_tradnl"/>
        </w:rPr>
      </w:pPr>
      <w:r w:rsidRPr="00A20B20">
        <w:rPr>
          <w:bCs/>
          <w:sz w:val="20"/>
          <w:szCs w:val="20"/>
          <w:lang w:val="es-ES_tradnl"/>
        </w:rPr>
        <w:t xml:space="preserve">Asimismo, toma nota de que la Corte Internacional de Justicia, en su opinión consultiva sobre armas nucleares, </w:t>
      </w:r>
      <w:r w:rsidR="00404D99">
        <w:rPr>
          <w:bCs/>
          <w:sz w:val="20"/>
          <w:szCs w:val="20"/>
          <w:lang w:val="es-ES_tradnl"/>
        </w:rPr>
        <w:t>afirm</w:t>
      </w:r>
      <w:r w:rsidRPr="00A20B20">
        <w:rPr>
          <w:bCs/>
          <w:sz w:val="20"/>
          <w:szCs w:val="20"/>
          <w:lang w:val="es-ES_tradnl"/>
        </w:rPr>
        <w:t>ó que el principio de distinción era uno de los “principios cardinales” del derecho internacional humanitario y uno de los “principios inviolables del derecho internacional consuetudinario”</w:t>
      </w:r>
      <w:r w:rsidRPr="00B06A7F">
        <w:rPr>
          <w:rStyle w:val="FootnoteReference"/>
          <w:bCs/>
          <w:sz w:val="20"/>
          <w:szCs w:val="20"/>
          <w:lang w:val="es-ES_tradnl"/>
        </w:rPr>
        <w:footnoteReference w:id="636"/>
      </w:r>
      <w:r w:rsidRPr="00A20B20">
        <w:rPr>
          <w:bCs/>
          <w:sz w:val="20"/>
          <w:szCs w:val="20"/>
          <w:lang w:val="es-ES_tradnl"/>
        </w:rPr>
        <w:t xml:space="preserve">. </w:t>
      </w:r>
    </w:p>
    <w:p w:rsidR="00A20B20" w:rsidRPr="00A20B20" w:rsidRDefault="00A20B20" w:rsidP="00A20B20">
      <w:pPr>
        <w:pStyle w:val="ListParagraph"/>
        <w:jc w:val="both"/>
        <w:rPr>
          <w:sz w:val="20"/>
          <w:szCs w:val="20"/>
          <w:lang w:val="es-ES_tradnl"/>
        </w:rPr>
      </w:pPr>
    </w:p>
    <w:p w:rsidR="00A20B20" w:rsidRDefault="00404D99" w:rsidP="003B6A9B">
      <w:pPr>
        <w:pStyle w:val="ListParagraph"/>
        <w:numPr>
          <w:ilvl w:val="0"/>
          <w:numId w:val="58"/>
        </w:numPr>
        <w:ind w:left="0" w:firstLine="720"/>
        <w:jc w:val="both"/>
        <w:rPr>
          <w:sz w:val="20"/>
          <w:szCs w:val="20"/>
          <w:lang w:val="es-ES_tradnl"/>
        </w:rPr>
      </w:pPr>
      <w:r>
        <w:rPr>
          <w:bCs/>
          <w:sz w:val="20"/>
          <w:szCs w:val="20"/>
          <w:lang w:val="es-ES_tradnl"/>
        </w:rPr>
        <w:t>L</w:t>
      </w:r>
      <w:r w:rsidR="00B053C8" w:rsidRPr="00A20B20">
        <w:rPr>
          <w:bCs/>
          <w:sz w:val="20"/>
          <w:szCs w:val="20"/>
          <w:lang w:val="es-ES_tradnl"/>
        </w:rPr>
        <w:t xml:space="preserve">a CIDH </w:t>
      </w:r>
      <w:r>
        <w:rPr>
          <w:bCs/>
          <w:sz w:val="20"/>
          <w:szCs w:val="20"/>
          <w:lang w:val="es-ES_tradnl"/>
        </w:rPr>
        <w:t>igualmente toma en cuenta que</w:t>
      </w:r>
      <w:r w:rsidR="00B053C8" w:rsidRPr="00A20B20">
        <w:rPr>
          <w:bCs/>
          <w:sz w:val="20"/>
          <w:szCs w:val="20"/>
          <w:lang w:val="es-ES_tradnl"/>
        </w:rPr>
        <w:t xml:space="preserve">, bajo determinadas circunstancias, </w:t>
      </w:r>
      <w:r w:rsidRPr="00A20B20">
        <w:rPr>
          <w:bCs/>
          <w:sz w:val="20"/>
          <w:szCs w:val="20"/>
          <w:lang w:val="es-ES_tradnl"/>
        </w:rPr>
        <w:t>aun cuando se trate de bienes civiles</w:t>
      </w:r>
      <w:r>
        <w:rPr>
          <w:bCs/>
          <w:sz w:val="20"/>
          <w:szCs w:val="20"/>
          <w:lang w:val="es-ES_tradnl"/>
        </w:rPr>
        <w:t>, estos</w:t>
      </w:r>
      <w:r w:rsidRPr="00A20B20">
        <w:rPr>
          <w:bCs/>
          <w:sz w:val="20"/>
          <w:szCs w:val="20"/>
          <w:lang w:val="es-ES_tradnl"/>
        </w:rPr>
        <w:t xml:space="preserve"> </w:t>
      </w:r>
      <w:r w:rsidR="00B053C8" w:rsidRPr="00A20B20">
        <w:rPr>
          <w:bCs/>
          <w:sz w:val="20"/>
          <w:szCs w:val="20"/>
          <w:lang w:val="es-ES_tradnl"/>
        </w:rPr>
        <w:t xml:space="preserve">podrían perder la protección que les resguarda. Dichos supuestos </w:t>
      </w:r>
      <w:r>
        <w:rPr>
          <w:bCs/>
          <w:sz w:val="20"/>
          <w:szCs w:val="20"/>
          <w:lang w:val="es-ES_tradnl"/>
        </w:rPr>
        <w:t>podrían materializar</w:t>
      </w:r>
      <w:r w:rsidR="00B053C8" w:rsidRPr="00A20B20">
        <w:rPr>
          <w:bCs/>
          <w:sz w:val="20"/>
          <w:szCs w:val="20"/>
          <w:lang w:val="es-ES_tradnl"/>
        </w:rPr>
        <w:t xml:space="preserve">se </w:t>
      </w:r>
      <w:r>
        <w:rPr>
          <w:bCs/>
          <w:sz w:val="20"/>
          <w:szCs w:val="20"/>
          <w:lang w:val="es-ES_tradnl"/>
        </w:rPr>
        <w:t xml:space="preserve">cuando, por ejemplo, </w:t>
      </w:r>
      <w:r w:rsidR="00B053C8" w:rsidRPr="00A20B20">
        <w:rPr>
          <w:bCs/>
          <w:sz w:val="20"/>
          <w:szCs w:val="20"/>
          <w:lang w:val="es-ES_tradnl"/>
        </w:rPr>
        <w:t xml:space="preserve">el bien civil sea empleado de modo que cumpla con la definición de “objetivo militar” a la luz de las </w:t>
      </w:r>
      <w:r w:rsidR="00C937F3">
        <w:rPr>
          <w:bCs/>
          <w:sz w:val="20"/>
          <w:szCs w:val="20"/>
          <w:lang w:val="es-ES_tradnl"/>
        </w:rPr>
        <w:t xml:space="preserve">normas </w:t>
      </w:r>
      <w:r w:rsidR="00B053C8" w:rsidRPr="00A20B20">
        <w:rPr>
          <w:bCs/>
          <w:sz w:val="20"/>
          <w:szCs w:val="20"/>
          <w:lang w:val="es-ES_tradnl"/>
        </w:rPr>
        <w:t>del DIH por lo que puede ser lícitamente objeto de ataque. Esto es cuando se trate de “bienes que p</w:t>
      </w:r>
      <w:r w:rsidR="00B053C8" w:rsidRPr="00A20B20">
        <w:rPr>
          <w:rFonts w:cs="Times"/>
          <w:bCs/>
          <w:sz w:val="20"/>
          <w:szCs w:val="20"/>
          <w:lang w:val="es-ES_tradnl"/>
        </w:rPr>
        <w:t>or su naturaleza, ubicación, finalidad o utilización contribuyan eficazmente a la acción militar y cuya destrucción total o parcial, captura o neutralización ofrezca, en las circunstancias del caso, una ventaja militar definida”</w:t>
      </w:r>
      <w:r w:rsidR="00B053C8" w:rsidRPr="00B06A7F">
        <w:rPr>
          <w:rStyle w:val="FootnoteReference"/>
          <w:rFonts w:cs="Times"/>
          <w:bCs/>
          <w:sz w:val="20"/>
          <w:szCs w:val="20"/>
          <w:lang w:val="es-ES_tradnl"/>
        </w:rPr>
        <w:footnoteReference w:id="637"/>
      </w:r>
      <w:r w:rsidR="00B053C8" w:rsidRPr="00A20B20">
        <w:rPr>
          <w:rFonts w:cs="Times"/>
          <w:bCs/>
          <w:sz w:val="20"/>
          <w:szCs w:val="20"/>
          <w:lang w:val="es-ES_tradnl"/>
        </w:rPr>
        <w:t>.</w:t>
      </w:r>
    </w:p>
    <w:p w:rsidR="00B053C8" w:rsidRPr="00B06A7F" w:rsidRDefault="00B053C8" w:rsidP="00B053C8">
      <w:pPr>
        <w:pStyle w:val="ListParagraph"/>
        <w:widowControl w:val="0"/>
        <w:autoSpaceDE w:val="0"/>
        <w:autoSpaceDN w:val="0"/>
        <w:adjustRightInd w:val="0"/>
        <w:ind w:left="0"/>
        <w:jc w:val="both"/>
        <w:rPr>
          <w:b/>
          <w:sz w:val="20"/>
          <w:szCs w:val="20"/>
          <w:lang w:val="es-ES_tradnl"/>
        </w:rPr>
      </w:pPr>
    </w:p>
    <w:p w:rsidR="00B053C8" w:rsidRPr="00B06A7F" w:rsidRDefault="00B053C8" w:rsidP="00360602">
      <w:pPr>
        <w:pStyle w:val="ListParagraph"/>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jc w:val="both"/>
        <w:rPr>
          <w:b/>
          <w:sz w:val="20"/>
          <w:szCs w:val="20"/>
          <w:lang w:val="es-ES_tradnl"/>
        </w:rPr>
      </w:pPr>
      <w:r w:rsidRPr="00B06A7F">
        <w:rPr>
          <w:b/>
          <w:sz w:val="20"/>
          <w:szCs w:val="20"/>
          <w:lang w:val="es-ES_tradnl"/>
        </w:rPr>
        <w:t xml:space="preserve">Proporcionalidad </w:t>
      </w:r>
    </w:p>
    <w:p w:rsidR="00B053C8" w:rsidRPr="00B06A7F" w:rsidRDefault="00B053C8" w:rsidP="00B053C8">
      <w:pPr>
        <w:pStyle w:val="ListParagraph"/>
        <w:jc w:val="both"/>
        <w:rPr>
          <w:rFonts w:eastAsia="Times New Roman"/>
          <w:sz w:val="20"/>
          <w:szCs w:val="20"/>
          <w:lang w:val="es-ES_tradnl"/>
        </w:rPr>
      </w:pPr>
    </w:p>
    <w:p w:rsidR="00B053C8" w:rsidRPr="00B06A7F" w:rsidRDefault="00B053C8" w:rsidP="003B6A9B">
      <w:pPr>
        <w:pStyle w:val="ListParagraph"/>
        <w:numPr>
          <w:ilvl w:val="0"/>
          <w:numId w:val="58"/>
        </w:numPr>
        <w:ind w:left="0" w:firstLine="720"/>
        <w:jc w:val="both"/>
        <w:rPr>
          <w:rFonts w:eastAsia="Times New Roman"/>
          <w:sz w:val="20"/>
          <w:szCs w:val="20"/>
          <w:lang w:val="es-ES_tradnl"/>
        </w:rPr>
      </w:pPr>
      <w:r w:rsidRPr="00B06A7F">
        <w:rPr>
          <w:rFonts w:eastAsia="Times New Roman"/>
          <w:sz w:val="20"/>
          <w:szCs w:val="20"/>
          <w:lang w:val="es-ES_tradnl"/>
        </w:rPr>
        <w:t xml:space="preserve">De acuerdo a lo establecido por el Derecho Internacional Humanitario, el principio de proporcionalidad se refiere a una norma consuetudinaria para conflictos armados internacionales y no internacionales, en la </w:t>
      </w:r>
      <w:r w:rsidRPr="00B06A7F">
        <w:rPr>
          <w:rFonts w:cs="Times"/>
          <w:bCs/>
          <w:sz w:val="20"/>
          <w:szCs w:val="20"/>
          <w:lang w:val="es-ES_tradnl"/>
        </w:rPr>
        <w:t>cual</w:t>
      </w:r>
      <w:r w:rsidRPr="00B06A7F">
        <w:rPr>
          <w:rFonts w:eastAsia="Times New Roman"/>
          <w:sz w:val="20"/>
          <w:szCs w:val="20"/>
          <w:lang w:val="es-ES_tradnl"/>
        </w:rPr>
        <w:t xml:space="preserve"> se establece que “queda prohibido lanzar un ataque cuando sea de prever que cause incidentalmente muertos y heridos entre la población civil, daños a bienes de carácter civil o ambas cosas, que sean excesivos en relación con la ventaja militar concreta y directa prevista”</w:t>
      </w:r>
      <w:r w:rsidRPr="00B06A7F">
        <w:rPr>
          <w:sz w:val="20"/>
          <w:szCs w:val="20"/>
          <w:vertAlign w:val="superscript"/>
          <w:lang w:val="es-ES_tradnl"/>
        </w:rPr>
        <w:footnoteReference w:id="638"/>
      </w:r>
      <w:r w:rsidRPr="00B06A7F">
        <w:rPr>
          <w:rFonts w:eastAsia="Times New Roman"/>
          <w:sz w:val="20"/>
          <w:szCs w:val="20"/>
          <w:lang w:val="es-ES_tradnl"/>
        </w:rPr>
        <w:t>. El referido principio establece entonces una limitante que prescribe que el uso de la fuerza no debe ser desproporcionado, limitándolo a lo indispensable para conseguir la ventaja militar perseguida</w:t>
      </w:r>
      <w:r w:rsidRPr="00B06A7F">
        <w:rPr>
          <w:sz w:val="20"/>
          <w:szCs w:val="20"/>
          <w:vertAlign w:val="superscript"/>
          <w:lang w:val="es-ES_tradnl"/>
        </w:rPr>
        <w:footnoteReference w:id="639"/>
      </w:r>
      <w:r w:rsidRPr="00B06A7F">
        <w:rPr>
          <w:rFonts w:eastAsia="Times New Roman"/>
          <w:sz w:val="20"/>
          <w:szCs w:val="20"/>
          <w:lang w:val="es-ES_tradnl"/>
        </w:rPr>
        <w:t xml:space="preserve">. </w:t>
      </w:r>
    </w:p>
    <w:p w:rsidR="00B053C8" w:rsidRPr="00B06A7F" w:rsidRDefault="00B053C8" w:rsidP="00A20B20">
      <w:pPr>
        <w:pStyle w:val="ListParagraph"/>
        <w:ind w:left="0" w:firstLine="720"/>
        <w:jc w:val="both"/>
        <w:rPr>
          <w:rFonts w:eastAsia="Times New Roman"/>
          <w:sz w:val="20"/>
          <w:szCs w:val="20"/>
          <w:lang w:val="es-ES_tradnl"/>
        </w:rPr>
      </w:pPr>
    </w:p>
    <w:p w:rsidR="00B053C8" w:rsidRPr="00B06A7F" w:rsidRDefault="00B053C8" w:rsidP="003B6A9B">
      <w:pPr>
        <w:pStyle w:val="ListParagraph"/>
        <w:numPr>
          <w:ilvl w:val="0"/>
          <w:numId w:val="58"/>
        </w:numPr>
        <w:ind w:left="0" w:firstLine="720"/>
        <w:jc w:val="both"/>
        <w:rPr>
          <w:rFonts w:eastAsia="Times New Roman"/>
          <w:sz w:val="20"/>
          <w:szCs w:val="20"/>
          <w:lang w:val="es-ES_tradnl"/>
        </w:rPr>
      </w:pPr>
      <w:r w:rsidRPr="00B06A7F">
        <w:rPr>
          <w:rFonts w:eastAsia="Times New Roman"/>
          <w:sz w:val="20"/>
          <w:szCs w:val="20"/>
          <w:lang w:val="es-ES_tradnl"/>
        </w:rPr>
        <w:t xml:space="preserve">El principio de proporcionalidad en el ataque se encuentra </w:t>
      </w:r>
      <w:r w:rsidR="00306A21">
        <w:rPr>
          <w:rFonts w:eastAsia="Times New Roman"/>
          <w:sz w:val="20"/>
          <w:szCs w:val="20"/>
          <w:lang w:val="es-ES_tradnl"/>
        </w:rPr>
        <w:t xml:space="preserve">igualmente </w:t>
      </w:r>
      <w:r w:rsidRPr="00B06A7F">
        <w:rPr>
          <w:rFonts w:eastAsia="Times New Roman"/>
          <w:sz w:val="20"/>
          <w:szCs w:val="20"/>
          <w:lang w:val="es-ES_tradnl"/>
        </w:rPr>
        <w:t xml:space="preserve">codificada en tratados en la materia.  Al respecto </w:t>
      </w:r>
      <w:r w:rsidR="00306A21">
        <w:rPr>
          <w:rFonts w:eastAsia="Times New Roman"/>
          <w:sz w:val="20"/>
          <w:szCs w:val="20"/>
          <w:lang w:val="es-ES_tradnl"/>
        </w:rPr>
        <w:t xml:space="preserve">el Protocolo I </w:t>
      </w:r>
      <w:r w:rsidRPr="00B06A7F">
        <w:rPr>
          <w:rFonts w:eastAsia="Times New Roman"/>
          <w:sz w:val="20"/>
          <w:szCs w:val="20"/>
          <w:lang w:val="es-ES_tradnl"/>
        </w:rPr>
        <w:t xml:space="preserve">establece “queda prohibido lanzar un ataque cuando sea de prever que </w:t>
      </w:r>
      <w:r w:rsidRPr="00B06A7F">
        <w:rPr>
          <w:rFonts w:cs="Times"/>
          <w:bCs/>
          <w:sz w:val="20"/>
          <w:szCs w:val="20"/>
          <w:lang w:val="es-ES_tradnl"/>
        </w:rPr>
        <w:t>cause</w:t>
      </w:r>
      <w:r w:rsidRPr="00B06A7F">
        <w:rPr>
          <w:rFonts w:eastAsia="Times New Roman"/>
          <w:sz w:val="20"/>
          <w:szCs w:val="20"/>
          <w:lang w:val="es-ES_tradnl"/>
        </w:rPr>
        <w:t xml:space="preserve"> incidentalmente muertos y heridos entre la población civil, daños a bienes de carácter civil o ambas cosas, que sean excesivos en relación con la ventaja militar concreta y directa prevista”</w:t>
      </w:r>
      <w:r w:rsidR="00306A21" w:rsidRPr="00306A21">
        <w:rPr>
          <w:rStyle w:val="FootnoteReference"/>
          <w:rFonts w:eastAsia="Times New Roman" w:cs="Times New Roman"/>
          <w:sz w:val="20"/>
          <w:szCs w:val="20"/>
          <w:lang w:val="es-ES_tradnl"/>
        </w:rPr>
        <w:t xml:space="preserve"> </w:t>
      </w:r>
      <w:r w:rsidR="00306A21" w:rsidRPr="00B06A7F">
        <w:rPr>
          <w:rStyle w:val="FootnoteReference"/>
          <w:rFonts w:eastAsia="Times New Roman" w:cs="Times New Roman"/>
          <w:sz w:val="20"/>
          <w:szCs w:val="20"/>
          <w:lang w:val="es-ES_tradnl"/>
        </w:rPr>
        <w:footnoteReference w:id="640"/>
      </w:r>
      <w:r w:rsidRPr="00B06A7F">
        <w:rPr>
          <w:rFonts w:eastAsia="Times New Roman"/>
          <w:sz w:val="20"/>
          <w:szCs w:val="20"/>
          <w:lang w:val="es-ES_tradnl"/>
        </w:rPr>
        <w:t xml:space="preserve">. </w:t>
      </w:r>
    </w:p>
    <w:p w:rsidR="00B053C8" w:rsidRPr="00B06A7F" w:rsidRDefault="00B053C8" w:rsidP="00A20B20">
      <w:pPr>
        <w:pStyle w:val="ListParagraph"/>
        <w:ind w:left="0" w:firstLine="720"/>
        <w:jc w:val="both"/>
        <w:rPr>
          <w:rFonts w:eastAsia="Times New Roman"/>
          <w:sz w:val="20"/>
          <w:szCs w:val="20"/>
          <w:lang w:val="es-ES_tradnl"/>
        </w:rPr>
      </w:pPr>
    </w:p>
    <w:p w:rsidR="00B053C8" w:rsidRPr="00B06A7F" w:rsidRDefault="00B053C8" w:rsidP="003B6A9B">
      <w:pPr>
        <w:pStyle w:val="ListParagraph"/>
        <w:numPr>
          <w:ilvl w:val="0"/>
          <w:numId w:val="58"/>
        </w:numPr>
        <w:ind w:left="0" w:firstLine="720"/>
        <w:jc w:val="both"/>
        <w:rPr>
          <w:rFonts w:eastAsia="Times New Roman"/>
          <w:sz w:val="20"/>
          <w:szCs w:val="20"/>
          <w:lang w:val="es-ES_tradnl"/>
        </w:rPr>
      </w:pPr>
      <w:r w:rsidRPr="00B06A7F">
        <w:rPr>
          <w:rFonts w:eastAsia="Times New Roman"/>
          <w:sz w:val="20"/>
          <w:szCs w:val="20"/>
          <w:lang w:val="es-ES_tradnl"/>
        </w:rPr>
        <w:t>En la misma línea, el principio de proporcionalidad en el ataque aparece también en el Protocolo II enmendado de la Convención sobre ciertas armas convencionales</w:t>
      </w:r>
      <w:r w:rsidRPr="00B06A7F">
        <w:rPr>
          <w:rStyle w:val="FootnoteReference"/>
          <w:rFonts w:eastAsia="Times New Roman" w:cs="Times New Roman"/>
          <w:sz w:val="20"/>
          <w:szCs w:val="20"/>
          <w:lang w:val="es-ES_tradnl"/>
        </w:rPr>
        <w:footnoteReference w:id="641"/>
      </w:r>
      <w:r w:rsidRPr="00B06A7F">
        <w:rPr>
          <w:rFonts w:eastAsia="Times New Roman"/>
          <w:sz w:val="20"/>
          <w:szCs w:val="20"/>
          <w:lang w:val="es-ES_tradnl"/>
        </w:rPr>
        <w:t>. Además, según el Estatuto de la Corte Penal Internacional, “lanzar un ataque intencionalmente, a sabiendas de que causará pérdidas incidentales de vidas, lesiones a civiles o daños a bienes de carácter c</w:t>
      </w:r>
      <w:r w:rsidR="00A951BD">
        <w:rPr>
          <w:rFonts w:eastAsia="Times New Roman"/>
          <w:sz w:val="20"/>
          <w:szCs w:val="20"/>
          <w:lang w:val="es-ES_tradnl"/>
        </w:rPr>
        <w:t>ivil [...] que serían</w:t>
      </w:r>
      <w:r w:rsidRPr="00B06A7F">
        <w:rPr>
          <w:rFonts w:eastAsia="Times New Roman"/>
          <w:sz w:val="20"/>
          <w:szCs w:val="20"/>
          <w:lang w:val="es-ES_tradnl"/>
        </w:rPr>
        <w:t xml:space="preserve"> manifiestamente excesivos en </w:t>
      </w:r>
      <w:r w:rsidRPr="00B06A7F">
        <w:rPr>
          <w:rFonts w:cs="Times"/>
          <w:bCs/>
          <w:sz w:val="20"/>
          <w:szCs w:val="20"/>
          <w:lang w:val="es-ES_tradnl"/>
        </w:rPr>
        <w:t>relación</w:t>
      </w:r>
      <w:r w:rsidRPr="00B06A7F">
        <w:rPr>
          <w:rFonts w:eastAsia="Times New Roman"/>
          <w:sz w:val="20"/>
          <w:szCs w:val="20"/>
          <w:lang w:val="es-ES_tradnl"/>
        </w:rPr>
        <w:t xml:space="preserve"> con la ventaja militar concreta y directa de conjunto que se prevea” constituye un crimen de guerra en los conflictos armados internacionales</w:t>
      </w:r>
      <w:r w:rsidRPr="00B06A7F">
        <w:rPr>
          <w:rStyle w:val="FootnoteReference"/>
          <w:rFonts w:eastAsia="Times New Roman" w:cs="Times New Roman"/>
          <w:sz w:val="20"/>
          <w:szCs w:val="20"/>
          <w:lang w:val="es-ES_tradnl"/>
        </w:rPr>
        <w:footnoteReference w:id="642"/>
      </w:r>
      <w:r w:rsidRPr="00B06A7F">
        <w:rPr>
          <w:rFonts w:eastAsia="Times New Roman"/>
          <w:sz w:val="20"/>
          <w:szCs w:val="20"/>
          <w:lang w:val="es-ES_tradnl"/>
        </w:rPr>
        <w:t xml:space="preserve">.  </w:t>
      </w:r>
    </w:p>
    <w:p w:rsidR="00B053C8" w:rsidRPr="00B06A7F" w:rsidRDefault="00B053C8" w:rsidP="00A20B20">
      <w:pPr>
        <w:pStyle w:val="ListParagraph"/>
        <w:ind w:left="0" w:firstLine="720"/>
        <w:jc w:val="both"/>
        <w:rPr>
          <w:rFonts w:eastAsia="Times New Roman"/>
          <w:sz w:val="20"/>
          <w:szCs w:val="20"/>
          <w:lang w:val="es-ES_tradnl"/>
        </w:rPr>
      </w:pPr>
    </w:p>
    <w:p w:rsidR="003F31F5" w:rsidRDefault="003F31F5" w:rsidP="00360602">
      <w:pPr>
        <w:pStyle w:val="ListParagraph"/>
        <w:numPr>
          <w:ilvl w:val="1"/>
          <w:numId w:val="63"/>
        </w:numPr>
        <w:ind w:left="1080"/>
        <w:jc w:val="both"/>
        <w:rPr>
          <w:b/>
          <w:sz w:val="20"/>
          <w:szCs w:val="20"/>
          <w:lang w:val="es-ES_tradnl"/>
        </w:rPr>
      </w:pPr>
      <w:r>
        <w:rPr>
          <w:b/>
          <w:sz w:val="20"/>
          <w:szCs w:val="20"/>
          <w:lang w:val="es-ES_tradnl"/>
        </w:rPr>
        <w:t>Necesidad</w:t>
      </w:r>
    </w:p>
    <w:p w:rsidR="003F31F5" w:rsidRDefault="003F31F5" w:rsidP="003F31F5">
      <w:pPr>
        <w:pStyle w:val="ListParagraph"/>
        <w:ind w:left="1080"/>
        <w:jc w:val="both"/>
        <w:rPr>
          <w:b/>
          <w:sz w:val="20"/>
          <w:szCs w:val="20"/>
          <w:lang w:val="es-ES_tradnl"/>
        </w:rPr>
      </w:pPr>
    </w:p>
    <w:p w:rsidR="004645AE" w:rsidRPr="004645AE" w:rsidRDefault="004645AE" w:rsidP="004645AE">
      <w:pPr>
        <w:pStyle w:val="ListParagraph"/>
        <w:numPr>
          <w:ilvl w:val="0"/>
          <w:numId w:val="58"/>
        </w:numPr>
        <w:ind w:left="0" w:firstLine="720"/>
        <w:jc w:val="both"/>
        <w:rPr>
          <w:sz w:val="20"/>
          <w:szCs w:val="20"/>
          <w:lang w:val="es-ES_tradnl"/>
        </w:rPr>
      </w:pPr>
      <w:r w:rsidRPr="004645AE">
        <w:rPr>
          <w:sz w:val="20"/>
          <w:szCs w:val="20"/>
          <w:lang w:val="es-ES_tradnl"/>
        </w:rPr>
        <w:lastRenderedPageBreak/>
        <w:t xml:space="preserve">El principio de la necesidad es de larga data en el derecho internacional humanitario y está estrechamente relacionado con el principio de proporcionalidad y el objetivo central del DIH de prohibir el sufrimiento innecesario en los conflictos armados. Como el CICR ha expuesto en gran detalle a </w:t>
      </w:r>
      <w:r>
        <w:rPr>
          <w:sz w:val="20"/>
          <w:szCs w:val="20"/>
          <w:lang w:val="es-ES_tradnl"/>
        </w:rPr>
        <w:t xml:space="preserve">lo largo </w:t>
      </w:r>
      <w:r w:rsidRPr="004645AE">
        <w:rPr>
          <w:sz w:val="20"/>
          <w:szCs w:val="20"/>
          <w:lang w:val="es-ES_tradnl"/>
        </w:rPr>
        <w:t xml:space="preserve">de su </w:t>
      </w:r>
      <w:r>
        <w:rPr>
          <w:sz w:val="20"/>
          <w:szCs w:val="20"/>
          <w:lang w:val="es-ES_tradnl"/>
        </w:rPr>
        <w:t>labor</w:t>
      </w:r>
      <w:r w:rsidRPr="004645AE">
        <w:rPr>
          <w:sz w:val="20"/>
          <w:szCs w:val="20"/>
          <w:lang w:val="es-ES_tradnl"/>
        </w:rPr>
        <w:t>, el principio reconoce que la fuerza armada puede usarse cuando sea necesario, cuando sea lícita, es decir cuando no esté prohibida por el derecho internacional humanitario, y cuando se requiera y justifique operacionalmente para debilitar la capacidad de la otra parte del conflicto.</w:t>
      </w:r>
    </w:p>
    <w:p w:rsidR="004645AE" w:rsidRPr="004645AE" w:rsidRDefault="004645AE" w:rsidP="004645AE">
      <w:pPr>
        <w:pStyle w:val="ListParagraph"/>
        <w:jc w:val="both"/>
        <w:rPr>
          <w:sz w:val="20"/>
          <w:szCs w:val="20"/>
          <w:lang w:val="es-ES_tradnl"/>
        </w:rPr>
      </w:pPr>
    </w:p>
    <w:p w:rsidR="003F31F5" w:rsidRPr="004645AE" w:rsidRDefault="004645AE" w:rsidP="004645AE">
      <w:pPr>
        <w:pStyle w:val="ListParagraph"/>
        <w:numPr>
          <w:ilvl w:val="0"/>
          <w:numId w:val="58"/>
        </w:numPr>
        <w:ind w:left="0" w:firstLine="720"/>
        <w:jc w:val="both"/>
        <w:rPr>
          <w:sz w:val="20"/>
          <w:szCs w:val="20"/>
          <w:lang w:val="es-ES_tradnl"/>
        </w:rPr>
      </w:pPr>
      <w:r w:rsidRPr="004645AE">
        <w:rPr>
          <w:sz w:val="20"/>
          <w:szCs w:val="20"/>
          <w:lang w:val="es-ES_tradnl"/>
        </w:rPr>
        <w:t xml:space="preserve">El principio de necesidad mira hacia los objetivos militares legales del conflicto, mientras que los principios de proporcionalidad y precaución miran hacia las protecciones humanitarias de civiles y no combatientes. A medida que el CICR </w:t>
      </w:r>
      <w:r>
        <w:rPr>
          <w:sz w:val="20"/>
          <w:szCs w:val="20"/>
          <w:lang w:val="es-ES_tradnl"/>
        </w:rPr>
        <w:t>ha desarrollado</w:t>
      </w:r>
      <w:r w:rsidRPr="004645AE">
        <w:rPr>
          <w:sz w:val="20"/>
          <w:szCs w:val="20"/>
          <w:lang w:val="es-ES_tradnl"/>
        </w:rPr>
        <w:t>, el objetivo del derecho internacional humanitario es lograr un equilibrio entre estos intereses.</w:t>
      </w:r>
    </w:p>
    <w:p w:rsidR="003F31F5" w:rsidRDefault="003F31F5" w:rsidP="003F31F5">
      <w:pPr>
        <w:pStyle w:val="ListParagraph"/>
        <w:ind w:left="1080"/>
        <w:jc w:val="both"/>
        <w:rPr>
          <w:b/>
          <w:sz w:val="20"/>
          <w:szCs w:val="20"/>
          <w:lang w:val="es-ES_tradnl"/>
        </w:rPr>
      </w:pPr>
    </w:p>
    <w:p w:rsidR="00B053C8" w:rsidRPr="00B06A7F" w:rsidRDefault="00B053C8" w:rsidP="00360602">
      <w:pPr>
        <w:pStyle w:val="ListParagraph"/>
        <w:numPr>
          <w:ilvl w:val="1"/>
          <w:numId w:val="63"/>
        </w:numPr>
        <w:ind w:left="1080"/>
        <w:jc w:val="both"/>
        <w:rPr>
          <w:b/>
          <w:sz w:val="20"/>
          <w:szCs w:val="20"/>
          <w:lang w:val="es-ES_tradnl"/>
        </w:rPr>
      </w:pPr>
      <w:r w:rsidRPr="00B06A7F">
        <w:rPr>
          <w:b/>
          <w:sz w:val="20"/>
          <w:szCs w:val="20"/>
          <w:lang w:val="es-ES_tradnl"/>
        </w:rPr>
        <w:t xml:space="preserve">Precaución </w:t>
      </w:r>
    </w:p>
    <w:p w:rsidR="00B053C8" w:rsidRPr="00B06A7F" w:rsidRDefault="00B053C8" w:rsidP="00B053C8">
      <w:pPr>
        <w:pStyle w:val="ListParagraph"/>
        <w:jc w:val="both"/>
        <w:rPr>
          <w:rFonts w:eastAsia="Times New Roman"/>
          <w:sz w:val="20"/>
          <w:szCs w:val="20"/>
          <w:lang w:val="es-ES_tradnl"/>
        </w:rPr>
      </w:pPr>
    </w:p>
    <w:p w:rsidR="00A20B20" w:rsidRDefault="00B053C8" w:rsidP="003B6A9B">
      <w:pPr>
        <w:pStyle w:val="ListParagraph"/>
        <w:numPr>
          <w:ilvl w:val="0"/>
          <w:numId w:val="58"/>
        </w:numPr>
        <w:ind w:left="0" w:firstLine="720"/>
        <w:jc w:val="both"/>
        <w:rPr>
          <w:rFonts w:eastAsia="Times New Roman"/>
          <w:sz w:val="20"/>
          <w:szCs w:val="20"/>
          <w:lang w:val="es-ES_tradnl"/>
        </w:rPr>
      </w:pPr>
      <w:r w:rsidRPr="00B06A7F">
        <w:rPr>
          <w:rFonts w:eastAsia="Times New Roman"/>
          <w:sz w:val="20"/>
          <w:szCs w:val="20"/>
          <w:lang w:val="es-ES_tradnl"/>
        </w:rPr>
        <w:t xml:space="preserve">De acuerdo a lo establecido por el Derecho Internacional Humanitario, el principio de precaución se refiere a una norma consuetudinaria para conflictos armados internacionales y no internacionales en la cual se establece que “las operaciones se realizarán con un cuidado constante de preservar a la </w:t>
      </w:r>
      <w:r w:rsidRPr="00B06A7F">
        <w:rPr>
          <w:rFonts w:cs="Times"/>
          <w:bCs/>
          <w:sz w:val="20"/>
          <w:szCs w:val="20"/>
          <w:lang w:val="es-ES_tradnl"/>
        </w:rPr>
        <w:t>población</w:t>
      </w:r>
      <w:r w:rsidRPr="00B06A7F">
        <w:rPr>
          <w:rFonts w:eastAsia="Times New Roman"/>
          <w:sz w:val="20"/>
          <w:szCs w:val="20"/>
          <w:lang w:val="es-ES_tradnl"/>
        </w:rPr>
        <w:t xml:space="preserve"> civil, a las personas civiles y los bienes de carácter civil”, y que “se tomarán todas las precauciones factibles para evitar o reducir en todo caso a un mínimo, el número de muertos y heridos entre la población civil, así como los daños a bienes de carácter civil, que pudieran causar incidentalmente”</w:t>
      </w:r>
      <w:r w:rsidRPr="00B06A7F">
        <w:rPr>
          <w:sz w:val="20"/>
          <w:szCs w:val="20"/>
          <w:vertAlign w:val="superscript"/>
          <w:lang w:val="es-ES_tradnl"/>
        </w:rPr>
        <w:footnoteReference w:id="643"/>
      </w:r>
      <w:r w:rsidRPr="00B06A7F">
        <w:rPr>
          <w:rFonts w:eastAsia="Times New Roman"/>
          <w:sz w:val="20"/>
          <w:szCs w:val="20"/>
          <w:lang w:val="es-ES_tradnl"/>
        </w:rPr>
        <w:t xml:space="preserve">. </w:t>
      </w:r>
    </w:p>
    <w:p w:rsidR="00A20B20" w:rsidRDefault="00A20B20" w:rsidP="00A20B20">
      <w:pPr>
        <w:pStyle w:val="ListParagraph"/>
        <w:jc w:val="both"/>
        <w:rPr>
          <w:rFonts w:eastAsia="Times New Roman"/>
          <w:sz w:val="20"/>
          <w:szCs w:val="20"/>
          <w:lang w:val="es-ES_tradnl"/>
        </w:rPr>
      </w:pPr>
    </w:p>
    <w:p w:rsidR="00A20B20" w:rsidRDefault="00B053C8" w:rsidP="003B6A9B">
      <w:pPr>
        <w:pStyle w:val="ListParagraph"/>
        <w:numPr>
          <w:ilvl w:val="0"/>
          <w:numId w:val="58"/>
        </w:numPr>
        <w:ind w:left="0" w:firstLine="720"/>
        <w:jc w:val="both"/>
        <w:rPr>
          <w:rFonts w:eastAsia="Times New Roman"/>
          <w:sz w:val="20"/>
          <w:szCs w:val="20"/>
          <w:lang w:val="es-ES_tradnl"/>
        </w:rPr>
      </w:pPr>
      <w:r w:rsidRPr="00A20B20">
        <w:rPr>
          <w:rFonts w:eastAsia="Times New Roman"/>
          <w:sz w:val="20"/>
          <w:szCs w:val="20"/>
          <w:lang w:val="es-ES_tradnl"/>
        </w:rPr>
        <w:t xml:space="preserve">En la misma línea, </w:t>
      </w:r>
      <w:r w:rsidR="00306A21">
        <w:rPr>
          <w:rFonts w:eastAsia="Times New Roman"/>
          <w:sz w:val="20"/>
          <w:szCs w:val="20"/>
          <w:lang w:val="es-ES_tradnl"/>
        </w:rPr>
        <w:t xml:space="preserve">la misma fuente </w:t>
      </w:r>
      <w:r w:rsidRPr="00A20B20">
        <w:rPr>
          <w:rFonts w:eastAsia="Times New Roman"/>
          <w:sz w:val="20"/>
          <w:szCs w:val="20"/>
          <w:lang w:val="es-ES_tradnl"/>
        </w:rPr>
        <w:t xml:space="preserve">dispone que “las partes en conflicto deberán tomar todas las precauciones factibles en la elección de los medios y métodos de guerra para evitar, o reducir en todo caso a un mínimo, el número de muertos y de heridos entre la población civil, así como los daños a los bienes de carácter civil, que pudieran causar incidentalmente”, </w:t>
      </w:r>
      <w:r w:rsidR="00306A21">
        <w:rPr>
          <w:rFonts w:eastAsia="Times New Roman"/>
          <w:sz w:val="20"/>
          <w:szCs w:val="20"/>
          <w:lang w:val="es-ES_tradnl"/>
        </w:rPr>
        <w:t>mientras se</w:t>
      </w:r>
      <w:r w:rsidRPr="00A20B20">
        <w:rPr>
          <w:rFonts w:eastAsia="Times New Roman"/>
          <w:sz w:val="20"/>
          <w:szCs w:val="20"/>
          <w:lang w:val="es-ES_tradnl"/>
        </w:rPr>
        <w:t xml:space="preserve"> señala que “las partes en conflicto deberán hacer todo lo que sea factible para evaluar si el ataque causará incidentalmente muertos o heridos entre la población civil, daños a bienes de carácter civil o ambas cosas, que sean excesivos en relación con la ventaja militar concreta y directa prevista”</w:t>
      </w:r>
      <w:r w:rsidRPr="00B06A7F">
        <w:rPr>
          <w:sz w:val="20"/>
          <w:szCs w:val="20"/>
          <w:vertAlign w:val="superscript"/>
          <w:lang w:val="es-ES_tradnl"/>
        </w:rPr>
        <w:footnoteReference w:id="644"/>
      </w:r>
      <w:r w:rsidRPr="00A20B20">
        <w:rPr>
          <w:rFonts w:eastAsia="Times New Roman"/>
          <w:sz w:val="20"/>
          <w:szCs w:val="20"/>
          <w:lang w:val="es-ES_tradnl"/>
        </w:rPr>
        <w:t xml:space="preserve">.  </w:t>
      </w:r>
    </w:p>
    <w:p w:rsidR="00A20B20" w:rsidRPr="00A20B20" w:rsidRDefault="00A20B20" w:rsidP="00A20B20">
      <w:pPr>
        <w:pStyle w:val="ListParagraph"/>
        <w:jc w:val="both"/>
        <w:rPr>
          <w:rFonts w:eastAsia="Times New Roman"/>
          <w:sz w:val="20"/>
          <w:szCs w:val="20"/>
          <w:lang w:val="es-ES_tradnl"/>
        </w:rPr>
      </w:pPr>
    </w:p>
    <w:p w:rsidR="00A20B20" w:rsidRPr="00306A21" w:rsidRDefault="00B053C8" w:rsidP="003B6A9B">
      <w:pPr>
        <w:pStyle w:val="ListParagraph"/>
        <w:numPr>
          <w:ilvl w:val="0"/>
          <w:numId w:val="58"/>
        </w:numPr>
        <w:ind w:left="0" w:firstLine="720"/>
        <w:jc w:val="both"/>
        <w:rPr>
          <w:rFonts w:eastAsia="Times New Roman"/>
          <w:sz w:val="20"/>
          <w:szCs w:val="20"/>
          <w:lang w:val="es-ES_tradnl"/>
        </w:rPr>
      </w:pPr>
      <w:r w:rsidRPr="00306A21">
        <w:rPr>
          <w:sz w:val="20"/>
          <w:szCs w:val="20"/>
          <w:lang w:val="es-ES_tradnl"/>
        </w:rPr>
        <w:t>La CIDH toma nota de que actualmente, está codificado en el párrafo 1 del artículo 57 del Protocolo adicional I, al que no se han hecho reservas</w:t>
      </w:r>
      <w:r w:rsidRPr="00B06A7F">
        <w:rPr>
          <w:rStyle w:val="FootnoteReference"/>
          <w:sz w:val="20"/>
          <w:szCs w:val="20"/>
          <w:lang w:val="es-ES_tradnl"/>
        </w:rPr>
        <w:footnoteReference w:id="645"/>
      </w:r>
      <w:r w:rsidRPr="00306A21">
        <w:rPr>
          <w:sz w:val="20"/>
          <w:szCs w:val="20"/>
          <w:lang w:val="es-ES_tradnl"/>
        </w:rPr>
        <w:t>.</w:t>
      </w:r>
      <w:r w:rsidR="00A20B20" w:rsidRPr="00306A21">
        <w:rPr>
          <w:sz w:val="20"/>
          <w:szCs w:val="20"/>
          <w:lang w:val="es-ES_tradnl"/>
        </w:rPr>
        <w:t xml:space="preserve"> </w:t>
      </w:r>
      <w:r w:rsidR="00306A21">
        <w:rPr>
          <w:sz w:val="20"/>
          <w:szCs w:val="20"/>
          <w:lang w:val="es-ES_tradnl"/>
        </w:rPr>
        <w:t>Igualmente</w:t>
      </w:r>
      <w:r w:rsidRPr="00306A21">
        <w:rPr>
          <w:sz w:val="20"/>
          <w:szCs w:val="20"/>
          <w:lang w:val="es-ES_tradnl"/>
        </w:rPr>
        <w:t xml:space="preserve">, el Tribunal Penal Internacional para la ex Yugoslavia, en la causa </w:t>
      </w:r>
      <w:r w:rsidRPr="00306A21">
        <w:rPr>
          <w:i/>
          <w:iCs/>
          <w:sz w:val="20"/>
          <w:szCs w:val="20"/>
          <w:lang w:val="es-ES_tradnl"/>
        </w:rPr>
        <w:t>Kupreskic</w:t>
      </w:r>
      <w:r w:rsidRPr="00306A21">
        <w:rPr>
          <w:sz w:val="20"/>
          <w:szCs w:val="20"/>
          <w:lang w:val="es-ES_tradnl"/>
        </w:rPr>
        <w:t xml:space="preserve">, </w:t>
      </w:r>
      <w:r w:rsidR="00306A21">
        <w:rPr>
          <w:sz w:val="20"/>
          <w:szCs w:val="20"/>
          <w:lang w:val="es-ES_tradnl"/>
        </w:rPr>
        <w:t>determinó</w:t>
      </w:r>
      <w:r w:rsidRPr="00306A21">
        <w:rPr>
          <w:sz w:val="20"/>
          <w:szCs w:val="20"/>
          <w:lang w:val="es-ES_tradnl"/>
        </w:rPr>
        <w:t xml:space="preserve"> que “la exigencia de tomar precauciones en el ataque era consuetudinaria porque precisaba y desarrollaba normas generales preexistentes”</w:t>
      </w:r>
      <w:r w:rsidRPr="00B06A7F">
        <w:rPr>
          <w:rStyle w:val="FootnoteReference"/>
          <w:sz w:val="20"/>
          <w:szCs w:val="20"/>
          <w:lang w:val="es-ES_tradnl"/>
        </w:rPr>
        <w:footnoteReference w:id="646"/>
      </w:r>
      <w:r w:rsidRPr="00306A21">
        <w:rPr>
          <w:sz w:val="20"/>
          <w:szCs w:val="20"/>
          <w:lang w:val="es-ES_tradnl"/>
        </w:rPr>
        <w:t xml:space="preserve">. </w:t>
      </w:r>
    </w:p>
    <w:p w:rsidR="00A20B20" w:rsidRPr="00A20B20" w:rsidRDefault="00A20B20" w:rsidP="00A20B20">
      <w:pPr>
        <w:pStyle w:val="ListParagraph"/>
        <w:jc w:val="both"/>
        <w:rPr>
          <w:rFonts w:eastAsia="Times New Roman"/>
          <w:sz w:val="20"/>
          <w:szCs w:val="20"/>
          <w:lang w:val="es-ES_tradnl"/>
        </w:rPr>
      </w:pPr>
    </w:p>
    <w:p w:rsidR="00A20B20" w:rsidRDefault="00B053C8" w:rsidP="003B6A9B">
      <w:pPr>
        <w:pStyle w:val="ListParagraph"/>
        <w:numPr>
          <w:ilvl w:val="0"/>
          <w:numId w:val="58"/>
        </w:numPr>
        <w:ind w:left="0" w:firstLine="720"/>
        <w:jc w:val="both"/>
        <w:rPr>
          <w:rFonts w:eastAsia="Times New Roman"/>
          <w:sz w:val="20"/>
          <w:szCs w:val="20"/>
          <w:lang w:val="es-ES_tradnl"/>
        </w:rPr>
      </w:pPr>
      <w:r w:rsidRPr="00A20B20">
        <w:rPr>
          <w:sz w:val="20"/>
          <w:szCs w:val="20"/>
          <w:lang w:val="es-ES_tradnl"/>
        </w:rPr>
        <w:t>Por su parte, la Comisión Interamericana observa que en el marco de los conflictos armados internacionales una consecuencia natural del principio de precaución es la obligación de los Estados parte en el conflicto de tener un cuidado constante y de tomar precauciones para evitar o reducir al mínimo el número de pérdidas civiles que pudiera producirse producto de sus actuaciones durante el conflicto.</w:t>
      </w:r>
    </w:p>
    <w:p w:rsidR="00A20B20" w:rsidRPr="00A20B20" w:rsidRDefault="00A20B20" w:rsidP="00A20B20">
      <w:pPr>
        <w:pStyle w:val="ListParagraph"/>
        <w:jc w:val="both"/>
        <w:rPr>
          <w:rFonts w:eastAsia="Times New Roman"/>
          <w:sz w:val="20"/>
          <w:szCs w:val="20"/>
          <w:lang w:val="es-ES_tradnl"/>
        </w:rPr>
      </w:pPr>
    </w:p>
    <w:p w:rsidR="00AC715E" w:rsidRPr="00DF7DB8" w:rsidRDefault="00B053C8" w:rsidP="003B6A9B">
      <w:pPr>
        <w:pStyle w:val="ListParagraph"/>
        <w:numPr>
          <w:ilvl w:val="0"/>
          <w:numId w:val="58"/>
        </w:numPr>
        <w:ind w:left="0" w:firstLine="720"/>
        <w:jc w:val="both"/>
        <w:rPr>
          <w:bCs/>
          <w:sz w:val="20"/>
          <w:szCs w:val="20"/>
          <w:lang w:val="es-ES_tradnl"/>
        </w:rPr>
      </w:pPr>
      <w:r w:rsidRPr="00DF7DB8">
        <w:rPr>
          <w:sz w:val="20"/>
          <w:szCs w:val="20"/>
          <w:lang w:val="es-ES_tradnl"/>
        </w:rPr>
        <w:t>En una línea similar, el CICR ha destacado que muchos Estados han interpretado la obligación de tomar todas las precauciones “factibles” como una obligación que se limita a las precauciones viables o posibles en la práctica, teniendo en cuenta todas las circunstancias vigentes a la sazón, incluidas las consideraciones humanitarias y militares</w:t>
      </w:r>
      <w:r w:rsidRPr="00B06A7F">
        <w:rPr>
          <w:rStyle w:val="FootnoteReference"/>
          <w:sz w:val="20"/>
          <w:szCs w:val="20"/>
          <w:lang w:val="es-ES_tradnl"/>
        </w:rPr>
        <w:footnoteReference w:id="647"/>
      </w:r>
      <w:r w:rsidRPr="00DF7DB8">
        <w:rPr>
          <w:sz w:val="20"/>
          <w:szCs w:val="20"/>
          <w:lang w:val="es-ES_tradnl"/>
        </w:rPr>
        <w:t xml:space="preserve">. En los Protocolos II y III y el Protocolo II enmendado de la </w:t>
      </w:r>
      <w:r w:rsidRPr="00DF7DB8">
        <w:rPr>
          <w:sz w:val="20"/>
          <w:szCs w:val="20"/>
          <w:lang w:val="es-ES_tradnl"/>
        </w:rPr>
        <w:lastRenderedPageBreak/>
        <w:t>Convención sobre ciertas armas convencionales se definen las precauciones “factibles” en los mismos términos</w:t>
      </w:r>
      <w:r w:rsidRPr="00B06A7F">
        <w:rPr>
          <w:rStyle w:val="FootnoteReference"/>
          <w:sz w:val="20"/>
          <w:szCs w:val="20"/>
          <w:lang w:val="es-ES_tradnl"/>
        </w:rPr>
        <w:footnoteReference w:id="648"/>
      </w:r>
      <w:r w:rsidRPr="00DF7DB8">
        <w:rPr>
          <w:sz w:val="20"/>
          <w:szCs w:val="20"/>
          <w:lang w:val="es-ES_tradnl"/>
        </w:rPr>
        <w:t xml:space="preserve">. </w:t>
      </w:r>
      <w:r w:rsidR="00DF7DB8" w:rsidRPr="00DF7DB8">
        <w:rPr>
          <w:sz w:val="20"/>
          <w:szCs w:val="20"/>
          <w:lang w:val="es-ES_tradnl"/>
        </w:rPr>
        <w:t xml:space="preserve"> </w:t>
      </w:r>
    </w:p>
    <w:p w:rsidR="00A20B20" w:rsidRPr="00A20B20" w:rsidRDefault="00A20B20" w:rsidP="00A20B20">
      <w:pPr>
        <w:pStyle w:val="ListParagraph"/>
        <w:jc w:val="both"/>
        <w:rPr>
          <w:rFonts w:eastAsia="Times New Roman"/>
          <w:sz w:val="20"/>
          <w:szCs w:val="20"/>
          <w:lang w:val="es-ES_tradnl"/>
        </w:rPr>
      </w:pPr>
    </w:p>
    <w:p w:rsidR="00A20B20" w:rsidRDefault="00B053C8" w:rsidP="003B6A9B">
      <w:pPr>
        <w:pStyle w:val="ListParagraph"/>
        <w:numPr>
          <w:ilvl w:val="0"/>
          <w:numId w:val="58"/>
        </w:numPr>
        <w:ind w:left="0" w:firstLine="720"/>
        <w:jc w:val="both"/>
        <w:rPr>
          <w:rFonts w:eastAsia="Times New Roman"/>
          <w:sz w:val="20"/>
          <w:szCs w:val="20"/>
          <w:lang w:val="es-ES_tradnl"/>
        </w:rPr>
      </w:pPr>
      <w:r w:rsidRPr="00A20B20">
        <w:rPr>
          <w:sz w:val="20"/>
          <w:szCs w:val="20"/>
          <w:lang w:val="es-ES_tradnl"/>
        </w:rPr>
        <w:t xml:space="preserve">Asimismo, la CIDH destaca que dentro de las obligaciones que acarrea el principio de precaución, </w:t>
      </w:r>
      <w:r w:rsidR="00306A21">
        <w:rPr>
          <w:sz w:val="20"/>
          <w:szCs w:val="20"/>
          <w:lang w:val="es-ES_tradnl"/>
        </w:rPr>
        <w:t>se incluye</w:t>
      </w:r>
      <w:r w:rsidRPr="00A20B20">
        <w:rPr>
          <w:sz w:val="20"/>
          <w:szCs w:val="20"/>
          <w:lang w:val="es-ES_tradnl"/>
        </w:rPr>
        <w:t xml:space="preserve"> que </w:t>
      </w:r>
      <w:r w:rsidRPr="00A20B20">
        <w:rPr>
          <w:bCs/>
          <w:sz w:val="20"/>
          <w:szCs w:val="20"/>
          <w:lang w:val="es-ES_tradnl"/>
        </w:rPr>
        <w:t>las partes en conflicto deberán hacer todo lo que sea factible para verificar que los objetivos que prevén atacar son objetivos militares. En este sentido, la Comisión toma nota que esta obligación de hacer todo lo que sea factible para verificar que los objetivos que se prevé atacar son objetivos militares se establece en el artículo 57, párrafo 2, apartado a), del Protocolo adicional I, al que no se han hecho reservas en relación con esta norma</w:t>
      </w:r>
      <w:r w:rsidRPr="00B06A7F">
        <w:rPr>
          <w:rStyle w:val="FootnoteReference"/>
          <w:bCs/>
          <w:sz w:val="20"/>
          <w:szCs w:val="20"/>
          <w:lang w:val="es-ES_tradnl"/>
        </w:rPr>
        <w:footnoteReference w:id="649"/>
      </w:r>
      <w:r w:rsidRPr="00A20B20">
        <w:rPr>
          <w:bCs/>
          <w:sz w:val="20"/>
          <w:szCs w:val="20"/>
          <w:lang w:val="es-ES_tradnl"/>
        </w:rPr>
        <w:t>.</w:t>
      </w:r>
    </w:p>
    <w:p w:rsidR="00A20B20" w:rsidRPr="00A20B20" w:rsidRDefault="00A20B20" w:rsidP="00A20B20">
      <w:pPr>
        <w:pStyle w:val="ListParagraph"/>
        <w:jc w:val="both"/>
        <w:rPr>
          <w:rFonts w:eastAsia="Times New Roman"/>
          <w:sz w:val="20"/>
          <w:szCs w:val="20"/>
          <w:lang w:val="es-ES_tradnl"/>
        </w:rPr>
      </w:pPr>
    </w:p>
    <w:p w:rsidR="00A20B20" w:rsidRPr="00A20B20" w:rsidRDefault="00B053C8" w:rsidP="003B6A9B">
      <w:pPr>
        <w:pStyle w:val="ListParagraph"/>
        <w:numPr>
          <w:ilvl w:val="0"/>
          <w:numId w:val="58"/>
        </w:numPr>
        <w:ind w:left="0" w:firstLine="720"/>
        <w:jc w:val="both"/>
        <w:rPr>
          <w:rFonts w:eastAsia="Times New Roman"/>
          <w:sz w:val="20"/>
          <w:szCs w:val="20"/>
          <w:lang w:val="es-ES_tradnl"/>
        </w:rPr>
      </w:pPr>
      <w:r w:rsidRPr="00A20B20">
        <w:rPr>
          <w:bCs/>
          <w:sz w:val="20"/>
          <w:szCs w:val="20"/>
          <w:lang w:val="es-ES_tradnl"/>
        </w:rPr>
        <w:t xml:space="preserve">En el mismo sentido, </w:t>
      </w:r>
      <w:r w:rsidR="00306A21" w:rsidRPr="00A20B20">
        <w:rPr>
          <w:bCs/>
          <w:sz w:val="20"/>
          <w:szCs w:val="20"/>
          <w:lang w:val="es-ES_tradnl"/>
        </w:rPr>
        <w:t>las normas consuetudinarias</w:t>
      </w:r>
      <w:r w:rsidRPr="00A20B20">
        <w:rPr>
          <w:bCs/>
          <w:sz w:val="20"/>
          <w:szCs w:val="20"/>
          <w:lang w:val="es-ES_tradnl"/>
        </w:rPr>
        <w:t xml:space="preserve"> del DIH establece que “las partes en conflicto deberán tomar todas las precauciones factibles en la elección de los medios y métodos de guerra para evitar, o reducir en todo caso a un mínimo, el número de muertos y de heridos entre la población civil, así como los daños a los bienes de carácter civil, que pudieran causar incidentalmente”. Es preciso destacar que e</w:t>
      </w:r>
      <w:r w:rsidRPr="00A20B20">
        <w:rPr>
          <w:rFonts w:cs="Times"/>
          <w:sz w:val="20"/>
          <w:szCs w:val="20"/>
          <w:lang w:val="es-ES_tradnl"/>
        </w:rPr>
        <w:t>sta norma debe aplicarse independientemente de la aplicación simultánea del principio de proporcionalidad</w:t>
      </w:r>
      <w:r w:rsidRPr="00B06A7F">
        <w:rPr>
          <w:rStyle w:val="FootnoteReference"/>
          <w:rFonts w:cs="Times"/>
          <w:sz w:val="20"/>
          <w:szCs w:val="20"/>
          <w:lang w:val="es-ES_tradnl"/>
        </w:rPr>
        <w:footnoteReference w:id="650"/>
      </w:r>
      <w:r w:rsidRPr="00A20B20">
        <w:rPr>
          <w:rFonts w:cs="Times"/>
          <w:sz w:val="20"/>
          <w:szCs w:val="20"/>
          <w:lang w:val="es-ES_tradnl"/>
        </w:rPr>
        <w:t>. En adición el deber de tomar todas las precauciones factibles en la elección de los medios y métodos de guerra se establece en el artículo 57, párrafo 2, apartado a), inciso ii) del Protocolo adicional I</w:t>
      </w:r>
      <w:r w:rsidRPr="00B06A7F">
        <w:rPr>
          <w:rStyle w:val="FootnoteReference"/>
          <w:rFonts w:cs="Times"/>
          <w:sz w:val="20"/>
          <w:szCs w:val="20"/>
          <w:lang w:val="es-ES_tradnl"/>
        </w:rPr>
        <w:footnoteReference w:id="651"/>
      </w:r>
      <w:r w:rsidRPr="00A20B20">
        <w:rPr>
          <w:rFonts w:cs="Times"/>
          <w:sz w:val="20"/>
          <w:szCs w:val="20"/>
          <w:lang w:val="es-ES_tradnl"/>
        </w:rPr>
        <w:t>.</w:t>
      </w:r>
    </w:p>
    <w:p w:rsidR="00A20B20" w:rsidRPr="00A20B20" w:rsidRDefault="00A20B20" w:rsidP="00A20B20">
      <w:pPr>
        <w:pStyle w:val="ListParagraph"/>
        <w:jc w:val="both"/>
        <w:rPr>
          <w:rFonts w:eastAsia="Times New Roman"/>
          <w:sz w:val="20"/>
          <w:szCs w:val="20"/>
          <w:lang w:val="es-ES_tradnl"/>
        </w:rPr>
      </w:pPr>
    </w:p>
    <w:p w:rsidR="00A20B20" w:rsidRDefault="00B053C8" w:rsidP="003B6A9B">
      <w:pPr>
        <w:pStyle w:val="ListParagraph"/>
        <w:numPr>
          <w:ilvl w:val="0"/>
          <w:numId w:val="58"/>
        </w:numPr>
        <w:ind w:left="0" w:firstLine="720"/>
        <w:jc w:val="both"/>
        <w:rPr>
          <w:rFonts w:eastAsia="Times New Roman"/>
          <w:sz w:val="20"/>
          <w:szCs w:val="20"/>
          <w:lang w:val="es-ES_tradnl"/>
        </w:rPr>
      </w:pPr>
      <w:r w:rsidRPr="00A20B20">
        <w:rPr>
          <w:rFonts w:cs="Times"/>
          <w:sz w:val="20"/>
          <w:szCs w:val="20"/>
          <w:lang w:val="es-ES_tradnl"/>
        </w:rPr>
        <w:t>Por su parte el CICR indica que ejemplos de la aplicación de esta norma incluyen las consideraciones relativas al momento de perpetrar los ataques, el hecho de evitar los combates en zonas pobladas, la elección de medios de guerra adecuados con respecto al objetivo previsto, el empleo de armas de precisión y la selección de objetivos</w:t>
      </w:r>
      <w:r w:rsidRPr="00B06A7F">
        <w:rPr>
          <w:rStyle w:val="FootnoteReference"/>
          <w:rFonts w:cs="Times"/>
          <w:sz w:val="20"/>
          <w:szCs w:val="20"/>
          <w:lang w:val="es-ES_tradnl"/>
        </w:rPr>
        <w:footnoteReference w:id="652"/>
      </w:r>
      <w:r w:rsidRPr="00A20B20">
        <w:rPr>
          <w:rFonts w:cs="Times"/>
          <w:sz w:val="20"/>
          <w:szCs w:val="20"/>
          <w:lang w:val="es-ES_tradnl"/>
        </w:rPr>
        <w:t xml:space="preserve">. Además, </w:t>
      </w:r>
      <w:r w:rsidRPr="00A20B20">
        <w:rPr>
          <w:bCs/>
          <w:sz w:val="20"/>
          <w:szCs w:val="20"/>
          <w:lang w:val="es-ES_tradnl"/>
        </w:rPr>
        <w:t xml:space="preserve">las </w:t>
      </w:r>
      <w:r w:rsidR="00306A21" w:rsidRPr="00A20B20">
        <w:rPr>
          <w:bCs/>
          <w:sz w:val="20"/>
          <w:szCs w:val="20"/>
          <w:lang w:val="es-ES_tradnl"/>
        </w:rPr>
        <w:t xml:space="preserve">normas consuetudinarias </w:t>
      </w:r>
      <w:r w:rsidRPr="00A20B20">
        <w:rPr>
          <w:bCs/>
          <w:sz w:val="20"/>
          <w:szCs w:val="20"/>
          <w:lang w:val="es-ES_tradnl"/>
        </w:rPr>
        <w:t>del DIH</w:t>
      </w:r>
      <w:r w:rsidRPr="00A20B20">
        <w:rPr>
          <w:rFonts w:cs="Times"/>
          <w:sz w:val="20"/>
          <w:szCs w:val="20"/>
          <w:lang w:val="es-ES_tradnl"/>
        </w:rPr>
        <w:t xml:space="preserve"> establece</w:t>
      </w:r>
      <w:r w:rsidR="00306A21">
        <w:rPr>
          <w:rFonts w:cs="Times"/>
          <w:sz w:val="20"/>
          <w:szCs w:val="20"/>
          <w:lang w:val="es-ES_tradnl"/>
        </w:rPr>
        <w:t>n</w:t>
      </w:r>
      <w:r w:rsidRPr="00A20B20">
        <w:rPr>
          <w:rFonts w:cs="Times"/>
          <w:sz w:val="20"/>
          <w:szCs w:val="20"/>
          <w:lang w:val="es-ES_tradnl"/>
        </w:rPr>
        <w:t xml:space="preserve"> una exigencia específica con respecto a la selección de objetivos. </w:t>
      </w:r>
    </w:p>
    <w:p w:rsidR="00A20B20" w:rsidRPr="00A20B20" w:rsidRDefault="00A20B20" w:rsidP="00A20B20">
      <w:pPr>
        <w:pStyle w:val="ListParagraph"/>
        <w:jc w:val="both"/>
        <w:rPr>
          <w:rFonts w:eastAsia="Times New Roman"/>
          <w:sz w:val="20"/>
          <w:szCs w:val="20"/>
          <w:lang w:val="es-ES_tradnl"/>
        </w:rPr>
      </w:pPr>
    </w:p>
    <w:p w:rsidR="00A20B20" w:rsidRDefault="00B053C8" w:rsidP="003B6A9B">
      <w:pPr>
        <w:pStyle w:val="ListParagraph"/>
        <w:numPr>
          <w:ilvl w:val="0"/>
          <w:numId w:val="58"/>
        </w:numPr>
        <w:ind w:left="0" w:firstLine="720"/>
        <w:jc w:val="both"/>
        <w:rPr>
          <w:rFonts w:eastAsia="Times New Roman"/>
          <w:sz w:val="20"/>
          <w:szCs w:val="20"/>
          <w:lang w:val="es-ES_tradnl"/>
        </w:rPr>
      </w:pPr>
      <w:r w:rsidRPr="00A20B20">
        <w:rPr>
          <w:rFonts w:cs="Times"/>
          <w:sz w:val="20"/>
          <w:szCs w:val="20"/>
          <w:lang w:val="es-ES_tradnl"/>
        </w:rPr>
        <w:t xml:space="preserve">Más aún, </w:t>
      </w:r>
      <w:r w:rsidR="00306A21">
        <w:rPr>
          <w:rFonts w:cs="Times"/>
          <w:sz w:val="20"/>
          <w:szCs w:val="20"/>
          <w:lang w:val="es-ES_tradnl"/>
        </w:rPr>
        <w:t xml:space="preserve">estas mismas normas </w:t>
      </w:r>
      <w:r w:rsidRPr="00A20B20">
        <w:rPr>
          <w:rFonts w:cs="Times"/>
          <w:sz w:val="20"/>
          <w:szCs w:val="20"/>
          <w:lang w:val="es-ES_tradnl"/>
        </w:rPr>
        <w:t>establece</w:t>
      </w:r>
      <w:r w:rsidR="00306A21">
        <w:rPr>
          <w:rFonts w:cs="Times"/>
          <w:sz w:val="20"/>
          <w:szCs w:val="20"/>
          <w:lang w:val="es-ES_tradnl"/>
        </w:rPr>
        <w:t>n</w:t>
      </w:r>
      <w:r w:rsidRPr="00A20B20">
        <w:rPr>
          <w:rFonts w:cs="Times"/>
          <w:sz w:val="20"/>
          <w:szCs w:val="20"/>
          <w:lang w:val="es-ES_tradnl"/>
        </w:rPr>
        <w:t xml:space="preserve"> que “</w:t>
      </w:r>
      <w:r w:rsidRPr="00A20B20">
        <w:rPr>
          <w:rFonts w:cs="Times"/>
          <w:bCs/>
          <w:sz w:val="20"/>
          <w:szCs w:val="20"/>
          <w:lang w:val="es-ES_tradnl"/>
        </w:rPr>
        <w:t xml:space="preserve">las partes en conflicto deberán hacer todo lo que sea factible para evaluar si el ataque causará incidentalmente muertos o heridos entre la población civil, daños a bienes de carácter civil o ambas cosas, que sean excesivos en relación con la ventaja militar concreta y directa prevista”. Esta </w:t>
      </w:r>
      <w:r w:rsidRPr="00A20B20">
        <w:rPr>
          <w:rFonts w:cs="Times"/>
          <w:sz w:val="20"/>
          <w:szCs w:val="20"/>
          <w:lang w:val="es-ES_tradnl"/>
        </w:rPr>
        <w:t>obligación</w:t>
      </w:r>
      <w:r w:rsidRPr="00A20B20">
        <w:rPr>
          <w:rFonts w:cs="Times"/>
          <w:bCs/>
          <w:sz w:val="20"/>
          <w:szCs w:val="20"/>
          <w:lang w:val="es-ES_tradnl"/>
        </w:rPr>
        <w:t xml:space="preserve"> de hacer todo lo que sea factible para evaluar si el ataque causará incidentalmente daños excesivos se establece en el artículo 57, párrafo 2, apartado a), inciso iii) del Protocolo adicional I. </w:t>
      </w:r>
    </w:p>
    <w:p w:rsidR="00A20B20" w:rsidRPr="00A20B20" w:rsidRDefault="00A20B20" w:rsidP="00A20B20">
      <w:pPr>
        <w:pStyle w:val="ListParagraph"/>
        <w:jc w:val="both"/>
        <w:rPr>
          <w:rFonts w:eastAsia="Times New Roman"/>
          <w:sz w:val="20"/>
          <w:szCs w:val="20"/>
          <w:lang w:val="es-ES_tradnl"/>
        </w:rPr>
      </w:pPr>
    </w:p>
    <w:p w:rsidR="00A20B20" w:rsidRDefault="00B053C8" w:rsidP="003B6A9B">
      <w:pPr>
        <w:pStyle w:val="ListParagraph"/>
        <w:numPr>
          <w:ilvl w:val="0"/>
          <w:numId w:val="58"/>
        </w:numPr>
        <w:ind w:left="0" w:firstLine="720"/>
        <w:jc w:val="both"/>
        <w:rPr>
          <w:rFonts w:eastAsia="Times New Roman"/>
          <w:sz w:val="20"/>
          <w:szCs w:val="20"/>
          <w:lang w:val="es-ES_tradnl"/>
        </w:rPr>
      </w:pPr>
      <w:r w:rsidRPr="00A20B20">
        <w:rPr>
          <w:rFonts w:cs="Times"/>
          <w:bCs/>
          <w:sz w:val="20"/>
          <w:szCs w:val="20"/>
          <w:lang w:val="es-ES_tradnl"/>
        </w:rPr>
        <w:t xml:space="preserve">En un sentido más detallado aún </w:t>
      </w:r>
      <w:r w:rsidR="00306A21">
        <w:rPr>
          <w:rFonts w:cs="Times"/>
          <w:bCs/>
          <w:sz w:val="20"/>
          <w:szCs w:val="20"/>
          <w:lang w:val="es-ES_tradnl"/>
        </w:rPr>
        <w:t>se ha</w:t>
      </w:r>
      <w:r w:rsidRPr="00A20B20">
        <w:rPr>
          <w:rFonts w:cs="Times"/>
          <w:bCs/>
          <w:sz w:val="20"/>
          <w:szCs w:val="20"/>
          <w:lang w:val="es-ES_tradnl"/>
        </w:rPr>
        <w:t xml:space="preserve"> plantea</w:t>
      </w:r>
      <w:r w:rsidR="00306A21">
        <w:rPr>
          <w:rFonts w:cs="Times"/>
          <w:bCs/>
          <w:sz w:val="20"/>
          <w:szCs w:val="20"/>
          <w:lang w:val="es-ES_tradnl"/>
        </w:rPr>
        <w:t>do</w:t>
      </w:r>
      <w:r w:rsidRPr="00A20B20">
        <w:rPr>
          <w:rFonts w:cs="Times"/>
          <w:bCs/>
          <w:sz w:val="20"/>
          <w:szCs w:val="20"/>
          <w:lang w:val="es-ES_tradnl"/>
        </w:rPr>
        <w:t xml:space="preserve"> que “las partes en un conflicto deberán hacer todo lo que sea factible para suspender o anular un ataque si se advierte que el objetivo no es militar o si es de prever que el </w:t>
      </w:r>
      <w:r w:rsidRPr="00A20B20">
        <w:rPr>
          <w:rFonts w:cs="Times"/>
          <w:sz w:val="20"/>
          <w:szCs w:val="20"/>
          <w:lang w:val="es-ES_tradnl"/>
        </w:rPr>
        <w:t>ataque</w:t>
      </w:r>
      <w:r w:rsidRPr="00A20B20">
        <w:rPr>
          <w:rFonts w:cs="Times"/>
          <w:bCs/>
          <w:sz w:val="20"/>
          <w:szCs w:val="20"/>
          <w:lang w:val="es-ES_tradnl"/>
        </w:rPr>
        <w:t xml:space="preserve"> cause incidentalmente muertos o heridos entre la población civil, daños a bienes de carácter civil o ambas cosas, que sean excesivos en relación con la ventaja militar concreta directa y prevista”. Esta obligación de hacer todo lo que sea factible para suspender o anular un ataque si se advierte que el objetivo no es militar o si es de prever que el ataque cause incidentalmente daños excesivos se establece en el artículo 57, párrafo 2, apartado b) del Protocolo adicional I. </w:t>
      </w:r>
    </w:p>
    <w:p w:rsidR="00A20B20" w:rsidRPr="00A20B20" w:rsidRDefault="00A20B20" w:rsidP="00A20B20">
      <w:pPr>
        <w:pStyle w:val="ListParagraph"/>
        <w:jc w:val="both"/>
        <w:rPr>
          <w:rFonts w:eastAsia="Times New Roman"/>
          <w:sz w:val="20"/>
          <w:szCs w:val="20"/>
          <w:lang w:val="es-ES_tradnl"/>
        </w:rPr>
      </w:pPr>
    </w:p>
    <w:p w:rsidR="00A20B20" w:rsidRDefault="00B053C8" w:rsidP="003B6A9B">
      <w:pPr>
        <w:pStyle w:val="ListParagraph"/>
        <w:numPr>
          <w:ilvl w:val="0"/>
          <w:numId w:val="58"/>
        </w:numPr>
        <w:ind w:left="0" w:firstLine="720"/>
        <w:jc w:val="both"/>
        <w:rPr>
          <w:rFonts w:eastAsia="Times New Roman"/>
          <w:sz w:val="20"/>
          <w:szCs w:val="20"/>
          <w:lang w:val="es-ES_tradnl"/>
        </w:rPr>
      </w:pPr>
      <w:r w:rsidRPr="00A20B20">
        <w:rPr>
          <w:rFonts w:cs="Times"/>
          <w:bCs/>
          <w:sz w:val="20"/>
          <w:szCs w:val="20"/>
          <w:lang w:val="es-ES_tradnl"/>
        </w:rPr>
        <w:t xml:space="preserve">De modo similar, y en aras de maximizar todas las posibilidades de evitar causar daños a personas y bienes civiles, la CIDH destaca que “las partes en conflicto deberán dar aviso con la debida antelación y por medios eficaces de todo ataque que pueda afectar a la población civil, salvo si las circunstancias lo impiden”. Esta obligación de dar aviso con la debida antelación y por medios eficaces de todo ataque que pueda afectar a la población civil es una antigua norma de derecho internacional consuetudinario que ya se reconocía </w:t>
      </w:r>
      <w:r w:rsidRPr="00A20B20">
        <w:rPr>
          <w:rFonts w:cs="Times"/>
          <w:bCs/>
          <w:sz w:val="20"/>
          <w:szCs w:val="20"/>
          <w:lang w:val="es-ES_tradnl"/>
        </w:rPr>
        <w:lastRenderedPageBreak/>
        <w:t>en el Código de Lieber, la Declaración de Bruselas y el Manual de Oxford</w:t>
      </w:r>
      <w:r w:rsidRPr="00B06A7F">
        <w:rPr>
          <w:rStyle w:val="FootnoteReference"/>
          <w:rFonts w:cs="Times"/>
          <w:bCs/>
          <w:sz w:val="20"/>
          <w:szCs w:val="20"/>
          <w:lang w:val="es-ES_tradnl"/>
        </w:rPr>
        <w:footnoteReference w:id="653"/>
      </w:r>
      <w:r w:rsidRPr="00A20B20">
        <w:rPr>
          <w:rFonts w:cs="Times"/>
          <w:bCs/>
          <w:sz w:val="20"/>
          <w:szCs w:val="20"/>
          <w:lang w:val="es-ES_tradnl"/>
        </w:rPr>
        <w:t>.  Se codificó por primera vez en el Reglamento de La Haya y se reformuló en el artículo 57, párrafo 2, apartado c) del Protocolo adicional I, al que no se han hecho reservas pertinentes</w:t>
      </w:r>
      <w:r w:rsidRPr="00B06A7F">
        <w:rPr>
          <w:rStyle w:val="FootnoteReference"/>
          <w:rFonts w:cs="Times"/>
          <w:bCs/>
          <w:sz w:val="20"/>
          <w:szCs w:val="20"/>
          <w:lang w:val="es-ES_tradnl"/>
        </w:rPr>
        <w:footnoteReference w:id="654"/>
      </w:r>
      <w:r w:rsidRPr="00A20B20">
        <w:rPr>
          <w:rFonts w:cs="Times"/>
          <w:bCs/>
          <w:sz w:val="20"/>
          <w:szCs w:val="20"/>
          <w:lang w:val="es-ES_tradnl"/>
        </w:rPr>
        <w:t>.</w:t>
      </w:r>
    </w:p>
    <w:p w:rsidR="00A20B20" w:rsidRPr="00A20B20" w:rsidRDefault="00A20B20" w:rsidP="00A20B20">
      <w:pPr>
        <w:pStyle w:val="ListParagraph"/>
        <w:jc w:val="both"/>
        <w:rPr>
          <w:rFonts w:eastAsia="Times New Roman"/>
          <w:sz w:val="20"/>
          <w:szCs w:val="20"/>
          <w:lang w:val="es-ES_tradnl"/>
        </w:rPr>
      </w:pPr>
    </w:p>
    <w:p w:rsidR="00B053C8" w:rsidRPr="00A20B20" w:rsidRDefault="00B053C8" w:rsidP="003B6A9B">
      <w:pPr>
        <w:pStyle w:val="ListParagraph"/>
        <w:numPr>
          <w:ilvl w:val="0"/>
          <w:numId w:val="58"/>
        </w:numPr>
        <w:ind w:left="0" w:firstLine="720"/>
        <w:jc w:val="both"/>
        <w:rPr>
          <w:bCs/>
          <w:sz w:val="20"/>
          <w:szCs w:val="20"/>
          <w:lang w:val="es-ES_tradnl"/>
        </w:rPr>
      </w:pPr>
      <w:r w:rsidRPr="00A20B20">
        <w:rPr>
          <w:rFonts w:cs="Times"/>
          <w:sz w:val="20"/>
          <w:szCs w:val="20"/>
          <w:lang w:val="es-ES_tradnl"/>
        </w:rPr>
        <w:t xml:space="preserve">La Comisión observa que, de forma complementaria para la protección de las personas civiles en conflictos armados de carácter internacional, </w:t>
      </w:r>
      <w:r w:rsidRPr="00A20B20">
        <w:rPr>
          <w:bCs/>
          <w:sz w:val="20"/>
          <w:szCs w:val="20"/>
          <w:lang w:val="es-ES_tradnl"/>
        </w:rPr>
        <w:t xml:space="preserve">las </w:t>
      </w:r>
      <w:r w:rsidR="007D2EFE">
        <w:rPr>
          <w:bCs/>
          <w:sz w:val="20"/>
          <w:szCs w:val="20"/>
          <w:lang w:val="es-ES_tradnl"/>
        </w:rPr>
        <w:t>n</w:t>
      </w:r>
      <w:r w:rsidRPr="00A20B20">
        <w:rPr>
          <w:bCs/>
          <w:sz w:val="20"/>
          <w:szCs w:val="20"/>
          <w:lang w:val="es-ES_tradnl"/>
        </w:rPr>
        <w:t>orma</w:t>
      </w:r>
      <w:r w:rsidR="007D2EFE">
        <w:rPr>
          <w:bCs/>
          <w:sz w:val="20"/>
          <w:szCs w:val="20"/>
          <w:lang w:val="es-ES_tradnl"/>
        </w:rPr>
        <w:t>s</w:t>
      </w:r>
      <w:r w:rsidRPr="00A20B20">
        <w:rPr>
          <w:bCs/>
          <w:sz w:val="20"/>
          <w:szCs w:val="20"/>
          <w:lang w:val="es-ES_tradnl"/>
        </w:rPr>
        <w:t xml:space="preserve"> </w:t>
      </w:r>
      <w:r w:rsidR="007D2EFE">
        <w:rPr>
          <w:bCs/>
          <w:sz w:val="20"/>
          <w:szCs w:val="20"/>
          <w:lang w:val="es-ES_tradnl"/>
        </w:rPr>
        <w:t>c</w:t>
      </w:r>
      <w:r w:rsidRPr="00A20B20">
        <w:rPr>
          <w:bCs/>
          <w:sz w:val="20"/>
          <w:szCs w:val="20"/>
          <w:lang w:val="es-ES_tradnl"/>
        </w:rPr>
        <w:t>onsuetudinarias del DIH</w:t>
      </w:r>
      <w:r w:rsidRPr="00A20B20">
        <w:rPr>
          <w:rFonts w:cs="Times"/>
          <w:sz w:val="20"/>
          <w:szCs w:val="20"/>
          <w:lang w:val="es-ES_tradnl"/>
        </w:rPr>
        <w:t xml:space="preserve"> establece que </w:t>
      </w:r>
      <w:r w:rsidRPr="00A20B20">
        <w:rPr>
          <w:rFonts w:cs="Times"/>
          <w:bCs/>
          <w:sz w:val="20"/>
          <w:szCs w:val="20"/>
          <w:lang w:val="es-ES_tradnl"/>
        </w:rPr>
        <w:t xml:space="preserve">cuando se puede elegir entre varios objetivos militares para obtener una ventaja militar similar, se optará por el objetivo cuyo ataque presente previsiblemente menos peligro para las personas civiles y los bienes de carácter civil. En este sentido, la CIDH establece que a la luz de esta exigencia de que, cuando se pueda </w:t>
      </w:r>
      <w:r w:rsidRPr="00A20B20">
        <w:rPr>
          <w:rFonts w:cs="Times"/>
          <w:sz w:val="20"/>
          <w:szCs w:val="20"/>
          <w:lang w:val="es-ES_tradnl"/>
        </w:rPr>
        <w:t>elegir</w:t>
      </w:r>
      <w:r w:rsidRPr="00A20B20">
        <w:rPr>
          <w:rFonts w:cs="Times"/>
          <w:bCs/>
          <w:sz w:val="20"/>
          <w:szCs w:val="20"/>
          <w:lang w:val="es-ES_tradnl"/>
        </w:rPr>
        <w:t>, los Estados tienen la obligación de optar por el objetivo militar cuyo ataque presente previsiblemente menos peligro para las personas civiles</w:t>
      </w:r>
      <w:r w:rsidRPr="00B06A7F">
        <w:rPr>
          <w:rStyle w:val="FootnoteReference"/>
          <w:rFonts w:cs="Times"/>
          <w:bCs/>
          <w:sz w:val="20"/>
          <w:szCs w:val="20"/>
          <w:lang w:val="es-ES_tradnl"/>
        </w:rPr>
        <w:footnoteReference w:id="655"/>
      </w:r>
      <w:r w:rsidRPr="00A20B20">
        <w:rPr>
          <w:rFonts w:cs="Times"/>
          <w:bCs/>
          <w:sz w:val="20"/>
          <w:szCs w:val="20"/>
          <w:lang w:val="es-ES_tradnl"/>
        </w:rPr>
        <w:t xml:space="preserve">. </w:t>
      </w:r>
    </w:p>
    <w:p w:rsidR="00B053C8" w:rsidRPr="00B06A7F" w:rsidRDefault="00B053C8" w:rsidP="00A20B20">
      <w:pPr>
        <w:pStyle w:val="ListParagraph"/>
        <w:ind w:left="0" w:firstLine="720"/>
        <w:jc w:val="both"/>
        <w:rPr>
          <w:rFonts w:cs="Times"/>
          <w:bCs/>
          <w:sz w:val="20"/>
          <w:szCs w:val="20"/>
          <w:lang w:val="es-ES_tradnl"/>
        </w:rPr>
      </w:pPr>
    </w:p>
    <w:p w:rsidR="00B053C8" w:rsidRPr="00DF7DB8" w:rsidRDefault="00B053C8" w:rsidP="003B6A9B">
      <w:pPr>
        <w:pStyle w:val="ListParagraph"/>
        <w:numPr>
          <w:ilvl w:val="0"/>
          <w:numId w:val="58"/>
        </w:numPr>
        <w:ind w:left="0" w:firstLine="720"/>
        <w:jc w:val="both"/>
        <w:rPr>
          <w:bCs/>
          <w:sz w:val="20"/>
          <w:szCs w:val="20"/>
          <w:lang w:val="es-ES_tradnl"/>
        </w:rPr>
      </w:pPr>
      <w:r w:rsidRPr="00A20B20">
        <w:rPr>
          <w:rFonts w:cs="Times"/>
          <w:bCs/>
          <w:sz w:val="20"/>
          <w:szCs w:val="20"/>
          <w:lang w:val="es-ES_tradnl"/>
        </w:rPr>
        <w:t xml:space="preserve">Asimismo, en un sentido similar </w:t>
      </w:r>
      <w:r w:rsidR="00DF7DB8">
        <w:rPr>
          <w:rFonts w:cs="Times"/>
          <w:bCs/>
          <w:sz w:val="20"/>
          <w:szCs w:val="20"/>
          <w:lang w:val="es-ES_tradnl"/>
        </w:rPr>
        <w:t>se</w:t>
      </w:r>
      <w:r w:rsidRPr="00A20B20">
        <w:rPr>
          <w:rFonts w:cs="Times"/>
          <w:bCs/>
          <w:sz w:val="20"/>
          <w:szCs w:val="20"/>
          <w:lang w:val="es-ES_tradnl"/>
        </w:rPr>
        <w:t xml:space="preserve"> establece que “las partes en conflicto deberán tomar todas las precauciones factibles para proteger de los efectos de los ataques a la población civil y los bienes de carácter </w:t>
      </w:r>
      <w:r w:rsidRPr="00A20B20">
        <w:rPr>
          <w:rFonts w:cs="Times"/>
          <w:sz w:val="20"/>
          <w:szCs w:val="20"/>
          <w:lang w:val="es-ES_tradnl"/>
        </w:rPr>
        <w:t>civil</w:t>
      </w:r>
      <w:r w:rsidRPr="00A20B20">
        <w:rPr>
          <w:rFonts w:cs="Times"/>
          <w:bCs/>
          <w:sz w:val="20"/>
          <w:szCs w:val="20"/>
          <w:lang w:val="es-ES_tradnl"/>
        </w:rPr>
        <w:t xml:space="preserve"> que estén bajo su control”. Este deber de las partes en conflicto de tomar todas las precauciones para proteger de los efectos de los ataques a la población civil y los bienes de carácter civil se establece en el apartado c) del artículo 58 del Protocolo adicional I.</w:t>
      </w:r>
    </w:p>
    <w:p w:rsidR="00DF7DB8" w:rsidRDefault="00DF7DB8" w:rsidP="00DF7DB8">
      <w:pPr>
        <w:pStyle w:val="ListParagraph"/>
        <w:jc w:val="both"/>
        <w:rPr>
          <w:bCs/>
          <w:sz w:val="20"/>
          <w:szCs w:val="20"/>
          <w:lang w:val="es-ES_tradnl"/>
        </w:rPr>
      </w:pPr>
    </w:p>
    <w:p w:rsidR="00DF7DB8" w:rsidRDefault="00DF7DB8" w:rsidP="003B6A9B">
      <w:pPr>
        <w:pStyle w:val="ListParagraph"/>
        <w:numPr>
          <w:ilvl w:val="0"/>
          <w:numId w:val="58"/>
        </w:numPr>
        <w:ind w:left="0" w:firstLine="720"/>
        <w:jc w:val="both"/>
        <w:rPr>
          <w:bCs/>
          <w:sz w:val="20"/>
          <w:szCs w:val="20"/>
          <w:lang w:val="es-ES_tradnl"/>
        </w:rPr>
      </w:pPr>
      <w:r>
        <w:rPr>
          <w:bCs/>
          <w:sz w:val="20"/>
          <w:szCs w:val="20"/>
          <w:lang w:val="es-ES_tradnl"/>
        </w:rPr>
        <w:t xml:space="preserve">La Comisión Interamericana toma nota de que el CICR ha establecido que esta práctica debe leerse junto con la prohibición de utilizar escudos humanos. El incumplimiento deliberado de la obligación de tomar todas las precauciones factibles para proteger de los efectos de los ataques suele estar relacionada con la utilización de escudos humanos, la cual ha sido confirmada por la jurisprudencia internacional en virtud del derecho internacional de los derechos humanos </w:t>
      </w:r>
      <w:r w:rsidR="00C12879">
        <w:rPr>
          <w:bCs/>
          <w:sz w:val="20"/>
          <w:szCs w:val="20"/>
          <w:lang w:val="es-ES_tradnl"/>
        </w:rPr>
        <w:t>de tomar medidas positivas para proteger la vida.</w:t>
      </w:r>
    </w:p>
    <w:p w:rsidR="00C12879" w:rsidRDefault="00C12879" w:rsidP="00C12879">
      <w:pPr>
        <w:pStyle w:val="ListParagraph"/>
        <w:jc w:val="both"/>
        <w:rPr>
          <w:bCs/>
          <w:sz w:val="20"/>
          <w:szCs w:val="20"/>
          <w:lang w:val="es-ES_tradnl"/>
        </w:rPr>
      </w:pPr>
    </w:p>
    <w:p w:rsidR="00C12879" w:rsidRPr="00C12879" w:rsidRDefault="00C12879" w:rsidP="003B6A9B">
      <w:pPr>
        <w:pStyle w:val="ListParagraph"/>
        <w:numPr>
          <w:ilvl w:val="0"/>
          <w:numId w:val="58"/>
        </w:numPr>
        <w:ind w:left="0" w:firstLine="720"/>
        <w:jc w:val="both"/>
        <w:rPr>
          <w:bCs/>
          <w:sz w:val="20"/>
          <w:szCs w:val="20"/>
          <w:lang w:val="es-ES_tradnl"/>
        </w:rPr>
      </w:pPr>
      <w:r w:rsidRPr="00A20B20">
        <w:rPr>
          <w:rFonts w:cs="Times"/>
          <w:sz w:val="20"/>
          <w:szCs w:val="20"/>
          <w:lang w:val="es-ES_tradnl"/>
        </w:rPr>
        <w:t xml:space="preserve">En este sentido, la Comisión resalta que la práctica de los Estados indica que no se prohíbe atacar objetivos militares si </w:t>
      </w:r>
      <w:r>
        <w:rPr>
          <w:rFonts w:cs="Times"/>
          <w:sz w:val="20"/>
          <w:szCs w:val="20"/>
          <w:lang w:val="es-ES_tradnl"/>
        </w:rPr>
        <w:t>la otra parte en el conflicto</w:t>
      </w:r>
      <w:r w:rsidRPr="00A20B20">
        <w:rPr>
          <w:rFonts w:cs="Times"/>
          <w:sz w:val="20"/>
          <w:szCs w:val="20"/>
          <w:lang w:val="es-ES_tradnl"/>
        </w:rPr>
        <w:t xml:space="preserve"> no toma las precauciones debidas o utiliza deliberadamente a civiles como escudos contra operaciones militares. Sin embargo, observa que en dichos casos el atacante sigue estando obligado, en todas las circunstancias, a tomar las precauciones pertinentes en el ataque</w:t>
      </w:r>
      <w:r w:rsidR="00BF55AB">
        <w:rPr>
          <w:rFonts w:cs="Times"/>
          <w:sz w:val="20"/>
          <w:szCs w:val="20"/>
          <w:lang w:val="es-ES_tradnl"/>
        </w:rPr>
        <w:t xml:space="preserve"> </w:t>
      </w:r>
      <w:r w:rsidRPr="00A20B20">
        <w:rPr>
          <w:rFonts w:cs="Times"/>
          <w:sz w:val="20"/>
          <w:szCs w:val="20"/>
          <w:lang w:val="es-ES_tradnl"/>
        </w:rPr>
        <w:t xml:space="preserve">y a respetar el principio de proporcionalidad, aunque </w:t>
      </w:r>
      <w:r>
        <w:rPr>
          <w:rFonts w:cs="Times"/>
          <w:sz w:val="20"/>
          <w:szCs w:val="20"/>
          <w:lang w:val="es-ES_tradnl"/>
        </w:rPr>
        <w:t xml:space="preserve">la otra parte en el conflicto </w:t>
      </w:r>
      <w:r w:rsidRPr="00A20B20">
        <w:rPr>
          <w:rFonts w:cs="Times"/>
          <w:sz w:val="20"/>
          <w:szCs w:val="20"/>
          <w:lang w:val="es-ES_tradnl"/>
        </w:rPr>
        <w:t xml:space="preserve">viole el derecho internacional humanitario. </w:t>
      </w:r>
    </w:p>
    <w:p w:rsidR="00B053C8" w:rsidRPr="00B06A7F" w:rsidRDefault="00B053C8" w:rsidP="00A20B20">
      <w:pPr>
        <w:pStyle w:val="ListParagraph"/>
        <w:ind w:left="0" w:firstLine="720"/>
        <w:jc w:val="both"/>
        <w:rPr>
          <w:rFonts w:cs="Times"/>
          <w:bCs/>
          <w:sz w:val="20"/>
          <w:szCs w:val="20"/>
          <w:lang w:val="es-ES_tradnl"/>
        </w:rPr>
      </w:pPr>
    </w:p>
    <w:p w:rsidR="00B053C8" w:rsidRPr="00A20B20" w:rsidRDefault="00B053C8" w:rsidP="003B6A9B">
      <w:pPr>
        <w:pStyle w:val="ListParagraph"/>
        <w:numPr>
          <w:ilvl w:val="0"/>
          <w:numId w:val="58"/>
        </w:numPr>
        <w:ind w:left="0" w:firstLine="720"/>
        <w:jc w:val="both"/>
        <w:rPr>
          <w:bCs/>
          <w:sz w:val="20"/>
          <w:szCs w:val="20"/>
          <w:lang w:val="es-ES_tradnl"/>
        </w:rPr>
      </w:pPr>
      <w:r w:rsidRPr="00C12879">
        <w:rPr>
          <w:rFonts w:cs="Times"/>
          <w:bCs/>
          <w:sz w:val="20"/>
          <w:szCs w:val="20"/>
          <w:lang w:val="es-ES_tradnl"/>
        </w:rPr>
        <w:t>El CICR</w:t>
      </w:r>
      <w:r w:rsidRPr="00A20B20">
        <w:rPr>
          <w:rFonts w:cs="Times"/>
          <w:bCs/>
          <w:sz w:val="20"/>
          <w:szCs w:val="20"/>
          <w:lang w:val="es-ES_tradnl"/>
        </w:rPr>
        <w:t xml:space="preserve"> destaca que la práctica ha demostrado que algunas de las medidas que pueden tomarse para proteger a la población civil y los bienes de carácter civil bajo el control de una de las partes en el conflicto son: la </w:t>
      </w:r>
      <w:r w:rsidRPr="00A20B20">
        <w:rPr>
          <w:rFonts w:cs="Times"/>
          <w:sz w:val="20"/>
          <w:szCs w:val="20"/>
          <w:lang w:val="es-ES_tradnl"/>
        </w:rPr>
        <w:t>construcción</w:t>
      </w:r>
      <w:r w:rsidRPr="00A20B20">
        <w:rPr>
          <w:rFonts w:cs="Times"/>
          <w:bCs/>
          <w:sz w:val="20"/>
          <w:szCs w:val="20"/>
          <w:lang w:val="es-ES_tradnl"/>
        </w:rPr>
        <w:t xml:space="preserve"> de refugios, la excavación de trincheras, la divulgación de información y alertas, la retirada de la población civil a lugares seg</w:t>
      </w:r>
      <w:r w:rsidRPr="00C12879">
        <w:rPr>
          <w:rFonts w:cs="Times"/>
          <w:bCs/>
          <w:sz w:val="20"/>
          <w:szCs w:val="20"/>
          <w:lang w:val="es-ES_tradnl"/>
        </w:rPr>
        <w:t>uros, la orientación del tráfico, la vigilancia de los bienes civiles y la movilización de las organizaciones de protección civil</w:t>
      </w:r>
      <w:r w:rsidRPr="00C12879">
        <w:rPr>
          <w:rStyle w:val="FootnoteReference"/>
          <w:rFonts w:cs="Times"/>
          <w:bCs/>
          <w:sz w:val="20"/>
          <w:szCs w:val="20"/>
          <w:lang w:val="es-ES_tradnl"/>
        </w:rPr>
        <w:footnoteReference w:id="656"/>
      </w:r>
      <w:r w:rsidRPr="00C12879">
        <w:rPr>
          <w:rFonts w:cs="Times"/>
          <w:bCs/>
          <w:sz w:val="20"/>
          <w:szCs w:val="20"/>
          <w:lang w:val="es-ES_tradnl"/>
        </w:rPr>
        <w:t>.</w:t>
      </w:r>
      <w:r w:rsidRPr="00A20B20">
        <w:rPr>
          <w:rFonts w:cs="Times"/>
          <w:bCs/>
          <w:sz w:val="20"/>
          <w:szCs w:val="20"/>
          <w:lang w:val="es-ES_tradnl"/>
        </w:rPr>
        <w:t xml:space="preserve"> </w:t>
      </w:r>
    </w:p>
    <w:p w:rsidR="00B053C8" w:rsidRPr="00B06A7F" w:rsidRDefault="00B053C8" w:rsidP="00A20B20">
      <w:pPr>
        <w:pStyle w:val="ListParagraph"/>
        <w:ind w:left="0" w:firstLine="720"/>
        <w:jc w:val="both"/>
        <w:rPr>
          <w:rFonts w:cs="Times"/>
          <w:bCs/>
          <w:sz w:val="20"/>
          <w:szCs w:val="20"/>
          <w:lang w:val="es-ES_tradnl"/>
        </w:rPr>
      </w:pPr>
    </w:p>
    <w:p w:rsidR="00B053C8" w:rsidRPr="00A20B20" w:rsidRDefault="00B053C8" w:rsidP="003B6A9B">
      <w:pPr>
        <w:pStyle w:val="ListParagraph"/>
        <w:numPr>
          <w:ilvl w:val="0"/>
          <w:numId w:val="58"/>
        </w:numPr>
        <w:ind w:left="0" w:firstLine="720"/>
        <w:jc w:val="both"/>
        <w:rPr>
          <w:bCs/>
          <w:sz w:val="20"/>
          <w:szCs w:val="20"/>
          <w:lang w:val="es-ES_tradnl"/>
        </w:rPr>
      </w:pPr>
      <w:r w:rsidRPr="00A20B20">
        <w:rPr>
          <w:rFonts w:cs="Times"/>
          <w:sz w:val="20"/>
          <w:szCs w:val="20"/>
          <w:lang w:val="es-ES_tradnl"/>
        </w:rPr>
        <w:t>Por otro lado, frente a la interpretación del término “hasta donde sea factible”, la CIDH observa que el Relator del Grupo de Trabajo de la Conferencia Diplomática que culminó con la aprobación de los Protocolos adicionales señaló que la inclusión de este lenguaje respondía a la preocupación de países pequeños y con una densidad de población elevada para los que sería difícil separar a las personas civiles y los bienes de carácter civil de los objetivos militares; incluso para los países grandes, dicha separación resultaría difícil o imposible en muchos casos</w:t>
      </w:r>
      <w:r w:rsidRPr="00B06A7F">
        <w:rPr>
          <w:rStyle w:val="FootnoteReference"/>
          <w:rFonts w:cs="Times"/>
          <w:sz w:val="20"/>
          <w:szCs w:val="20"/>
          <w:lang w:val="es-ES_tradnl"/>
        </w:rPr>
        <w:footnoteReference w:id="657"/>
      </w:r>
      <w:r w:rsidRPr="00A20B20">
        <w:rPr>
          <w:rFonts w:cs="Times"/>
          <w:sz w:val="20"/>
          <w:szCs w:val="20"/>
          <w:lang w:val="es-ES_tradnl"/>
        </w:rPr>
        <w:t xml:space="preserve">. </w:t>
      </w:r>
    </w:p>
    <w:p w:rsidR="00B053C8" w:rsidRPr="00B06A7F" w:rsidRDefault="00B053C8" w:rsidP="00B053C8">
      <w:pPr>
        <w:pStyle w:val="ListParagraph"/>
        <w:ind w:left="0" w:firstLine="720"/>
        <w:jc w:val="both"/>
        <w:rPr>
          <w:rFonts w:cs="Times"/>
          <w:sz w:val="20"/>
          <w:szCs w:val="20"/>
          <w:lang w:val="es-ES_tradnl"/>
        </w:rPr>
      </w:pPr>
    </w:p>
    <w:p w:rsidR="00B053C8" w:rsidRPr="00A20B20" w:rsidRDefault="00B053C8" w:rsidP="003B6A9B">
      <w:pPr>
        <w:pStyle w:val="ListParagraph"/>
        <w:numPr>
          <w:ilvl w:val="0"/>
          <w:numId w:val="58"/>
        </w:numPr>
        <w:ind w:left="0" w:firstLine="720"/>
        <w:jc w:val="both"/>
        <w:rPr>
          <w:bCs/>
          <w:sz w:val="20"/>
          <w:szCs w:val="20"/>
          <w:lang w:val="es-ES_tradnl"/>
        </w:rPr>
      </w:pPr>
      <w:r w:rsidRPr="00A20B20">
        <w:rPr>
          <w:rFonts w:cs="Times"/>
          <w:sz w:val="20"/>
          <w:szCs w:val="20"/>
          <w:lang w:val="es-ES_tradnl"/>
        </w:rPr>
        <w:lastRenderedPageBreak/>
        <w:t xml:space="preserve">La Comisión Interamericana establece que en aquellos casos que dado los cambios en las condiciones demográficas, las bases militares se encuentren situadas en el interior o cerca de localidades, aunque tal no fuera el caso inicialmente, se redobla la importancia de que los Estados parte del conflicto actúen en respeto </w:t>
      </w:r>
      <w:r w:rsidRPr="00A20B20">
        <w:rPr>
          <w:bCs/>
          <w:sz w:val="20"/>
          <w:szCs w:val="20"/>
          <w:lang w:val="es-ES_tradnl"/>
        </w:rPr>
        <w:t>del DIH</w:t>
      </w:r>
      <w:r w:rsidRPr="00A20B20">
        <w:rPr>
          <w:rFonts w:cs="Times"/>
          <w:sz w:val="20"/>
          <w:szCs w:val="20"/>
          <w:lang w:val="es-ES_tradnl"/>
        </w:rPr>
        <w:t xml:space="preserve">, la cual establece que </w:t>
      </w:r>
      <w:r w:rsidRPr="00A20B20">
        <w:rPr>
          <w:rFonts w:cs="Times"/>
          <w:bCs/>
          <w:sz w:val="20"/>
          <w:szCs w:val="20"/>
          <w:lang w:val="es-ES_tradnl"/>
        </w:rPr>
        <w:t>en la</w:t>
      </w:r>
      <w:r w:rsidRPr="00A20B20">
        <w:rPr>
          <w:rFonts w:cs="Times"/>
          <w:b/>
          <w:bCs/>
          <w:sz w:val="20"/>
          <w:szCs w:val="20"/>
          <w:lang w:val="es-ES_tradnl"/>
        </w:rPr>
        <w:t xml:space="preserve"> </w:t>
      </w:r>
      <w:r w:rsidRPr="00A20B20">
        <w:rPr>
          <w:rFonts w:cs="Times"/>
          <w:bCs/>
          <w:sz w:val="20"/>
          <w:szCs w:val="20"/>
          <w:lang w:val="es-ES_tradnl"/>
        </w:rPr>
        <w:t xml:space="preserve">medida de lo factible, las partes en </w:t>
      </w:r>
      <w:r w:rsidRPr="00A20B20">
        <w:rPr>
          <w:rFonts w:cs="Times"/>
          <w:sz w:val="20"/>
          <w:szCs w:val="20"/>
          <w:lang w:val="es-ES_tradnl"/>
        </w:rPr>
        <w:t>conflicto</w:t>
      </w:r>
      <w:r w:rsidRPr="00A20B20">
        <w:rPr>
          <w:rFonts w:cs="Times"/>
          <w:bCs/>
          <w:sz w:val="20"/>
          <w:szCs w:val="20"/>
          <w:lang w:val="es-ES_tradnl"/>
        </w:rPr>
        <w:t xml:space="preserve"> deberán alejar a las personas civiles y los bienes de carácter civil que estén bajo su control de la proximidad de objetivos militares</w:t>
      </w:r>
      <w:r w:rsidRPr="00B06A7F">
        <w:rPr>
          <w:rStyle w:val="FootnoteReference"/>
          <w:rFonts w:cs="Times"/>
          <w:bCs/>
          <w:sz w:val="20"/>
          <w:szCs w:val="20"/>
          <w:lang w:val="es-ES_tradnl"/>
        </w:rPr>
        <w:footnoteReference w:id="658"/>
      </w:r>
      <w:r w:rsidRPr="00A20B20">
        <w:rPr>
          <w:rFonts w:cs="Times"/>
          <w:bCs/>
          <w:sz w:val="20"/>
          <w:szCs w:val="20"/>
          <w:lang w:val="es-ES_tradnl"/>
        </w:rPr>
        <w:t>. Cabe destacar que este deber de las partes en conflicto de, en la medida de lo factible, alejar a las personas civiles y los bienes de carácter civil que estén bajo su control de la proximidad de objetivos militares también se establece en el Protocolo adicional I.</w:t>
      </w:r>
    </w:p>
    <w:p w:rsidR="00B053C8" w:rsidRPr="00B06A7F" w:rsidRDefault="00B053C8" w:rsidP="00A20B20">
      <w:pPr>
        <w:pStyle w:val="ListParagraph"/>
        <w:ind w:left="0" w:firstLine="720"/>
        <w:jc w:val="both"/>
        <w:rPr>
          <w:rFonts w:cs="Times"/>
          <w:bCs/>
          <w:sz w:val="20"/>
          <w:szCs w:val="20"/>
          <w:lang w:val="es-ES_tradnl"/>
        </w:rPr>
      </w:pPr>
    </w:p>
    <w:p w:rsidR="00B053C8" w:rsidRPr="00A20B20" w:rsidRDefault="00B053C8" w:rsidP="003B6A9B">
      <w:pPr>
        <w:pStyle w:val="ListParagraph"/>
        <w:numPr>
          <w:ilvl w:val="0"/>
          <w:numId w:val="58"/>
        </w:numPr>
        <w:ind w:left="0" w:firstLine="720"/>
        <w:jc w:val="both"/>
        <w:rPr>
          <w:bCs/>
          <w:sz w:val="20"/>
          <w:szCs w:val="20"/>
          <w:lang w:val="es-ES_tradnl"/>
        </w:rPr>
      </w:pPr>
      <w:r w:rsidRPr="00A20B20">
        <w:rPr>
          <w:rFonts w:cs="Times"/>
          <w:bCs/>
          <w:sz w:val="20"/>
          <w:szCs w:val="20"/>
          <w:lang w:val="es-ES_tradnl"/>
        </w:rPr>
        <w:t xml:space="preserve">Por su parte, el CICR ha recordado a las partes en los conflictos armados, tanto internacionales como no </w:t>
      </w:r>
      <w:r w:rsidRPr="00A20B20">
        <w:rPr>
          <w:rFonts w:cs="Times"/>
          <w:sz w:val="20"/>
          <w:szCs w:val="20"/>
          <w:lang w:val="es-ES_tradnl"/>
        </w:rPr>
        <w:t>internacionales</w:t>
      </w:r>
      <w:r w:rsidRPr="00A20B20">
        <w:rPr>
          <w:rFonts w:cs="Times"/>
          <w:bCs/>
          <w:sz w:val="20"/>
          <w:szCs w:val="20"/>
          <w:lang w:val="es-ES_tradnl"/>
        </w:rPr>
        <w:t>, su obligación de alejar, en la medida de lo factible, a las personas civiles y los bienes de carácter civil que están bajo su control de la proximidad de objetivos militares</w:t>
      </w:r>
      <w:r w:rsidRPr="00B06A7F">
        <w:rPr>
          <w:rStyle w:val="FootnoteReference"/>
          <w:rFonts w:cs="Times"/>
          <w:bCs/>
          <w:sz w:val="20"/>
          <w:szCs w:val="20"/>
          <w:lang w:val="es-ES_tradnl"/>
        </w:rPr>
        <w:footnoteReference w:id="659"/>
      </w:r>
      <w:r w:rsidRPr="00A20B20">
        <w:rPr>
          <w:rFonts w:cs="Times"/>
          <w:bCs/>
          <w:sz w:val="20"/>
          <w:szCs w:val="20"/>
          <w:lang w:val="es-ES_tradnl"/>
        </w:rPr>
        <w:t>.</w:t>
      </w:r>
    </w:p>
    <w:p w:rsidR="00B053C8" w:rsidRPr="00B06A7F" w:rsidRDefault="00B053C8" w:rsidP="00B053C8">
      <w:pPr>
        <w:pStyle w:val="ListParagraph"/>
        <w:ind w:left="0" w:firstLine="720"/>
        <w:jc w:val="both"/>
        <w:rPr>
          <w:rFonts w:cs="Times"/>
          <w:bCs/>
          <w:sz w:val="20"/>
          <w:szCs w:val="20"/>
          <w:lang w:val="es-ES_tradnl"/>
        </w:rPr>
      </w:pPr>
    </w:p>
    <w:p w:rsidR="00B053C8" w:rsidRPr="00EC5E87" w:rsidRDefault="00B053C8" w:rsidP="00D529F8">
      <w:pPr>
        <w:pStyle w:val="Heading3"/>
        <w:numPr>
          <w:ilvl w:val="0"/>
          <w:numId w:val="63"/>
        </w:numPr>
        <w:spacing w:before="0" w:after="0"/>
        <w:ind w:firstLine="0"/>
        <w:jc w:val="both"/>
        <w:rPr>
          <w:rFonts w:ascii="Cambria" w:hAnsi="Cambria"/>
          <w:sz w:val="20"/>
          <w:lang w:val="es-ES_tradnl"/>
        </w:rPr>
      </w:pPr>
      <w:bookmarkStart w:id="39" w:name="_Toc525294048"/>
      <w:bookmarkStart w:id="40" w:name="_Hlk499848990"/>
      <w:r w:rsidRPr="00EC5E87">
        <w:rPr>
          <w:rFonts w:ascii="Cambria" w:hAnsi="Cambria"/>
          <w:sz w:val="20"/>
          <w:lang w:val="es-ES_tradnl"/>
        </w:rPr>
        <w:t>Análisis del caso</w:t>
      </w:r>
      <w:bookmarkEnd w:id="39"/>
      <w:r w:rsidRPr="00EC5E87">
        <w:rPr>
          <w:rFonts w:ascii="Cambria" w:hAnsi="Cambria"/>
          <w:sz w:val="20"/>
          <w:lang w:val="es-ES_tradnl"/>
        </w:rPr>
        <w:t xml:space="preserve"> </w:t>
      </w:r>
    </w:p>
    <w:p w:rsidR="00B053C8" w:rsidRPr="00B06A7F" w:rsidRDefault="00B053C8" w:rsidP="00B053C8">
      <w:pPr>
        <w:jc w:val="both"/>
        <w:rPr>
          <w:rFonts w:ascii="Cambria" w:hAnsi="Cambria"/>
          <w:sz w:val="20"/>
          <w:szCs w:val="20"/>
          <w:lang w:val="es-ES_tradnl"/>
        </w:rPr>
      </w:pPr>
    </w:p>
    <w:p w:rsidR="00B053C8" w:rsidRPr="00B06A7F" w:rsidRDefault="00B053C8" w:rsidP="003B6A9B">
      <w:pPr>
        <w:pStyle w:val="ListParagraph"/>
        <w:numPr>
          <w:ilvl w:val="0"/>
          <w:numId w:val="58"/>
        </w:numPr>
        <w:ind w:left="0" w:firstLine="720"/>
        <w:jc w:val="both"/>
        <w:rPr>
          <w:rFonts w:eastAsia="MS Mincho"/>
          <w:sz w:val="20"/>
          <w:szCs w:val="20"/>
          <w:lang w:val="es-ES_tradnl"/>
        </w:rPr>
      </w:pPr>
      <w:r w:rsidRPr="00B06A7F">
        <w:rPr>
          <w:rFonts w:eastAsia="MS Mincho"/>
          <w:sz w:val="20"/>
          <w:szCs w:val="20"/>
          <w:lang w:val="es-ES_tradnl"/>
        </w:rPr>
        <w:t xml:space="preserve">Con base en lo anterior, la Comisión analizará si las muertes y afectaciones físicas y psicológicas de las presuntas víctimas fueron atribuibles a Estados Unidos </w:t>
      </w:r>
      <w:r w:rsidR="001F31E0">
        <w:rPr>
          <w:rFonts w:eastAsia="MS Mincho"/>
          <w:sz w:val="20"/>
          <w:szCs w:val="20"/>
          <w:lang w:val="es-ES_tradnl"/>
        </w:rPr>
        <w:t xml:space="preserve">y en vulneración de sus derechos </w:t>
      </w:r>
      <w:r w:rsidRPr="00B06A7F">
        <w:rPr>
          <w:rFonts w:eastAsia="MS Mincho"/>
          <w:sz w:val="20"/>
          <w:szCs w:val="20"/>
          <w:lang w:val="es-ES_tradnl"/>
        </w:rPr>
        <w:t xml:space="preserve">bajo la Declaración Americana </w:t>
      </w:r>
      <w:r w:rsidR="002F1F15">
        <w:rPr>
          <w:rFonts w:eastAsia="MS Mincho"/>
          <w:sz w:val="20"/>
          <w:szCs w:val="20"/>
          <w:lang w:val="es-ES_tradnl"/>
        </w:rPr>
        <w:t xml:space="preserve">tomando en cuenta </w:t>
      </w:r>
      <w:r w:rsidRPr="00B06A7F">
        <w:rPr>
          <w:rFonts w:eastAsia="MS Mincho"/>
          <w:sz w:val="20"/>
          <w:szCs w:val="20"/>
          <w:lang w:val="es-ES_tradnl"/>
        </w:rPr>
        <w:t>los principios aplicables del derecho internacional humanitario. Al respecto, la Comisión identifica que la defensa de fondo del Estado se basa en dos aspectos. Por una parte, que no está probado que fueron agentes estadounidenses quienes causaron las muertes y lesiones de muchas de las presuntas víctimas y, por otra parte, que adoptó todas las medidas necesarias para asegurar que sus acciones en el marco de la intervención militar fueran consistentes con el derecho internacional humanitario.</w:t>
      </w:r>
    </w:p>
    <w:p w:rsidR="00B053C8" w:rsidRPr="00B06A7F" w:rsidRDefault="00B053C8" w:rsidP="001F31E0">
      <w:pPr>
        <w:pStyle w:val="ListParagraph"/>
        <w:widowControl w:val="0"/>
        <w:autoSpaceDE w:val="0"/>
        <w:autoSpaceDN w:val="0"/>
        <w:adjustRightInd w:val="0"/>
        <w:ind w:left="0" w:firstLine="720"/>
        <w:jc w:val="both"/>
        <w:rPr>
          <w:rFonts w:eastAsia="MS Mincho"/>
          <w:sz w:val="20"/>
          <w:szCs w:val="20"/>
          <w:lang w:val="es-ES_tradnl"/>
        </w:rPr>
      </w:pPr>
    </w:p>
    <w:p w:rsidR="00B053C8" w:rsidRPr="00FA5953" w:rsidRDefault="00B053C8" w:rsidP="001F31E0">
      <w:pPr>
        <w:pStyle w:val="ListParagraph"/>
        <w:numPr>
          <w:ilvl w:val="0"/>
          <w:numId w:val="58"/>
        </w:numPr>
        <w:ind w:left="0" w:firstLine="720"/>
        <w:jc w:val="both"/>
        <w:rPr>
          <w:rFonts w:cs="Courier New"/>
          <w:sz w:val="20"/>
          <w:szCs w:val="20"/>
          <w:lang w:val="es-ES_tradnl"/>
        </w:rPr>
      </w:pPr>
      <w:r w:rsidRPr="00FA5953">
        <w:rPr>
          <w:rFonts w:cs="Courier New"/>
          <w:sz w:val="20"/>
          <w:szCs w:val="20"/>
          <w:lang w:val="es-ES_tradnl"/>
        </w:rPr>
        <w:t xml:space="preserve">En ese sentido, corresponde a la CIDH establecer si las muertes y lesiones </w:t>
      </w:r>
      <w:r w:rsidR="001F31E0">
        <w:rPr>
          <w:rFonts w:cs="Courier New"/>
          <w:sz w:val="20"/>
          <w:szCs w:val="20"/>
          <w:lang w:val="es-ES_tradnl"/>
        </w:rPr>
        <w:t xml:space="preserve">fueron causadas por la conducta </w:t>
      </w:r>
      <w:r w:rsidRPr="00FA5953">
        <w:rPr>
          <w:rFonts w:cs="Courier New"/>
          <w:sz w:val="20"/>
          <w:szCs w:val="20"/>
          <w:lang w:val="es-ES_tradnl"/>
        </w:rPr>
        <w:t xml:space="preserve">de </w:t>
      </w:r>
      <w:r w:rsidR="001F31E0">
        <w:rPr>
          <w:rFonts w:cs="Courier New"/>
          <w:sz w:val="20"/>
          <w:szCs w:val="20"/>
          <w:lang w:val="es-ES_tradnl"/>
        </w:rPr>
        <w:t xml:space="preserve">los </w:t>
      </w:r>
      <w:r w:rsidRPr="00FA5953">
        <w:rPr>
          <w:rFonts w:cs="Courier New"/>
          <w:sz w:val="20"/>
          <w:szCs w:val="20"/>
          <w:lang w:val="es-ES_tradnl"/>
        </w:rPr>
        <w:t xml:space="preserve">agentes </w:t>
      </w:r>
      <w:r w:rsidRPr="00FA5953">
        <w:rPr>
          <w:rFonts w:eastAsia="MS Mincho"/>
          <w:sz w:val="20"/>
          <w:szCs w:val="20"/>
          <w:lang w:val="es-ES_tradnl"/>
        </w:rPr>
        <w:t>estadounidenses</w:t>
      </w:r>
      <w:r w:rsidR="001F31E0">
        <w:rPr>
          <w:rFonts w:eastAsia="MS Mincho"/>
          <w:sz w:val="20"/>
          <w:szCs w:val="20"/>
          <w:lang w:val="es-ES_tradnl"/>
        </w:rPr>
        <w:t>,</w:t>
      </w:r>
      <w:r w:rsidR="001F31E0">
        <w:rPr>
          <w:rFonts w:cs="Courier New"/>
          <w:sz w:val="20"/>
          <w:szCs w:val="20"/>
          <w:lang w:val="es-ES_tradnl"/>
        </w:rPr>
        <w:t xml:space="preserve"> ya sea</w:t>
      </w:r>
      <w:r w:rsidRPr="00FA5953">
        <w:rPr>
          <w:rFonts w:cs="Courier New"/>
          <w:sz w:val="20"/>
          <w:szCs w:val="20"/>
          <w:lang w:val="es-ES_tradnl"/>
        </w:rPr>
        <w:t xml:space="preserve"> como consecuencia de acciones u omisiones; y</w:t>
      </w:r>
      <w:r w:rsidR="001F31E0" w:rsidRPr="001F31E0">
        <w:rPr>
          <w:rFonts w:cs="Courier New"/>
          <w:sz w:val="20"/>
          <w:szCs w:val="20"/>
          <w:lang w:val="es-ES_tradnl"/>
        </w:rPr>
        <w:t>, al analizar la compatibilidad de la conducta de esos agentes con la Declaración Americana, si los principios del derecho internacional humanitario descrito anteriormente se observaron en conexión con la intervención militar y los hechos concretos alegados en el presente caso.</w:t>
      </w:r>
    </w:p>
    <w:p w:rsidR="00B053C8" w:rsidRPr="00FA5953" w:rsidRDefault="00B053C8" w:rsidP="00FA5953">
      <w:pPr>
        <w:pStyle w:val="ListParagraph"/>
        <w:widowControl w:val="0"/>
        <w:autoSpaceDE w:val="0"/>
        <w:autoSpaceDN w:val="0"/>
        <w:adjustRightInd w:val="0"/>
        <w:ind w:left="0" w:firstLine="720"/>
        <w:jc w:val="both"/>
        <w:rPr>
          <w:rFonts w:cs="Courier New"/>
          <w:sz w:val="20"/>
          <w:szCs w:val="20"/>
          <w:lang w:val="es-ES_tradnl"/>
        </w:rPr>
      </w:pPr>
    </w:p>
    <w:p w:rsidR="00B053C8" w:rsidRPr="00FA5953" w:rsidRDefault="00B053C8" w:rsidP="003B6A9B">
      <w:pPr>
        <w:pStyle w:val="ListParagraph"/>
        <w:numPr>
          <w:ilvl w:val="0"/>
          <w:numId w:val="58"/>
        </w:numPr>
        <w:ind w:left="0" w:firstLine="720"/>
        <w:jc w:val="both"/>
        <w:rPr>
          <w:rFonts w:cs="Courier New"/>
          <w:sz w:val="20"/>
          <w:szCs w:val="20"/>
          <w:lang w:val="es-ES_tradnl"/>
        </w:rPr>
      </w:pPr>
      <w:r w:rsidRPr="00FA5953">
        <w:rPr>
          <w:rFonts w:cs="Courier New"/>
          <w:sz w:val="20"/>
          <w:szCs w:val="20"/>
          <w:lang w:val="es-ES_tradnl"/>
        </w:rPr>
        <w:t xml:space="preserve">La Comisión observa en términos generales que la intervención militar de Estados Unidos en Panamá fue ampliamente cuestionada, no sólo respecto de su legitimidad bajo el derecho internacional sino respecto de la ocurrencia de violaciones de derechos humanos y del derecho internacional humanitario en el marco de la misma. </w:t>
      </w:r>
    </w:p>
    <w:p w:rsidR="00B053C8" w:rsidRPr="00FA5953" w:rsidRDefault="00B053C8" w:rsidP="00FA5953">
      <w:pPr>
        <w:pStyle w:val="ListParagraph"/>
        <w:widowControl w:val="0"/>
        <w:autoSpaceDE w:val="0"/>
        <w:autoSpaceDN w:val="0"/>
        <w:adjustRightInd w:val="0"/>
        <w:ind w:left="0" w:firstLine="720"/>
        <w:jc w:val="both"/>
        <w:rPr>
          <w:rFonts w:cs="Courier New"/>
          <w:sz w:val="20"/>
          <w:szCs w:val="20"/>
          <w:lang w:val="es-ES_tradnl"/>
        </w:rPr>
      </w:pPr>
    </w:p>
    <w:p w:rsidR="00B053C8" w:rsidRPr="00FA5953" w:rsidRDefault="00B053C8" w:rsidP="003B6A9B">
      <w:pPr>
        <w:pStyle w:val="ListParagraph"/>
        <w:widowControl w:val="0"/>
        <w:numPr>
          <w:ilvl w:val="0"/>
          <w:numId w:val="58"/>
        </w:numPr>
        <w:autoSpaceDE w:val="0"/>
        <w:autoSpaceDN w:val="0"/>
        <w:adjustRightInd w:val="0"/>
        <w:ind w:left="0" w:firstLine="720"/>
        <w:jc w:val="both"/>
        <w:rPr>
          <w:rFonts w:cs="Courier New"/>
          <w:sz w:val="20"/>
          <w:szCs w:val="20"/>
          <w:lang w:val="es-ES_tradnl"/>
        </w:rPr>
      </w:pPr>
      <w:r w:rsidRPr="00FA5953">
        <w:rPr>
          <w:rFonts w:cs="Courier New"/>
          <w:sz w:val="20"/>
          <w:szCs w:val="20"/>
          <w:lang w:val="es-ES_tradnl"/>
        </w:rPr>
        <w:t>Tomando en cuenta que el debate central que debe resolver la CIDH en el presente caso</w:t>
      </w:r>
      <w:r w:rsidR="00B43A40">
        <w:rPr>
          <w:rFonts w:cs="Courier New"/>
          <w:sz w:val="20"/>
          <w:szCs w:val="20"/>
          <w:lang w:val="es-ES_tradnl"/>
        </w:rPr>
        <w:t xml:space="preserve"> es el relativo a la legalidad</w:t>
      </w:r>
      <w:r w:rsidRPr="00FA5953">
        <w:rPr>
          <w:rFonts w:cs="Courier New"/>
          <w:sz w:val="20"/>
          <w:szCs w:val="20"/>
          <w:lang w:val="es-ES_tradnl"/>
        </w:rPr>
        <w:t xml:space="preserve"> del uso letal de la fuerza – con resultado de muerte y de lesiones físicas – en el marco de la Operación Justa Causa, la Comisión recuerda las reglas de carga de prueba utilizadas en la jurisprudencia interamericana relevante. </w:t>
      </w:r>
    </w:p>
    <w:p w:rsidR="00B053C8" w:rsidRPr="00FA5953" w:rsidRDefault="00B053C8" w:rsidP="00FA5953">
      <w:pPr>
        <w:pStyle w:val="ListParagraph"/>
        <w:widowControl w:val="0"/>
        <w:autoSpaceDE w:val="0"/>
        <w:autoSpaceDN w:val="0"/>
        <w:adjustRightInd w:val="0"/>
        <w:ind w:left="0" w:firstLine="720"/>
        <w:jc w:val="both"/>
        <w:rPr>
          <w:rFonts w:cs="Courier New"/>
          <w:sz w:val="20"/>
          <w:szCs w:val="20"/>
          <w:lang w:val="es-ES_tradnl"/>
        </w:rPr>
      </w:pPr>
    </w:p>
    <w:p w:rsidR="00B053C8" w:rsidRPr="00FA5953" w:rsidRDefault="00B053C8" w:rsidP="003B6A9B">
      <w:pPr>
        <w:pStyle w:val="ListParagraph"/>
        <w:numPr>
          <w:ilvl w:val="0"/>
          <w:numId w:val="58"/>
        </w:numPr>
        <w:ind w:left="0" w:firstLine="720"/>
        <w:jc w:val="both"/>
        <w:rPr>
          <w:rFonts w:cs="Courier New"/>
          <w:sz w:val="20"/>
          <w:szCs w:val="20"/>
          <w:lang w:val="es-ES_tradnl"/>
        </w:rPr>
      </w:pPr>
      <w:r w:rsidRPr="00FA5953">
        <w:rPr>
          <w:rFonts w:cs="Courier New"/>
          <w:sz w:val="20"/>
          <w:szCs w:val="20"/>
          <w:lang w:val="es-ES_tradnl"/>
        </w:rPr>
        <w:t>En el marco del sistema de peticiones y casos la Comisión ha sido enfática en que la defensa de los Estados no puede basarse en la imposibilidad de la parte peticionaria de aportar prueba que se encuentra en poder del Estado o que no puede ser obtenida sin la colaboración del mismo. Esto resulta especialmente relevante cuando las dificultades probatorias provienen de la omisión del Estado concernido en investigar diligentemente los he</w:t>
      </w:r>
      <w:r w:rsidR="00B43A40">
        <w:rPr>
          <w:rFonts w:cs="Courier New"/>
          <w:sz w:val="20"/>
          <w:szCs w:val="20"/>
          <w:lang w:val="es-ES_tradnl"/>
        </w:rPr>
        <w:t xml:space="preserve">chos a fin de esclarecer en su totalidad las circunstancias y </w:t>
      </w:r>
      <w:r w:rsidRPr="00FA5953">
        <w:rPr>
          <w:rFonts w:cs="Courier New"/>
          <w:sz w:val="20"/>
          <w:szCs w:val="20"/>
          <w:lang w:val="es-ES_tradnl"/>
        </w:rPr>
        <w:t>sanciones correspondientes.</w:t>
      </w:r>
    </w:p>
    <w:p w:rsidR="00B053C8" w:rsidRPr="00FA5953" w:rsidRDefault="00B053C8" w:rsidP="00FA5953">
      <w:pPr>
        <w:pStyle w:val="ListParagraph"/>
        <w:widowControl w:val="0"/>
        <w:autoSpaceDE w:val="0"/>
        <w:autoSpaceDN w:val="0"/>
        <w:adjustRightInd w:val="0"/>
        <w:ind w:left="0" w:firstLine="720"/>
        <w:jc w:val="both"/>
        <w:rPr>
          <w:rFonts w:cs="Courier New"/>
          <w:sz w:val="20"/>
          <w:szCs w:val="20"/>
          <w:lang w:val="es-ES_tradnl"/>
        </w:rPr>
      </w:pPr>
    </w:p>
    <w:p w:rsidR="00B053C8" w:rsidRPr="00FA5953" w:rsidRDefault="00B053C8" w:rsidP="003B6A9B">
      <w:pPr>
        <w:pStyle w:val="ListParagraph"/>
        <w:numPr>
          <w:ilvl w:val="0"/>
          <w:numId w:val="58"/>
        </w:numPr>
        <w:ind w:left="0" w:firstLine="720"/>
        <w:jc w:val="both"/>
        <w:rPr>
          <w:rFonts w:cs="Courier New"/>
          <w:sz w:val="20"/>
          <w:szCs w:val="20"/>
          <w:lang w:val="es-ES_tradnl"/>
        </w:rPr>
      </w:pPr>
      <w:r w:rsidRPr="00FA5953">
        <w:rPr>
          <w:rFonts w:cs="Courier New"/>
          <w:sz w:val="20"/>
          <w:szCs w:val="20"/>
          <w:lang w:val="es-ES_tradnl"/>
        </w:rPr>
        <w:t xml:space="preserve">Más específicamente, sobre el uso letal de la fuerza, la Comisión ha indicado reiteradamente que una vez </w:t>
      </w:r>
      <w:r w:rsidR="00784871">
        <w:rPr>
          <w:rFonts w:cs="Courier New"/>
          <w:sz w:val="20"/>
          <w:szCs w:val="20"/>
          <w:lang w:val="es-ES_tradnl"/>
        </w:rPr>
        <w:t xml:space="preserve">que ha sido </w:t>
      </w:r>
      <w:r w:rsidRPr="00FA5953">
        <w:rPr>
          <w:rFonts w:cs="Courier New"/>
          <w:sz w:val="20"/>
          <w:szCs w:val="20"/>
          <w:lang w:val="es-ES_tradnl"/>
        </w:rPr>
        <w:t xml:space="preserve">acreditado </w:t>
      </w:r>
      <w:r w:rsidR="00784871">
        <w:rPr>
          <w:rFonts w:cs="Courier New"/>
          <w:sz w:val="20"/>
          <w:szCs w:val="20"/>
          <w:lang w:val="es-ES_tradnl"/>
        </w:rPr>
        <w:t xml:space="preserve">que el Estado concernido usó fuerza </w:t>
      </w:r>
      <w:r w:rsidRPr="00FA5953">
        <w:rPr>
          <w:rFonts w:cs="Courier New"/>
          <w:sz w:val="20"/>
          <w:szCs w:val="20"/>
          <w:lang w:val="es-ES_tradnl"/>
        </w:rPr>
        <w:t>letal</w:t>
      </w:r>
      <w:r w:rsidR="00784871">
        <w:rPr>
          <w:rFonts w:cs="Courier New"/>
          <w:sz w:val="20"/>
          <w:szCs w:val="20"/>
          <w:lang w:val="es-ES_tradnl"/>
        </w:rPr>
        <w:t xml:space="preserve"> en contra de civiles</w:t>
      </w:r>
      <w:r w:rsidRPr="00FA5953">
        <w:rPr>
          <w:rFonts w:cs="Courier New"/>
          <w:sz w:val="20"/>
          <w:szCs w:val="20"/>
          <w:lang w:val="es-ES_tradnl"/>
        </w:rPr>
        <w:t xml:space="preserve">, la carga de la prueba se invierte, correspondiendo al Estado concernido aportar una explicación satisfactoria y convincente de lo sucedido para </w:t>
      </w:r>
      <w:r w:rsidR="00784871">
        <w:rPr>
          <w:rFonts w:cs="Courier New"/>
          <w:sz w:val="20"/>
          <w:szCs w:val="20"/>
          <w:lang w:val="es-ES_tradnl"/>
        </w:rPr>
        <w:t xml:space="preserve">responder y </w:t>
      </w:r>
      <w:r w:rsidRPr="00FA5953">
        <w:rPr>
          <w:rFonts w:cs="Courier New"/>
          <w:sz w:val="20"/>
          <w:szCs w:val="20"/>
          <w:lang w:val="es-ES_tradnl"/>
        </w:rPr>
        <w:t xml:space="preserve">desvirtuar los alegatos sobre su responsabilidad internacional. </w:t>
      </w:r>
      <w:r w:rsidR="00177DF2">
        <w:rPr>
          <w:rFonts w:cs="Courier New"/>
          <w:sz w:val="20"/>
          <w:szCs w:val="20"/>
          <w:lang w:val="es-ES_tradnl"/>
        </w:rPr>
        <w:t xml:space="preserve">Dicha inversión de la prueba se basa en el hecho de que la investigación de lo sucedido es un deber del Estado, de oficio, que no </w:t>
      </w:r>
      <w:r w:rsidR="00177DF2">
        <w:rPr>
          <w:rFonts w:cs="Courier New"/>
          <w:sz w:val="20"/>
          <w:szCs w:val="20"/>
          <w:lang w:val="es-ES_tradnl"/>
        </w:rPr>
        <w:lastRenderedPageBreak/>
        <w:t xml:space="preserve">depende de otras iniciativas de las personas afectadas. </w:t>
      </w:r>
      <w:r w:rsidRPr="00FA5953">
        <w:rPr>
          <w:rFonts w:cs="Courier New"/>
          <w:sz w:val="20"/>
          <w:szCs w:val="20"/>
          <w:lang w:val="es-ES_tradnl"/>
        </w:rPr>
        <w:t xml:space="preserve">Esta exigencia no se encuentra limitada por tratarse del uso de la fuerza en el marco de conflictos armados. En tales contextos, el contenido de la explicación satisfactoria y convincente debe estar asociado a los principios aplicables del derecho internacional humanitario, pero la carga de aportarla sigue recayendo sobre el Estado que usa la fuerza letal. </w:t>
      </w:r>
    </w:p>
    <w:p w:rsidR="00B053C8" w:rsidRPr="00FA5953" w:rsidRDefault="00B053C8" w:rsidP="00FA5953">
      <w:pPr>
        <w:pStyle w:val="ListParagraph"/>
        <w:ind w:left="0" w:firstLine="720"/>
        <w:jc w:val="both"/>
        <w:rPr>
          <w:rFonts w:cs="Courier New"/>
          <w:sz w:val="20"/>
          <w:szCs w:val="20"/>
          <w:lang w:val="es-ES_tradnl"/>
        </w:rPr>
      </w:pPr>
    </w:p>
    <w:p w:rsidR="00B053C8" w:rsidRPr="00FA5953" w:rsidRDefault="00B053C8" w:rsidP="003B6A9B">
      <w:pPr>
        <w:pStyle w:val="ListParagraph"/>
        <w:numPr>
          <w:ilvl w:val="0"/>
          <w:numId w:val="58"/>
        </w:numPr>
        <w:ind w:left="0" w:firstLine="720"/>
        <w:jc w:val="both"/>
        <w:rPr>
          <w:rFonts w:cs="Courier New"/>
          <w:sz w:val="20"/>
          <w:szCs w:val="20"/>
          <w:lang w:val="es-ES_tradnl"/>
        </w:rPr>
      </w:pPr>
      <w:r w:rsidRPr="00FA5953">
        <w:rPr>
          <w:rFonts w:cs="Courier New"/>
          <w:sz w:val="20"/>
          <w:szCs w:val="20"/>
          <w:lang w:val="es-ES_tradnl"/>
        </w:rPr>
        <w:t xml:space="preserve">En consecuencia, en el presente caso, la explicación del Estado a fin de que pueda considerarse satisfactoria y convincente, debe: i) ser el resultado de una investigación diligente que cumpla con los estándares interamericanos en materia de acceso a la justicia; ii) referirse a las acciones </w:t>
      </w:r>
      <w:r w:rsidR="00784871">
        <w:rPr>
          <w:rFonts w:cs="Courier New"/>
          <w:sz w:val="20"/>
          <w:szCs w:val="20"/>
          <w:lang w:val="es-ES_tradnl"/>
        </w:rPr>
        <w:t>de naturaleza preventiva</w:t>
      </w:r>
      <w:r w:rsidRPr="00FA5953">
        <w:rPr>
          <w:rFonts w:cs="Courier New"/>
          <w:sz w:val="20"/>
          <w:szCs w:val="20"/>
          <w:lang w:val="es-ES_tradnl"/>
        </w:rPr>
        <w:t>,</w:t>
      </w:r>
      <w:r w:rsidR="00784871">
        <w:rPr>
          <w:rFonts w:cs="Courier New"/>
          <w:sz w:val="20"/>
          <w:szCs w:val="20"/>
          <w:lang w:val="es-ES_tradnl"/>
        </w:rPr>
        <w:t xml:space="preserve"> así como aquellas</w:t>
      </w:r>
      <w:r w:rsidRPr="00FA5953">
        <w:rPr>
          <w:rFonts w:cs="Courier New"/>
          <w:sz w:val="20"/>
          <w:szCs w:val="20"/>
          <w:lang w:val="es-ES_tradnl"/>
        </w:rPr>
        <w:t xml:space="preserve"> concomitantes y posteriores al uso de la fuerza letal</w:t>
      </w:r>
      <w:r w:rsidRPr="00FA5953">
        <w:rPr>
          <w:rStyle w:val="FootnoteReference"/>
          <w:spacing w:val="-2"/>
          <w:sz w:val="20"/>
          <w:szCs w:val="20"/>
          <w:lang w:val="es-ES_tradnl"/>
        </w:rPr>
        <w:footnoteReference w:id="660"/>
      </w:r>
      <w:r w:rsidRPr="00FA5953">
        <w:rPr>
          <w:rFonts w:cs="Courier New"/>
          <w:sz w:val="20"/>
          <w:szCs w:val="20"/>
          <w:lang w:val="es-ES_tradnl"/>
        </w:rPr>
        <w:t xml:space="preserve">; y iii) en el caso de conflictos armados, debe referirse a los principios del derecho internacional humanitario aplicables, especialmente, los de distinción, proporcionalidad, necesidad y precaución.  </w:t>
      </w:r>
    </w:p>
    <w:p w:rsidR="00B053C8" w:rsidRPr="00FA5953" w:rsidRDefault="00B053C8" w:rsidP="00FA5953">
      <w:pPr>
        <w:pStyle w:val="ListParagraph"/>
        <w:widowControl w:val="0"/>
        <w:autoSpaceDE w:val="0"/>
        <w:autoSpaceDN w:val="0"/>
        <w:adjustRightInd w:val="0"/>
        <w:ind w:left="0" w:firstLine="720"/>
        <w:jc w:val="both"/>
        <w:rPr>
          <w:rFonts w:cs="Courier New"/>
          <w:sz w:val="20"/>
          <w:szCs w:val="20"/>
          <w:lang w:val="es-ES_tradnl"/>
        </w:rPr>
      </w:pPr>
    </w:p>
    <w:p w:rsidR="00B053C8" w:rsidRPr="00FA5953" w:rsidRDefault="00B053C8" w:rsidP="003B6A9B">
      <w:pPr>
        <w:pStyle w:val="ListParagraph"/>
        <w:numPr>
          <w:ilvl w:val="0"/>
          <w:numId w:val="58"/>
        </w:numPr>
        <w:ind w:left="0" w:firstLine="720"/>
        <w:jc w:val="both"/>
        <w:rPr>
          <w:rFonts w:cs="Courier New"/>
          <w:sz w:val="20"/>
          <w:szCs w:val="20"/>
          <w:lang w:val="es-ES_tradnl"/>
        </w:rPr>
      </w:pPr>
      <w:r w:rsidRPr="00FA5953">
        <w:rPr>
          <w:rFonts w:cs="Courier New"/>
          <w:sz w:val="20"/>
          <w:szCs w:val="20"/>
          <w:lang w:val="es-ES_tradnl"/>
        </w:rPr>
        <w:t xml:space="preserve">Sobre el primer aspecto, la Comisión destaca que, como será analizado más adelante en la sección relativa al derecho a la justicia, Estados Unidos no ha </w:t>
      </w:r>
      <w:r w:rsidR="00177DF2">
        <w:rPr>
          <w:rFonts w:cs="Courier New"/>
          <w:sz w:val="20"/>
          <w:szCs w:val="20"/>
          <w:lang w:val="es-ES_tradnl"/>
        </w:rPr>
        <w:t xml:space="preserve">presentado información adecuada </w:t>
      </w:r>
      <w:r w:rsidRPr="00FA5953">
        <w:rPr>
          <w:rFonts w:cs="Courier New"/>
          <w:sz w:val="20"/>
          <w:szCs w:val="20"/>
          <w:lang w:val="es-ES_tradnl"/>
        </w:rPr>
        <w:t>para esclarecer la actuación de sus agentes en el marco de la ejecución de la Operación Justa Causa. En cuanto al segundo y tercer aspectos, la Comisión observa que el Estado se limitó a argumentar en términos genéricos que dicha operación estuvo diseñada en consonancia con los principios del derecho internacional humanitario, sin la especificidad requerida para que la Comisión pudiera efectuar un análisis detallado sobre si en el diseño de la Operación se adoptaron las medidas preventivas necesarias y suficientes para que la intervención fuera efectuada en estricto apego del derecho internacional humanitario. La información aportada por el Estado tampoco permite analizar si las acciones concretas en cuanto a los aspectos generales del despliegue de la fuerza militar como de las actuaciones individuales de los agentes del Estado, tanto concomitantes como posteriores en el marco de la ejecución de la Operación, cumplieron con los principios de dicho marco normativo</w:t>
      </w:r>
      <w:r w:rsidR="00194943">
        <w:rPr>
          <w:rFonts w:cs="Courier New"/>
          <w:sz w:val="20"/>
          <w:szCs w:val="20"/>
          <w:lang w:val="es-ES_tradnl"/>
        </w:rPr>
        <w:t xml:space="preserve">, a la luz de los hechos que </w:t>
      </w:r>
      <w:r w:rsidRPr="00FA5953">
        <w:rPr>
          <w:rFonts w:cs="Courier New"/>
          <w:sz w:val="20"/>
          <w:szCs w:val="20"/>
          <w:lang w:val="es-ES_tradnl"/>
        </w:rPr>
        <w:t xml:space="preserve">fueron presentados.  </w:t>
      </w:r>
    </w:p>
    <w:p w:rsidR="00B053C8" w:rsidRPr="00FA5953" w:rsidRDefault="00B053C8" w:rsidP="00FA5953">
      <w:pPr>
        <w:pStyle w:val="ListParagraph"/>
        <w:widowControl w:val="0"/>
        <w:autoSpaceDE w:val="0"/>
        <w:autoSpaceDN w:val="0"/>
        <w:adjustRightInd w:val="0"/>
        <w:ind w:left="0" w:firstLine="720"/>
        <w:jc w:val="both"/>
        <w:rPr>
          <w:rFonts w:cs="Courier New"/>
          <w:sz w:val="20"/>
          <w:szCs w:val="20"/>
          <w:lang w:val="es-ES_tradnl"/>
        </w:rPr>
      </w:pPr>
    </w:p>
    <w:p w:rsidR="00B053C8" w:rsidRPr="00FA5953" w:rsidRDefault="00B053C8" w:rsidP="003B6A9B">
      <w:pPr>
        <w:pStyle w:val="ListParagraph"/>
        <w:numPr>
          <w:ilvl w:val="0"/>
          <w:numId w:val="58"/>
        </w:numPr>
        <w:ind w:left="0" w:firstLine="720"/>
        <w:jc w:val="both"/>
        <w:rPr>
          <w:rFonts w:cs="Courier New"/>
          <w:sz w:val="20"/>
          <w:szCs w:val="20"/>
          <w:lang w:val="es-ES_tradnl"/>
        </w:rPr>
      </w:pPr>
      <w:r w:rsidRPr="00FA5953">
        <w:rPr>
          <w:rFonts w:cs="Courier New"/>
          <w:sz w:val="20"/>
          <w:szCs w:val="20"/>
          <w:lang w:val="es-ES_tradnl"/>
        </w:rPr>
        <w:t>En consecuencia, la Comisión concluye en este punto que el Estado no cumplió con su obligación de proveer una explicación satisfactoria y convincente sobre la manera en que la intervención militar, en su diseño y ejecución, cumplió con sus obligaciones internacionales tanto a la luz del derecho internacional de los derechos humanos y del derecho internacional humanitario.</w:t>
      </w:r>
    </w:p>
    <w:p w:rsidR="00B053C8" w:rsidRPr="00FA5953" w:rsidRDefault="00B053C8" w:rsidP="00FA5953">
      <w:pPr>
        <w:pStyle w:val="ListParagraph"/>
        <w:widowControl w:val="0"/>
        <w:autoSpaceDE w:val="0"/>
        <w:autoSpaceDN w:val="0"/>
        <w:adjustRightInd w:val="0"/>
        <w:ind w:left="0" w:firstLine="720"/>
        <w:jc w:val="both"/>
        <w:rPr>
          <w:rFonts w:cs="Courier New"/>
          <w:sz w:val="20"/>
          <w:szCs w:val="20"/>
          <w:lang w:val="es-ES_tradnl"/>
        </w:rPr>
      </w:pPr>
    </w:p>
    <w:p w:rsidR="00B053C8" w:rsidRPr="00FA5953" w:rsidRDefault="00B053C8" w:rsidP="003B6A9B">
      <w:pPr>
        <w:pStyle w:val="ListParagraph"/>
        <w:numPr>
          <w:ilvl w:val="0"/>
          <w:numId w:val="58"/>
        </w:numPr>
        <w:ind w:left="0" w:firstLine="720"/>
        <w:jc w:val="both"/>
        <w:rPr>
          <w:rFonts w:cs="Courier New"/>
          <w:sz w:val="20"/>
          <w:szCs w:val="20"/>
          <w:lang w:val="es-ES_tradnl"/>
        </w:rPr>
      </w:pPr>
      <w:r w:rsidRPr="00FA5953">
        <w:rPr>
          <w:rFonts w:cs="Courier New"/>
          <w:sz w:val="20"/>
          <w:szCs w:val="20"/>
          <w:lang w:val="es-ES_tradnl"/>
        </w:rPr>
        <w:t>El incumplimiento de esta carga por parte del Estado da lugar a otorgar peso probatorio a las descripciones efectuadas por las presuntas víctimas y/o sus familiares, tanto en lo relativo a la participación de agentes estadounidenses en la gran mayoría de los casos, como en lo relativo a las circunstancias en que ocurrieron los hechos. Esto, en tanto el Estado no logró desvirtuarlas mediante una explicación satisfactoria y convincente en los términos indicados anteriormente.</w:t>
      </w:r>
    </w:p>
    <w:p w:rsidR="00B053C8" w:rsidRPr="00FA5953" w:rsidRDefault="00B053C8" w:rsidP="00FA5953">
      <w:pPr>
        <w:pStyle w:val="ListParagraph"/>
        <w:widowControl w:val="0"/>
        <w:autoSpaceDE w:val="0"/>
        <w:autoSpaceDN w:val="0"/>
        <w:adjustRightInd w:val="0"/>
        <w:ind w:left="0" w:firstLine="720"/>
        <w:jc w:val="both"/>
        <w:rPr>
          <w:rFonts w:cs="Courier New"/>
          <w:sz w:val="20"/>
          <w:szCs w:val="20"/>
          <w:lang w:val="es-ES_tradnl"/>
        </w:rPr>
      </w:pPr>
    </w:p>
    <w:p w:rsidR="00DF107C" w:rsidRPr="003A79CB" w:rsidRDefault="00B053C8" w:rsidP="003B6A9B">
      <w:pPr>
        <w:pStyle w:val="ListParagraph"/>
        <w:numPr>
          <w:ilvl w:val="0"/>
          <w:numId w:val="58"/>
        </w:numPr>
        <w:ind w:left="0" w:firstLine="720"/>
        <w:jc w:val="both"/>
        <w:rPr>
          <w:rFonts w:cs="Courier New"/>
          <w:sz w:val="20"/>
          <w:szCs w:val="20"/>
          <w:lang w:val="es-ES_tradnl"/>
        </w:rPr>
      </w:pPr>
      <w:r w:rsidRPr="00FA5953">
        <w:rPr>
          <w:rFonts w:cs="Courier New"/>
          <w:sz w:val="20"/>
          <w:szCs w:val="20"/>
          <w:lang w:val="es-ES_tradnl"/>
        </w:rPr>
        <w:t xml:space="preserve">Tomando en cuenta entonces las descripciones de las presuntas víctimas y/o sus familiares, la Comisión observa en primer lugar que la mayoría de los hechos de muerte y de lesiones ocurrieron </w:t>
      </w:r>
      <w:r w:rsidR="008873AB">
        <w:rPr>
          <w:rFonts w:cs="Courier New"/>
          <w:sz w:val="20"/>
          <w:szCs w:val="20"/>
          <w:lang w:val="es-ES_tradnl"/>
        </w:rPr>
        <w:t xml:space="preserve">precisamente en el marco de </w:t>
      </w:r>
      <w:r w:rsidRPr="00FA5953">
        <w:rPr>
          <w:rFonts w:cs="Courier New"/>
          <w:sz w:val="20"/>
          <w:szCs w:val="20"/>
          <w:lang w:val="es-ES_tradnl"/>
        </w:rPr>
        <w:t xml:space="preserve">las acciones armadas de </w:t>
      </w:r>
      <w:r w:rsidR="003D3841">
        <w:rPr>
          <w:rFonts w:cs="Courier New"/>
          <w:sz w:val="20"/>
          <w:szCs w:val="20"/>
          <w:lang w:val="es-ES_tradnl"/>
        </w:rPr>
        <w:t xml:space="preserve">las fuerzas de los </w:t>
      </w:r>
      <w:r w:rsidRPr="00FA5953">
        <w:rPr>
          <w:rFonts w:cs="Courier New"/>
          <w:sz w:val="20"/>
          <w:szCs w:val="20"/>
          <w:lang w:val="es-ES_tradnl"/>
        </w:rPr>
        <w:t>Estados Unidos</w:t>
      </w:r>
      <w:r w:rsidR="008873AB">
        <w:rPr>
          <w:rFonts w:cs="Courier New"/>
          <w:sz w:val="20"/>
          <w:szCs w:val="20"/>
          <w:lang w:val="es-ES_tradnl"/>
        </w:rPr>
        <w:t xml:space="preserve"> en la ejecución de la intervención militar</w:t>
      </w:r>
      <w:r w:rsidR="008F4753">
        <w:rPr>
          <w:rFonts w:cs="Courier New"/>
          <w:sz w:val="20"/>
          <w:szCs w:val="20"/>
          <w:lang w:val="es-ES_tradnl"/>
        </w:rPr>
        <w:t>, lo que incluye los bombardeos y uso de armas por vía aérea, el uso de tanquetas por vía terrestre, así como contextos de enfrentamiento o combate</w:t>
      </w:r>
      <w:r w:rsidR="003A79CB">
        <w:rPr>
          <w:rFonts w:cs="Courier New"/>
          <w:sz w:val="20"/>
          <w:szCs w:val="20"/>
          <w:lang w:val="es-ES_tradnl"/>
        </w:rPr>
        <w:t>, siendo en estos contextos, las víctimas civiles o</w:t>
      </w:r>
      <w:r w:rsidR="003D3841">
        <w:rPr>
          <w:rFonts w:cs="Courier New"/>
          <w:sz w:val="20"/>
          <w:szCs w:val="20"/>
          <w:lang w:val="es-ES_tradnl"/>
        </w:rPr>
        <w:t>, en muy pocos casos</w:t>
      </w:r>
      <w:r w:rsidR="003A79CB">
        <w:rPr>
          <w:rFonts w:cs="Courier New"/>
          <w:sz w:val="20"/>
          <w:szCs w:val="20"/>
          <w:lang w:val="es-ES_tradnl"/>
        </w:rPr>
        <w:t xml:space="preserve"> no combatientes.</w:t>
      </w:r>
      <w:r w:rsidR="008873AB">
        <w:rPr>
          <w:rFonts w:cs="Courier New"/>
          <w:sz w:val="20"/>
          <w:szCs w:val="20"/>
          <w:lang w:val="es-ES_tradnl"/>
        </w:rPr>
        <w:t xml:space="preserve"> </w:t>
      </w:r>
      <w:r w:rsidRPr="003A79CB">
        <w:rPr>
          <w:rFonts w:cs="Courier New"/>
          <w:sz w:val="20"/>
          <w:szCs w:val="20"/>
          <w:lang w:val="es-ES_tradnl"/>
        </w:rPr>
        <w:t>Dentro de este grupo, la CIDH destaca las 9 personas que perdieron la vida y 20 que resultaron heridas como consecuencia de bombardeos o armas de diverso tipo lanzadas desde medios de transporte aéreo o tanquetas</w:t>
      </w:r>
      <w:r w:rsidR="00DF107C" w:rsidRPr="003A79CB">
        <w:rPr>
          <w:rFonts w:cs="Courier New"/>
          <w:sz w:val="20"/>
          <w:szCs w:val="20"/>
          <w:lang w:val="es-ES_tradnl"/>
        </w:rPr>
        <w:t xml:space="preserve"> por vía terrestre.</w:t>
      </w:r>
      <w:r w:rsidRPr="003A79CB">
        <w:rPr>
          <w:rFonts w:cs="Courier New"/>
          <w:sz w:val="20"/>
          <w:szCs w:val="20"/>
          <w:lang w:val="es-ES_tradnl"/>
        </w:rPr>
        <w:t xml:space="preserve"> </w:t>
      </w:r>
      <w:r w:rsidR="00865DFE">
        <w:rPr>
          <w:rFonts w:cs="Courier New"/>
          <w:sz w:val="20"/>
          <w:szCs w:val="20"/>
          <w:lang w:val="es-ES_tradnl"/>
        </w:rPr>
        <w:t xml:space="preserve">Asimismo, se </w:t>
      </w:r>
      <w:r w:rsidR="00865DFE" w:rsidRPr="007F3CA8">
        <w:rPr>
          <w:rFonts w:cs="Courier New"/>
          <w:sz w:val="20"/>
          <w:szCs w:val="20"/>
          <w:lang w:val="es-ES_tradnl"/>
        </w:rPr>
        <w:t>encuentran las</w:t>
      </w:r>
      <w:r w:rsidR="007F3CA8" w:rsidRPr="007F3CA8">
        <w:rPr>
          <w:rFonts w:cs="Courier New"/>
          <w:sz w:val="20"/>
          <w:szCs w:val="20"/>
          <w:lang w:val="es-ES_tradnl"/>
        </w:rPr>
        <w:t xml:space="preserve"> 21</w:t>
      </w:r>
      <w:r w:rsidR="00865DFE" w:rsidRPr="007F3CA8">
        <w:rPr>
          <w:rFonts w:cs="Courier New"/>
          <w:sz w:val="20"/>
          <w:szCs w:val="20"/>
          <w:lang w:val="es-ES_tradnl"/>
        </w:rPr>
        <w:t xml:space="preserve"> personas que perdieron la vida </w:t>
      </w:r>
      <w:r w:rsidR="007F3CA8" w:rsidRPr="007F3CA8">
        <w:rPr>
          <w:rFonts w:cs="Courier New"/>
          <w:sz w:val="20"/>
          <w:szCs w:val="20"/>
          <w:lang w:val="es-ES_tradnl"/>
        </w:rPr>
        <w:t>y 3</w:t>
      </w:r>
      <w:r w:rsidR="009506C5" w:rsidRPr="007F3CA8">
        <w:rPr>
          <w:rFonts w:cs="Courier New"/>
          <w:sz w:val="20"/>
          <w:szCs w:val="20"/>
          <w:lang w:val="es-ES_tradnl"/>
        </w:rPr>
        <w:t xml:space="preserve"> que</w:t>
      </w:r>
      <w:r w:rsidR="00865DFE" w:rsidRPr="007F3CA8">
        <w:rPr>
          <w:rFonts w:cs="Courier New"/>
          <w:sz w:val="20"/>
          <w:szCs w:val="20"/>
          <w:lang w:val="es-ES_tradnl"/>
        </w:rPr>
        <w:t xml:space="preserve"> resultaron</w:t>
      </w:r>
      <w:r w:rsidR="00865DFE">
        <w:rPr>
          <w:rFonts w:cs="Courier New"/>
          <w:sz w:val="20"/>
          <w:szCs w:val="20"/>
          <w:lang w:val="es-ES_tradnl"/>
        </w:rPr>
        <w:t xml:space="preserve"> lesionadas </w:t>
      </w:r>
      <w:r w:rsidR="009506C5">
        <w:rPr>
          <w:rFonts w:cs="Courier New"/>
          <w:sz w:val="20"/>
          <w:szCs w:val="20"/>
          <w:lang w:val="es-ES_tradnl"/>
        </w:rPr>
        <w:t xml:space="preserve">como consecuencia </w:t>
      </w:r>
      <w:r w:rsidR="003D3841">
        <w:rPr>
          <w:rFonts w:cs="Courier New"/>
          <w:sz w:val="20"/>
          <w:szCs w:val="20"/>
          <w:lang w:val="es-ES_tradnl"/>
        </w:rPr>
        <w:t xml:space="preserve">directa </w:t>
      </w:r>
      <w:r w:rsidR="009506C5">
        <w:rPr>
          <w:rFonts w:cs="Courier New"/>
          <w:sz w:val="20"/>
          <w:szCs w:val="20"/>
          <w:lang w:val="es-ES_tradnl"/>
        </w:rPr>
        <w:t>de</w:t>
      </w:r>
      <w:r w:rsidR="003D3841">
        <w:rPr>
          <w:rFonts w:cs="Courier New"/>
          <w:sz w:val="20"/>
          <w:szCs w:val="20"/>
          <w:lang w:val="es-ES_tradnl"/>
        </w:rPr>
        <w:t>l</w:t>
      </w:r>
      <w:r w:rsidR="009506C5">
        <w:rPr>
          <w:rFonts w:cs="Courier New"/>
          <w:sz w:val="20"/>
          <w:szCs w:val="20"/>
          <w:lang w:val="es-ES_tradnl"/>
        </w:rPr>
        <w:t xml:space="preserve"> incendio, de encontrarse en las cercanías de un aparente enfrentamiento </w:t>
      </w:r>
      <w:r w:rsidR="003D3841">
        <w:rPr>
          <w:rFonts w:cs="Courier New"/>
          <w:sz w:val="20"/>
          <w:szCs w:val="20"/>
          <w:lang w:val="es-ES_tradnl"/>
        </w:rPr>
        <w:t xml:space="preserve">armado </w:t>
      </w:r>
      <w:r w:rsidR="009506C5">
        <w:rPr>
          <w:rFonts w:cs="Courier New"/>
          <w:sz w:val="20"/>
          <w:szCs w:val="20"/>
          <w:lang w:val="es-ES_tradnl"/>
        </w:rPr>
        <w:t>o combate</w:t>
      </w:r>
      <w:r w:rsidR="00690B0F">
        <w:rPr>
          <w:rFonts w:cs="Courier New"/>
          <w:sz w:val="20"/>
          <w:szCs w:val="20"/>
          <w:lang w:val="es-ES_tradnl"/>
        </w:rPr>
        <w:t xml:space="preserve">. </w:t>
      </w:r>
    </w:p>
    <w:p w:rsidR="00DF107C" w:rsidRDefault="00DF107C" w:rsidP="00DF107C">
      <w:pPr>
        <w:pStyle w:val="ListParagraph"/>
        <w:jc w:val="both"/>
        <w:rPr>
          <w:rFonts w:cs="Courier New"/>
          <w:sz w:val="20"/>
          <w:szCs w:val="20"/>
          <w:lang w:val="es-ES_tradnl"/>
        </w:rPr>
      </w:pPr>
    </w:p>
    <w:p w:rsidR="00A67157" w:rsidRPr="00FA5953" w:rsidRDefault="007E39C8" w:rsidP="003B6A9B">
      <w:pPr>
        <w:pStyle w:val="ListParagraph"/>
        <w:numPr>
          <w:ilvl w:val="0"/>
          <w:numId w:val="58"/>
        </w:numPr>
        <w:ind w:left="0" w:firstLine="720"/>
        <w:jc w:val="both"/>
        <w:rPr>
          <w:rFonts w:cs="Courier New"/>
          <w:sz w:val="20"/>
          <w:szCs w:val="20"/>
          <w:lang w:val="es-ES_tradnl"/>
        </w:rPr>
      </w:pPr>
      <w:r>
        <w:rPr>
          <w:rFonts w:cs="Courier New"/>
          <w:sz w:val="20"/>
          <w:szCs w:val="20"/>
          <w:lang w:val="es-ES_tradnl"/>
        </w:rPr>
        <w:t xml:space="preserve">En todos estos hechos, </w:t>
      </w:r>
      <w:r w:rsidR="00A67157" w:rsidRPr="00FA5953">
        <w:rPr>
          <w:rFonts w:cs="Courier New"/>
          <w:sz w:val="20"/>
          <w:szCs w:val="20"/>
          <w:lang w:val="es-ES_tradnl"/>
        </w:rPr>
        <w:t xml:space="preserve">la abrumadora mayoría de las víctimas fallecidas y heridas, son personas panameñas respecto de quienes no existe indicio alguno – ni tal información fue aportada por el Estado – en cuanto a que participaron en hostilidades. Al contrario, al momento de recibir las agresiones, gran parte de las presuntas víctimas se encontraban en sus hogares, lugares de trabajo, o en la calle en contextos en </w:t>
      </w:r>
      <w:r w:rsidR="00A67157" w:rsidRPr="00FA5953">
        <w:rPr>
          <w:rFonts w:cs="Courier New"/>
          <w:sz w:val="20"/>
          <w:szCs w:val="20"/>
          <w:lang w:val="es-ES_tradnl"/>
        </w:rPr>
        <w:lastRenderedPageBreak/>
        <w:t xml:space="preserve">los que no se desprende que </w:t>
      </w:r>
      <w:r w:rsidR="003D3841">
        <w:rPr>
          <w:rFonts w:cs="Courier New"/>
          <w:sz w:val="20"/>
          <w:szCs w:val="20"/>
          <w:lang w:val="es-ES_tradnl"/>
        </w:rPr>
        <w:t>estaban actuando de manera</w:t>
      </w:r>
      <w:r>
        <w:rPr>
          <w:rFonts w:cs="Courier New"/>
          <w:sz w:val="20"/>
          <w:szCs w:val="20"/>
          <w:lang w:val="es-ES_tradnl"/>
        </w:rPr>
        <w:t xml:space="preserve"> </w:t>
      </w:r>
      <w:r w:rsidR="00E37A10">
        <w:rPr>
          <w:rFonts w:cs="Courier New"/>
          <w:sz w:val="20"/>
          <w:szCs w:val="20"/>
          <w:lang w:val="es-ES_tradnl"/>
        </w:rPr>
        <w:t xml:space="preserve">activa </w:t>
      </w:r>
      <w:r w:rsidR="003D3841">
        <w:rPr>
          <w:rFonts w:cs="Courier New"/>
          <w:sz w:val="20"/>
          <w:szCs w:val="20"/>
          <w:lang w:val="es-ES_tradnl"/>
        </w:rPr>
        <w:t>en</w:t>
      </w:r>
      <w:r>
        <w:rPr>
          <w:rFonts w:cs="Courier New"/>
          <w:sz w:val="20"/>
          <w:szCs w:val="20"/>
          <w:lang w:val="es-ES_tradnl"/>
        </w:rPr>
        <w:t xml:space="preserve"> enfrentamientos u hostilidades</w:t>
      </w:r>
      <w:r w:rsidR="00A67157" w:rsidRPr="00FA5953">
        <w:rPr>
          <w:rFonts w:cs="Courier New"/>
          <w:sz w:val="20"/>
          <w:szCs w:val="20"/>
          <w:lang w:val="es-ES_tradnl"/>
        </w:rPr>
        <w:t xml:space="preserve">. En consecuencia, </w:t>
      </w:r>
      <w:r w:rsidR="003D3841">
        <w:rPr>
          <w:rFonts w:cs="Courier New"/>
          <w:sz w:val="20"/>
          <w:szCs w:val="20"/>
          <w:lang w:val="es-ES_tradnl"/>
        </w:rPr>
        <w:t xml:space="preserve">en muy pocos casos, </w:t>
      </w:r>
      <w:r w:rsidR="00A67157" w:rsidRPr="00FA5953">
        <w:rPr>
          <w:rFonts w:cs="Courier New"/>
          <w:sz w:val="20"/>
          <w:szCs w:val="20"/>
          <w:lang w:val="es-ES_tradnl"/>
        </w:rPr>
        <w:t>se trató de personas civiles</w:t>
      </w:r>
      <w:r w:rsidR="00E37A10">
        <w:rPr>
          <w:rFonts w:cs="Courier New"/>
          <w:sz w:val="20"/>
          <w:szCs w:val="20"/>
          <w:lang w:val="es-ES_tradnl"/>
        </w:rPr>
        <w:t xml:space="preserve"> o no combatientes</w:t>
      </w:r>
      <w:r w:rsidR="00A67157" w:rsidRPr="00FA5953">
        <w:rPr>
          <w:rFonts w:cs="Courier New"/>
          <w:sz w:val="20"/>
          <w:szCs w:val="20"/>
          <w:lang w:val="es-ES_tradnl"/>
        </w:rPr>
        <w:t xml:space="preserve"> que estaban especialmente protegidas por el derecho internacional humanitario conforme a los estándares descritos, particularmente, el principio de distinción.</w:t>
      </w:r>
    </w:p>
    <w:p w:rsidR="00E0431A" w:rsidRPr="00FA5953" w:rsidRDefault="00E0431A" w:rsidP="00E0431A">
      <w:pPr>
        <w:pStyle w:val="ListParagraph"/>
        <w:widowControl w:val="0"/>
        <w:autoSpaceDE w:val="0"/>
        <w:autoSpaceDN w:val="0"/>
        <w:adjustRightInd w:val="0"/>
        <w:ind w:left="0" w:firstLine="720"/>
        <w:jc w:val="both"/>
        <w:rPr>
          <w:rFonts w:cs="Courier New"/>
          <w:sz w:val="20"/>
          <w:szCs w:val="20"/>
          <w:lang w:val="es-ES_tradnl"/>
        </w:rPr>
      </w:pPr>
    </w:p>
    <w:p w:rsidR="00EF656B" w:rsidRDefault="00E0431A" w:rsidP="003B6A9B">
      <w:pPr>
        <w:pStyle w:val="ListParagraph"/>
        <w:numPr>
          <w:ilvl w:val="0"/>
          <w:numId w:val="58"/>
        </w:numPr>
        <w:ind w:left="0" w:firstLine="720"/>
        <w:jc w:val="both"/>
        <w:rPr>
          <w:rFonts w:cs="Courier New"/>
          <w:sz w:val="20"/>
          <w:szCs w:val="20"/>
          <w:lang w:val="es-ES_tradnl"/>
        </w:rPr>
      </w:pPr>
      <w:r w:rsidRPr="00FA5953">
        <w:rPr>
          <w:rFonts w:cs="Courier New"/>
          <w:sz w:val="20"/>
          <w:szCs w:val="20"/>
          <w:lang w:val="es-ES_tradnl"/>
        </w:rPr>
        <w:t xml:space="preserve">El Estado no controvirtió haber utilizado bombas y otras armas que podían causar impactos indiscriminados en </w:t>
      </w:r>
      <w:r w:rsidR="003D3841">
        <w:rPr>
          <w:rFonts w:cs="Courier New"/>
          <w:sz w:val="20"/>
          <w:szCs w:val="20"/>
          <w:lang w:val="es-ES_tradnl"/>
        </w:rPr>
        <w:t xml:space="preserve">el derecho a </w:t>
      </w:r>
      <w:r w:rsidRPr="00FA5953">
        <w:rPr>
          <w:rFonts w:cs="Courier New"/>
          <w:sz w:val="20"/>
          <w:szCs w:val="20"/>
          <w:lang w:val="es-ES_tradnl"/>
        </w:rPr>
        <w:t xml:space="preserve">la vida e integridad personal en lugares y respecto de personas civiles. Por el contrario, se encuentra acreditado </w:t>
      </w:r>
      <w:r w:rsidR="00AF18DB">
        <w:rPr>
          <w:rFonts w:cs="Courier New"/>
          <w:sz w:val="20"/>
          <w:szCs w:val="20"/>
          <w:lang w:val="es-ES_tradnl"/>
        </w:rPr>
        <w:t xml:space="preserve">de distintas fuentes </w:t>
      </w:r>
      <w:r w:rsidRPr="00FA5953">
        <w:rPr>
          <w:rFonts w:cs="Courier New"/>
          <w:sz w:val="20"/>
          <w:szCs w:val="20"/>
          <w:lang w:val="es-ES_tradnl"/>
        </w:rPr>
        <w:t>que la Operación Justa Causa inició con el ataque de diversos o</w:t>
      </w:r>
      <w:r w:rsidR="00AF18DB">
        <w:rPr>
          <w:rFonts w:cs="Courier New"/>
          <w:sz w:val="20"/>
          <w:szCs w:val="20"/>
          <w:lang w:val="es-ES_tradnl"/>
        </w:rPr>
        <w:t>bjetivos militares estratégicos localizados en áreas civiles densamente pobladas</w:t>
      </w:r>
      <w:r w:rsidRPr="00FA5953">
        <w:rPr>
          <w:rFonts w:cs="Courier New"/>
          <w:sz w:val="20"/>
          <w:szCs w:val="20"/>
          <w:lang w:val="es-ES_tradnl"/>
        </w:rPr>
        <w:t xml:space="preserve"> a través de dichos métodos. </w:t>
      </w:r>
    </w:p>
    <w:p w:rsidR="00EF656B" w:rsidRDefault="00EF656B" w:rsidP="00EF656B">
      <w:pPr>
        <w:pStyle w:val="ListParagraph"/>
        <w:jc w:val="both"/>
        <w:rPr>
          <w:rFonts w:cs="Courier New"/>
          <w:sz w:val="20"/>
          <w:szCs w:val="20"/>
          <w:lang w:val="es-ES_tradnl"/>
        </w:rPr>
      </w:pPr>
    </w:p>
    <w:p w:rsidR="007448D7" w:rsidRDefault="007F43C3" w:rsidP="003B6A9B">
      <w:pPr>
        <w:pStyle w:val="ListParagraph"/>
        <w:numPr>
          <w:ilvl w:val="0"/>
          <w:numId w:val="58"/>
        </w:numPr>
        <w:ind w:left="0" w:firstLine="720"/>
        <w:jc w:val="both"/>
        <w:rPr>
          <w:rFonts w:cs="Courier New"/>
          <w:sz w:val="20"/>
          <w:szCs w:val="20"/>
          <w:lang w:val="es-ES_tradnl"/>
        </w:rPr>
      </w:pPr>
      <w:r>
        <w:rPr>
          <w:rFonts w:cs="Courier New"/>
          <w:sz w:val="20"/>
          <w:szCs w:val="20"/>
          <w:lang w:val="es-ES_tradnl"/>
        </w:rPr>
        <w:t>El Estado no aportó información</w:t>
      </w:r>
      <w:r w:rsidR="00244727">
        <w:rPr>
          <w:rFonts w:cs="Courier New"/>
          <w:sz w:val="20"/>
          <w:szCs w:val="20"/>
          <w:lang w:val="es-ES_tradnl"/>
        </w:rPr>
        <w:t xml:space="preserve"> completa y detallada</w:t>
      </w:r>
      <w:r>
        <w:rPr>
          <w:rFonts w:cs="Courier New"/>
          <w:sz w:val="20"/>
          <w:szCs w:val="20"/>
          <w:lang w:val="es-ES_tradnl"/>
        </w:rPr>
        <w:t xml:space="preserve"> sobre las medidas adoptadas para dar un aviso previo</w:t>
      </w:r>
      <w:r w:rsidR="00244727">
        <w:rPr>
          <w:rFonts w:cs="Courier New"/>
          <w:sz w:val="20"/>
          <w:szCs w:val="20"/>
          <w:lang w:val="es-ES_tradnl"/>
        </w:rPr>
        <w:t xml:space="preserve"> a los diferentes ataques. De algunas de las declaraciones surge información que indica que se advirtió el inicio de la operación por medio de estaciones de radio y canales de televisión. Sin embargo, la información disponible indica que el mismo fue en inglés y</w:t>
      </w:r>
      <w:r w:rsidR="00AF18DB">
        <w:rPr>
          <w:rFonts w:cs="Courier New"/>
          <w:sz w:val="20"/>
          <w:szCs w:val="20"/>
          <w:lang w:val="es-ES_tradnl"/>
        </w:rPr>
        <w:t xml:space="preserve"> transmitido</w:t>
      </w:r>
      <w:r w:rsidR="00244727">
        <w:rPr>
          <w:rFonts w:cs="Courier New"/>
          <w:sz w:val="20"/>
          <w:szCs w:val="20"/>
          <w:lang w:val="es-ES_tradnl"/>
        </w:rPr>
        <w:t xml:space="preserve"> en </w:t>
      </w:r>
      <w:r w:rsidR="00AF18DB">
        <w:rPr>
          <w:rFonts w:cs="Courier New"/>
          <w:sz w:val="20"/>
          <w:szCs w:val="20"/>
          <w:lang w:val="es-ES_tradnl"/>
        </w:rPr>
        <w:t xml:space="preserve">altas </w:t>
      </w:r>
      <w:r w:rsidR="00244727">
        <w:rPr>
          <w:rFonts w:cs="Courier New"/>
          <w:sz w:val="20"/>
          <w:szCs w:val="20"/>
          <w:lang w:val="es-ES_tradnl"/>
        </w:rPr>
        <w:t>horas de la noche</w:t>
      </w:r>
      <w:r w:rsidR="00AF18DB">
        <w:rPr>
          <w:rFonts w:cs="Courier New"/>
          <w:sz w:val="20"/>
          <w:szCs w:val="20"/>
          <w:lang w:val="es-ES_tradnl"/>
        </w:rPr>
        <w:t xml:space="preserve"> del comienzo de la operación militar</w:t>
      </w:r>
      <w:r w:rsidR="00244727">
        <w:rPr>
          <w:rFonts w:cs="Courier New"/>
          <w:sz w:val="20"/>
          <w:szCs w:val="20"/>
          <w:lang w:val="es-ES_tradnl"/>
        </w:rPr>
        <w:t xml:space="preserve">. Además, </w:t>
      </w:r>
      <w:r w:rsidR="00AF18DB">
        <w:rPr>
          <w:rFonts w:cs="Courier New"/>
          <w:sz w:val="20"/>
          <w:szCs w:val="20"/>
          <w:lang w:val="es-ES_tradnl"/>
        </w:rPr>
        <w:t xml:space="preserve">el Estado no presentó </w:t>
      </w:r>
      <w:r w:rsidR="00244727">
        <w:rPr>
          <w:rFonts w:cs="Courier New"/>
          <w:sz w:val="20"/>
          <w:szCs w:val="20"/>
          <w:lang w:val="es-ES_tradnl"/>
        </w:rPr>
        <w:t>información sobre el detalle de dicho o de otros avisos a fin de determinar si fue</w:t>
      </w:r>
      <w:r w:rsidR="00EF656B">
        <w:rPr>
          <w:rFonts w:cs="Courier New"/>
          <w:sz w:val="20"/>
          <w:szCs w:val="20"/>
          <w:lang w:val="es-ES_tradnl"/>
        </w:rPr>
        <w:t>ron</w:t>
      </w:r>
      <w:r w:rsidR="00244727">
        <w:rPr>
          <w:rFonts w:cs="Courier New"/>
          <w:sz w:val="20"/>
          <w:szCs w:val="20"/>
          <w:lang w:val="es-ES_tradnl"/>
        </w:rPr>
        <w:t xml:space="preserve"> </w:t>
      </w:r>
      <w:r w:rsidR="00E0431A" w:rsidRPr="00244727">
        <w:rPr>
          <w:rFonts w:cs="Courier New"/>
          <w:sz w:val="20"/>
          <w:szCs w:val="20"/>
          <w:lang w:val="es-ES_tradnl"/>
        </w:rPr>
        <w:t>adecuado</w:t>
      </w:r>
      <w:r w:rsidR="00EF656B">
        <w:rPr>
          <w:rFonts w:cs="Courier New"/>
          <w:sz w:val="20"/>
          <w:szCs w:val="20"/>
          <w:lang w:val="es-ES_tradnl"/>
        </w:rPr>
        <w:t>s</w:t>
      </w:r>
      <w:r w:rsidR="00244727">
        <w:rPr>
          <w:rFonts w:cs="Courier New"/>
          <w:sz w:val="20"/>
          <w:szCs w:val="20"/>
          <w:lang w:val="es-ES_tradnl"/>
        </w:rPr>
        <w:t xml:space="preserve">, si se efectuaron indicaciones sobre </w:t>
      </w:r>
      <w:r w:rsidR="00E0431A" w:rsidRPr="00244727">
        <w:rPr>
          <w:rFonts w:cs="Courier New"/>
          <w:sz w:val="20"/>
          <w:szCs w:val="20"/>
          <w:lang w:val="es-ES_tradnl"/>
        </w:rPr>
        <w:t xml:space="preserve">los riesgos que representaba </w:t>
      </w:r>
      <w:r w:rsidR="00244727">
        <w:rPr>
          <w:rFonts w:cs="Courier New"/>
          <w:sz w:val="20"/>
          <w:szCs w:val="20"/>
          <w:lang w:val="es-ES_tradnl"/>
        </w:rPr>
        <w:t xml:space="preserve">la invasión </w:t>
      </w:r>
      <w:r w:rsidR="00E0431A" w:rsidRPr="00244727">
        <w:rPr>
          <w:rFonts w:cs="Courier New"/>
          <w:sz w:val="20"/>
          <w:szCs w:val="20"/>
          <w:lang w:val="es-ES_tradnl"/>
        </w:rPr>
        <w:t xml:space="preserve">para los civiles </w:t>
      </w:r>
      <w:r w:rsidR="00244727">
        <w:rPr>
          <w:rFonts w:cs="Courier New"/>
          <w:sz w:val="20"/>
          <w:szCs w:val="20"/>
          <w:lang w:val="es-ES_tradnl"/>
        </w:rPr>
        <w:t xml:space="preserve">ni sobre </w:t>
      </w:r>
      <w:r w:rsidR="00AF18DB">
        <w:rPr>
          <w:rFonts w:cs="Courier New"/>
          <w:sz w:val="20"/>
          <w:szCs w:val="20"/>
          <w:lang w:val="es-ES_tradnl"/>
        </w:rPr>
        <w:t xml:space="preserve">la actuación recomendada, si alguna, </w:t>
      </w:r>
      <w:r w:rsidR="00E0431A" w:rsidRPr="00244727">
        <w:rPr>
          <w:rFonts w:cs="Courier New"/>
          <w:sz w:val="20"/>
          <w:szCs w:val="20"/>
          <w:lang w:val="es-ES_tradnl"/>
        </w:rPr>
        <w:t xml:space="preserve">para </w:t>
      </w:r>
      <w:r w:rsidR="003174EC" w:rsidRPr="00244727">
        <w:rPr>
          <w:rFonts w:cs="Courier New"/>
          <w:sz w:val="20"/>
          <w:szCs w:val="20"/>
          <w:lang w:val="es-ES_tradnl"/>
        </w:rPr>
        <w:t xml:space="preserve">dichas personas en cuanto a si </w:t>
      </w:r>
      <w:r w:rsidR="00E0431A" w:rsidRPr="00244727">
        <w:rPr>
          <w:rFonts w:cs="Courier New"/>
          <w:sz w:val="20"/>
          <w:szCs w:val="20"/>
          <w:lang w:val="es-ES_tradnl"/>
        </w:rPr>
        <w:t xml:space="preserve">proceder a evacuar o a permanecer refugiados. </w:t>
      </w:r>
    </w:p>
    <w:p w:rsidR="007448D7" w:rsidRPr="007448D7" w:rsidRDefault="007448D7" w:rsidP="007448D7">
      <w:pPr>
        <w:pStyle w:val="ListParagraph"/>
        <w:rPr>
          <w:rFonts w:cs="Courier New"/>
          <w:sz w:val="20"/>
          <w:szCs w:val="20"/>
          <w:lang w:val="es-ES_tradnl"/>
        </w:rPr>
      </w:pPr>
    </w:p>
    <w:p w:rsidR="00E0431A" w:rsidRPr="00244727" w:rsidRDefault="007448D7" w:rsidP="00153DA4">
      <w:pPr>
        <w:pStyle w:val="ListParagraph"/>
        <w:numPr>
          <w:ilvl w:val="0"/>
          <w:numId w:val="58"/>
        </w:numPr>
        <w:ind w:left="0" w:firstLine="720"/>
        <w:jc w:val="both"/>
        <w:rPr>
          <w:rFonts w:cs="Courier New"/>
          <w:sz w:val="20"/>
          <w:szCs w:val="20"/>
          <w:lang w:val="es-ES_tradnl"/>
        </w:rPr>
      </w:pPr>
      <w:r w:rsidRPr="007448D7">
        <w:rPr>
          <w:rFonts w:cs="Courier New"/>
          <w:sz w:val="20"/>
          <w:szCs w:val="20"/>
          <w:lang w:val="es-ES_tradnl"/>
        </w:rPr>
        <w:t xml:space="preserve">Varias declaraciones de las víctimas se referían a los anuncios hechos por el altavoz minutos antes del uso de bombas y fuego de armas pesadas. Sin embargo, esa información sugiere que los anuncios fueron muy inadecuados, ya que se habrían realizado a altas horas de la noche, muchos no los habrían escuchado o no podrían haberlos entendido, y en cualquier </w:t>
      </w:r>
      <w:r>
        <w:rPr>
          <w:rFonts w:cs="Courier New"/>
          <w:sz w:val="20"/>
          <w:szCs w:val="20"/>
          <w:lang w:val="es-ES_tradnl"/>
        </w:rPr>
        <w:t>caso debido a que</w:t>
      </w:r>
      <w:r w:rsidRPr="007448D7">
        <w:rPr>
          <w:rFonts w:cs="Courier New"/>
          <w:sz w:val="20"/>
          <w:szCs w:val="20"/>
          <w:lang w:val="es-ES_tradnl"/>
        </w:rPr>
        <w:t xml:space="preserve"> se hicieron inmediatamente antes de las operaciones, </w:t>
      </w:r>
      <w:r>
        <w:rPr>
          <w:rFonts w:cs="Courier New"/>
          <w:sz w:val="20"/>
          <w:szCs w:val="20"/>
          <w:lang w:val="es-ES_tradnl"/>
        </w:rPr>
        <w:t xml:space="preserve">no </w:t>
      </w:r>
      <w:r w:rsidRPr="007448D7">
        <w:rPr>
          <w:rFonts w:cs="Courier New"/>
          <w:sz w:val="20"/>
          <w:szCs w:val="20"/>
          <w:lang w:val="es-ES_tradnl"/>
        </w:rPr>
        <w:t>habría habido tiem</w:t>
      </w:r>
      <w:r>
        <w:rPr>
          <w:rFonts w:cs="Courier New"/>
          <w:sz w:val="20"/>
          <w:szCs w:val="20"/>
          <w:lang w:val="es-ES_tradnl"/>
        </w:rPr>
        <w:t>po para que los afectados escapara</w:t>
      </w:r>
      <w:r w:rsidRPr="007448D7">
        <w:rPr>
          <w:rFonts w:cs="Courier New"/>
          <w:sz w:val="20"/>
          <w:szCs w:val="20"/>
          <w:lang w:val="es-ES_tradnl"/>
        </w:rPr>
        <w:t>n, se refugi</w:t>
      </w:r>
      <w:r>
        <w:rPr>
          <w:rFonts w:cs="Courier New"/>
          <w:sz w:val="20"/>
          <w:szCs w:val="20"/>
          <w:lang w:val="es-ES_tradnl"/>
        </w:rPr>
        <w:t>ara</w:t>
      </w:r>
      <w:r w:rsidRPr="007448D7">
        <w:rPr>
          <w:rFonts w:cs="Courier New"/>
          <w:sz w:val="20"/>
          <w:szCs w:val="20"/>
          <w:lang w:val="es-ES_tradnl"/>
        </w:rPr>
        <w:t>n o se proteg</w:t>
      </w:r>
      <w:r>
        <w:rPr>
          <w:rFonts w:cs="Courier New"/>
          <w:sz w:val="20"/>
          <w:szCs w:val="20"/>
          <w:lang w:val="es-ES_tradnl"/>
        </w:rPr>
        <w:t>ier</w:t>
      </w:r>
      <w:r w:rsidRPr="007448D7">
        <w:rPr>
          <w:rFonts w:cs="Courier New"/>
          <w:sz w:val="20"/>
          <w:szCs w:val="20"/>
          <w:lang w:val="es-ES_tradnl"/>
        </w:rPr>
        <w:t>an a sí mismos. Incluso con respecto a las personas que podrían haber escuchado tales advertencias, la Comisión no tiene información alguna sobre las medidas adoptadas para garantizar una evacuación efectiva.</w:t>
      </w:r>
      <w:r>
        <w:rPr>
          <w:rFonts w:cs="Courier New"/>
          <w:sz w:val="20"/>
          <w:szCs w:val="20"/>
          <w:lang w:val="es-ES_tradnl"/>
        </w:rPr>
        <w:t xml:space="preserve"> En consecuencia, s</w:t>
      </w:r>
      <w:r w:rsidR="00244727">
        <w:rPr>
          <w:rFonts w:cs="Courier New"/>
          <w:sz w:val="20"/>
          <w:szCs w:val="20"/>
          <w:lang w:val="es-ES_tradnl"/>
        </w:rPr>
        <w:t xml:space="preserve">obre los avisos </w:t>
      </w:r>
      <w:r>
        <w:rPr>
          <w:rFonts w:cs="Courier New"/>
          <w:sz w:val="20"/>
          <w:szCs w:val="20"/>
          <w:lang w:val="es-ES_tradnl"/>
        </w:rPr>
        <w:t xml:space="preserve">descritos </w:t>
      </w:r>
      <w:r w:rsidR="00244727">
        <w:rPr>
          <w:rFonts w:cs="Courier New"/>
          <w:sz w:val="20"/>
          <w:szCs w:val="20"/>
          <w:lang w:val="es-ES_tradnl"/>
        </w:rPr>
        <w:t xml:space="preserve">dados mediante altavoces, la Comisión </w:t>
      </w:r>
      <w:r w:rsidR="00153DA4" w:rsidRPr="00153DA4">
        <w:rPr>
          <w:rFonts w:cs="Courier New"/>
          <w:sz w:val="20"/>
          <w:szCs w:val="20"/>
          <w:lang w:val="es-ES_tradnl"/>
        </w:rPr>
        <w:t xml:space="preserve">carece incluso de la información más básica que sería necesaria para demostrar que </w:t>
      </w:r>
      <w:r w:rsidR="00153DA4">
        <w:rPr>
          <w:rFonts w:cs="Courier New"/>
          <w:sz w:val="20"/>
          <w:szCs w:val="20"/>
          <w:lang w:val="es-ES_tradnl"/>
        </w:rPr>
        <w:t xml:space="preserve">estos avisos </w:t>
      </w:r>
      <w:r w:rsidR="00153DA4" w:rsidRPr="00153DA4">
        <w:rPr>
          <w:rFonts w:cs="Courier New"/>
          <w:sz w:val="20"/>
          <w:szCs w:val="20"/>
          <w:lang w:val="es-ES_tradnl"/>
        </w:rPr>
        <w:t>cumplía</w:t>
      </w:r>
      <w:r w:rsidR="00153DA4">
        <w:rPr>
          <w:rFonts w:cs="Courier New"/>
          <w:sz w:val="20"/>
          <w:szCs w:val="20"/>
          <w:lang w:val="es-ES_tradnl"/>
        </w:rPr>
        <w:t>n</w:t>
      </w:r>
      <w:r w:rsidR="00153DA4" w:rsidRPr="00153DA4">
        <w:rPr>
          <w:rFonts w:cs="Courier New"/>
          <w:sz w:val="20"/>
          <w:szCs w:val="20"/>
          <w:lang w:val="es-ES_tradnl"/>
        </w:rPr>
        <w:t xml:space="preserve"> con los requisitos aplicables destinados a la protección de los civiles. A este respecto, la Comisión atribuye gran importancia a la información proporcionada sobre el número de civiles muertos y heridos en estos ataques, la ubicación y las circunstancias, como </w:t>
      </w:r>
      <w:r w:rsidR="00153DA4">
        <w:rPr>
          <w:rFonts w:cs="Courier New"/>
          <w:sz w:val="20"/>
          <w:szCs w:val="20"/>
          <w:lang w:val="es-ES_tradnl"/>
        </w:rPr>
        <w:t xml:space="preserve">prueba principal </w:t>
      </w:r>
      <w:r w:rsidR="00153DA4" w:rsidRPr="00153DA4">
        <w:rPr>
          <w:rFonts w:cs="Courier New"/>
          <w:sz w:val="20"/>
          <w:szCs w:val="20"/>
          <w:lang w:val="es-ES_tradnl"/>
        </w:rPr>
        <w:t xml:space="preserve">y </w:t>
      </w:r>
      <w:r w:rsidR="00153DA4">
        <w:rPr>
          <w:rFonts w:cs="Courier New"/>
          <w:sz w:val="20"/>
          <w:szCs w:val="20"/>
          <w:lang w:val="es-ES_tradnl"/>
        </w:rPr>
        <w:t>demostrativa</w:t>
      </w:r>
      <w:r w:rsidR="00EC4478">
        <w:rPr>
          <w:rFonts w:cs="Courier New"/>
          <w:sz w:val="20"/>
          <w:szCs w:val="20"/>
          <w:lang w:val="es-ES_tradnl"/>
        </w:rPr>
        <w:t xml:space="preserve">. </w:t>
      </w:r>
    </w:p>
    <w:p w:rsidR="00E0431A" w:rsidRPr="00FA5953" w:rsidRDefault="00E0431A" w:rsidP="00153DA4">
      <w:pPr>
        <w:pStyle w:val="ListParagraph"/>
        <w:widowControl w:val="0"/>
        <w:autoSpaceDE w:val="0"/>
        <w:autoSpaceDN w:val="0"/>
        <w:adjustRightInd w:val="0"/>
        <w:ind w:left="0" w:firstLine="720"/>
        <w:jc w:val="both"/>
        <w:rPr>
          <w:rFonts w:cs="Courier New"/>
          <w:sz w:val="20"/>
          <w:szCs w:val="20"/>
          <w:lang w:val="es-ES_tradnl"/>
        </w:rPr>
      </w:pPr>
    </w:p>
    <w:p w:rsidR="00E0431A" w:rsidRPr="00FA5953" w:rsidRDefault="007C0D11" w:rsidP="00153DA4">
      <w:pPr>
        <w:pStyle w:val="ListParagraph"/>
        <w:numPr>
          <w:ilvl w:val="0"/>
          <w:numId w:val="58"/>
        </w:numPr>
        <w:ind w:left="0" w:firstLine="720"/>
        <w:jc w:val="both"/>
        <w:rPr>
          <w:rFonts w:cs="Courier New"/>
          <w:sz w:val="20"/>
          <w:szCs w:val="20"/>
          <w:lang w:val="es-ES_tradnl"/>
        </w:rPr>
      </w:pPr>
      <w:r>
        <w:rPr>
          <w:rFonts w:cs="Courier New"/>
          <w:sz w:val="20"/>
          <w:szCs w:val="20"/>
          <w:lang w:val="es-ES_tradnl"/>
        </w:rPr>
        <w:t>M</w:t>
      </w:r>
      <w:r w:rsidR="0072316F">
        <w:rPr>
          <w:rFonts w:cs="Courier New"/>
          <w:sz w:val="20"/>
          <w:szCs w:val="20"/>
          <w:lang w:val="es-ES_tradnl"/>
        </w:rPr>
        <w:t xml:space="preserve">ás allá del aspecto puntual del </w:t>
      </w:r>
      <w:r w:rsidR="00AD2CEF">
        <w:rPr>
          <w:rFonts w:cs="Courier New"/>
          <w:sz w:val="20"/>
          <w:szCs w:val="20"/>
          <w:lang w:val="es-ES_tradnl"/>
        </w:rPr>
        <w:t xml:space="preserve">aviso previo y las medidas concretas de </w:t>
      </w:r>
      <w:r w:rsidR="00C13C84">
        <w:rPr>
          <w:rFonts w:cs="Courier New"/>
          <w:sz w:val="20"/>
          <w:szCs w:val="20"/>
          <w:lang w:val="es-ES_tradnl"/>
        </w:rPr>
        <w:t xml:space="preserve">evacuación, en términos generales </w:t>
      </w:r>
      <w:r w:rsidR="00E0431A" w:rsidRPr="00FA5953">
        <w:rPr>
          <w:rFonts w:cs="Courier New"/>
          <w:sz w:val="20"/>
          <w:szCs w:val="20"/>
          <w:lang w:val="es-ES_tradnl"/>
        </w:rPr>
        <w:t xml:space="preserve">el Estado no presentó información sobre las medidas </w:t>
      </w:r>
      <w:r w:rsidR="00887706">
        <w:rPr>
          <w:rFonts w:cs="Courier New"/>
          <w:sz w:val="20"/>
          <w:szCs w:val="20"/>
          <w:lang w:val="es-ES_tradnl"/>
        </w:rPr>
        <w:t xml:space="preserve">concretas </w:t>
      </w:r>
      <w:r w:rsidR="00E0431A" w:rsidRPr="00FA5953">
        <w:rPr>
          <w:rFonts w:cs="Courier New"/>
          <w:sz w:val="20"/>
          <w:szCs w:val="20"/>
          <w:lang w:val="es-ES_tradnl"/>
        </w:rPr>
        <w:t>planificadas que permitieran analizar si fueron adecuadas y suficientes para prevenir muertes y lesiones</w:t>
      </w:r>
      <w:r w:rsidR="001F3B60">
        <w:rPr>
          <w:rFonts w:cs="Courier New"/>
          <w:sz w:val="20"/>
          <w:szCs w:val="20"/>
          <w:lang w:val="es-ES_tradnl"/>
        </w:rPr>
        <w:t xml:space="preserve"> a la luz del derecho internacional humanitario.</w:t>
      </w:r>
      <w:r w:rsidR="00E0431A" w:rsidRPr="00FA5953">
        <w:rPr>
          <w:rFonts w:cs="Courier New"/>
          <w:sz w:val="20"/>
          <w:szCs w:val="20"/>
          <w:lang w:val="es-ES_tradnl"/>
        </w:rPr>
        <w:t xml:space="preserve"> El Estado mantuvo que aun cuando eran conscientes de las preocupaciones humanitarias de los civiles durante los conflictos armados, “las víctimas civiles y el sufrimiento eran lamentables pero inevitables en el combate”</w:t>
      </w:r>
      <w:r w:rsidR="00E0431A" w:rsidRPr="00FA5953">
        <w:rPr>
          <w:rStyle w:val="FootnoteReference"/>
          <w:rFonts w:cs="Courier New"/>
          <w:sz w:val="20"/>
          <w:szCs w:val="20"/>
          <w:lang w:val="es-ES_tradnl"/>
        </w:rPr>
        <w:footnoteReference w:id="661"/>
      </w:r>
      <w:r w:rsidR="00E0431A" w:rsidRPr="00FA5953">
        <w:rPr>
          <w:rFonts w:cs="Courier New"/>
          <w:sz w:val="20"/>
          <w:szCs w:val="20"/>
          <w:lang w:val="es-ES_tradnl"/>
        </w:rPr>
        <w:t xml:space="preserve">. </w:t>
      </w:r>
    </w:p>
    <w:p w:rsidR="00E0431A" w:rsidRPr="00FA5953" w:rsidRDefault="00E0431A" w:rsidP="00153DA4">
      <w:pPr>
        <w:pStyle w:val="ListParagraph"/>
        <w:ind w:left="0" w:firstLine="720"/>
        <w:jc w:val="both"/>
        <w:rPr>
          <w:rFonts w:cs="Courier New"/>
          <w:sz w:val="20"/>
          <w:szCs w:val="20"/>
          <w:lang w:val="es-ES_tradnl"/>
        </w:rPr>
      </w:pPr>
    </w:p>
    <w:p w:rsidR="00E0431A" w:rsidRPr="00FA5953" w:rsidRDefault="00E0431A" w:rsidP="00153DA4">
      <w:pPr>
        <w:pStyle w:val="ListParagraph"/>
        <w:numPr>
          <w:ilvl w:val="0"/>
          <w:numId w:val="58"/>
        </w:numPr>
        <w:ind w:left="0" w:firstLine="720"/>
        <w:jc w:val="both"/>
        <w:rPr>
          <w:rFonts w:cs="Courier New"/>
          <w:sz w:val="20"/>
          <w:szCs w:val="20"/>
          <w:lang w:val="es-ES_tradnl"/>
        </w:rPr>
      </w:pPr>
      <w:r w:rsidRPr="00FA5953">
        <w:rPr>
          <w:rFonts w:cs="Courier New"/>
          <w:sz w:val="20"/>
          <w:szCs w:val="20"/>
          <w:lang w:val="es-ES_tradnl"/>
        </w:rPr>
        <w:t xml:space="preserve">La CIDH es de la opinión que el Derecho Internacional Humanitario exige que </w:t>
      </w:r>
      <w:r w:rsidR="00640791">
        <w:rPr>
          <w:rFonts w:cs="Courier New"/>
          <w:sz w:val="20"/>
          <w:szCs w:val="20"/>
          <w:lang w:val="es-ES_tradnl"/>
        </w:rPr>
        <w:t>en la planificación previa de una</w:t>
      </w:r>
      <w:r w:rsidR="00640791" w:rsidRPr="00FA5953">
        <w:rPr>
          <w:rFonts w:cs="Courier New"/>
          <w:sz w:val="20"/>
          <w:szCs w:val="20"/>
          <w:lang w:val="es-ES_tradnl"/>
        </w:rPr>
        <w:t xml:space="preserve"> operación y </w:t>
      </w:r>
      <w:r w:rsidR="00640791">
        <w:rPr>
          <w:rFonts w:cs="Courier New"/>
          <w:sz w:val="20"/>
          <w:szCs w:val="20"/>
          <w:lang w:val="es-ES_tradnl"/>
        </w:rPr>
        <w:t xml:space="preserve">en todo momento durante su </w:t>
      </w:r>
      <w:r w:rsidR="00640791" w:rsidRPr="00FA5953">
        <w:rPr>
          <w:rFonts w:cs="Courier New"/>
          <w:sz w:val="20"/>
          <w:szCs w:val="20"/>
          <w:lang w:val="es-ES_tradnl"/>
        </w:rPr>
        <w:t>ejecución</w:t>
      </w:r>
      <w:r w:rsidR="00640791">
        <w:rPr>
          <w:rFonts w:cs="Courier New"/>
          <w:sz w:val="20"/>
          <w:szCs w:val="20"/>
          <w:lang w:val="es-ES_tradnl"/>
        </w:rPr>
        <w:t xml:space="preserve">, </w:t>
      </w:r>
      <w:r w:rsidRPr="00FA5953">
        <w:rPr>
          <w:rFonts w:cs="Courier New"/>
          <w:sz w:val="20"/>
          <w:szCs w:val="20"/>
          <w:lang w:val="es-ES_tradnl"/>
        </w:rPr>
        <w:t xml:space="preserve">las fuerzas combatientes </w:t>
      </w:r>
      <w:r>
        <w:rPr>
          <w:rFonts w:cs="Courier New"/>
          <w:sz w:val="20"/>
          <w:szCs w:val="20"/>
          <w:lang w:val="es-ES_tradnl"/>
        </w:rPr>
        <w:t>d</w:t>
      </w:r>
      <w:r w:rsidR="00640791">
        <w:rPr>
          <w:rFonts w:cs="Courier New"/>
          <w:sz w:val="20"/>
          <w:szCs w:val="20"/>
          <w:lang w:val="es-ES_tradnl"/>
        </w:rPr>
        <w:t>ebe</w:t>
      </w:r>
      <w:r>
        <w:rPr>
          <w:rFonts w:cs="Courier New"/>
          <w:sz w:val="20"/>
          <w:szCs w:val="20"/>
          <w:lang w:val="es-ES_tradnl"/>
        </w:rPr>
        <w:t xml:space="preserve">n </w:t>
      </w:r>
      <w:r w:rsidR="00640791">
        <w:rPr>
          <w:rFonts w:cs="Courier New"/>
          <w:sz w:val="20"/>
          <w:szCs w:val="20"/>
          <w:lang w:val="es-ES_tradnl"/>
        </w:rPr>
        <w:t xml:space="preserve">dar una especial </w:t>
      </w:r>
      <w:r>
        <w:rPr>
          <w:rFonts w:cs="Courier New"/>
          <w:sz w:val="20"/>
          <w:szCs w:val="20"/>
          <w:lang w:val="es-ES_tradnl"/>
        </w:rPr>
        <w:t xml:space="preserve">prioridad a la situación de </w:t>
      </w:r>
      <w:r w:rsidRPr="00FA5953">
        <w:rPr>
          <w:rFonts w:cs="Courier New"/>
          <w:sz w:val="20"/>
          <w:szCs w:val="20"/>
          <w:lang w:val="es-ES_tradnl"/>
        </w:rPr>
        <w:t xml:space="preserve">la población civil, frente a la importancia de los objetivos militares. El Estado debe emprender todas las medidas </w:t>
      </w:r>
      <w:r>
        <w:rPr>
          <w:rFonts w:cs="Courier New"/>
          <w:sz w:val="20"/>
          <w:szCs w:val="20"/>
          <w:lang w:val="es-ES_tradnl"/>
        </w:rPr>
        <w:t>factible</w:t>
      </w:r>
      <w:r w:rsidRPr="00FA5953">
        <w:rPr>
          <w:rFonts w:cs="Courier New"/>
          <w:sz w:val="20"/>
          <w:szCs w:val="20"/>
          <w:lang w:val="es-ES_tradnl"/>
        </w:rPr>
        <w:t xml:space="preserve">s en la protección de la vida e integridad </w:t>
      </w:r>
      <w:r w:rsidR="00640791">
        <w:rPr>
          <w:rFonts w:cs="Courier New"/>
          <w:sz w:val="20"/>
          <w:szCs w:val="20"/>
          <w:lang w:val="es-ES_tradnl"/>
        </w:rPr>
        <w:t xml:space="preserve">personal </w:t>
      </w:r>
      <w:r w:rsidRPr="00FA5953">
        <w:rPr>
          <w:rFonts w:cs="Courier New"/>
          <w:sz w:val="20"/>
          <w:szCs w:val="20"/>
          <w:lang w:val="es-ES_tradnl"/>
        </w:rPr>
        <w:t xml:space="preserve">de los civiles. La Comisión </w:t>
      </w:r>
      <w:r w:rsidR="00640791">
        <w:rPr>
          <w:rFonts w:cs="Courier New"/>
          <w:sz w:val="20"/>
          <w:szCs w:val="20"/>
          <w:lang w:val="es-ES_tradnl"/>
        </w:rPr>
        <w:t xml:space="preserve">concluye </w:t>
      </w:r>
      <w:r w:rsidRPr="00FA5953">
        <w:rPr>
          <w:rFonts w:cs="Courier New"/>
          <w:sz w:val="20"/>
          <w:szCs w:val="20"/>
          <w:lang w:val="es-ES_tradnl"/>
        </w:rPr>
        <w:t>que el Estado</w:t>
      </w:r>
      <w:r>
        <w:rPr>
          <w:rFonts w:cs="Courier New"/>
          <w:sz w:val="20"/>
          <w:szCs w:val="20"/>
          <w:lang w:val="es-ES_tradnl"/>
        </w:rPr>
        <w:t xml:space="preserve"> no</w:t>
      </w:r>
      <w:r w:rsidRPr="00FA5953">
        <w:rPr>
          <w:rFonts w:cs="Courier New"/>
          <w:sz w:val="20"/>
          <w:szCs w:val="20"/>
          <w:lang w:val="es-ES_tradnl"/>
        </w:rPr>
        <w:t xml:space="preserve"> emprendió </w:t>
      </w:r>
      <w:r>
        <w:rPr>
          <w:rFonts w:cs="Courier New"/>
          <w:sz w:val="20"/>
          <w:szCs w:val="20"/>
          <w:lang w:val="es-ES_tradnl"/>
        </w:rPr>
        <w:t xml:space="preserve">las </w:t>
      </w:r>
      <w:r w:rsidRPr="00FA5953">
        <w:rPr>
          <w:rFonts w:cs="Courier New"/>
          <w:sz w:val="20"/>
          <w:szCs w:val="20"/>
          <w:lang w:val="es-ES_tradnl"/>
        </w:rPr>
        <w:t xml:space="preserve">medidas </w:t>
      </w:r>
      <w:r>
        <w:rPr>
          <w:rFonts w:cs="Courier New"/>
          <w:sz w:val="20"/>
          <w:szCs w:val="20"/>
          <w:lang w:val="es-ES_tradnl"/>
        </w:rPr>
        <w:t xml:space="preserve">suficientes </w:t>
      </w:r>
      <w:r w:rsidRPr="00FA5953">
        <w:rPr>
          <w:rFonts w:cs="Courier New"/>
          <w:sz w:val="20"/>
          <w:szCs w:val="20"/>
          <w:lang w:val="es-ES_tradnl"/>
        </w:rPr>
        <w:t xml:space="preserve">para la alerta adecuada, la evacuación segura de los civiles ni </w:t>
      </w:r>
      <w:r w:rsidR="00640791">
        <w:rPr>
          <w:rFonts w:cs="Courier New"/>
          <w:sz w:val="20"/>
          <w:szCs w:val="20"/>
          <w:lang w:val="es-ES_tradnl"/>
        </w:rPr>
        <w:t xml:space="preserve">adoptó las medidas para prevenir </w:t>
      </w:r>
      <w:r w:rsidR="00A3196C">
        <w:rPr>
          <w:rFonts w:cs="Courier New"/>
          <w:sz w:val="20"/>
          <w:szCs w:val="20"/>
          <w:lang w:val="es-ES_tradnl"/>
        </w:rPr>
        <w:t xml:space="preserve">o responder a la situación de aquellos puestos en riesgo inminente. Si bien el Derecho Internacional Humanitario considera la </w:t>
      </w:r>
      <w:r w:rsidRPr="00FA5953">
        <w:rPr>
          <w:rFonts w:cs="Courier New"/>
          <w:sz w:val="20"/>
          <w:szCs w:val="20"/>
          <w:lang w:val="es-ES_tradnl"/>
        </w:rPr>
        <w:t>importancia de la ventaja militar,</w:t>
      </w:r>
      <w:r w:rsidR="00A3196C">
        <w:rPr>
          <w:rFonts w:cs="Courier New"/>
          <w:sz w:val="20"/>
          <w:szCs w:val="20"/>
          <w:lang w:val="es-ES_tradnl"/>
        </w:rPr>
        <w:t xml:space="preserve"> éste es claro en indicar que</w:t>
      </w:r>
      <w:r w:rsidRPr="00FA5953">
        <w:rPr>
          <w:rFonts w:cs="Courier New"/>
          <w:sz w:val="20"/>
          <w:szCs w:val="20"/>
          <w:lang w:val="es-ES_tradnl"/>
        </w:rPr>
        <w:t xml:space="preserve"> </w:t>
      </w:r>
      <w:r w:rsidR="00A3196C">
        <w:rPr>
          <w:rFonts w:cs="Courier New"/>
          <w:sz w:val="20"/>
          <w:szCs w:val="20"/>
          <w:lang w:val="es-ES_tradnl"/>
        </w:rPr>
        <w:t xml:space="preserve">tal ventaja </w:t>
      </w:r>
      <w:r w:rsidRPr="00FA5953">
        <w:rPr>
          <w:rFonts w:cs="Courier New"/>
          <w:sz w:val="20"/>
          <w:szCs w:val="20"/>
          <w:lang w:val="es-ES_tradnl"/>
        </w:rPr>
        <w:t>no puede logrars</w:t>
      </w:r>
      <w:r w:rsidR="00A3196C">
        <w:rPr>
          <w:rFonts w:cs="Courier New"/>
          <w:sz w:val="20"/>
          <w:szCs w:val="20"/>
          <w:lang w:val="es-ES_tradnl"/>
        </w:rPr>
        <w:t xml:space="preserve">e sin valorar y con desapego a los principios de distinción y de </w:t>
      </w:r>
      <w:r w:rsidRPr="00FA5953">
        <w:rPr>
          <w:rFonts w:cs="Courier New"/>
          <w:sz w:val="20"/>
          <w:szCs w:val="20"/>
          <w:lang w:val="es-ES_tradnl"/>
        </w:rPr>
        <w:t xml:space="preserve">proporcionalidad </w:t>
      </w:r>
      <w:r w:rsidR="00A3196C">
        <w:rPr>
          <w:rFonts w:cs="Courier New"/>
          <w:sz w:val="20"/>
          <w:szCs w:val="20"/>
          <w:lang w:val="es-ES_tradnl"/>
        </w:rPr>
        <w:t>en circunstancias de riesgo de lesiones o pérdida de vidas civiles</w:t>
      </w:r>
      <w:r w:rsidRPr="00FA5953">
        <w:rPr>
          <w:rFonts w:cs="Courier New"/>
          <w:sz w:val="20"/>
          <w:szCs w:val="20"/>
          <w:lang w:val="es-ES_tradnl"/>
        </w:rPr>
        <w:t xml:space="preserve">. </w:t>
      </w:r>
    </w:p>
    <w:p w:rsidR="00E0431A" w:rsidRPr="00FA5953" w:rsidRDefault="00E0431A" w:rsidP="00153DA4">
      <w:pPr>
        <w:pStyle w:val="ListParagraph"/>
        <w:ind w:left="0" w:firstLine="720"/>
        <w:jc w:val="both"/>
        <w:rPr>
          <w:rFonts w:cs="Courier New"/>
          <w:sz w:val="20"/>
          <w:szCs w:val="20"/>
          <w:lang w:val="es-ES_tradnl"/>
        </w:rPr>
      </w:pPr>
    </w:p>
    <w:p w:rsidR="00E0431A" w:rsidRPr="00FA5953" w:rsidRDefault="00E0431A" w:rsidP="00153DA4">
      <w:pPr>
        <w:pStyle w:val="ListParagraph"/>
        <w:numPr>
          <w:ilvl w:val="0"/>
          <w:numId w:val="58"/>
        </w:numPr>
        <w:ind w:left="0" w:firstLine="720"/>
        <w:jc w:val="both"/>
        <w:rPr>
          <w:rFonts w:cs="Courier New"/>
          <w:sz w:val="20"/>
          <w:szCs w:val="20"/>
          <w:lang w:val="es-ES_tradnl"/>
        </w:rPr>
      </w:pPr>
      <w:r w:rsidRPr="00FA5953">
        <w:rPr>
          <w:rFonts w:cs="Courier New"/>
          <w:sz w:val="20"/>
          <w:szCs w:val="20"/>
          <w:lang w:val="es-ES_tradnl"/>
        </w:rPr>
        <w:t xml:space="preserve">Estados Unidos </w:t>
      </w:r>
      <w:r w:rsidR="00F04936">
        <w:rPr>
          <w:rFonts w:cs="Courier New"/>
          <w:sz w:val="20"/>
          <w:szCs w:val="20"/>
          <w:lang w:val="es-ES_tradnl"/>
        </w:rPr>
        <w:t xml:space="preserve">ha alegado </w:t>
      </w:r>
      <w:r w:rsidRPr="00FA5953">
        <w:rPr>
          <w:rFonts w:cs="Courier New"/>
          <w:sz w:val="20"/>
          <w:szCs w:val="20"/>
          <w:lang w:val="es-ES_tradnl"/>
        </w:rPr>
        <w:t xml:space="preserve">que los impactos de estas acciones en personas y lugares civiles, tuvieron lugar como consecuencia </w:t>
      </w:r>
      <w:r w:rsidR="00F04936">
        <w:rPr>
          <w:rFonts w:cs="Courier New"/>
          <w:sz w:val="20"/>
          <w:szCs w:val="20"/>
          <w:lang w:val="es-ES_tradnl"/>
        </w:rPr>
        <w:t xml:space="preserve">directa </w:t>
      </w:r>
      <w:r w:rsidRPr="00FA5953">
        <w:rPr>
          <w:rFonts w:cs="Courier New"/>
          <w:sz w:val="20"/>
          <w:szCs w:val="20"/>
          <w:lang w:val="es-ES_tradnl"/>
        </w:rPr>
        <w:t xml:space="preserve">de la decisión del régimen militar panameño de ubicar sus centros militares en las cercanías de la población civil. </w:t>
      </w:r>
      <w:r w:rsidRPr="00FA5953">
        <w:rPr>
          <w:rFonts w:cs="Courier New"/>
          <w:color w:val="auto"/>
          <w:sz w:val="20"/>
          <w:szCs w:val="20"/>
          <w:lang w:val="es-ES_tradnl"/>
        </w:rPr>
        <w:t xml:space="preserve">Argumentó el estricto cumplimiento por parte de las tropas </w:t>
      </w:r>
      <w:r w:rsidRPr="00FA5953">
        <w:rPr>
          <w:rFonts w:cs="Courier New"/>
          <w:color w:val="auto"/>
          <w:sz w:val="20"/>
          <w:szCs w:val="20"/>
          <w:lang w:val="es-ES_tradnl"/>
        </w:rPr>
        <w:lastRenderedPageBreak/>
        <w:t>estadounidenses de las Normas de Combate y el derecho humanit</w:t>
      </w:r>
      <w:r w:rsidR="00F04936">
        <w:rPr>
          <w:rFonts w:cs="Courier New"/>
          <w:color w:val="auto"/>
          <w:sz w:val="20"/>
          <w:szCs w:val="20"/>
          <w:lang w:val="es-ES_tradnl"/>
        </w:rPr>
        <w:t>ario relevante, y que a menudo sus fuerzas se vieron obstaculizadas</w:t>
      </w:r>
      <w:r w:rsidRPr="00FA5953">
        <w:rPr>
          <w:rFonts w:cs="Courier New"/>
          <w:color w:val="auto"/>
          <w:sz w:val="20"/>
          <w:szCs w:val="20"/>
          <w:lang w:val="es-ES_tradnl"/>
        </w:rPr>
        <w:t xml:space="preserve"> debido a la práctica inhumana de las fuerzas bajo el mando de Noriega de ubicar sus posiciones militares dentro o cerca de zonas residenciales civiles en violación del derecho internacional de los conflictos armados.</w:t>
      </w:r>
      <w:r w:rsidRPr="00FA5953">
        <w:rPr>
          <w:rFonts w:cs="Courier New"/>
          <w:color w:val="FF0000"/>
          <w:sz w:val="20"/>
          <w:szCs w:val="20"/>
          <w:lang w:val="es-ES_tradnl"/>
        </w:rPr>
        <w:t xml:space="preserve"> </w:t>
      </w:r>
    </w:p>
    <w:p w:rsidR="00E0431A" w:rsidRPr="00FA5953" w:rsidRDefault="00E0431A" w:rsidP="00153DA4">
      <w:pPr>
        <w:pStyle w:val="ListParagraph"/>
        <w:widowControl w:val="0"/>
        <w:autoSpaceDE w:val="0"/>
        <w:autoSpaceDN w:val="0"/>
        <w:adjustRightInd w:val="0"/>
        <w:ind w:left="0" w:firstLine="720"/>
        <w:jc w:val="both"/>
        <w:rPr>
          <w:rFonts w:cs="Courier New"/>
          <w:sz w:val="20"/>
          <w:szCs w:val="20"/>
          <w:lang w:val="es-ES_tradnl"/>
        </w:rPr>
      </w:pPr>
    </w:p>
    <w:p w:rsidR="00E0431A" w:rsidRPr="004C50B0" w:rsidRDefault="00E0431A" w:rsidP="00153DA4">
      <w:pPr>
        <w:pStyle w:val="ListParagraph"/>
        <w:numPr>
          <w:ilvl w:val="0"/>
          <w:numId w:val="58"/>
        </w:numPr>
        <w:ind w:left="0" w:firstLine="720"/>
        <w:jc w:val="both"/>
        <w:rPr>
          <w:rFonts w:cs="Courier New"/>
          <w:color w:val="auto"/>
          <w:sz w:val="20"/>
          <w:szCs w:val="20"/>
          <w:lang w:val="es-ES_tradnl"/>
        </w:rPr>
      </w:pPr>
      <w:r w:rsidRPr="00FA5953">
        <w:rPr>
          <w:rFonts w:eastAsia="MS Mincho"/>
          <w:sz w:val="20"/>
          <w:szCs w:val="20"/>
          <w:bdr w:val="none" w:sz="0" w:space="0" w:color="auto"/>
          <w:lang w:val="es-US"/>
        </w:rPr>
        <w:t>La CIDH destaca la norma consuetudinaria del Derecho Internacional Humanitario que dispone como l</w:t>
      </w:r>
      <w:r w:rsidRPr="00FA5953">
        <w:rPr>
          <w:rFonts w:eastAsia="MS Mincho"/>
          <w:sz w:val="20"/>
          <w:szCs w:val="20"/>
          <w:bdr w:val="none" w:sz="0" w:space="0" w:color="auto"/>
          <w:lang w:val="es-VE"/>
        </w:rPr>
        <w:t>a obligación de respetar y hacer respetar el derecho internacional humanitario “no depende de la reciprocidad”</w:t>
      </w:r>
      <w:r w:rsidRPr="00FA5953">
        <w:rPr>
          <w:rStyle w:val="FootnoteReference"/>
          <w:rFonts w:eastAsia="MS Mincho"/>
          <w:color w:val="auto"/>
          <w:sz w:val="20"/>
          <w:szCs w:val="20"/>
          <w:bdr w:val="none" w:sz="0" w:space="0" w:color="auto"/>
          <w:lang w:val="es-VE"/>
        </w:rPr>
        <w:footnoteReference w:id="662"/>
      </w:r>
      <w:r w:rsidRPr="00FA5953">
        <w:rPr>
          <w:rFonts w:eastAsia="MS Mincho"/>
          <w:sz w:val="20"/>
          <w:szCs w:val="20"/>
          <w:bdr w:val="none" w:sz="0" w:space="0" w:color="auto"/>
          <w:lang w:val="es-VE"/>
        </w:rPr>
        <w:t xml:space="preserve">. Por lo tanto, </w:t>
      </w:r>
      <w:r w:rsidRPr="00FA5953">
        <w:rPr>
          <w:rFonts w:eastAsia="MS Mincho"/>
          <w:sz w:val="20"/>
          <w:szCs w:val="20"/>
          <w:bdr w:val="none" w:sz="0" w:space="0" w:color="auto"/>
          <w:lang w:val="es-US"/>
        </w:rPr>
        <w:t xml:space="preserve">cualquiera que sea la responsabilidad y el papel de las autoridades </w:t>
      </w:r>
      <w:r w:rsidR="00F04936">
        <w:rPr>
          <w:rFonts w:eastAsia="MS Mincho"/>
          <w:sz w:val="20"/>
          <w:szCs w:val="20"/>
          <w:bdr w:val="none" w:sz="0" w:space="0" w:color="auto"/>
          <w:lang w:val="es-US"/>
        </w:rPr>
        <w:t xml:space="preserve">o fuerzas </w:t>
      </w:r>
      <w:r w:rsidRPr="00FA5953">
        <w:rPr>
          <w:rFonts w:eastAsia="MS Mincho"/>
          <w:sz w:val="20"/>
          <w:szCs w:val="20"/>
          <w:bdr w:val="none" w:sz="0" w:space="0" w:color="auto"/>
          <w:lang w:val="es-US"/>
        </w:rPr>
        <w:t xml:space="preserve">panameñas en los hechos, las fuerzas estadounidenses tienen la obligación de </w:t>
      </w:r>
      <w:r>
        <w:rPr>
          <w:rFonts w:eastAsia="MS Mincho"/>
          <w:sz w:val="20"/>
          <w:szCs w:val="20"/>
          <w:bdr w:val="none" w:sz="0" w:space="0" w:color="auto"/>
          <w:lang w:val="es-US"/>
        </w:rPr>
        <w:t>cumplir con sus obligaciones</w:t>
      </w:r>
      <w:r w:rsidRPr="00FA5953">
        <w:rPr>
          <w:rFonts w:eastAsia="MS Mincho"/>
          <w:sz w:val="20"/>
          <w:szCs w:val="20"/>
          <w:bdr w:val="none" w:sz="0" w:space="0" w:color="auto"/>
          <w:lang w:val="es-US"/>
        </w:rPr>
        <w:t xml:space="preserve">, primero como beligerante y luego como fuerza ocupante en el conflicto. La Comisión destaca igualmente además </w:t>
      </w:r>
      <w:r>
        <w:rPr>
          <w:rFonts w:eastAsia="MS Mincho"/>
          <w:sz w:val="20"/>
          <w:szCs w:val="20"/>
          <w:bdr w:val="none" w:sz="0" w:space="0" w:color="auto"/>
          <w:lang w:val="es-US"/>
        </w:rPr>
        <w:t>el conocimiento</w:t>
      </w:r>
      <w:r w:rsidRPr="00FA5953">
        <w:rPr>
          <w:rFonts w:eastAsia="MS Mincho"/>
          <w:sz w:val="20"/>
          <w:szCs w:val="20"/>
          <w:bdr w:val="none" w:sz="0" w:space="0" w:color="auto"/>
          <w:lang w:val="es-US"/>
        </w:rPr>
        <w:t xml:space="preserve"> de las fuerzas armadas del Estado con la ubicación de ciertos puntos estratégicos en zonas altamente pobladas por civiles, debido a su presencia militar en el territorio panameño desde antes de la firma de los Tratados Torrijos-Carter, lo cual debía posibilitar la adecuación de los medios y métodos de guerra en la planificación y ejecución de la Operación. </w:t>
      </w:r>
      <w:r w:rsidRPr="00FA5953">
        <w:rPr>
          <w:rFonts w:cs="Courier New"/>
          <w:sz w:val="20"/>
          <w:szCs w:val="20"/>
          <w:lang w:val="es-ES_tradnl"/>
        </w:rPr>
        <w:t xml:space="preserve">Además, el Estado no demostró que la manera de ejecución y los métodos </w:t>
      </w:r>
      <w:r w:rsidRPr="004C50B0">
        <w:rPr>
          <w:rFonts w:cs="Courier New"/>
          <w:color w:val="auto"/>
          <w:sz w:val="20"/>
          <w:szCs w:val="20"/>
          <w:lang w:val="es-ES_tradnl"/>
        </w:rPr>
        <w:t xml:space="preserve">utilizados, además del principio de distinción, cumplieron con los principios de necesidad, proporcionalidad y precaución. La Comisión considera que este conjunto de consideraciones permite concluir que </w:t>
      </w:r>
      <w:r w:rsidR="00F04936">
        <w:rPr>
          <w:rFonts w:cs="Courier New"/>
          <w:color w:val="auto"/>
          <w:sz w:val="20"/>
          <w:szCs w:val="20"/>
          <w:lang w:val="es-ES_tradnl"/>
        </w:rPr>
        <w:t xml:space="preserve">la manera en la que la Operación fue ejecutada </w:t>
      </w:r>
      <w:r w:rsidR="00461761">
        <w:rPr>
          <w:rFonts w:cs="Courier New"/>
          <w:color w:val="auto"/>
          <w:sz w:val="20"/>
          <w:szCs w:val="20"/>
          <w:lang w:val="es-ES_tradnl"/>
        </w:rPr>
        <w:t xml:space="preserve">no cumplió con los principios básicos de distinción, necesidad, proporcionalidad y precaución. </w:t>
      </w:r>
    </w:p>
    <w:p w:rsidR="00E0431A" w:rsidRPr="004C50B0" w:rsidRDefault="00E0431A" w:rsidP="00153DA4">
      <w:pPr>
        <w:pStyle w:val="ListParagraph"/>
        <w:widowControl w:val="0"/>
        <w:autoSpaceDE w:val="0"/>
        <w:autoSpaceDN w:val="0"/>
        <w:adjustRightInd w:val="0"/>
        <w:ind w:left="0" w:firstLine="720"/>
        <w:jc w:val="both"/>
        <w:rPr>
          <w:rFonts w:cs="Courier New"/>
          <w:color w:val="auto"/>
          <w:sz w:val="20"/>
          <w:szCs w:val="20"/>
          <w:lang w:val="es-ES_tradnl"/>
        </w:rPr>
      </w:pPr>
    </w:p>
    <w:p w:rsidR="00E0431A" w:rsidRPr="00FA5953" w:rsidRDefault="00E0431A" w:rsidP="00153DA4">
      <w:pPr>
        <w:pStyle w:val="ListParagraph"/>
        <w:numPr>
          <w:ilvl w:val="0"/>
          <w:numId w:val="58"/>
        </w:numPr>
        <w:ind w:left="0" w:firstLine="720"/>
        <w:jc w:val="both"/>
        <w:rPr>
          <w:rFonts w:cs="Courier New"/>
          <w:sz w:val="20"/>
          <w:szCs w:val="20"/>
          <w:lang w:val="es-ES_tradnl"/>
        </w:rPr>
      </w:pPr>
      <w:r w:rsidRPr="004C50B0">
        <w:rPr>
          <w:rFonts w:cs="Courier New"/>
          <w:color w:val="auto"/>
          <w:sz w:val="20"/>
          <w:szCs w:val="20"/>
          <w:lang w:val="es-ES_tradnl"/>
        </w:rPr>
        <w:t xml:space="preserve">Estas determinaciones sobre el incumplimiento de tales principios, resultan aplicables a las 9 muertes y 18 </w:t>
      </w:r>
      <w:r w:rsidR="00461761">
        <w:rPr>
          <w:rFonts w:cs="Courier New"/>
          <w:color w:val="auto"/>
          <w:sz w:val="20"/>
          <w:szCs w:val="20"/>
          <w:lang w:val="es-ES_tradnl"/>
        </w:rPr>
        <w:t xml:space="preserve">situaciones de </w:t>
      </w:r>
      <w:r w:rsidRPr="004C50B0">
        <w:rPr>
          <w:rFonts w:cs="Courier New"/>
          <w:color w:val="auto"/>
          <w:sz w:val="20"/>
          <w:szCs w:val="20"/>
          <w:lang w:val="es-ES_tradnl"/>
        </w:rPr>
        <w:t xml:space="preserve">lesiones físicas causadas como consecuencia del uso de bombas y otras armas que </w:t>
      </w:r>
      <w:r w:rsidR="00461761">
        <w:rPr>
          <w:rFonts w:cs="Courier New"/>
          <w:color w:val="auto"/>
          <w:sz w:val="20"/>
          <w:szCs w:val="20"/>
          <w:lang w:val="es-ES_tradnl"/>
        </w:rPr>
        <w:t>tuvieron un impacto indiscriminado</w:t>
      </w:r>
      <w:r w:rsidRPr="004C50B0">
        <w:rPr>
          <w:rFonts w:cs="Courier New"/>
          <w:color w:val="auto"/>
          <w:sz w:val="20"/>
          <w:szCs w:val="20"/>
          <w:lang w:val="es-ES_tradnl"/>
        </w:rPr>
        <w:t xml:space="preserve">, en personas civiles que se encontraban en sus hogares, lugares </w:t>
      </w:r>
      <w:r w:rsidRPr="00FA5953">
        <w:rPr>
          <w:rFonts w:cs="Courier New"/>
          <w:sz w:val="20"/>
          <w:szCs w:val="20"/>
          <w:lang w:val="es-ES_tradnl"/>
        </w:rPr>
        <w:t xml:space="preserve">de trabajo o en la calle en contextos en los que no se desprende que </w:t>
      </w:r>
      <w:r w:rsidR="00461761">
        <w:rPr>
          <w:rFonts w:cs="Courier New"/>
          <w:sz w:val="20"/>
          <w:szCs w:val="20"/>
          <w:lang w:val="es-ES_tradnl"/>
        </w:rPr>
        <w:t xml:space="preserve">estuvieron participando en ninguna situación de combate u hostilidad. </w:t>
      </w:r>
    </w:p>
    <w:p w:rsidR="00D42282" w:rsidRDefault="00D42282" w:rsidP="00DF107C">
      <w:pPr>
        <w:pStyle w:val="ListParagraph"/>
        <w:jc w:val="both"/>
        <w:rPr>
          <w:rFonts w:cs="Courier New"/>
          <w:sz w:val="20"/>
          <w:szCs w:val="20"/>
          <w:lang w:val="es-ES_tradnl"/>
        </w:rPr>
      </w:pPr>
    </w:p>
    <w:p w:rsidR="00461761" w:rsidRDefault="00DF107C" w:rsidP="003B6A9B">
      <w:pPr>
        <w:pStyle w:val="ListParagraph"/>
        <w:numPr>
          <w:ilvl w:val="0"/>
          <w:numId w:val="58"/>
        </w:numPr>
        <w:ind w:left="0" w:firstLine="720"/>
        <w:jc w:val="both"/>
        <w:rPr>
          <w:rFonts w:cs="Courier New"/>
          <w:sz w:val="20"/>
          <w:szCs w:val="20"/>
          <w:lang w:val="es-ES_tradnl"/>
        </w:rPr>
      </w:pPr>
      <w:r w:rsidRPr="00FA5953">
        <w:rPr>
          <w:rFonts w:cs="Courier New"/>
          <w:sz w:val="20"/>
          <w:szCs w:val="20"/>
          <w:lang w:val="es-ES_tradnl"/>
        </w:rPr>
        <w:t xml:space="preserve">Respecto de estos hechos, la Comisión recuerda lo indicado en la sección de contexto en cuanto a que uno de los cuestionamientos generales a la Operación, fue lo relativo a la desproporción en la magnitud del ataque. Dicha desproporción frente a la real amenaza que implicaba la declaratoria de guerra por parte del Gobierno panameño, se evidencia en la información contextual que indica que en pocas horas las tropas estadounidenses habían logrado un control importante de los blancos militares identificados como estratégicos. De la información disponible, no surge que la resistencia de las tropas panameñas hubiera dificultado significativamente dicha toma de control por parte de las estadounidenses. Este control se vio expresado en varios elementos contextuales, tales como la juramentación de un nuevo Presidente el mismo día que inició la intervención, la instalación de puestos de control en diversas localidades y la ausencia de información concreta sobre miembros de las tropas estadounidenses fallecidos en una proporción que permita considerar que existió una resistencia sostenida por parte de las fuerzas armadas panameñas. </w:t>
      </w:r>
    </w:p>
    <w:p w:rsidR="00461761" w:rsidRDefault="00461761" w:rsidP="00461761">
      <w:pPr>
        <w:pStyle w:val="ListParagraph"/>
        <w:jc w:val="both"/>
        <w:rPr>
          <w:rFonts w:cs="Courier New"/>
          <w:sz w:val="20"/>
          <w:szCs w:val="20"/>
          <w:lang w:val="es-ES_tradnl"/>
        </w:rPr>
      </w:pPr>
    </w:p>
    <w:p w:rsidR="00DF107C" w:rsidRPr="00CA315C" w:rsidRDefault="00DF107C" w:rsidP="007E39B6">
      <w:pPr>
        <w:pStyle w:val="ListParagraph"/>
        <w:numPr>
          <w:ilvl w:val="0"/>
          <w:numId w:val="58"/>
        </w:numPr>
        <w:ind w:left="0" w:firstLine="720"/>
        <w:jc w:val="both"/>
        <w:rPr>
          <w:rFonts w:cs="Courier New"/>
          <w:sz w:val="20"/>
          <w:szCs w:val="20"/>
          <w:lang w:val="es-ES_tradnl"/>
        </w:rPr>
      </w:pPr>
      <w:r w:rsidRPr="00FA5953">
        <w:rPr>
          <w:rFonts w:cs="Courier New"/>
          <w:sz w:val="20"/>
          <w:szCs w:val="20"/>
          <w:lang w:val="es-ES_tradnl"/>
        </w:rPr>
        <w:t xml:space="preserve">Esto es relevante, puesto que, de este elemento contextual relativo a la desproporción del ataque, puede desprenderse que </w:t>
      </w:r>
      <w:r w:rsidR="007E39B6" w:rsidRPr="007E39B6">
        <w:rPr>
          <w:rFonts w:cs="Courier New"/>
          <w:sz w:val="20"/>
          <w:szCs w:val="20"/>
          <w:lang w:val="es-ES_tradnl"/>
        </w:rPr>
        <w:t>el uso más amplio y profundo de la fuerza fue el llevado a cabo por las fuerzas estadouni</w:t>
      </w:r>
      <w:r w:rsidR="007E39B6">
        <w:rPr>
          <w:rFonts w:cs="Courier New"/>
          <w:sz w:val="20"/>
          <w:szCs w:val="20"/>
          <w:lang w:val="es-ES_tradnl"/>
        </w:rPr>
        <w:t>denses. En aquellos casos en los que</w:t>
      </w:r>
      <w:r w:rsidR="007E39B6" w:rsidRPr="007E39B6">
        <w:rPr>
          <w:rFonts w:cs="Courier New"/>
          <w:sz w:val="20"/>
          <w:szCs w:val="20"/>
          <w:lang w:val="es-ES_tradnl"/>
        </w:rPr>
        <w:t xml:space="preserve"> hay poca o ninguna información sobre las circunstancias precisas en las que se utilizó la fuerza letal, pero la información sobre víctimas es clara, dada la falta de investigación y </w:t>
      </w:r>
      <w:r w:rsidR="007E39B6">
        <w:rPr>
          <w:rFonts w:cs="Courier New"/>
          <w:sz w:val="20"/>
          <w:szCs w:val="20"/>
          <w:lang w:val="es-ES_tradnl"/>
        </w:rPr>
        <w:t>esclarecimiento</w:t>
      </w:r>
      <w:r w:rsidR="007E39B6" w:rsidRPr="007E39B6">
        <w:rPr>
          <w:rFonts w:cs="Courier New"/>
          <w:sz w:val="20"/>
          <w:szCs w:val="20"/>
          <w:lang w:val="es-ES_tradnl"/>
        </w:rPr>
        <w:t xml:space="preserve">, y dada la consiguiente ausencia de </w:t>
      </w:r>
      <w:r w:rsidR="007E39B6">
        <w:rPr>
          <w:rFonts w:cs="Courier New"/>
          <w:sz w:val="20"/>
          <w:szCs w:val="20"/>
          <w:lang w:val="es-ES_tradnl"/>
        </w:rPr>
        <w:t xml:space="preserve">declaraciones </w:t>
      </w:r>
      <w:r w:rsidR="007E39B6" w:rsidRPr="007E39B6">
        <w:rPr>
          <w:rFonts w:cs="Courier New"/>
          <w:sz w:val="20"/>
          <w:szCs w:val="20"/>
          <w:lang w:val="es-ES_tradnl"/>
        </w:rPr>
        <w:t xml:space="preserve">o información </w:t>
      </w:r>
      <w:r w:rsidR="007E39B6">
        <w:rPr>
          <w:rFonts w:cs="Courier New"/>
          <w:sz w:val="20"/>
          <w:szCs w:val="20"/>
          <w:lang w:val="es-ES_tradnl"/>
        </w:rPr>
        <w:t xml:space="preserve">en sentido </w:t>
      </w:r>
      <w:r w:rsidR="007E39B6" w:rsidRPr="007E39B6">
        <w:rPr>
          <w:rFonts w:cs="Courier New"/>
          <w:sz w:val="20"/>
          <w:szCs w:val="20"/>
          <w:lang w:val="es-ES_tradnl"/>
        </w:rPr>
        <w:t>contrario</w:t>
      </w:r>
      <w:r w:rsidR="007E39B6">
        <w:rPr>
          <w:rFonts w:cs="Courier New"/>
          <w:sz w:val="20"/>
          <w:szCs w:val="20"/>
          <w:lang w:val="es-ES_tradnl"/>
        </w:rPr>
        <w:t>, l</w:t>
      </w:r>
      <w:r w:rsidR="007E39B6" w:rsidRPr="007E39B6">
        <w:rPr>
          <w:rFonts w:cs="Courier New"/>
          <w:sz w:val="20"/>
          <w:szCs w:val="20"/>
          <w:lang w:val="es-ES_tradnl"/>
        </w:rPr>
        <w:t xml:space="preserve">a Comisión considera que, dado el contexto aplicable y la carga de la prueba, </w:t>
      </w:r>
      <w:r w:rsidR="007631F9">
        <w:rPr>
          <w:rFonts w:cs="Courier New"/>
          <w:sz w:val="20"/>
          <w:szCs w:val="20"/>
          <w:lang w:val="es-ES_tradnl"/>
        </w:rPr>
        <w:t xml:space="preserve">se </w:t>
      </w:r>
      <w:r w:rsidR="007E39B6" w:rsidRPr="007E39B6">
        <w:rPr>
          <w:rFonts w:cs="Courier New"/>
          <w:sz w:val="20"/>
          <w:szCs w:val="20"/>
          <w:lang w:val="es-ES_tradnl"/>
        </w:rPr>
        <w:t>puede inferir que las tropas estadounidenses estuvieron involucr</w:t>
      </w:r>
      <w:r w:rsidR="007E39B6">
        <w:rPr>
          <w:rFonts w:cs="Courier New"/>
          <w:sz w:val="20"/>
          <w:szCs w:val="20"/>
          <w:lang w:val="es-ES_tradnl"/>
        </w:rPr>
        <w:t>adas por acción u omisión</w:t>
      </w:r>
      <w:r w:rsidRPr="00FA5953">
        <w:rPr>
          <w:rFonts w:cs="Courier New"/>
          <w:sz w:val="20"/>
          <w:szCs w:val="20"/>
          <w:lang w:val="es-ES_tradnl"/>
        </w:rPr>
        <w:t xml:space="preserve">.  </w:t>
      </w:r>
    </w:p>
    <w:p w:rsidR="00AF529E" w:rsidRPr="00FA5953" w:rsidRDefault="00AF529E" w:rsidP="00FA5953">
      <w:pPr>
        <w:pStyle w:val="ListParagraph"/>
        <w:widowControl w:val="0"/>
        <w:autoSpaceDE w:val="0"/>
        <w:autoSpaceDN w:val="0"/>
        <w:adjustRightInd w:val="0"/>
        <w:ind w:left="0" w:firstLine="720"/>
        <w:jc w:val="both"/>
        <w:rPr>
          <w:rFonts w:cs="Courier New"/>
          <w:sz w:val="20"/>
          <w:szCs w:val="20"/>
          <w:lang w:val="es-ES_tradnl"/>
        </w:rPr>
      </w:pPr>
    </w:p>
    <w:p w:rsidR="0016414F" w:rsidRDefault="00B053C8" w:rsidP="003B6A9B">
      <w:pPr>
        <w:pStyle w:val="ListParagraph"/>
        <w:numPr>
          <w:ilvl w:val="0"/>
          <w:numId w:val="58"/>
        </w:numPr>
        <w:ind w:left="0" w:firstLine="720"/>
        <w:jc w:val="both"/>
        <w:rPr>
          <w:rFonts w:cs="Courier New"/>
          <w:sz w:val="20"/>
          <w:szCs w:val="20"/>
          <w:lang w:val="es-ES_tradnl"/>
        </w:rPr>
      </w:pPr>
      <w:r w:rsidRPr="00FA5953">
        <w:rPr>
          <w:rFonts w:cs="Courier New"/>
          <w:sz w:val="20"/>
          <w:szCs w:val="20"/>
          <w:lang w:val="es-ES_tradnl"/>
        </w:rPr>
        <w:t xml:space="preserve">Por otra parte, </w:t>
      </w:r>
      <w:r w:rsidR="007631F9">
        <w:rPr>
          <w:rFonts w:cs="Courier New"/>
          <w:sz w:val="20"/>
          <w:szCs w:val="20"/>
          <w:lang w:val="es-ES_tradnl"/>
        </w:rPr>
        <w:t xml:space="preserve">en relación al </w:t>
      </w:r>
      <w:r w:rsidRPr="00FA5953">
        <w:rPr>
          <w:rFonts w:cs="Courier New"/>
          <w:sz w:val="20"/>
          <w:szCs w:val="20"/>
          <w:lang w:val="es-ES_tradnl"/>
        </w:rPr>
        <w:t xml:space="preserve">grupo de 20 personas resultaron muertas y 4 heridas, en el contexto de su paso o cercanía por puestos de control estadounidenses, la Comisión destaca en primer lugar que el Estado no controvirtió la existencia de dichos puestos de control, ni el hecho de que personas panameñas pudieron resultar muertas o heridas de manos de agentes militares a cargo de dichos puestos. Sin embargo, al igual que respecto de los hechos anteriores, el Estado tampoco </w:t>
      </w:r>
      <w:r w:rsidR="007631F9">
        <w:rPr>
          <w:rFonts w:cs="Courier New"/>
          <w:sz w:val="20"/>
          <w:szCs w:val="20"/>
          <w:lang w:val="es-ES_tradnl"/>
        </w:rPr>
        <w:t xml:space="preserve">demostró que </w:t>
      </w:r>
      <w:r w:rsidRPr="00FA5953">
        <w:rPr>
          <w:rFonts w:cs="Courier New"/>
          <w:sz w:val="20"/>
          <w:szCs w:val="20"/>
          <w:lang w:val="es-ES_tradnl"/>
        </w:rPr>
        <w:t>efectuó una investigación sobre todas las muertes y lesiones que se alega que fueron causadas en estos contextos. De las descripciones</w:t>
      </w:r>
      <w:r w:rsidR="007631F9">
        <w:rPr>
          <w:rFonts w:cs="Courier New"/>
          <w:sz w:val="20"/>
          <w:szCs w:val="20"/>
          <w:lang w:val="es-ES_tradnl"/>
        </w:rPr>
        <w:t xml:space="preserve"> presentadas</w:t>
      </w:r>
      <w:r w:rsidRPr="00FA5953">
        <w:rPr>
          <w:rFonts w:cs="Courier New"/>
          <w:sz w:val="20"/>
          <w:szCs w:val="20"/>
          <w:lang w:val="es-ES_tradnl"/>
        </w:rPr>
        <w:t xml:space="preserve"> </w:t>
      </w:r>
      <w:r w:rsidR="007631F9">
        <w:rPr>
          <w:rFonts w:cs="Courier New"/>
          <w:sz w:val="20"/>
          <w:szCs w:val="20"/>
          <w:lang w:val="es-ES_tradnl"/>
        </w:rPr>
        <w:t xml:space="preserve">por </w:t>
      </w:r>
      <w:r w:rsidRPr="00FA5953">
        <w:rPr>
          <w:rFonts w:cs="Courier New"/>
          <w:sz w:val="20"/>
          <w:szCs w:val="20"/>
          <w:lang w:val="es-ES_tradnl"/>
        </w:rPr>
        <w:t xml:space="preserve">las presuntas víctimas y/o sus familiares que, como se indicó, tienen peso probatorio en el </w:t>
      </w:r>
      <w:r w:rsidRPr="00FA5953">
        <w:rPr>
          <w:rFonts w:cs="Courier New"/>
          <w:sz w:val="20"/>
          <w:szCs w:val="20"/>
          <w:lang w:val="es-ES_tradnl"/>
        </w:rPr>
        <w:lastRenderedPageBreak/>
        <w:t xml:space="preserve">presente caso, no se desprende que estas </w:t>
      </w:r>
      <w:r w:rsidR="007631F9">
        <w:rPr>
          <w:rFonts w:cs="Courier New"/>
          <w:sz w:val="20"/>
          <w:szCs w:val="20"/>
          <w:lang w:val="es-ES_tradnl"/>
        </w:rPr>
        <w:t>víctimas</w:t>
      </w:r>
      <w:r w:rsidRPr="00FA5953">
        <w:rPr>
          <w:rFonts w:cs="Courier New"/>
          <w:sz w:val="20"/>
          <w:szCs w:val="20"/>
          <w:lang w:val="es-ES_tradnl"/>
        </w:rPr>
        <w:t xml:space="preserve"> fueran combatientes, estuvieran participando en hostilidades o representaran un peligro real o inminente respecto de los agentes a cargo de dichos puestos, en su paso o cercanía de los mismos. En consecuencia, de la información disponible</w:t>
      </w:r>
      <w:r w:rsidR="007631F9">
        <w:rPr>
          <w:rFonts w:cs="Courier New"/>
          <w:sz w:val="20"/>
          <w:szCs w:val="20"/>
          <w:lang w:val="es-ES_tradnl"/>
        </w:rPr>
        <w:t xml:space="preserve">, la Comisión encuentra razonable inferir que </w:t>
      </w:r>
      <w:r w:rsidRPr="00FA5953">
        <w:rPr>
          <w:rFonts w:cs="Courier New"/>
          <w:sz w:val="20"/>
          <w:szCs w:val="20"/>
          <w:lang w:val="es-ES_tradnl"/>
        </w:rPr>
        <w:t>el uso puntual de la fuerza en tales casos, fue violatorio de los principios de</w:t>
      </w:r>
      <w:r w:rsidR="007631F9">
        <w:rPr>
          <w:rFonts w:cs="Courier New"/>
          <w:sz w:val="20"/>
          <w:szCs w:val="20"/>
          <w:lang w:val="es-ES_tradnl"/>
        </w:rPr>
        <w:t xml:space="preserve"> distinción, necesidad, </w:t>
      </w:r>
      <w:r w:rsidRPr="00FA5953">
        <w:rPr>
          <w:rFonts w:cs="Courier New"/>
          <w:sz w:val="20"/>
          <w:szCs w:val="20"/>
          <w:lang w:val="es-ES_tradnl"/>
        </w:rPr>
        <w:t>proporcionalidad</w:t>
      </w:r>
      <w:r w:rsidR="007631F9">
        <w:rPr>
          <w:rFonts w:cs="Courier New"/>
          <w:sz w:val="20"/>
          <w:szCs w:val="20"/>
          <w:lang w:val="es-ES_tradnl"/>
        </w:rPr>
        <w:t xml:space="preserve"> y precaución</w:t>
      </w:r>
      <w:r w:rsidRPr="00FA5953">
        <w:rPr>
          <w:rFonts w:cs="Courier New"/>
          <w:sz w:val="20"/>
          <w:szCs w:val="20"/>
          <w:lang w:val="es-ES_tradnl"/>
        </w:rPr>
        <w:t xml:space="preserve">. </w:t>
      </w:r>
    </w:p>
    <w:p w:rsidR="0016414F" w:rsidRDefault="0016414F" w:rsidP="0016414F">
      <w:pPr>
        <w:pStyle w:val="ListParagraph"/>
        <w:jc w:val="both"/>
        <w:rPr>
          <w:rFonts w:cs="Courier New"/>
          <w:sz w:val="20"/>
          <w:szCs w:val="20"/>
          <w:lang w:val="es-ES_tradnl"/>
        </w:rPr>
      </w:pPr>
    </w:p>
    <w:p w:rsidR="0016414F" w:rsidRPr="00A25564" w:rsidRDefault="007631F9" w:rsidP="00CA4B45">
      <w:pPr>
        <w:pStyle w:val="ListParagraph"/>
        <w:numPr>
          <w:ilvl w:val="0"/>
          <w:numId w:val="58"/>
        </w:numPr>
        <w:ind w:left="0" w:firstLine="720"/>
        <w:jc w:val="both"/>
        <w:rPr>
          <w:rFonts w:cs="Courier New"/>
          <w:sz w:val="20"/>
          <w:szCs w:val="20"/>
          <w:lang w:val="es-ES_tradnl"/>
        </w:rPr>
      </w:pPr>
      <w:r>
        <w:rPr>
          <w:rFonts w:cs="Courier New"/>
          <w:sz w:val="20"/>
          <w:szCs w:val="20"/>
          <w:lang w:val="es-ES_tradnl"/>
        </w:rPr>
        <w:t>S</w:t>
      </w:r>
      <w:r w:rsidR="00B053C8" w:rsidRPr="00FA5953">
        <w:rPr>
          <w:rFonts w:cs="Courier New"/>
          <w:sz w:val="20"/>
          <w:szCs w:val="20"/>
          <w:lang w:val="es-ES_tradnl"/>
        </w:rPr>
        <w:t>ólo en uno de estos casos se hizo referencia a</w:t>
      </w:r>
      <w:r w:rsidR="003A11A3">
        <w:rPr>
          <w:rFonts w:cs="Courier New"/>
          <w:sz w:val="20"/>
          <w:szCs w:val="20"/>
          <w:lang w:val="es-ES_tradnl"/>
        </w:rPr>
        <w:t xml:space="preserve"> la existencia </w:t>
      </w:r>
      <w:r w:rsidR="00B053C8" w:rsidRPr="00FA5953">
        <w:rPr>
          <w:rFonts w:cs="Courier New"/>
          <w:sz w:val="20"/>
          <w:szCs w:val="20"/>
          <w:lang w:val="es-ES_tradnl"/>
        </w:rPr>
        <w:t>de una granada</w:t>
      </w:r>
      <w:r w:rsidR="003A11A3">
        <w:rPr>
          <w:rFonts w:cs="Courier New"/>
          <w:sz w:val="20"/>
          <w:szCs w:val="20"/>
          <w:lang w:val="es-ES_tradnl"/>
        </w:rPr>
        <w:t xml:space="preserve"> en el automóvil. </w:t>
      </w:r>
      <w:r w:rsidR="00B053C8" w:rsidRPr="00FA5953">
        <w:rPr>
          <w:rFonts w:cs="Courier New"/>
          <w:sz w:val="20"/>
          <w:szCs w:val="20"/>
          <w:lang w:val="es-ES_tradnl"/>
        </w:rPr>
        <w:t>Sin embargo, más allá de tal referencia puntual que podría</w:t>
      </w:r>
      <w:r w:rsidR="00D34806">
        <w:rPr>
          <w:rFonts w:cs="Courier New"/>
          <w:sz w:val="20"/>
          <w:szCs w:val="20"/>
          <w:lang w:val="es-ES_tradnl"/>
        </w:rPr>
        <w:t xml:space="preserve"> implicar </w:t>
      </w:r>
      <w:r w:rsidR="00CA4B45">
        <w:rPr>
          <w:rFonts w:cs="Courier New"/>
          <w:sz w:val="20"/>
          <w:szCs w:val="20"/>
          <w:lang w:val="es-ES_tradnl"/>
        </w:rPr>
        <w:t xml:space="preserve">la necesidad de hacer </w:t>
      </w:r>
      <w:r w:rsidR="00D34806">
        <w:rPr>
          <w:rFonts w:cs="Courier New"/>
          <w:sz w:val="20"/>
          <w:szCs w:val="20"/>
          <w:lang w:val="es-ES_tradnl"/>
        </w:rPr>
        <w:t xml:space="preserve">una valoración de este caso como en el contexto de hostilidades, </w:t>
      </w:r>
      <w:r w:rsidR="00CA4B45" w:rsidRPr="00CA4B45">
        <w:rPr>
          <w:rFonts w:cs="Courier New"/>
          <w:sz w:val="20"/>
          <w:szCs w:val="20"/>
          <w:lang w:val="es-ES_tradnl"/>
        </w:rPr>
        <w:t>la Comisión tiene en cuenta que se llevó a cabo una investigación en los Estados Unidos. Sin embargo, la información proporcionada en declaraciones de testigos presentadas ante la Comisión indica que los pasajeros en ese vehículo habían sido neutralizados en el momento del tiroteo. Dadas las contradicciones, la información presentada ante la Comisión es insuficiente para demostrar cómo o por qué el uso de la fuerza contra esa</w:t>
      </w:r>
      <w:r w:rsidR="00CA4B45">
        <w:rPr>
          <w:rFonts w:cs="Courier New"/>
          <w:sz w:val="20"/>
          <w:szCs w:val="20"/>
          <w:lang w:val="es-ES_tradnl"/>
        </w:rPr>
        <w:t>s</w:t>
      </w:r>
      <w:r w:rsidR="00CA4B45" w:rsidRPr="00CA4B45">
        <w:rPr>
          <w:rFonts w:cs="Courier New"/>
          <w:sz w:val="20"/>
          <w:szCs w:val="20"/>
          <w:lang w:val="es-ES_tradnl"/>
        </w:rPr>
        <w:t xml:space="preserve"> persona</w:t>
      </w:r>
      <w:r w:rsidR="00CA4B45">
        <w:rPr>
          <w:rFonts w:cs="Courier New"/>
          <w:sz w:val="20"/>
          <w:szCs w:val="20"/>
          <w:lang w:val="es-ES_tradnl"/>
        </w:rPr>
        <w:t>s</w:t>
      </w:r>
      <w:r w:rsidR="00CA4B45" w:rsidRPr="00CA4B45">
        <w:rPr>
          <w:rFonts w:cs="Courier New"/>
          <w:sz w:val="20"/>
          <w:szCs w:val="20"/>
          <w:lang w:val="es-ES_tradnl"/>
        </w:rPr>
        <w:t xml:space="preserve"> era necesario y proporcional al riesgo que supuestamente representaba</w:t>
      </w:r>
      <w:r w:rsidR="00CA4B45">
        <w:rPr>
          <w:rFonts w:cs="Courier New"/>
          <w:sz w:val="20"/>
          <w:szCs w:val="20"/>
          <w:lang w:val="es-ES_tradnl"/>
        </w:rPr>
        <w:t>n</w:t>
      </w:r>
      <w:r w:rsidR="003A11A3">
        <w:rPr>
          <w:rFonts w:cs="Courier New"/>
          <w:sz w:val="20"/>
          <w:szCs w:val="20"/>
          <w:lang w:val="es-ES_tradnl"/>
        </w:rPr>
        <w:t>.</w:t>
      </w:r>
      <w:r w:rsidR="0016414F">
        <w:rPr>
          <w:rFonts w:cs="Courier New"/>
          <w:sz w:val="20"/>
          <w:szCs w:val="20"/>
          <w:lang w:val="es-ES_tradnl"/>
        </w:rPr>
        <w:t xml:space="preserve"> Más aún, </w:t>
      </w:r>
      <w:r w:rsidR="0016414F" w:rsidRPr="0016414F">
        <w:rPr>
          <w:rFonts w:cs="Courier New"/>
          <w:sz w:val="20"/>
          <w:szCs w:val="20"/>
          <w:lang w:val="es-ES_tradnl"/>
        </w:rPr>
        <w:t xml:space="preserve">la CIDH </w:t>
      </w:r>
      <w:r w:rsidR="00CA4B45">
        <w:rPr>
          <w:rFonts w:cs="Courier New"/>
          <w:sz w:val="20"/>
          <w:szCs w:val="20"/>
          <w:lang w:val="es-ES_tradnl"/>
        </w:rPr>
        <w:t>observa</w:t>
      </w:r>
      <w:r w:rsidR="0016414F" w:rsidRPr="0016414F">
        <w:rPr>
          <w:rFonts w:cs="Courier New"/>
          <w:sz w:val="20"/>
          <w:szCs w:val="20"/>
          <w:lang w:val="es-ES_tradnl"/>
        </w:rPr>
        <w:t xml:space="preserve"> las inconsistencias entre los testigos ante la averiguación fiscal desarrollada por el Ministerio Público panameño y los soldados estadounidenses en relación a la explosión de una granada y </w:t>
      </w:r>
      <w:r w:rsidR="00885E93">
        <w:rPr>
          <w:rFonts w:cs="Courier New"/>
          <w:sz w:val="20"/>
          <w:szCs w:val="20"/>
          <w:lang w:val="es-ES_tradnl"/>
        </w:rPr>
        <w:t xml:space="preserve">a </w:t>
      </w:r>
      <w:r w:rsidR="0016414F" w:rsidRPr="0016414F">
        <w:rPr>
          <w:rFonts w:cs="Courier New"/>
          <w:sz w:val="20"/>
          <w:szCs w:val="20"/>
          <w:lang w:val="es-ES_tradnl"/>
        </w:rPr>
        <w:t>la situación en la que se encontraban los fallecidos</w:t>
      </w:r>
      <w:r w:rsidR="00885E93">
        <w:rPr>
          <w:rFonts w:cs="Courier New"/>
          <w:sz w:val="20"/>
          <w:szCs w:val="20"/>
          <w:lang w:val="es-ES_tradnl"/>
        </w:rPr>
        <w:t xml:space="preserve"> en este caso</w:t>
      </w:r>
      <w:r w:rsidR="0016414F" w:rsidRPr="0016414F">
        <w:rPr>
          <w:rFonts w:cs="Courier New"/>
          <w:sz w:val="20"/>
          <w:szCs w:val="20"/>
          <w:lang w:val="es-ES_tradnl"/>
        </w:rPr>
        <w:t xml:space="preserve">. Estas inconsistencias </w:t>
      </w:r>
      <w:r w:rsidR="00885E93">
        <w:rPr>
          <w:rFonts w:cs="Courier New"/>
          <w:sz w:val="20"/>
          <w:szCs w:val="20"/>
          <w:lang w:val="es-ES_tradnl"/>
        </w:rPr>
        <w:t xml:space="preserve">adicionalmente </w:t>
      </w:r>
      <w:r w:rsidR="0016414F" w:rsidRPr="0016414F">
        <w:rPr>
          <w:rFonts w:cs="Courier New"/>
          <w:sz w:val="20"/>
          <w:szCs w:val="20"/>
          <w:lang w:val="es-ES_tradnl"/>
        </w:rPr>
        <w:t>ameritaban una investigación de oficio para el esclarecimiento de los hechos.</w:t>
      </w:r>
    </w:p>
    <w:p w:rsidR="0016414F" w:rsidRPr="00FA5953" w:rsidRDefault="0016414F" w:rsidP="00FA5953">
      <w:pPr>
        <w:pStyle w:val="ListParagraph"/>
        <w:widowControl w:val="0"/>
        <w:autoSpaceDE w:val="0"/>
        <w:autoSpaceDN w:val="0"/>
        <w:adjustRightInd w:val="0"/>
        <w:ind w:left="0" w:firstLine="720"/>
        <w:jc w:val="both"/>
        <w:rPr>
          <w:rFonts w:cs="Courier New"/>
          <w:sz w:val="20"/>
          <w:szCs w:val="20"/>
          <w:lang w:val="es-ES_tradnl"/>
        </w:rPr>
      </w:pPr>
    </w:p>
    <w:p w:rsidR="00B053C8" w:rsidRPr="00FA5953" w:rsidRDefault="00B053C8" w:rsidP="003B6A9B">
      <w:pPr>
        <w:pStyle w:val="ListParagraph"/>
        <w:numPr>
          <w:ilvl w:val="0"/>
          <w:numId w:val="58"/>
        </w:numPr>
        <w:ind w:left="0" w:firstLine="720"/>
        <w:jc w:val="both"/>
        <w:rPr>
          <w:rFonts w:cs="Courier New"/>
          <w:sz w:val="20"/>
          <w:szCs w:val="20"/>
          <w:lang w:val="es-ES_tradnl"/>
        </w:rPr>
      </w:pPr>
      <w:r w:rsidRPr="00FA5953">
        <w:rPr>
          <w:rFonts w:eastAsia="MS Mincho"/>
          <w:sz w:val="20"/>
          <w:szCs w:val="20"/>
          <w:bdr w:val="none" w:sz="0" w:space="0" w:color="auto"/>
          <w:lang w:val="es-VE"/>
        </w:rPr>
        <w:t xml:space="preserve">La Comisión toma nota del criterio desarrollado por la Corte Europea de Derechos Humanos, en relación al uso de la fuerza letal por el Estado en un punto de control, desarrollado en el </w:t>
      </w:r>
      <w:r w:rsidRPr="00FA5953">
        <w:rPr>
          <w:rFonts w:eastAsia="MS Mincho"/>
          <w:i/>
          <w:sz w:val="20"/>
          <w:szCs w:val="20"/>
          <w:bdr w:val="none" w:sz="0" w:space="0" w:color="auto"/>
          <w:lang w:val="es-VE"/>
        </w:rPr>
        <w:t xml:space="preserve">caso </w:t>
      </w:r>
      <w:r w:rsidRPr="00FA5953">
        <w:rPr>
          <w:rFonts w:eastAsia="MS Mincho"/>
          <w:bCs/>
          <w:i/>
          <w:sz w:val="20"/>
          <w:szCs w:val="20"/>
          <w:bdr w:val="none" w:sz="0" w:space="0" w:color="auto"/>
          <w:lang w:val="es-VE"/>
        </w:rPr>
        <w:t>Pisari v. la República de Moldova y Rusia</w:t>
      </w:r>
      <w:r w:rsidRPr="00FA5953">
        <w:rPr>
          <w:rFonts w:eastAsia="MS Mincho"/>
          <w:bCs/>
          <w:sz w:val="20"/>
          <w:szCs w:val="20"/>
          <w:bdr w:val="none" w:sz="0" w:space="0" w:color="auto"/>
          <w:lang w:val="es-VE"/>
        </w:rPr>
        <w:t xml:space="preserve">. En dicha sentencia, la Corte </w:t>
      </w:r>
      <w:r w:rsidR="00885E93">
        <w:rPr>
          <w:rFonts w:eastAsia="MS Mincho"/>
          <w:bCs/>
          <w:sz w:val="20"/>
          <w:szCs w:val="20"/>
          <w:bdr w:val="none" w:sz="0" w:space="0" w:color="auto"/>
          <w:lang w:val="es-VE"/>
        </w:rPr>
        <w:t xml:space="preserve">Europea </w:t>
      </w:r>
      <w:r w:rsidRPr="00FA5953">
        <w:rPr>
          <w:rFonts w:eastAsia="MS Mincho"/>
          <w:bCs/>
          <w:sz w:val="20"/>
          <w:szCs w:val="20"/>
          <w:bdr w:val="none" w:sz="0" w:space="0" w:color="auto"/>
          <w:lang w:val="es-VE"/>
        </w:rPr>
        <w:t>en el análisis sobre la justificación del uso de la fuerza letal como último recurso para evitar “un peligro muy claro e inminente del conductor de un automóvil en caso de que se le permitiera escapar”</w:t>
      </w:r>
      <w:r w:rsidRPr="00FA5953">
        <w:rPr>
          <w:rStyle w:val="FootnoteReference"/>
          <w:rFonts w:eastAsia="MS Mincho"/>
          <w:bCs/>
          <w:color w:val="auto"/>
          <w:sz w:val="20"/>
          <w:szCs w:val="20"/>
          <w:bdr w:val="none" w:sz="0" w:space="0" w:color="auto"/>
          <w:lang w:val="es-VE"/>
        </w:rPr>
        <w:footnoteReference w:id="663"/>
      </w:r>
      <w:r w:rsidRPr="00FA5953">
        <w:rPr>
          <w:rFonts w:eastAsia="MS Mincho"/>
          <w:bCs/>
          <w:sz w:val="20"/>
          <w:szCs w:val="20"/>
          <w:bdr w:val="none" w:sz="0" w:space="0" w:color="auto"/>
          <w:lang w:val="es-VE"/>
        </w:rPr>
        <w:t>, consideró que no existió, en el marco de los hechos, el nivel de amenaza requerido para que el conductor “tuviera que ser detenido inmediatamente por disparos”</w:t>
      </w:r>
      <w:r w:rsidRPr="00FA5953">
        <w:rPr>
          <w:rStyle w:val="FootnoteReference"/>
          <w:rFonts w:eastAsia="MS Mincho"/>
          <w:bCs/>
          <w:color w:val="auto"/>
          <w:sz w:val="20"/>
          <w:szCs w:val="20"/>
          <w:bdr w:val="none" w:sz="0" w:space="0" w:color="auto"/>
          <w:lang w:val="es-VE"/>
        </w:rPr>
        <w:footnoteReference w:id="664"/>
      </w:r>
      <w:r w:rsidRPr="00FA5953">
        <w:rPr>
          <w:rFonts w:eastAsia="MS Mincho"/>
          <w:bCs/>
          <w:sz w:val="20"/>
          <w:szCs w:val="20"/>
          <w:bdr w:val="none" w:sz="0" w:space="0" w:color="auto"/>
          <w:lang w:val="es-VE"/>
        </w:rPr>
        <w:t xml:space="preserve">. </w:t>
      </w:r>
    </w:p>
    <w:p w:rsidR="00B053C8" w:rsidRPr="00FA5953" w:rsidRDefault="00B053C8" w:rsidP="00FA5953">
      <w:pPr>
        <w:pStyle w:val="ListParagraph"/>
        <w:widowControl w:val="0"/>
        <w:autoSpaceDE w:val="0"/>
        <w:autoSpaceDN w:val="0"/>
        <w:adjustRightInd w:val="0"/>
        <w:ind w:left="0" w:firstLine="720"/>
        <w:jc w:val="both"/>
        <w:rPr>
          <w:rFonts w:cs="Courier New"/>
          <w:sz w:val="20"/>
          <w:szCs w:val="20"/>
          <w:lang w:val="es-ES_tradnl"/>
        </w:rPr>
      </w:pPr>
    </w:p>
    <w:p w:rsidR="00B053C8" w:rsidRPr="00FA5953" w:rsidRDefault="00B053C8" w:rsidP="003B6A9B">
      <w:pPr>
        <w:pStyle w:val="ListParagraph"/>
        <w:numPr>
          <w:ilvl w:val="0"/>
          <w:numId w:val="58"/>
        </w:numPr>
        <w:ind w:left="0" w:firstLine="720"/>
        <w:jc w:val="both"/>
        <w:rPr>
          <w:rFonts w:cs="Courier New"/>
          <w:sz w:val="20"/>
          <w:szCs w:val="20"/>
          <w:lang w:val="es-ES_tradnl"/>
        </w:rPr>
      </w:pPr>
      <w:r w:rsidRPr="00FA5953">
        <w:rPr>
          <w:rFonts w:eastAsia="MS Mincho"/>
          <w:bCs/>
          <w:sz w:val="20"/>
          <w:szCs w:val="20"/>
          <w:bdr w:val="none" w:sz="0" w:space="0" w:color="auto"/>
          <w:lang w:val="es-VE"/>
        </w:rPr>
        <w:t>En este sentido la Corte Europea consideró la inexistencia de una indicación obvia del peligro, aun cuando el conductor ya había pasado sin detenerse otros 3 puntos de control, y por lo tanto injustificada el uso de la fuerza letal en contra de la víctima. En su análisis incluyó y valoró como elementos determinantes: la existencia de</w:t>
      </w:r>
      <w:r w:rsidRPr="00FA5953">
        <w:rPr>
          <w:rFonts w:eastAsia="MS Mincho"/>
          <w:sz w:val="20"/>
          <w:szCs w:val="20"/>
          <w:bdr w:val="none" w:sz="0" w:space="0" w:color="auto"/>
          <w:lang w:val="es-VE"/>
        </w:rPr>
        <w:t xml:space="preserve"> medios alternativos disponibles para detener el automóvil sin recurrir a la fuerza letal, la falta de equipo apropiado en el puesto de control para inmovilizar automóviles, el recurso automático a la fuerza letal por las fuerzas armadas y la ausencia de una investigación efectiva que podría haber arrojado una luz diferente sobre los hechos más allá de los testimonios de los actores involucrados</w:t>
      </w:r>
      <w:r w:rsidRPr="00FA5953">
        <w:rPr>
          <w:rStyle w:val="FootnoteReference"/>
          <w:rFonts w:eastAsia="MS Mincho"/>
          <w:color w:val="auto"/>
          <w:sz w:val="20"/>
          <w:szCs w:val="20"/>
          <w:bdr w:val="none" w:sz="0" w:space="0" w:color="auto"/>
          <w:lang w:val="es-VE"/>
        </w:rPr>
        <w:footnoteReference w:id="665"/>
      </w:r>
      <w:r w:rsidRPr="00FA5953">
        <w:rPr>
          <w:rFonts w:eastAsia="MS Mincho"/>
          <w:sz w:val="20"/>
          <w:szCs w:val="20"/>
          <w:bdr w:val="none" w:sz="0" w:space="0" w:color="auto"/>
          <w:lang w:val="es-VE"/>
        </w:rPr>
        <w:t>. Es importante destacar que el caso abordó la cuestión de la responsabilidad del Estado por las acciones de un soldado ruso en un puesto de control de mantenimiento de la paz en Moldova, que resultó en la muerte de un joven, Vadim Pisari. El puesto de control en cuestión estaba situado en la zona de seguridad establecida tras un acuerdo para poner fin al conflicto militar en la región de Transdniéster de Moldavia en 1992 y estaba bajo el mando de soldados rusos.</w:t>
      </w:r>
    </w:p>
    <w:p w:rsidR="00B053C8" w:rsidRPr="00FA5953" w:rsidRDefault="00B053C8" w:rsidP="00FA5953">
      <w:pPr>
        <w:pStyle w:val="ListParagraph"/>
        <w:widowControl w:val="0"/>
        <w:autoSpaceDE w:val="0"/>
        <w:autoSpaceDN w:val="0"/>
        <w:adjustRightInd w:val="0"/>
        <w:ind w:left="0" w:firstLine="720"/>
        <w:jc w:val="both"/>
        <w:rPr>
          <w:rFonts w:cs="Courier New"/>
          <w:sz w:val="20"/>
          <w:szCs w:val="20"/>
          <w:lang w:val="es-ES_tradnl"/>
        </w:rPr>
      </w:pPr>
    </w:p>
    <w:p w:rsidR="00B053C8" w:rsidRPr="00FA5953" w:rsidRDefault="00B053C8" w:rsidP="003B6A9B">
      <w:pPr>
        <w:pStyle w:val="ListParagraph"/>
        <w:numPr>
          <w:ilvl w:val="0"/>
          <w:numId w:val="58"/>
        </w:numPr>
        <w:ind w:left="0" w:firstLine="720"/>
        <w:jc w:val="both"/>
        <w:rPr>
          <w:rFonts w:cs="Courier New"/>
          <w:sz w:val="20"/>
          <w:szCs w:val="20"/>
          <w:lang w:val="es-ES_tradnl"/>
        </w:rPr>
      </w:pPr>
      <w:r w:rsidRPr="00FA5953">
        <w:rPr>
          <w:rFonts w:cs="Courier New"/>
          <w:sz w:val="20"/>
          <w:szCs w:val="20"/>
          <w:lang w:val="es-ES_tradnl"/>
        </w:rPr>
        <w:t xml:space="preserve">En un análisis similar, la CIDH es de la opinión que </w:t>
      </w:r>
      <w:r w:rsidR="00885E93">
        <w:rPr>
          <w:rFonts w:cs="Courier New"/>
          <w:sz w:val="20"/>
          <w:szCs w:val="20"/>
          <w:lang w:val="es-ES_tradnl"/>
        </w:rPr>
        <w:t xml:space="preserve">los Estados Unidos </w:t>
      </w:r>
      <w:r w:rsidRPr="00FA5953">
        <w:rPr>
          <w:rFonts w:cs="Courier New"/>
          <w:sz w:val="20"/>
          <w:szCs w:val="20"/>
          <w:lang w:val="es-ES_tradnl"/>
        </w:rPr>
        <w:t>no presentó elementos que demuestren una justificación para la necesidad de emplear el uso de la fuerza letal en el marco de los hechos descritos en los puntos de control, ni presentó información que permita concluir que se hayan adoptado medidas suficientes de prevención y planificación para capacitar a los soldados en la valoración de la existencia de un peligro claro e inminente que justifique el uso de fuerza letal o la adecuación de los puntos de control y de los soldados en medios alternativos al uso de la fuerza letal. Asimismo la CIDH destaca que en relación al grupo de las 20 personas que resultaron muertas y las 4 personas que resultaron heridas, no resulta obvia la situación de amenaza de peligro claro e inminente que alguna de estas haya representado; que el Estado haya empleado medios alternativos para inmovilizar algún peligro; ni que se hayan emprendido de oficio investigaciones serias e independientes para esclarecer los hechos y recolectar evidencia. No fue demostrado la necesidad ni proporcionalidad del uso de la fuerza empleada, en casos donde individuos estaban trasladando heridos y en casos en los que</w:t>
      </w:r>
      <w:r w:rsidR="00885E93">
        <w:rPr>
          <w:rFonts w:cs="Courier New"/>
          <w:sz w:val="20"/>
          <w:szCs w:val="20"/>
          <w:lang w:val="es-ES_tradnl"/>
        </w:rPr>
        <w:t>, con la excepción referida anteriormente,</w:t>
      </w:r>
      <w:r w:rsidRPr="00FA5953">
        <w:rPr>
          <w:rFonts w:cs="Courier New"/>
          <w:sz w:val="20"/>
          <w:szCs w:val="20"/>
          <w:lang w:val="es-ES_tradnl"/>
        </w:rPr>
        <w:t xml:space="preserve"> había personas desarmadas. </w:t>
      </w:r>
    </w:p>
    <w:p w:rsidR="00B053C8" w:rsidRPr="00FA5953" w:rsidRDefault="00B053C8" w:rsidP="00FA5953">
      <w:pPr>
        <w:pStyle w:val="ListParagraph"/>
        <w:widowControl w:val="0"/>
        <w:autoSpaceDE w:val="0"/>
        <w:autoSpaceDN w:val="0"/>
        <w:adjustRightInd w:val="0"/>
        <w:ind w:left="0" w:firstLine="720"/>
        <w:jc w:val="both"/>
        <w:rPr>
          <w:rFonts w:cs="Courier New"/>
          <w:sz w:val="20"/>
          <w:szCs w:val="20"/>
          <w:lang w:val="es-ES_tradnl"/>
        </w:rPr>
      </w:pPr>
    </w:p>
    <w:p w:rsidR="00B053C8" w:rsidRPr="00FA5953" w:rsidRDefault="00B053C8" w:rsidP="003B6A9B">
      <w:pPr>
        <w:pStyle w:val="ListParagraph"/>
        <w:numPr>
          <w:ilvl w:val="0"/>
          <w:numId w:val="58"/>
        </w:numPr>
        <w:ind w:left="0" w:firstLine="720"/>
        <w:jc w:val="both"/>
        <w:rPr>
          <w:rFonts w:cs="Courier New"/>
          <w:sz w:val="20"/>
          <w:szCs w:val="20"/>
          <w:lang w:val="es-ES_tradnl"/>
        </w:rPr>
      </w:pPr>
      <w:bookmarkStart w:id="41" w:name="_Hlk499854398"/>
      <w:r w:rsidRPr="00FA5953">
        <w:rPr>
          <w:rFonts w:cs="Courier New"/>
          <w:sz w:val="20"/>
          <w:szCs w:val="20"/>
          <w:lang w:val="es-ES_tradnl"/>
        </w:rPr>
        <w:t xml:space="preserve">De lo dicho hasta el momento, la Comisión considera que existen suficientes elementos para concluir que Estados Unidos no logró demostrar que, en el marco del diseño y ejecución de la Operación Justa </w:t>
      </w:r>
      <w:r w:rsidRPr="00FA5953">
        <w:rPr>
          <w:rFonts w:cs="Courier New"/>
          <w:sz w:val="20"/>
          <w:szCs w:val="20"/>
          <w:lang w:val="es-ES_tradnl"/>
        </w:rPr>
        <w:lastRenderedPageBreak/>
        <w:t>Causa, cumplió con sus obligaciones internacionales a la luz de la Declaración Americana, interpretada a la luz de los principios relevantes del derecho internacional humanitario. En ese sentido, la Comisión establece su responsabilidad internacional por la violación de los derechos a la vida, integridad y seguridad personales consagrados en el artículo I de la Declaración Am</w:t>
      </w:r>
      <w:bookmarkEnd w:id="41"/>
      <w:r w:rsidRPr="00FA5953">
        <w:rPr>
          <w:rFonts w:cs="Courier New"/>
          <w:sz w:val="20"/>
          <w:szCs w:val="20"/>
          <w:lang w:val="es-ES_tradnl"/>
        </w:rPr>
        <w:t xml:space="preserve">ericana en perjuicio de las personas que perdieron la vida y resultaron heridas, en los contextos analizados en los párrafos precedentes </w:t>
      </w:r>
      <w:r w:rsidRPr="00BA1E16">
        <w:rPr>
          <w:rFonts w:cs="Courier New"/>
          <w:color w:val="auto"/>
          <w:sz w:val="20"/>
          <w:szCs w:val="20"/>
          <w:lang w:val="es-ES_tradnl"/>
        </w:rPr>
        <w:t xml:space="preserve">(Ver Anexo </w:t>
      </w:r>
      <w:r w:rsidR="00BA1E16" w:rsidRPr="00BA1E16">
        <w:rPr>
          <w:rFonts w:cs="Courier New"/>
          <w:color w:val="auto"/>
          <w:sz w:val="20"/>
          <w:szCs w:val="20"/>
          <w:lang w:val="es-ES_tradnl"/>
        </w:rPr>
        <w:t>1</w:t>
      </w:r>
      <w:r w:rsidR="00BA1E16">
        <w:rPr>
          <w:rFonts w:cs="Courier New"/>
          <w:color w:val="auto"/>
          <w:sz w:val="20"/>
          <w:szCs w:val="20"/>
          <w:lang w:val="es-ES_tradnl"/>
        </w:rPr>
        <w:t xml:space="preserve"> del presente I</w:t>
      </w:r>
      <w:r w:rsidRPr="00BA1E16">
        <w:rPr>
          <w:rFonts w:cs="Courier New"/>
          <w:color w:val="auto"/>
          <w:sz w:val="20"/>
          <w:szCs w:val="20"/>
          <w:lang w:val="es-ES_tradnl"/>
        </w:rPr>
        <w:t xml:space="preserve">nforme de </w:t>
      </w:r>
      <w:r w:rsidR="00BA1E16">
        <w:rPr>
          <w:rFonts w:cs="Courier New"/>
          <w:color w:val="auto"/>
          <w:sz w:val="20"/>
          <w:szCs w:val="20"/>
          <w:lang w:val="es-ES_tradnl"/>
        </w:rPr>
        <w:t>F</w:t>
      </w:r>
      <w:r w:rsidRPr="00BA1E16">
        <w:rPr>
          <w:rFonts w:cs="Courier New"/>
          <w:color w:val="auto"/>
          <w:sz w:val="20"/>
          <w:szCs w:val="20"/>
          <w:lang w:val="es-ES_tradnl"/>
        </w:rPr>
        <w:t>ondo)</w:t>
      </w:r>
      <w:r w:rsidR="004C50B0" w:rsidRPr="00BA1E16">
        <w:rPr>
          <w:rFonts w:cs="Courier New"/>
          <w:color w:val="auto"/>
          <w:sz w:val="20"/>
          <w:szCs w:val="20"/>
          <w:lang w:val="es-ES_tradnl"/>
        </w:rPr>
        <w:t>.</w:t>
      </w:r>
      <w:r w:rsidRPr="00BA1E16">
        <w:rPr>
          <w:rFonts w:cs="Courier New"/>
          <w:color w:val="auto"/>
          <w:sz w:val="20"/>
          <w:szCs w:val="20"/>
          <w:lang w:val="es-ES_tradnl"/>
        </w:rPr>
        <w:t xml:space="preserve"> </w:t>
      </w:r>
      <w:r w:rsidRPr="00FA5953">
        <w:rPr>
          <w:rFonts w:cs="Courier New"/>
          <w:sz w:val="20"/>
          <w:szCs w:val="20"/>
          <w:lang w:val="es-ES_tradnl"/>
        </w:rPr>
        <w:t>La Comisión observa que varias de las víctimas fallecidas y de las víctimas lesionadas físicamente, eran niños y niñas al momento en que ocurrieron los hechos. E</w:t>
      </w:r>
      <w:r w:rsidR="00BA1E16">
        <w:rPr>
          <w:rFonts w:cs="Courier New"/>
          <w:sz w:val="20"/>
          <w:szCs w:val="20"/>
          <w:lang w:val="es-ES_tradnl"/>
        </w:rPr>
        <w:t xml:space="preserve">n ese sentido, respecto de estos niños y niñas, </w:t>
      </w:r>
      <w:r w:rsidRPr="00FA5953">
        <w:rPr>
          <w:rFonts w:cs="Courier New"/>
          <w:sz w:val="20"/>
          <w:szCs w:val="20"/>
          <w:lang w:val="es-ES_tradnl"/>
        </w:rPr>
        <w:t xml:space="preserve">el Estado también violó el artículo VII de la Declaración. </w:t>
      </w:r>
    </w:p>
    <w:p w:rsidR="00B053C8" w:rsidRPr="00FA5953" w:rsidRDefault="00B053C8" w:rsidP="00FA5953">
      <w:pPr>
        <w:pStyle w:val="ListParagraph"/>
        <w:ind w:left="0" w:firstLine="720"/>
        <w:jc w:val="both"/>
        <w:rPr>
          <w:rFonts w:cs="Courier New"/>
          <w:sz w:val="20"/>
          <w:szCs w:val="20"/>
          <w:lang w:val="es-ES_tradnl"/>
        </w:rPr>
      </w:pPr>
    </w:p>
    <w:p w:rsidR="00B053C8" w:rsidRPr="00FA5953" w:rsidRDefault="00B053C8" w:rsidP="006D612F">
      <w:pPr>
        <w:pStyle w:val="ListParagraph"/>
        <w:numPr>
          <w:ilvl w:val="0"/>
          <w:numId w:val="58"/>
        </w:numPr>
        <w:ind w:left="0" w:firstLine="720"/>
        <w:jc w:val="both"/>
        <w:rPr>
          <w:rFonts w:cs="Courier New"/>
          <w:sz w:val="20"/>
          <w:szCs w:val="20"/>
          <w:lang w:val="es-ES_tradnl"/>
        </w:rPr>
      </w:pPr>
      <w:r w:rsidRPr="00FA5953">
        <w:rPr>
          <w:rFonts w:cs="Courier New"/>
          <w:sz w:val="20"/>
          <w:szCs w:val="20"/>
          <w:lang w:val="es-ES_tradnl"/>
        </w:rPr>
        <w:t xml:space="preserve">La Comisión destaca el grupo de </w:t>
      </w:r>
      <w:r w:rsidR="00492F79">
        <w:rPr>
          <w:rFonts w:cs="Courier New"/>
          <w:sz w:val="20"/>
          <w:szCs w:val="20"/>
          <w:lang w:val="es-ES_tradnl"/>
        </w:rPr>
        <w:t>3</w:t>
      </w:r>
      <w:r w:rsidRPr="00FA5953">
        <w:rPr>
          <w:rFonts w:cs="Courier New"/>
          <w:sz w:val="20"/>
          <w:szCs w:val="20"/>
          <w:lang w:val="es-ES_tradnl"/>
        </w:rPr>
        <w:t xml:space="preserve"> personas sobre las que, de acuerdo con la información disponible en el expediente, se desconoce su paradero </w:t>
      </w:r>
      <w:r w:rsidR="00BA1E16">
        <w:rPr>
          <w:rFonts w:cs="Courier New"/>
          <w:sz w:val="20"/>
          <w:szCs w:val="20"/>
          <w:lang w:val="es-ES_tradnl"/>
        </w:rPr>
        <w:t xml:space="preserve">y </w:t>
      </w:r>
      <w:r w:rsidR="006D612F">
        <w:rPr>
          <w:rFonts w:cs="Courier New"/>
          <w:sz w:val="20"/>
          <w:szCs w:val="20"/>
          <w:lang w:val="es-ES_tradnl"/>
        </w:rPr>
        <w:t xml:space="preserve">cuyos </w:t>
      </w:r>
      <w:r w:rsidRPr="00FA5953">
        <w:rPr>
          <w:rFonts w:cs="Courier New"/>
          <w:sz w:val="20"/>
          <w:szCs w:val="20"/>
          <w:lang w:val="es-ES_tradnl"/>
        </w:rPr>
        <w:t xml:space="preserve">familiares </w:t>
      </w:r>
      <w:r w:rsidR="00BA1E16">
        <w:rPr>
          <w:rFonts w:cs="Courier New"/>
          <w:sz w:val="20"/>
          <w:szCs w:val="20"/>
          <w:lang w:val="es-ES_tradnl"/>
        </w:rPr>
        <w:t xml:space="preserve">no han podido </w:t>
      </w:r>
      <w:r w:rsidRPr="00FA5953">
        <w:rPr>
          <w:rFonts w:cs="Courier New"/>
          <w:sz w:val="20"/>
          <w:szCs w:val="20"/>
          <w:lang w:val="es-ES_tradnl"/>
        </w:rPr>
        <w:t xml:space="preserve">ubicar </w:t>
      </w:r>
      <w:r w:rsidR="006D612F" w:rsidRPr="006D612F">
        <w:rPr>
          <w:rFonts w:cs="Courier New"/>
          <w:sz w:val="20"/>
          <w:szCs w:val="20"/>
          <w:lang w:val="es-ES_tradnl"/>
        </w:rPr>
        <w:t xml:space="preserve">y proporcionar el entierro adecuado </w:t>
      </w:r>
      <w:r w:rsidR="006D612F">
        <w:rPr>
          <w:rFonts w:cs="Courier New"/>
          <w:sz w:val="20"/>
          <w:szCs w:val="20"/>
          <w:lang w:val="es-ES_tradnl"/>
        </w:rPr>
        <w:t xml:space="preserve">a </w:t>
      </w:r>
      <w:r w:rsidRPr="00FA5953">
        <w:rPr>
          <w:rFonts w:cs="Courier New"/>
          <w:sz w:val="20"/>
          <w:szCs w:val="20"/>
          <w:lang w:val="es-ES_tradnl"/>
        </w:rPr>
        <w:t xml:space="preserve">sus restos. En relación a este grupo, la Comisión </w:t>
      </w:r>
      <w:r w:rsidR="006D612F" w:rsidRPr="006D612F">
        <w:rPr>
          <w:rFonts w:cs="Courier New"/>
          <w:sz w:val="20"/>
          <w:szCs w:val="20"/>
          <w:lang w:val="es-ES_tradnl"/>
        </w:rPr>
        <w:t>toma nota de la información del exp</w:t>
      </w:r>
      <w:r w:rsidR="006D612F">
        <w:rPr>
          <w:rFonts w:cs="Courier New"/>
          <w:sz w:val="20"/>
          <w:szCs w:val="20"/>
          <w:lang w:val="es-ES_tradnl"/>
        </w:rPr>
        <w:t>ediente que sugiere que, aunque</w:t>
      </w:r>
      <w:r w:rsidR="006D612F" w:rsidRPr="006D612F">
        <w:rPr>
          <w:rFonts w:cs="Courier New"/>
          <w:sz w:val="20"/>
          <w:szCs w:val="20"/>
          <w:lang w:val="es-ES_tradnl"/>
        </w:rPr>
        <w:t xml:space="preserve"> no </w:t>
      </w:r>
      <w:r w:rsidR="006D612F">
        <w:rPr>
          <w:rFonts w:cs="Courier New"/>
          <w:sz w:val="20"/>
          <w:szCs w:val="20"/>
          <w:lang w:val="es-ES_tradnl"/>
        </w:rPr>
        <w:t>ha sido</w:t>
      </w:r>
      <w:r w:rsidR="006D612F" w:rsidRPr="006D612F">
        <w:rPr>
          <w:rFonts w:cs="Courier New"/>
          <w:sz w:val="20"/>
          <w:szCs w:val="20"/>
          <w:lang w:val="es-ES_tradnl"/>
        </w:rPr>
        <w:t xml:space="preserve"> posible encontrar los restos, dos de ellos perdieron la vida. En el otro caso, no hay información disponible. Dado el contexto y las circunstancias de estas desapariciones, la CIDH considera que deberían incluirse en las consideraciones aplicables sobre la violación del derecho a la vida.</w:t>
      </w:r>
    </w:p>
    <w:p w:rsidR="00B053C8" w:rsidRDefault="00B053C8" w:rsidP="00B053C8">
      <w:pPr>
        <w:pStyle w:val="ListParagraph"/>
        <w:suppressAutoHyphens/>
        <w:rPr>
          <w:rFonts w:eastAsia="MS Mincho" w:cs="Times New Roman"/>
          <w:color w:val="auto"/>
          <w:sz w:val="20"/>
          <w:szCs w:val="20"/>
          <w:bdr w:val="none" w:sz="0" w:space="0" w:color="auto"/>
          <w:lang w:val="es-ES_tradnl" w:eastAsia="en-US"/>
        </w:rPr>
      </w:pPr>
    </w:p>
    <w:p w:rsidR="00B053C8" w:rsidRPr="00EC5E87" w:rsidRDefault="005177AF" w:rsidP="00D529F8">
      <w:pPr>
        <w:pStyle w:val="Heading2"/>
        <w:numPr>
          <w:ilvl w:val="0"/>
          <w:numId w:val="71"/>
        </w:numPr>
        <w:spacing w:before="0" w:after="0"/>
        <w:ind w:firstLine="0"/>
        <w:jc w:val="both"/>
        <w:rPr>
          <w:rFonts w:ascii="Cambria" w:hAnsi="Cambria"/>
          <w:i w:val="0"/>
          <w:sz w:val="20"/>
          <w:lang w:val="es-ES_tradnl"/>
        </w:rPr>
      </w:pPr>
      <w:bookmarkStart w:id="42" w:name="_Toc525294049"/>
      <w:r w:rsidRPr="00EC5E87">
        <w:rPr>
          <w:rFonts w:ascii="Cambria" w:hAnsi="Cambria"/>
          <w:i w:val="0"/>
          <w:sz w:val="20"/>
          <w:lang w:val="es-ES_tradnl"/>
        </w:rPr>
        <w:t>Derecho a la propiedad</w:t>
      </w:r>
      <w:bookmarkEnd w:id="42"/>
    </w:p>
    <w:p w:rsidR="00B053C8" w:rsidRPr="00B06A7F" w:rsidRDefault="00B053C8" w:rsidP="00B053C8">
      <w:pPr>
        <w:rPr>
          <w:rFonts w:ascii="Cambria" w:hAnsi="Cambria"/>
          <w:sz w:val="20"/>
          <w:szCs w:val="20"/>
          <w:lang w:val="es-ES_tradnl"/>
        </w:rPr>
      </w:pPr>
    </w:p>
    <w:p w:rsidR="00B053C8" w:rsidRPr="00B06A7F" w:rsidRDefault="00B053C8" w:rsidP="00360602">
      <w:pPr>
        <w:pStyle w:val="ListParagraph"/>
        <w:numPr>
          <w:ilvl w:val="0"/>
          <w:numId w:val="58"/>
        </w:numPr>
        <w:ind w:left="0" w:firstLine="720"/>
        <w:jc w:val="both"/>
        <w:rPr>
          <w:sz w:val="20"/>
          <w:szCs w:val="20"/>
          <w:lang w:val="es-ES_tradnl"/>
        </w:rPr>
      </w:pPr>
      <w:r w:rsidRPr="00B06A7F">
        <w:rPr>
          <w:sz w:val="20"/>
          <w:szCs w:val="20"/>
          <w:lang w:val="es-ES_tradnl"/>
        </w:rPr>
        <w:t xml:space="preserve">La Declaración Americana en su artículo XXIII establece que “toda persona tiene derecho a la propiedad privada correspondiente a las necesidades esenciales de una vida decorosa, que contribuya a mantener la dignidad de la persona y del hogar”. </w:t>
      </w:r>
    </w:p>
    <w:p w:rsidR="00B053C8" w:rsidRPr="00B06A7F" w:rsidRDefault="00B053C8" w:rsidP="00B053C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_tradnl"/>
        </w:rPr>
      </w:pPr>
      <w:r w:rsidRPr="00B06A7F">
        <w:rPr>
          <w:sz w:val="20"/>
          <w:szCs w:val="20"/>
          <w:lang w:val="es-ES_tradnl"/>
        </w:rPr>
        <w:t xml:space="preserve"> </w:t>
      </w:r>
    </w:p>
    <w:p w:rsidR="00B053C8" w:rsidRPr="00FA5953" w:rsidRDefault="006D612F" w:rsidP="00360602">
      <w:pPr>
        <w:pStyle w:val="ListParagraph"/>
        <w:numPr>
          <w:ilvl w:val="0"/>
          <w:numId w:val="58"/>
        </w:numPr>
        <w:ind w:left="0" w:firstLine="720"/>
        <w:jc w:val="both"/>
        <w:rPr>
          <w:sz w:val="20"/>
          <w:szCs w:val="20"/>
          <w:lang w:val="es-ES_tradnl"/>
        </w:rPr>
      </w:pPr>
      <w:r>
        <w:rPr>
          <w:sz w:val="20"/>
          <w:szCs w:val="20"/>
          <w:lang w:val="es-ES_tradnl"/>
        </w:rPr>
        <w:t xml:space="preserve">En relación a este artículo, </w:t>
      </w:r>
      <w:r w:rsidR="00B053C8" w:rsidRPr="00FA5953">
        <w:rPr>
          <w:sz w:val="20"/>
          <w:szCs w:val="20"/>
          <w:lang w:val="es-ES_tradnl"/>
        </w:rPr>
        <w:t>la CIDH destaca que la Declaración Americana se resguarda un concepto amplio de propiedad</w:t>
      </w:r>
      <w:r>
        <w:rPr>
          <w:sz w:val="20"/>
          <w:szCs w:val="20"/>
          <w:lang w:val="es-ES_tradnl"/>
        </w:rPr>
        <w:t xml:space="preserve"> personal</w:t>
      </w:r>
      <w:r w:rsidR="00B053C8" w:rsidRPr="00FA5953">
        <w:rPr>
          <w:sz w:val="20"/>
          <w:szCs w:val="20"/>
          <w:lang w:val="es-ES_tradnl"/>
        </w:rPr>
        <w:t xml:space="preserve">, el cual abarca, entre otros, el uso y goce de los “bienes”, entendidos como cosas materiales apropiables, así como todo derecho que pueda formar parte del patrimonio de una persona. Más aún, observa que </w:t>
      </w:r>
      <w:r>
        <w:rPr>
          <w:sz w:val="20"/>
          <w:szCs w:val="20"/>
          <w:lang w:val="es-ES_tradnl"/>
        </w:rPr>
        <w:t>este</w:t>
      </w:r>
      <w:r w:rsidR="00B053C8" w:rsidRPr="00FA5953">
        <w:rPr>
          <w:sz w:val="20"/>
          <w:szCs w:val="20"/>
          <w:lang w:val="es-ES_tradnl"/>
        </w:rPr>
        <w:t xml:space="preserve"> concepto comprende todos los muebles e inmuebles, los elementos corporales e incorporales y cualquier otro objeto inmaterial susceptible de valor</w:t>
      </w:r>
      <w:r w:rsidR="00B053C8" w:rsidRPr="00B06A7F">
        <w:rPr>
          <w:rStyle w:val="FootnoteReference"/>
          <w:sz w:val="20"/>
          <w:szCs w:val="20"/>
          <w:lang w:val="es-ES_tradnl"/>
        </w:rPr>
        <w:footnoteReference w:id="666"/>
      </w:r>
      <w:r w:rsidR="00B053C8" w:rsidRPr="00FA5953">
        <w:rPr>
          <w:sz w:val="20"/>
          <w:szCs w:val="20"/>
          <w:lang w:val="es-ES_tradnl"/>
        </w:rPr>
        <w:t>. Asimismo, establece que este derecho se extiende sobre un rango determinado de bienes pecuniarios tal y como, los emanados de la ejecución de negocios</w:t>
      </w:r>
      <w:r w:rsidR="00B053C8" w:rsidRPr="00B06A7F">
        <w:rPr>
          <w:rStyle w:val="FootnoteReference"/>
          <w:sz w:val="20"/>
          <w:szCs w:val="20"/>
          <w:lang w:val="es-ES_tradnl"/>
        </w:rPr>
        <w:footnoteReference w:id="667"/>
      </w:r>
      <w:r w:rsidR="00B053C8" w:rsidRPr="00FA5953">
        <w:rPr>
          <w:sz w:val="20"/>
          <w:szCs w:val="20"/>
          <w:lang w:val="es-ES_tradnl"/>
        </w:rPr>
        <w:t xml:space="preserve">. </w:t>
      </w:r>
    </w:p>
    <w:p w:rsidR="00B053C8" w:rsidRPr="00B06A7F" w:rsidRDefault="00B053C8" w:rsidP="00FA5953">
      <w:pPr>
        <w:ind w:firstLine="720"/>
        <w:jc w:val="both"/>
        <w:rPr>
          <w:rFonts w:ascii="Cambria" w:hAnsi="Cambria"/>
          <w:sz w:val="20"/>
          <w:szCs w:val="20"/>
          <w:lang w:val="es-ES_tradnl"/>
        </w:rPr>
      </w:pPr>
    </w:p>
    <w:p w:rsidR="00B053C8" w:rsidRPr="00FA5953" w:rsidRDefault="00B053C8" w:rsidP="00360602">
      <w:pPr>
        <w:pStyle w:val="ListParagraph"/>
        <w:numPr>
          <w:ilvl w:val="0"/>
          <w:numId w:val="58"/>
        </w:numPr>
        <w:ind w:left="0" w:firstLine="720"/>
        <w:jc w:val="both"/>
        <w:rPr>
          <w:sz w:val="20"/>
          <w:szCs w:val="20"/>
          <w:lang w:val="es-ES_tradnl"/>
        </w:rPr>
      </w:pPr>
      <w:r w:rsidRPr="00FA5953">
        <w:rPr>
          <w:sz w:val="20"/>
          <w:szCs w:val="20"/>
          <w:lang w:val="es-ES_tradnl"/>
        </w:rPr>
        <w:t xml:space="preserve">En este sentido cabe destacar que el derecho de propiedad protege el derecho al disfrute y goce de los bienes </w:t>
      </w:r>
      <w:r w:rsidR="006D612F">
        <w:rPr>
          <w:sz w:val="20"/>
          <w:szCs w:val="20"/>
          <w:lang w:val="es-ES_tradnl"/>
        </w:rPr>
        <w:t xml:space="preserve">personales </w:t>
      </w:r>
      <w:r w:rsidRPr="00FA5953">
        <w:rPr>
          <w:sz w:val="20"/>
          <w:szCs w:val="20"/>
          <w:lang w:val="es-ES_tradnl"/>
        </w:rPr>
        <w:t>sin interferencias arbitrarias por parte del Estado</w:t>
      </w:r>
      <w:r w:rsidRPr="00B06A7F">
        <w:rPr>
          <w:rStyle w:val="FootnoteReference"/>
          <w:sz w:val="20"/>
          <w:szCs w:val="20"/>
          <w:lang w:val="es-ES_tradnl"/>
        </w:rPr>
        <w:footnoteReference w:id="668"/>
      </w:r>
      <w:r w:rsidRPr="00FA5953">
        <w:rPr>
          <w:sz w:val="20"/>
          <w:szCs w:val="20"/>
          <w:lang w:val="es-ES_tradnl"/>
        </w:rPr>
        <w:t>, y consecuentemente acarrea el derecho a recibir una compensación ante la afectación o privación del mismo</w:t>
      </w:r>
      <w:r w:rsidRPr="00B06A7F">
        <w:rPr>
          <w:rStyle w:val="FootnoteReference"/>
          <w:sz w:val="20"/>
          <w:szCs w:val="20"/>
          <w:lang w:val="es-ES_tradnl"/>
        </w:rPr>
        <w:footnoteReference w:id="669"/>
      </w:r>
      <w:r w:rsidRPr="00FA5953">
        <w:rPr>
          <w:sz w:val="20"/>
          <w:szCs w:val="20"/>
          <w:lang w:val="es-ES_tradnl"/>
        </w:rPr>
        <w:t xml:space="preserve">. </w:t>
      </w:r>
    </w:p>
    <w:p w:rsidR="00B053C8" w:rsidRPr="00B06A7F" w:rsidRDefault="00B053C8" w:rsidP="00FA5953">
      <w:pPr>
        <w:ind w:firstLine="720"/>
        <w:jc w:val="both"/>
        <w:rPr>
          <w:rFonts w:ascii="Cambria" w:hAnsi="Cambria"/>
          <w:sz w:val="20"/>
          <w:szCs w:val="20"/>
          <w:lang w:val="es-ES_tradnl"/>
        </w:rPr>
      </w:pPr>
    </w:p>
    <w:p w:rsidR="00B053C8" w:rsidRPr="00FA5953" w:rsidRDefault="00B053C8" w:rsidP="00360602">
      <w:pPr>
        <w:pStyle w:val="ListParagraph"/>
        <w:numPr>
          <w:ilvl w:val="0"/>
          <w:numId w:val="58"/>
        </w:numPr>
        <w:ind w:left="0" w:firstLine="720"/>
        <w:jc w:val="both"/>
        <w:rPr>
          <w:sz w:val="20"/>
          <w:szCs w:val="20"/>
          <w:lang w:val="es-ES_tradnl"/>
        </w:rPr>
      </w:pPr>
      <w:r w:rsidRPr="00FA5953">
        <w:rPr>
          <w:sz w:val="20"/>
          <w:szCs w:val="20"/>
          <w:lang w:val="es-ES_tradnl"/>
        </w:rPr>
        <w:t>En la misma línea, es preciso indicar que el derecho a la propiedad contenido en el artículo XXIII de la Declaración Americana no es un derecho absoluto, y por ende responde a limitaciones legítimas que se relacionan con razones de utilidad pública o de interés social, en los casos y según las formas establecidas por la ley, donde debe primar un balance justo entre el derecho individual y el interés colectivo</w:t>
      </w:r>
      <w:r w:rsidRPr="00B06A7F">
        <w:rPr>
          <w:rStyle w:val="FootnoteReference"/>
          <w:sz w:val="20"/>
          <w:szCs w:val="20"/>
          <w:lang w:val="es-ES_tradnl"/>
        </w:rPr>
        <w:footnoteReference w:id="670"/>
      </w:r>
      <w:r w:rsidRPr="00FA5953">
        <w:rPr>
          <w:sz w:val="20"/>
          <w:szCs w:val="20"/>
          <w:lang w:val="es-ES_tradnl"/>
        </w:rPr>
        <w:t xml:space="preserve">. </w:t>
      </w:r>
    </w:p>
    <w:p w:rsidR="00B053C8" w:rsidRPr="00B06A7F" w:rsidRDefault="00B053C8" w:rsidP="00FA5953">
      <w:pPr>
        <w:ind w:firstLine="720"/>
        <w:jc w:val="both"/>
        <w:rPr>
          <w:rFonts w:ascii="Cambria" w:eastAsia="Cambria" w:hAnsi="Cambria"/>
          <w:sz w:val="20"/>
          <w:szCs w:val="20"/>
          <w:lang w:val="es-ES_tradnl"/>
        </w:rPr>
      </w:pPr>
    </w:p>
    <w:p w:rsidR="00B053C8" w:rsidRPr="00FA5953" w:rsidRDefault="00B053C8" w:rsidP="00360602">
      <w:pPr>
        <w:pStyle w:val="ListParagraph"/>
        <w:numPr>
          <w:ilvl w:val="0"/>
          <w:numId w:val="58"/>
        </w:numPr>
        <w:ind w:left="0" w:firstLine="720"/>
        <w:jc w:val="both"/>
        <w:rPr>
          <w:sz w:val="20"/>
          <w:szCs w:val="20"/>
          <w:lang w:val="es-ES_tradnl"/>
        </w:rPr>
      </w:pPr>
      <w:r w:rsidRPr="00FA5953">
        <w:rPr>
          <w:rFonts w:eastAsia="Times New Roman"/>
          <w:sz w:val="20"/>
          <w:szCs w:val="20"/>
          <w:bdr w:val="none" w:sz="0" w:space="0" w:color="auto"/>
          <w:lang w:val="es-ES_tradnl"/>
        </w:rPr>
        <w:t xml:space="preserve">Como ya fuera señalado, en el presente caso la Comisión considera útil y apropiado interpretar los alcances </w:t>
      </w:r>
      <w:r w:rsidRPr="00FA5953">
        <w:rPr>
          <w:sz w:val="20"/>
          <w:szCs w:val="20"/>
          <w:lang w:val="es-ES_tradnl"/>
        </w:rPr>
        <w:t>del</w:t>
      </w:r>
      <w:r w:rsidRPr="00FA5953">
        <w:rPr>
          <w:rFonts w:eastAsia="Times New Roman"/>
          <w:sz w:val="20"/>
          <w:szCs w:val="20"/>
          <w:bdr w:val="none" w:sz="0" w:space="0" w:color="auto"/>
          <w:lang w:val="es-ES_tradnl"/>
        </w:rPr>
        <w:t xml:space="preserve"> artículo </w:t>
      </w:r>
      <w:r w:rsidRPr="00FA5953">
        <w:rPr>
          <w:sz w:val="20"/>
          <w:szCs w:val="20"/>
          <w:lang w:val="es-ES_tradnl"/>
        </w:rPr>
        <w:t>XXIII</w:t>
      </w:r>
      <w:r w:rsidRPr="00FA5953">
        <w:rPr>
          <w:rFonts w:eastAsia="Times New Roman"/>
          <w:sz w:val="20"/>
          <w:szCs w:val="20"/>
          <w:bdr w:val="none" w:sz="0" w:space="0" w:color="auto"/>
          <w:lang w:val="es-ES_tradnl"/>
        </w:rPr>
        <w:t xml:space="preserve"> de la </w:t>
      </w:r>
      <w:r w:rsidRPr="00FA5953">
        <w:rPr>
          <w:sz w:val="20"/>
          <w:szCs w:val="20"/>
          <w:lang w:val="es-ES_tradnl"/>
        </w:rPr>
        <w:t xml:space="preserve">Declaración Americana </w:t>
      </w:r>
      <w:r w:rsidRPr="00FA5953">
        <w:rPr>
          <w:rFonts w:eastAsia="Times New Roman"/>
          <w:sz w:val="20"/>
          <w:szCs w:val="20"/>
          <w:bdr w:val="none" w:sz="0" w:space="0" w:color="auto"/>
          <w:lang w:val="es-ES_tradnl"/>
        </w:rPr>
        <w:t xml:space="preserve">utilizando </w:t>
      </w:r>
      <w:r w:rsidRPr="009302BF">
        <w:rPr>
          <w:rFonts w:eastAsia="Times New Roman"/>
          <w:i/>
          <w:sz w:val="20"/>
          <w:szCs w:val="20"/>
          <w:bdr w:val="none" w:sz="0" w:space="0" w:color="auto"/>
          <w:lang w:val="es-ES_tradnl"/>
        </w:rPr>
        <w:t>lex specialis</w:t>
      </w:r>
      <w:r w:rsidRPr="00FA5953">
        <w:rPr>
          <w:rFonts w:eastAsia="Times New Roman"/>
          <w:sz w:val="20"/>
          <w:szCs w:val="20"/>
          <w:bdr w:val="none" w:sz="0" w:space="0" w:color="auto"/>
          <w:lang w:val="es-ES_tradnl"/>
        </w:rPr>
        <w:t xml:space="preserve"> el DIH y sus </w:t>
      </w:r>
      <w:r w:rsidR="009302BF">
        <w:rPr>
          <w:rFonts w:eastAsia="Times New Roman"/>
          <w:sz w:val="20"/>
          <w:szCs w:val="20"/>
          <w:bdr w:val="none" w:sz="0" w:space="0" w:color="auto"/>
          <w:lang w:val="es-ES_tradnl"/>
        </w:rPr>
        <w:t>n</w:t>
      </w:r>
      <w:r w:rsidRPr="00FA5953">
        <w:rPr>
          <w:rFonts w:eastAsia="Times New Roman"/>
          <w:sz w:val="20"/>
          <w:szCs w:val="20"/>
          <w:bdr w:val="none" w:sz="0" w:space="0" w:color="auto"/>
          <w:lang w:val="es-ES_tradnl"/>
        </w:rPr>
        <w:t xml:space="preserve">ormas </w:t>
      </w:r>
      <w:r w:rsidR="009302BF">
        <w:rPr>
          <w:rFonts w:eastAsia="Times New Roman"/>
          <w:sz w:val="20"/>
          <w:szCs w:val="20"/>
          <w:bdr w:val="none" w:sz="0" w:space="0" w:color="auto"/>
          <w:lang w:val="es-ES_tradnl"/>
        </w:rPr>
        <w:t>c</w:t>
      </w:r>
      <w:r w:rsidRPr="00FA5953">
        <w:rPr>
          <w:rFonts w:eastAsia="Times New Roman"/>
          <w:sz w:val="20"/>
          <w:szCs w:val="20"/>
          <w:bdr w:val="none" w:sz="0" w:space="0" w:color="auto"/>
          <w:lang w:val="es-ES_tradnl"/>
        </w:rPr>
        <w:t>onsuetudinarias relativ</w:t>
      </w:r>
      <w:r w:rsidR="008D0182">
        <w:rPr>
          <w:rFonts w:eastAsia="Times New Roman"/>
          <w:sz w:val="20"/>
          <w:szCs w:val="20"/>
          <w:bdr w:val="none" w:sz="0" w:space="0" w:color="auto"/>
          <w:lang w:val="es-ES_tradnl"/>
        </w:rPr>
        <w:t>as</w:t>
      </w:r>
      <w:r w:rsidRPr="00FA5953">
        <w:rPr>
          <w:rFonts w:eastAsia="Times New Roman"/>
          <w:sz w:val="20"/>
          <w:szCs w:val="20"/>
          <w:bdr w:val="none" w:sz="0" w:space="0" w:color="auto"/>
          <w:lang w:val="es-ES_tradnl"/>
        </w:rPr>
        <w:t xml:space="preserve"> a la protección de las víctimas de conflictos armados de carácter internacional. </w:t>
      </w:r>
    </w:p>
    <w:p w:rsidR="00B053C8" w:rsidRPr="00B06A7F" w:rsidRDefault="00B053C8" w:rsidP="00FA5953">
      <w:pPr>
        <w:ind w:firstLine="720"/>
        <w:jc w:val="both"/>
        <w:rPr>
          <w:rFonts w:ascii="Cambria" w:hAnsi="Cambria"/>
          <w:sz w:val="20"/>
          <w:szCs w:val="20"/>
          <w:lang w:val="es-ES_tradnl"/>
        </w:rPr>
      </w:pPr>
    </w:p>
    <w:p w:rsidR="00B053C8" w:rsidRPr="00FA5953" w:rsidRDefault="00B053C8" w:rsidP="00360602">
      <w:pPr>
        <w:pStyle w:val="ListParagraph"/>
        <w:numPr>
          <w:ilvl w:val="0"/>
          <w:numId w:val="58"/>
        </w:numPr>
        <w:ind w:left="0" w:firstLine="720"/>
        <w:jc w:val="both"/>
        <w:rPr>
          <w:sz w:val="20"/>
          <w:szCs w:val="20"/>
          <w:lang w:val="es-ES_tradnl"/>
        </w:rPr>
      </w:pPr>
      <w:r w:rsidRPr="00FA5953">
        <w:rPr>
          <w:sz w:val="20"/>
          <w:szCs w:val="20"/>
          <w:lang w:val="es-ES_tradnl"/>
        </w:rPr>
        <w:t xml:space="preserve">En este sentido, tal como fue indicado en secciones anteriores, </w:t>
      </w:r>
      <w:r w:rsidR="006430A2">
        <w:rPr>
          <w:sz w:val="20"/>
          <w:szCs w:val="20"/>
          <w:lang w:val="es-ES_tradnl"/>
        </w:rPr>
        <w:t xml:space="preserve">entre las normas consuetudinarias de DIH se dispone </w:t>
      </w:r>
      <w:r w:rsidRPr="00FA5953">
        <w:rPr>
          <w:sz w:val="20"/>
          <w:szCs w:val="20"/>
          <w:lang w:val="es-ES_tradnl"/>
        </w:rPr>
        <w:t xml:space="preserve">que “las partes en un conflicto deberán hacer en todo momento la distinción entre bienes de carácter civil y objetivos militares. Los ataques sólo podrán dirigirse contra objetivos militares. Los bienes de carácter civil no deben ser atacados”. Asimismo, </w:t>
      </w:r>
      <w:r w:rsidR="006430A2">
        <w:rPr>
          <w:sz w:val="20"/>
          <w:szCs w:val="20"/>
          <w:lang w:val="es-ES_tradnl"/>
        </w:rPr>
        <w:t xml:space="preserve">se explica </w:t>
      </w:r>
      <w:r w:rsidRPr="00FA5953">
        <w:rPr>
          <w:sz w:val="20"/>
          <w:szCs w:val="20"/>
          <w:lang w:val="es-ES_tradnl"/>
        </w:rPr>
        <w:t>que son bienes de carácter civil todos los bienes que no son objetivos militares.</w:t>
      </w:r>
    </w:p>
    <w:p w:rsidR="00B053C8" w:rsidRPr="00B06A7F" w:rsidRDefault="00B053C8" w:rsidP="00FA595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ES_tradnl"/>
        </w:rPr>
      </w:pPr>
    </w:p>
    <w:p w:rsidR="00B053C8" w:rsidRPr="00FA5953" w:rsidRDefault="00B053C8" w:rsidP="00360602">
      <w:pPr>
        <w:pStyle w:val="ListParagraph"/>
        <w:numPr>
          <w:ilvl w:val="0"/>
          <w:numId w:val="58"/>
        </w:numPr>
        <w:ind w:left="0" w:firstLine="720"/>
        <w:jc w:val="both"/>
        <w:rPr>
          <w:sz w:val="20"/>
          <w:szCs w:val="20"/>
          <w:lang w:val="es-ES_tradnl"/>
        </w:rPr>
      </w:pPr>
      <w:r w:rsidRPr="00FA5953">
        <w:rPr>
          <w:sz w:val="20"/>
          <w:szCs w:val="20"/>
          <w:lang w:val="es-ES_tradnl"/>
        </w:rPr>
        <w:lastRenderedPageBreak/>
        <w:t xml:space="preserve">Para analizar una posible afectación al derecho a la propiedad en este contexto, la Comisión entiende que se debe partir de un análisis detallado sobre: a) la naturaleza del bien </w:t>
      </w:r>
      <w:r w:rsidR="008D0182">
        <w:rPr>
          <w:sz w:val="20"/>
          <w:szCs w:val="20"/>
          <w:lang w:val="es-ES_tradnl"/>
        </w:rPr>
        <w:t xml:space="preserve">presuntamente </w:t>
      </w:r>
      <w:r w:rsidRPr="00FA5953">
        <w:rPr>
          <w:sz w:val="20"/>
          <w:szCs w:val="20"/>
          <w:lang w:val="es-ES_tradnl"/>
        </w:rPr>
        <w:t xml:space="preserve">afectado; b) el uso para el cual estaba siendo empleado; y c) la debida diligencia y/o medios empleados por el Estado o fuerza atacante para evitar la alegada afectación. </w:t>
      </w:r>
    </w:p>
    <w:p w:rsidR="00B053C8" w:rsidRPr="00B06A7F" w:rsidRDefault="00B053C8" w:rsidP="00FA5953">
      <w:pPr>
        <w:ind w:firstLine="720"/>
        <w:jc w:val="both"/>
        <w:rPr>
          <w:rFonts w:ascii="Cambria" w:hAnsi="Cambria"/>
          <w:sz w:val="20"/>
          <w:szCs w:val="20"/>
          <w:lang w:val="es-ES_tradnl"/>
        </w:rPr>
      </w:pPr>
    </w:p>
    <w:p w:rsidR="00B053C8" w:rsidRPr="00FA5953" w:rsidRDefault="00B053C8" w:rsidP="00360602">
      <w:pPr>
        <w:pStyle w:val="ListParagraph"/>
        <w:numPr>
          <w:ilvl w:val="0"/>
          <w:numId w:val="58"/>
        </w:numPr>
        <w:ind w:left="0" w:firstLine="720"/>
        <w:jc w:val="both"/>
        <w:rPr>
          <w:sz w:val="20"/>
          <w:szCs w:val="20"/>
          <w:lang w:val="es-ES_tradnl"/>
        </w:rPr>
      </w:pPr>
      <w:r w:rsidRPr="00FA5953">
        <w:rPr>
          <w:sz w:val="20"/>
          <w:szCs w:val="20"/>
          <w:lang w:val="es-ES_tradnl"/>
        </w:rPr>
        <w:t>De los hechos probados, la CIDH observa que de las 152 peticiones recibidas relacionadas con alegadas violaciones al derecho de propiedad</w:t>
      </w:r>
      <w:r w:rsidR="008D0182">
        <w:rPr>
          <w:sz w:val="20"/>
          <w:szCs w:val="20"/>
          <w:lang w:val="es-ES_tradnl"/>
        </w:rPr>
        <w:t xml:space="preserve"> privada</w:t>
      </w:r>
      <w:r w:rsidRPr="00FA5953">
        <w:rPr>
          <w:sz w:val="20"/>
          <w:szCs w:val="20"/>
          <w:lang w:val="es-ES_tradnl"/>
        </w:rPr>
        <w:t xml:space="preserve">, los bienes </w:t>
      </w:r>
      <w:r w:rsidR="008D0182">
        <w:rPr>
          <w:sz w:val="20"/>
          <w:szCs w:val="20"/>
          <w:lang w:val="es-ES_tradnl"/>
        </w:rPr>
        <w:t xml:space="preserve">presuntamente </w:t>
      </w:r>
      <w:r w:rsidRPr="00FA5953">
        <w:rPr>
          <w:sz w:val="20"/>
          <w:szCs w:val="20"/>
          <w:lang w:val="es-ES_tradnl"/>
        </w:rPr>
        <w:t>afectados responden a residencias, edificios, bienes muebles como carros</w:t>
      </w:r>
      <w:r w:rsidR="006430A2">
        <w:rPr>
          <w:sz w:val="20"/>
          <w:szCs w:val="20"/>
          <w:lang w:val="es-ES_tradnl"/>
        </w:rPr>
        <w:t xml:space="preserve"> y bienes muebles e inmuebles relacionados al trabajo</w:t>
      </w:r>
      <w:r w:rsidRPr="00FA5953">
        <w:rPr>
          <w:sz w:val="20"/>
          <w:szCs w:val="20"/>
          <w:lang w:val="es-ES_tradnl"/>
        </w:rPr>
        <w:t xml:space="preserve">. Frente a esto, la Comisión destaca que de la información disponible no consta que estos bienes hayan sido utilizados con fines militares en el marco del conflicto. Por lo tanto, la Comisión Interamericana concluye que la naturaleza de los bienes que </w:t>
      </w:r>
      <w:r w:rsidR="008D0182">
        <w:rPr>
          <w:sz w:val="20"/>
          <w:szCs w:val="20"/>
          <w:lang w:val="es-ES_tradnl"/>
        </w:rPr>
        <w:t xml:space="preserve">presuntamente </w:t>
      </w:r>
      <w:r w:rsidRPr="00FA5953">
        <w:rPr>
          <w:sz w:val="20"/>
          <w:szCs w:val="20"/>
          <w:lang w:val="es-ES_tradnl"/>
        </w:rPr>
        <w:t>fueron afectados por las actuaciones de las fuerzas del Estado responde a bienes civiles, los</w:t>
      </w:r>
      <w:r w:rsidR="008D0182">
        <w:rPr>
          <w:sz w:val="20"/>
          <w:szCs w:val="20"/>
          <w:lang w:val="es-ES_tradnl"/>
        </w:rPr>
        <w:t xml:space="preserve"> cuales a la luz del DIH y sus no</w:t>
      </w:r>
      <w:r w:rsidRPr="00FA5953">
        <w:rPr>
          <w:sz w:val="20"/>
          <w:szCs w:val="20"/>
          <w:lang w:val="es-ES_tradnl"/>
        </w:rPr>
        <w:t xml:space="preserve">rmas </w:t>
      </w:r>
      <w:r w:rsidR="008D0182">
        <w:rPr>
          <w:sz w:val="20"/>
          <w:szCs w:val="20"/>
          <w:lang w:val="es-ES_tradnl"/>
        </w:rPr>
        <w:t>c</w:t>
      </w:r>
      <w:r w:rsidRPr="00FA5953">
        <w:rPr>
          <w:sz w:val="20"/>
          <w:szCs w:val="20"/>
          <w:lang w:val="es-ES_tradnl"/>
        </w:rPr>
        <w:t xml:space="preserve">onsuetudinarias gozan de una protección y por lo tanto deben quedar fuera de los ataques. </w:t>
      </w:r>
    </w:p>
    <w:p w:rsidR="00B053C8" w:rsidRPr="00B06A7F" w:rsidRDefault="00B053C8" w:rsidP="00FA5953">
      <w:pPr>
        <w:ind w:firstLine="720"/>
        <w:jc w:val="both"/>
        <w:rPr>
          <w:rFonts w:ascii="Cambria" w:hAnsi="Cambria"/>
          <w:sz w:val="20"/>
          <w:szCs w:val="20"/>
          <w:lang w:val="es-ES_tradnl"/>
        </w:rPr>
      </w:pPr>
    </w:p>
    <w:p w:rsidR="00B053C8" w:rsidRPr="00FA5953" w:rsidRDefault="00B053C8" w:rsidP="00360602">
      <w:pPr>
        <w:pStyle w:val="ListParagraph"/>
        <w:numPr>
          <w:ilvl w:val="0"/>
          <w:numId w:val="58"/>
        </w:numPr>
        <w:ind w:left="0" w:firstLine="720"/>
        <w:jc w:val="both"/>
        <w:rPr>
          <w:sz w:val="20"/>
          <w:szCs w:val="20"/>
          <w:lang w:val="es-ES_tradnl"/>
        </w:rPr>
      </w:pPr>
      <w:r w:rsidRPr="00FA5953">
        <w:rPr>
          <w:sz w:val="20"/>
          <w:szCs w:val="20"/>
          <w:lang w:val="es-ES_tradnl"/>
        </w:rPr>
        <w:t xml:space="preserve">Dicho lo anterior, la Comisión pasa analizar el contexto en el cual dichos bienes fueron </w:t>
      </w:r>
      <w:r w:rsidR="008D0182">
        <w:rPr>
          <w:sz w:val="20"/>
          <w:szCs w:val="20"/>
          <w:lang w:val="es-ES_tradnl"/>
        </w:rPr>
        <w:t xml:space="preserve">presuntamente </w:t>
      </w:r>
      <w:r w:rsidRPr="00FA5953">
        <w:rPr>
          <w:sz w:val="20"/>
          <w:szCs w:val="20"/>
          <w:lang w:val="es-ES_tradnl"/>
        </w:rPr>
        <w:t xml:space="preserve">afectados. Frente a este punto, la CIDH recapitula que </w:t>
      </w:r>
      <w:r w:rsidR="006430A2">
        <w:rPr>
          <w:sz w:val="20"/>
          <w:szCs w:val="20"/>
          <w:lang w:val="es-ES_tradnl"/>
        </w:rPr>
        <w:t xml:space="preserve">en las normas consuetudinarias </w:t>
      </w:r>
      <w:r w:rsidRPr="00FA5953">
        <w:rPr>
          <w:sz w:val="20"/>
          <w:szCs w:val="20"/>
          <w:lang w:val="es-ES_tradnl"/>
        </w:rPr>
        <w:t xml:space="preserve">del DIH </w:t>
      </w:r>
      <w:r w:rsidR="006430A2">
        <w:rPr>
          <w:sz w:val="20"/>
          <w:szCs w:val="20"/>
          <w:lang w:val="es-ES_tradnl"/>
        </w:rPr>
        <w:t>se prohíben “</w:t>
      </w:r>
      <w:r w:rsidRPr="00FA5953">
        <w:rPr>
          <w:sz w:val="20"/>
          <w:szCs w:val="20"/>
          <w:lang w:val="es-ES_tradnl"/>
        </w:rPr>
        <w:t xml:space="preserve">los ataques por bombardeo, cualesquiera que sean los métodos o medios utilizados, que traten como un objetivo militar único varios objetivos militares precisos y claramente separados, situados en una ciudad, un pueblo, una aldea u otra zona en la que haya una concentración análoga de personas civiles o bienes de carácter civil”. En un sentido similar, </w:t>
      </w:r>
      <w:r w:rsidR="006430A2">
        <w:rPr>
          <w:sz w:val="20"/>
          <w:szCs w:val="20"/>
          <w:lang w:val="es-ES_tradnl"/>
        </w:rPr>
        <w:t>igualmente indican</w:t>
      </w:r>
      <w:r w:rsidRPr="00FA5953">
        <w:rPr>
          <w:sz w:val="20"/>
          <w:szCs w:val="20"/>
          <w:lang w:val="es-ES_tradnl"/>
        </w:rPr>
        <w:t xml:space="preserve"> que “queda prohibido lanzar un ataque cuando sea de prever que cause incidentalmente muertos y heridos entre la población civil, daños a bienes de carácter civil o ambas cosas, que sean excesivos en relación con la ventaja militar concreta y directa prevista”. </w:t>
      </w:r>
    </w:p>
    <w:p w:rsidR="00B053C8" w:rsidRPr="00B06A7F" w:rsidRDefault="00B053C8" w:rsidP="00FA5953">
      <w:pPr>
        <w:ind w:firstLine="720"/>
        <w:jc w:val="both"/>
        <w:rPr>
          <w:rFonts w:ascii="Cambria" w:hAnsi="Cambria"/>
          <w:sz w:val="20"/>
          <w:szCs w:val="20"/>
          <w:lang w:val="es-ES_tradnl"/>
        </w:rPr>
      </w:pPr>
    </w:p>
    <w:p w:rsidR="00B053C8" w:rsidRPr="00FA5953" w:rsidRDefault="00B053C8" w:rsidP="00360602">
      <w:pPr>
        <w:pStyle w:val="ListParagraph"/>
        <w:numPr>
          <w:ilvl w:val="0"/>
          <w:numId w:val="58"/>
        </w:numPr>
        <w:ind w:left="0" w:firstLine="720"/>
        <w:jc w:val="both"/>
        <w:rPr>
          <w:sz w:val="20"/>
          <w:szCs w:val="20"/>
          <w:lang w:val="es-ES_tradnl"/>
        </w:rPr>
      </w:pPr>
      <w:r w:rsidRPr="00FA5953">
        <w:rPr>
          <w:sz w:val="20"/>
          <w:szCs w:val="20"/>
          <w:lang w:val="es-ES_tradnl"/>
        </w:rPr>
        <w:t>Asimismo, la Comisión toma nota de</w:t>
      </w:r>
      <w:r w:rsidR="006430A2">
        <w:rPr>
          <w:sz w:val="20"/>
          <w:szCs w:val="20"/>
          <w:lang w:val="es-ES_tradnl"/>
        </w:rPr>
        <w:t xml:space="preserve"> la norma consuetudinaria de DIH</w:t>
      </w:r>
      <w:r w:rsidRPr="00FA5953">
        <w:rPr>
          <w:sz w:val="20"/>
          <w:szCs w:val="20"/>
          <w:lang w:val="es-ES_tradnl"/>
        </w:rPr>
        <w:t xml:space="preserve"> que</w:t>
      </w:r>
      <w:r w:rsidR="006430A2">
        <w:rPr>
          <w:sz w:val="20"/>
          <w:szCs w:val="20"/>
          <w:lang w:val="es-ES_tradnl"/>
        </w:rPr>
        <w:t xml:space="preserve"> </w:t>
      </w:r>
      <w:r w:rsidRPr="00FA5953">
        <w:rPr>
          <w:sz w:val="20"/>
          <w:szCs w:val="20"/>
          <w:lang w:val="es-ES_tradnl"/>
        </w:rPr>
        <w:t xml:space="preserve">establece </w:t>
      </w:r>
      <w:r w:rsidR="00002926">
        <w:rPr>
          <w:sz w:val="20"/>
          <w:szCs w:val="20"/>
          <w:lang w:val="es-ES_tradnl"/>
        </w:rPr>
        <w:t>como</w:t>
      </w:r>
      <w:r w:rsidRPr="00FA5953">
        <w:rPr>
          <w:sz w:val="20"/>
          <w:szCs w:val="20"/>
          <w:lang w:val="es-ES_tradnl"/>
        </w:rPr>
        <w:t xml:space="preserve"> “las operaciones militares se realizarán con un cuidado constante de preservar a la población civil, a las personas civiles y los bienes de carácter civil. Se tomarán todas las precauciones factibles para evitar, o reducir en todo caso a un mínimo, el número de muertos y heridos entre la población civil, así como los daños a bienes de carácter civil, que pudieran causar incidentalmente”. </w:t>
      </w:r>
    </w:p>
    <w:p w:rsidR="00B053C8" w:rsidRPr="00B06A7F" w:rsidRDefault="00B053C8" w:rsidP="00FA5953">
      <w:pPr>
        <w:ind w:firstLine="720"/>
        <w:jc w:val="both"/>
        <w:rPr>
          <w:rFonts w:ascii="Cambria" w:hAnsi="Cambria"/>
          <w:sz w:val="20"/>
          <w:szCs w:val="20"/>
          <w:lang w:val="es-ES_tradnl"/>
        </w:rPr>
      </w:pPr>
    </w:p>
    <w:p w:rsidR="00B053C8" w:rsidRPr="00FA5953" w:rsidRDefault="00B053C8" w:rsidP="00360602">
      <w:pPr>
        <w:pStyle w:val="ListParagraph"/>
        <w:numPr>
          <w:ilvl w:val="0"/>
          <w:numId w:val="58"/>
        </w:numPr>
        <w:ind w:left="0" w:firstLine="720"/>
        <w:jc w:val="both"/>
        <w:rPr>
          <w:sz w:val="20"/>
          <w:szCs w:val="20"/>
          <w:lang w:val="es-ES_tradnl"/>
        </w:rPr>
      </w:pPr>
      <w:r w:rsidRPr="00FA5953">
        <w:rPr>
          <w:sz w:val="20"/>
          <w:szCs w:val="20"/>
          <w:lang w:val="es-ES_tradnl"/>
        </w:rPr>
        <w:t>En virtud de todo lo anterior, la CIDH observa que a la luz del principio de distinción el Estado tenía la obligación de dirigir los ataques militares a las fuerzas panameñas</w:t>
      </w:r>
      <w:r w:rsidR="008D0182">
        <w:rPr>
          <w:sz w:val="20"/>
          <w:szCs w:val="20"/>
          <w:lang w:val="es-ES_tradnl"/>
        </w:rPr>
        <w:t xml:space="preserve"> y bienes</w:t>
      </w:r>
      <w:r w:rsidRPr="00FA5953">
        <w:rPr>
          <w:sz w:val="20"/>
          <w:szCs w:val="20"/>
          <w:lang w:val="es-ES_tradnl"/>
        </w:rPr>
        <w:t>, y no a los bienes civiles, obligación que se extiende incluso sobre aquellos bienes de carácter civil que se encontraban en las cercanías de los objetivos y/o zonas militares.</w:t>
      </w:r>
    </w:p>
    <w:p w:rsidR="00B053C8" w:rsidRPr="00B06A7F" w:rsidRDefault="00B053C8" w:rsidP="00FA5953">
      <w:pPr>
        <w:ind w:firstLine="720"/>
        <w:jc w:val="both"/>
        <w:rPr>
          <w:rFonts w:ascii="Cambria" w:hAnsi="Cambria"/>
          <w:sz w:val="20"/>
          <w:szCs w:val="20"/>
          <w:lang w:val="es-ES_tradnl"/>
        </w:rPr>
      </w:pPr>
    </w:p>
    <w:p w:rsidR="00B053C8" w:rsidRPr="00FA5953" w:rsidRDefault="00B053C8" w:rsidP="008D0182">
      <w:pPr>
        <w:pStyle w:val="ListParagraph"/>
        <w:numPr>
          <w:ilvl w:val="0"/>
          <w:numId w:val="58"/>
        </w:numPr>
        <w:ind w:left="0" w:firstLine="720"/>
        <w:jc w:val="both"/>
        <w:rPr>
          <w:sz w:val="20"/>
          <w:szCs w:val="20"/>
          <w:lang w:val="es-ES_tradnl"/>
        </w:rPr>
      </w:pPr>
      <w:r w:rsidRPr="00FA5953">
        <w:rPr>
          <w:sz w:val="20"/>
          <w:szCs w:val="20"/>
          <w:lang w:val="es-ES_tradnl"/>
        </w:rPr>
        <w:t xml:space="preserve">En este sentido, la información que reposa en el expediente indica que bienes de carácter civil fueron afectados </w:t>
      </w:r>
      <w:r w:rsidR="00002926">
        <w:rPr>
          <w:sz w:val="20"/>
          <w:szCs w:val="20"/>
          <w:lang w:val="es-ES_tradnl"/>
        </w:rPr>
        <w:t xml:space="preserve">de manera muy significativa </w:t>
      </w:r>
      <w:r w:rsidRPr="00FA5953">
        <w:rPr>
          <w:sz w:val="20"/>
          <w:szCs w:val="20"/>
          <w:lang w:val="es-ES_tradnl"/>
        </w:rPr>
        <w:t>por el impacto de explosivos, como morteros o bombas, el 20 de diciembre de 1989 en distintas zonas de Ciudad de Panamá, entre ellas Viejo Veranillo, Los Andes, San Miguelito.  Asimismo, la información aportada por las partes indica que en Ciudad de Colón ocurrieron afectaciones a bienes de civiles como consecuencia del uso de materiales explosivos e incendios</w:t>
      </w:r>
      <w:r w:rsidR="00002926">
        <w:rPr>
          <w:sz w:val="20"/>
          <w:szCs w:val="20"/>
          <w:lang w:val="es-ES_tradnl"/>
        </w:rPr>
        <w:t xml:space="preserve"> y destruyeron las viviendas de múltiples víctimas, con todas sus pertenencias</w:t>
      </w:r>
      <w:r w:rsidRPr="00FA5953">
        <w:rPr>
          <w:sz w:val="20"/>
          <w:szCs w:val="20"/>
          <w:lang w:val="es-ES_tradnl"/>
        </w:rPr>
        <w:t xml:space="preserve">. Y de modo similar, en el complejo de edificios Patio Pinel, los soldados estadounidenses estuvieron presentes con tanquetas, helicópteros y armas causando daños a las infraestructuras. </w:t>
      </w:r>
      <w:r w:rsidR="008D0182" w:rsidRPr="008D0182">
        <w:rPr>
          <w:sz w:val="20"/>
          <w:szCs w:val="20"/>
          <w:lang w:val="es-ES_tradnl"/>
        </w:rPr>
        <w:t>Como se ind</w:t>
      </w:r>
      <w:r w:rsidR="007F0498">
        <w:rPr>
          <w:sz w:val="20"/>
          <w:szCs w:val="20"/>
          <w:lang w:val="es-ES_tradnl"/>
        </w:rPr>
        <w:t>icó anteriormente, los EE. UU. n</w:t>
      </w:r>
      <w:r w:rsidR="008D0182" w:rsidRPr="008D0182">
        <w:rPr>
          <w:sz w:val="20"/>
          <w:szCs w:val="20"/>
          <w:lang w:val="es-ES_tradnl"/>
        </w:rPr>
        <w:t>o ha alegado ni el expediente del caso contiene ninguna indicación de que dichos bienes personales estuvieran siendo utilizado</w:t>
      </w:r>
      <w:r w:rsidR="007F0498">
        <w:rPr>
          <w:sz w:val="20"/>
          <w:szCs w:val="20"/>
          <w:lang w:val="es-ES_tradnl"/>
        </w:rPr>
        <w:t>s con fines militares por las FF.DD</w:t>
      </w:r>
      <w:r w:rsidR="008D0182" w:rsidRPr="008D0182">
        <w:rPr>
          <w:sz w:val="20"/>
          <w:szCs w:val="20"/>
          <w:lang w:val="es-ES_tradnl"/>
        </w:rPr>
        <w:t xml:space="preserve"> u otras fuerzas hostiles a los EE. UU</w:t>
      </w:r>
      <w:r w:rsidR="007F0498">
        <w:rPr>
          <w:sz w:val="20"/>
          <w:szCs w:val="20"/>
          <w:lang w:val="es-ES_tradnl"/>
        </w:rPr>
        <w:t xml:space="preserve"> d</w:t>
      </w:r>
      <w:r w:rsidR="008D0182" w:rsidRPr="008D0182">
        <w:rPr>
          <w:sz w:val="20"/>
          <w:szCs w:val="20"/>
          <w:lang w:val="es-ES_tradnl"/>
        </w:rPr>
        <w:t>urante la invasión.</w:t>
      </w:r>
    </w:p>
    <w:p w:rsidR="00B053C8" w:rsidRPr="00B06A7F" w:rsidRDefault="00B053C8" w:rsidP="00FA5953">
      <w:pPr>
        <w:ind w:firstLine="720"/>
        <w:jc w:val="both"/>
        <w:rPr>
          <w:rFonts w:ascii="Cambria" w:hAnsi="Cambria"/>
          <w:sz w:val="20"/>
          <w:szCs w:val="20"/>
          <w:lang w:val="es-ES_tradnl"/>
        </w:rPr>
      </w:pPr>
    </w:p>
    <w:p w:rsidR="00B053C8" w:rsidRPr="00FA5953" w:rsidRDefault="00B053C8" w:rsidP="00360602">
      <w:pPr>
        <w:pStyle w:val="ListParagraph"/>
        <w:numPr>
          <w:ilvl w:val="0"/>
          <w:numId w:val="58"/>
        </w:numPr>
        <w:ind w:left="0" w:firstLine="720"/>
        <w:jc w:val="both"/>
        <w:rPr>
          <w:sz w:val="20"/>
          <w:szCs w:val="20"/>
          <w:lang w:val="es-ES_tradnl"/>
        </w:rPr>
      </w:pPr>
      <w:r w:rsidRPr="00FA5953">
        <w:rPr>
          <w:sz w:val="20"/>
          <w:szCs w:val="20"/>
          <w:lang w:val="es-ES_tradnl"/>
        </w:rPr>
        <w:t>En este sentido, la Comisión toma nota de que una zona especialmente afectada fue El Chorrillo, la cual, por su proximidad con el Cuartel Militar Central de la Comandancia, fue el escenario de fuertes enfrentamientos y bombardeos en la noche del 19 al 20 de diciembre de 1989 entre integrantes de las Fuerzas de Defensas panameñas y de las Fuerzas Armadas de los Estados Unidos. De los hechos probados se desprende que las fuerzas armadas estadounidenses hicieron uso de armas, tanquetas, helicópteros y aviones. Así como el despliegue de soldados paracaidistas y el uso de armas explosivas.</w:t>
      </w:r>
    </w:p>
    <w:p w:rsidR="00B053C8" w:rsidRPr="00B06A7F" w:rsidRDefault="00B053C8" w:rsidP="00FA5953">
      <w:pPr>
        <w:ind w:firstLine="720"/>
        <w:jc w:val="both"/>
        <w:rPr>
          <w:rFonts w:ascii="Cambria" w:hAnsi="Cambria"/>
          <w:sz w:val="20"/>
          <w:szCs w:val="20"/>
          <w:lang w:val="es-ES_tradnl"/>
        </w:rPr>
      </w:pPr>
    </w:p>
    <w:p w:rsidR="00B053C8" w:rsidRPr="00FA5953" w:rsidRDefault="007F0498" w:rsidP="007F0498">
      <w:pPr>
        <w:pStyle w:val="ListParagraph"/>
        <w:numPr>
          <w:ilvl w:val="0"/>
          <w:numId w:val="58"/>
        </w:numPr>
        <w:ind w:left="0" w:firstLine="720"/>
        <w:jc w:val="both"/>
        <w:rPr>
          <w:sz w:val="20"/>
          <w:szCs w:val="20"/>
          <w:lang w:val="es-ES_tradnl"/>
        </w:rPr>
      </w:pPr>
      <w:r>
        <w:rPr>
          <w:sz w:val="20"/>
          <w:szCs w:val="20"/>
          <w:lang w:val="es-ES_tradnl"/>
        </w:rPr>
        <w:lastRenderedPageBreak/>
        <w:t>L</w:t>
      </w:r>
      <w:r w:rsidR="00B053C8" w:rsidRPr="00FA5953">
        <w:rPr>
          <w:sz w:val="20"/>
          <w:szCs w:val="20"/>
          <w:lang w:val="es-ES_tradnl"/>
        </w:rPr>
        <w:t>a parte peticionaria aportó información técnica que indica que el 76.85%</w:t>
      </w:r>
      <w:r w:rsidR="00B053C8" w:rsidRPr="00B06A7F">
        <w:rPr>
          <w:rStyle w:val="FootnoteReference"/>
          <w:sz w:val="20"/>
          <w:szCs w:val="20"/>
          <w:lang w:val="es-ES_tradnl"/>
        </w:rPr>
        <w:footnoteReference w:id="671"/>
      </w:r>
      <w:r w:rsidR="00B053C8" w:rsidRPr="00FA5953">
        <w:rPr>
          <w:sz w:val="20"/>
          <w:szCs w:val="20"/>
          <w:lang w:val="es-ES_tradnl"/>
        </w:rPr>
        <w:t xml:space="preserve"> del área de El Chorrillo se vio afectada por motivo del incendio provocado por parte de soldados estadounidenses en búsqueda del General Noriega. Asimismo, de la información que reposa en el expediente indica que producto de este incendio</w:t>
      </w:r>
      <w:r w:rsidR="00002926">
        <w:rPr>
          <w:sz w:val="20"/>
          <w:szCs w:val="20"/>
          <w:lang w:val="es-ES_tradnl"/>
        </w:rPr>
        <w:t xml:space="preserve"> </w:t>
      </w:r>
      <w:r w:rsidR="00B053C8" w:rsidRPr="00FA5953">
        <w:rPr>
          <w:sz w:val="20"/>
          <w:szCs w:val="20"/>
          <w:lang w:val="es-ES_tradnl"/>
        </w:rPr>
        <w:t>tuvo lugar la destrucción y/o pérdida de</w:t>
      </w:r>
      <w:r w:rsidR="00002926">
        <w:rPr>
          <w:sz w:val="20"/>
          <w:szCs w:val="20"/>
          <w:lang w:val="es-ES_tradnl"/>
        </w:rPr>
        <w:t xml:space="preserve"> viviendas y de</w:t>
      </w:r>
      <w:r w:rsidR="00B053C8" w:rsidRPr="00FA5953">
        <w:rPr>
          <w:sz w:val="20"/>
          <w:szCs w:val="20"/>
          <w:lang w:val="es-ES_tradnl"/>
        </w:rPr>
        <w:t xml:space="preserve"> bienes relacionados al oficio de las víctimas provocando un impacto económico negativo en sus patrimonios</w:t>
      </w:r>
      <w:r>
        <w:rPr>
          <w:sz w:val="20"/>
          <w:szCs w:val="20"/>
          <w:lang w:val="es-ES_tradnl"/>
        </w:rPr>
        <w:t xml:space="preserve"> y disminuyendo su nivel de vida</w:t>
      </w:r>
      <w:r w:rsidR="00B053C8" w:rsidRPr="00FA5953">
        <w:rPr>
          <w:sz w:val="20"/>
          <w:szCs w:val="20"/>
          <w:lang w:val="es-ES_tradnl"/>
        </w:rPr>
        <w:t xml:space="preserve">. </w:t>
      </w:r>
    </w:p>
    <w:p w:rsidR="00B053C8" w:rsidRPr="00B06A7F" w:rsidRDefault="00B053C8" w:rsidP="00FA595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ES_tradnl"/>
        </w:rPr>
      </w:pPr>
    </w:p>
    <w:p w:rsidR="00B053C8" w:rsidRPr="00FA5953" w:rsidRDefault="00B053C8" w:rsidP="00360602">
      <w:pPr>
        <w:pStyle w:val="ListParagraph"/>
        <w:numPr>
          <w:ilvl w:val="0"/>
          <w:numId w:val="58"/>
        </w:numPr>
        <w:ind w:left="0" w:firstLine="720"/>
        <w:jc w:val="both"/>
        <w:rPr>
          <w:sz w:val="20"/>
          <w:szCs w:val="20"/>
          <w:lang w:val="es-ES_tradnl"/>
        </w:rPr>
      </w:pPr>
      <w:r w:rsidRPr="00FA5953">
        <w:rPr>
          <w:sz w:val="20"/>
          <w:szCs w:val="20"/>
          <w:lang w:val="es-ES_tradnl"/>
        </w:rPr>
        <w:t>Sobre este punto, la CIDH resalta adicionalmente la previsibilidad del incendio</w:t>
      </w:r>
      <w:r w:rsidR="00002926">
        <w:rPr>
          <w:sz w:val="20"/>
          <w:szCs w:val="20"/>
          <w:lang w:val="es-ES_tradnl"/>
        </w:rPr>
        <w:t xml:space="preserve"> en una zona con </w:t>
      </w:r>
      <w:r w:rsidR="007F0498">
        <w:rPr>
          <w:sz w:val="20"/>
          <w:szCs w:val="20"/>
          <w:lang w:val="es-ES_tradnl"/>
        </w:rPr>
        <w:t xml:space="preserve">casas y edificios </w:t>
      </w:r>
      <w:r w:rsidR="00002926">
        <w:rPr>
          <w:sz w:val="20"/>
          <w:szCs w:val="20"/>
          <w:lang w:val="es-ES_tradnl"/>
        </w:rPr>
        <w:t>construidos de madera</w:t>
      </w:r>
      <w:r w:rsidRPr="00FA5953">
        <w:rPr>
          <w:sz w:val="20"/>
          <w:szCs w:val="20"/>
          <w:lang w:val="es-ES_tradnl"/>
        </w:rPr>
        <w:t xml:space="preserve"> y por tanto la obligación de adaptar las tácticas y medios de guerra </w:t>
      </w:r>
      <w:r w:rsidR="007F0498">
        <w:rPr>
          <w:sz w:val="20"/>
          <w:szCs w:val="20"/>
          <w:lang w:val="es-ES_tradnl"/>
        </w:rPr>
        <w:t xml:space="preserve">para prevenir </w:t>
      </w:r>
      <w:r w:rsidRPr="00FA5953">
        <w:rPr>
          <w:sz w:val="20"/>
          <w:szCs w:val="20"/>
          <w:lang w:val="es-ES_tradnl"/>
        </w:rPr>
        <w:t>daños desproporcionales a la vida, integridad y propiedad de los civiles presentes en El Chorrillo. En este sentido</w:t>
      </w:r>
      <w:r w:rsidR="007F0498">
        <w:rPr>
          <w:sz w:val="20"/>
          <w:szCs w:val="20"/>
          <w:lang w:val="es-ES_tradnl"/>
        </w:rPr>
        <w:t xml:space="preserve">, la CIDH </w:t>
      </w:r>
      <w:r w:rsidRPr="00FA5953">
        <w:rPr>
          <w:sz w:val="20"/>
          <w:szCs w:val="20"/>
          <w:lang w:val="es-ES_tradnl"/>
        </w:rPr>
        <w:t xml:space="preserve">verifica </w:t>
      </w:r>
      <w:r w:rsidR="007F0498">
        <w:rPr>
          <w:sz w:val="20"/>
          <w:szCs w:val="20"/>
          <w:lang w:val="es-ES_tradnl"/>
        </w:rPr>
        <w:t xml:space="preserve">que los EE.UU violó el </w:t>
      </w:r>
      <w:r w:rsidRPr="00FA5953">
        <w:rPr>
          <w:sz w:val="20"/>
          <w:szCs w:val="20"/>
          <w:lang w:val="es-ES_tradnl"/>
        </w:rPr>
        <w:t xml:space="preserve">principio de precaución en la planificación y ejecución del operativo militar en razón del uso desproporcional de armas explosivas en el marco de las acciones ofensivas en contra del Cuartel Militar Central ubicado en una zona altamente habitada por civiles, en adición a la existencia de construcciones de madera que contribuyó a la propagación del incendio. </w:t>
      </w:r>
    </w:p>
    <w:p w:rsidR="00B053C8" w:rsidRPr="00B06A7F" w:rsidRDefault="00B053C8" w:rsidP="00FA5953">
      <w:pPr>
        <w:ind w:firstLine="720"/>
        <w:jc w:val="both"/>
        <w:rPr>
          <w:rFonts w:ascii="Cambria" w:hAnsi="Cambria"/>
          <w:sz w:val="20"/>
          <w:szCs w:val="20"/>
          <w:lang w:val="es-ES_tradnl"/>
        </w:rPr>
      </w:pPr>
    </w:p>
    <w:p w:rsidR="00B053C8" w:rsidRPr="00FA5953" w:rsidRDefault="00B053C8" w:rsidP="00360602">
      <w:pPr>
        <w:pStyle w:val="ListParagraph"/>
        <w:numPr>
          <w:ilvl w:val="0"/>
          <w:numId w:val="58"/>
        </w:numPr>
        <w:ind w:left="0" w:firstLine="720"/>
        <w:jc w:val="both"/>
        <w:rPr>
          <w:sz w:val="20"/>
          <w:szCs w:val="20"/>
          <w:lang w:val="es-ES_tradnl"/>
        </w:rPr>
      </w:pPr>
      <w:r w:rsidRPr="00FA5953">
        <w:rPr>
          <w:sz w:val="20"/>
          <w:szCs w:val="20"/>
          <w:lang w:val="es-ES_tradnl"/>
        </w:rPr>
        <w:t xml:space="preserve">De todo lo anterior, la Comisión concluye que los hechos probados </w:t>
      </w:r>
      <w:r w:rsidR="007F0498">
        <w:rPr>
          <w:sz w:val="20"/>
          <w:szCs w:val="20"/>
          <w:lang w:val="es-ES_tradnl"/>
        </w:rPr>
        <w:t xml:space="preserve">se </w:t>
      </w:r>
      <w:r w:rsidRPr="00FA5953">
        <w:rPr>
          <w:sz w:val="20"/>
          <w:szCs w:val="20"/>
          <w:lang w:val="es-ES_tradnl"/>
        </w:rPr>
        <w:t>desprende que las Fuerzas Militares de los Estados Unidos no diferenciaron de forma adecuada entre bienes de carácter civil y objetivos militares.  Más aún</w:t>
      </w:r>
      <w:r w:rsidR="007B37C0">
        <w:rPr>
          <w:sz w:val="20"/>
          <w:szCs w:val="20"/>
          <w:lang w:val="es-ES_tradnl"/>
        </w:rPr>
        <w:t xml:space="preserve"> se observa el Estado empleó </w:t>
      </w:r>
      <w:r w:rsidRPr="00FA5953">
        <w:rPr>
          <w:sz w:val="20"/>
          <w:szCs w:val="20"/>
          <w:lang w:val="es-ES_tradnl"/>
        </w:rPr>
        <w:t>técnica</w:t>
      </w:r>
      <w:r w:rsidR="007B37C0">
        <w:rPr>
          <w:sz w:val="20"/>
          <w:szCs w:val="20"/>
          <w:lang w:val="es-ES_tradnl"/>
        </w:rPr>
        <w:t>s</w:t>
      </w:r>
      <w:r w:rsidRPr="00FA5953">
        <w:rPr>
          <w:sz w:val="20"/>
          <w:szCs w:val="20"/>
          <w:lang w:val="es-ES_tradnl"/>
        </w:rPr>
        <w:t xml:space="preserve"> de bombardeo</w:t>
      </w:r>
      <w:r w:rsidR="007B37C0">
        <w:rPr>
          <w:sz w:val="20"/>
          <w:szCs w:val="20"/>
          <w:lang w:val="es-ES_tradnl"/>
        </w:rPr>
        <w:t xml:space="preserve"> indiscriminado en zonas donde conoc</w:t>
      </w:r>
      <w:r w:rsidRPr="00FA5953">
        <w:rPr>
          <w:sz w:val="20"/>
          <w:szCs w:val="20"/>
          <w:lang w:val="es-ES_tradnl"/>
        </w:rPr>
        <w:t xml:space="preserve">ía </w:t>
      </w:r>
      <w:r w:rsidR="007B37C0">
        <w:rPr>
          <w:sz w:val="20"/>
          <w:szCs w:val="20"/>
          <w:lang w:val="es-ES_tradnl"/>
        </w:rPr>
        <w:t xml:space="preserve">con certeza que </w:t>
      </w:r>
      <w:r w:rsidRPr="00FA5953">
        <w:rPr>
          <w:sz w:val="20"/>
          <w:szCs w:val="20"/>
          <w:lang w:val="es-ES_tradnl"/>
        </w:rPr>
        <w:t xml:space="preserve">se encontraban bienes de carácter civil, sin tomar las precauciones de lugar para garantizar que los bienes civiles no serían alcanzados por dichos ataques, contraviniendo las Normas Consuetudinarias aplicables. Asimismo, observa que las Fuerzas del Estado atacaron directamente bienes que no respondían a objetivos militares y/o no representaban ventajas militares concretas, por lo tanto, la CIDH considera que en el marco de la Operación Justa Causa las Fuerzas Militares del Estado afectaron de forma desproporcionada bienes civiles en las zonas antes indicadas, con especial gravedad en El Chorrillo. </w:t>
      </w:r>
    </w:p>
    <w:p w:rsidR="00B053C8" w:rsidRPr="00B06A7F" w:rsidRDefault="00B053C8" w:rsidP="00FA5953">
      <w:pPr>
        <w:ind w:firstLine="720"/>
        <w:jc w:val="both"/>
        <w:rPr>
          <w:rFonts w:ascii="Cambria" w:hAnsi="Cambria"/>
          <w:sz w:val="20"/>
          <w:szCs w:val="20"/>
          <w:lang w:val="es-ES_tradnl"/>
        </w:rPr>
      </w:pPr>
    </w:p>
    <w:p w:rsidR="00B053C8" w:rsidRPr="00FA5953" w:rsidRDefault="00B053C8" w:rsidP="00360602">
      <w:pPr>
        <w:pStyle w:val="ListParagraph"/>
        <w:numPr>
          <w:ilvl w:val="0"/>
          <w:numId w:val="58"/>
        </w:numPr>
        <w:ind w:left="0" w:firstLine="720"/>
        <w:jc w:val="both"/>
        <w:rPr>
          <w:sz w:val="20"/>
          <w:szCs w:val="20"/>
          <w:lang w:val="es-ES_tradnl"/>
        </w:rPr>
      </w:pPr>
      <w:r w:rsidRPr="00FA5953">
        <w:rPr>
          <w:sz w:val="20"/>
          <w:szCs w:val="20"/>
          <w:lang w:val="es-ES_tradnl"/>
        </w:rPr>
        <w:t xml:space="preserve">La CIDH establece que en el marco de la Operación Justa Causa se vieron comprometidos bienes de carácter civil contraviniendo las normas aplicables, lo cual incluyó la </w:t>
      </w:r>
      <w:r w:rsidRPr="00FA5953">
        <w:rPr>
          <w:rFonts w:eastAsia="Times New Roman"/>
          <w:sz w:val="20"/>
          <w:szCs w:val="20"/>
          <w:bdr w:val="none" w:sz="0" w:space="0" w:color="auto"/>
          <w:lang w:val="es-ES_tradnl"/>
        </w:rPr>
        <w:t xml:space="preserve">destrucción a las viviendas y bienes </w:t>
      </w:r>
      <w:r w:rsidR="007B37C0">
        <w:rPr>
          <w:rFonts w:eastAsia="Times New Roman"/>
          <w:sz w:val="20"/>
          <w:szCs w:val="20"/>
          <w:bdr w:val="none" w:sz="0" w:space="0" w:color="auto"/>
          <w:lang w:val="es-ES_tradnl"/>
        </w:rPr>
        <w:t>personales</w:t>
      </w:r>
      <w:r w:rsidRPr="00FA5953">
        <w:rPr>
          <w:rFonts w:eastAsia="Times New Roman"/>
          <w:sz w:val="20"/>
          <w:szCs w:val="20"/>
          <w:bdr w:val="none" w:sz="0" w:space="0" w:color="auto"/>
          <w:lang w:val="es-ES_tradnl"/>
        </w:rPr>
        <w:t xml:space="preserve"> ubicados en las mismas. Asimismo, destaca que producto de estos daños las personas que gozaban de la titularidad de la propiedad sobre éstas, han visto comprometido en el tiempo su derecho al uso y goce de la misma</w:t>
      </w:r>
      <w:r w:rsidRPr="00B06A7F">
        <w:rPr>
          <w:rStyle w:val="FootnoteReference"/>
          <w:rFonts w:eastAsia="Times New Roman"/>
          <w:sz w:val="20"/>
          <w:szCs w:val="20"/>
          <w:bdr w:val="none" w:sz="0" w:space="0" w:color="auto"/>
          <w:lang w:val="es-ES_tradnl"/>
        </w:rPr>
        <w:footnoteReference w:id="672"/>
      </w:r>
      <w:r w:rsidRPr="00FA5953">
        <w:rPr>
          <w:rFonts w:eastAsia="Times New Roman"/>
          <w:sz w:val="20"/>
          <w:szCs w:val="20"/>
          <w:bdr w:val="none" w:sz="0" w:space="0" w:color="auto"/>
          <w:lang w:val="es-ES_tradnl"/>
        </w:rPr>
        <w:t xml:space="preserve">.  </w:t>
      </w:r>
    </w:p>
    <w:p w:rsidR="00B053C8" w:rsidRPr="00B06A7F" w:rsidRDefault="00B053C8" w:rsidP="00FA5953">
      <w:pPr>
        <w:ind w:firstLine="720"/>
        <w:jc w:val="both"/>
        <w:rPr>
          <w:rFonts w:ascii="Cambria" w:hAnsi="Cambria"/>
          <w:sz w:val="20"/>
          <w:szCs w:val="20"/>
          <w:lang w:val="es-ES_tradnl"/>
        </w:rPr>
      </w:pPr>
    </w:p>
    <w:p w:rsidR="00B053C8" w:rsidRPr="00FA5953" w:rsidRDefault="00B053C8" w:rsidP="00360602">
      <w:pPr>
        <w:pStyle w:val="ListParagraph"/>
        <w:numPr>
          <w:ilvl w:val="0"/>
          <w:numId w:val="58"/>
        </w:numPr>
        <w:ind w:left="0" w:firstLine="720"/>
        <w:jc w:val="both"/>
        <w:rPr>
          <w:sz w:val="20"/>
          <w:szCs w:val="20"/>
          <w:lang w:val="es-ES_tradnl"/>
        </w:rPr>
      </w:pPr>
      <w:r w:rsidRPr="00FA5953">
        <w:rPr>
          <w:sz w:val="20"/>
          <w:szCs w:val="20"/>
          <w:lang w:val="es-ES_tradnl"/>
        </w:rPr>
        <w:t>Más aún, la Comisión establece que la destrucción y/o pérdida de bienes como consecuencia de las actuaciones de las Fuerzas Militares de los Estados Unidos relacionados al oficio de las víctimas en la zona de El Chorrillo, acarreó</w:t>
      </w:r>
      <w:r w:rsidR="00AC3D81">
        <w:rPr>
          <w:sz w:val="20"/>
          <w:szCs w:val="20"/>
          <w:lang w:val="es-ES_tradnl"/>
        </w:rPr>
        <w:t xml:space="preserve"> con</w:t>
      </w:r>
      <w:r w:rsidRPr="00FA5953">
        <w:rPr>
          <w:sz w:val="20"/>
          <w:szCs w:val="20"/>
          <w:lang w:val="es-ES_tradnl"/>
        </w:rPr>
        <w:t xml:space="preserve"> una afectación directa a sus bienes</w:t>
      </w:r>
      <w:r w:rsidR="007B37C0">
        <w:rPr>
          <w:sz w:val="20"/>
          <w:szCs w:val="20"/>
          <w:lang w:val="es-ES_tradnl"/>
        </w:rPr>
        <w:t xml:space="preserve"> y a </w:t>
      </w:r>
      <w:r w:rsidRPr="00FA5953">
        <w:rPr>
          <w:sz w:val="20"/>
          <w:szCs w:val="20"/>
          <w:lang w:val="es-ES_tradnl"/>
        </w:rPr>
        <w:t>su subsistencia</w:t>
      </w:r>
      <w:r w:rsidRPr="00B06A7F">
        <w:rPr>
          <w:rStyle w:val="FootnoteReference"/>
          <w:sz w:val="20"/>
          <w:szCs w:val="20"/>
          <w:lang w:val="es-ES_tradnl"/>
        </w:rPr>
        <w:footnoteReference w:id="673"/>
      </w:r>
      <w:r w:rsidRPr="00FA5953">
        <w:rPr>
          <w:sz w:val="20"/>
          <w:szCs w:val="20"/>
          <w:lang w:val="es-ES_tradnl"/>
        </w:rPr>
        <w:t xml:space="preserve">. Además, </w:t>
      </w:r>
      <w:r w:rsidRPr="00FA5953">
        <w:rPr>
          <w:rFonts w:eastAsia="Times New Roman"/>
          <w:sz w:val="20"/>
          <w:szCs w:val="20"/>
          <w:bdr w:val="none" w:sz="0" w:space="0" w:color="auto"/>
          <w:lang w:val="es-ES_tradnl"/>
        </w:rPr>
        <w:t xml:space="preserve">por las circunstancias en que tuvieron lugar los hechos y en especial </w:t>
      </w:r>
      <w:r w:rsidR="00AC3D81">
        <w:rPr>
          <w:rFonts w:eastAsia="Times New Roman"/>
          <w:sz w:val="20"/>
          <w:szCs w:val="20"/>
          <w:bdr w:val="none" w:sz="0" w:space="0" w:color="auto"/>
          <w:lang w:val="es-ES_tradnl"/>
        </w:rPr>
        <w:t>tomando en cuenta lo informado en las declaraciones de las víctimas en cuanto a la vulnerabilidad de muchos de ellos, el tiempo que se quedaron sin vivienda propia y en condiciones precarias</w:t>
      </w:r>
      <w:r w:rsidRPr="00FA5953">
        <w:rPr>
          <w:rFonts w:eastAsia="Times New Roman"/>
          <w:sz w:val="20"/>
          <w:szCs w:val="20"/>
          <w:bdr w:val="none" w:sz="0" w:space="0" w:color="auto"/>
          <w:lang w:val="es-ES_tradnl"/>
        </w:rPr>
        <w:t xml:space="preserve">, los daños ocasionados a su propiedad </w:t>
      </w:r>
      <w:r w:rsidR="00AC3D81">
        <w:rPr>
          <w:rFonts w:eastAsia="Times New Roman"/>
          <w:sz w:val="20"/>
          <w:szCs w:val="20"/>
          <w:bdr w:val="none" w:sz="0" w:space="0" w:color="auto"/>
          <w:lang w:val="es-ES_tradnl"/>
        </w:rPr>
        <w:t xml:space="preserve">tenían </w:t>
      </w:r>
      <w:r w:rsidRPr="00FA5953">
        <w:rPr>
          <w:rFonts w:eastAsia="Times New Roman"/>
          <w:sz w:val="20"/>
          <w:szCs w:val="20"/>
          <w:bdr w:val="none" w:sz="0" w:space="0" w:color="auto"/>
          <w:lang w:val="es-ES_tradnl"/>
        </w:rPr>
        <w:t>un efecto de mayor magnitud</w:t>
      </w:r>
      <w:r w:rsidR="00AC3D81">
        <w:rPr>
          <w:rFonts w:eastAsia="Times New Roman"/>
          <w:sz w:val="20"/>
          <w:szCs w:val="20"/>
          <w:bdr w:val="none" w:sz="0" w:space="0" w:color="auto"/>
          <w:lang w:val="es-ES_tradnl"/>
        </w:rPr>
        <w:t xml:space="preserve"> para dichas víctimas.</w:t>
      </w:r>
      <w:r w:rsidRPr="00FA5953">
        <w:rPr>
          <w:rFonts w:eastAsia="Times New Roman"/>
          <w:sz w:val="20"/>
          <w:szCs w:val="20"/>
          <w:bdr w:val="none" w:sz="0" w:space="0" w:color="auto"/>
          <w:lang w:val="es-ES_tradnl"/>
        </w:rPr>
        <w:t xml:space="preserve"> </w:t>
      </w:r>
    </w:p>
    <w:p w:rsidR="00B053C8" w:rsidRPr="00B06A7F" w:rsidRDefault="00B053C8" w:rsidP="00FA5953">
      <w:pPr>
        <w:ind w:firstLine="720"/>
        <w:jc w:val="both"/>
        <w:rPr>
          <w:rFonts w:ascii="Cambria" w:eastAsia="Times New Roman" w:hAnsi="Cambria"/>
          <w:sz w:val="20"/>
          <w:szCs w:val="20"/>
          <w:lang w:val="es-ES_tradnl"/>
        </w:rPr>
      </w:pPr>
    </w:p>
    <w:p w:rsidR="00C47E7F" w:rsidRDefault="00B053C8" w:rsidP="00360602">
      <w:pPr>
        <w:pStyle w:val="ListParagraph"/>
        <w:numPr>
          <w:ilvl w:val="0"/>
          <w:numId w:val="58"/>
        </w:numPr>
        <w:ind w:left="0" w:firstLine="720"/>
        <w:jc w:val="both"/>
        <w:rPr>
          <w:sz w:val="20"/>
          <w:szCs w:val="20"/>
          <w:lang w:val="es-ES_tradnl"/>
        </w:rPr>
      </w:pPr>
      <w:r w:rsidRPr="00FA5953">
        <w:rPr>
          <w:sz w:val="20"/>
          <w:szCs w:val="20"/>
          <w:lang w:val="es-ES_tradnl"/>
        </w:rPr>
        <w:t>En virtud de todo lo anterior, la Comisión establece que la afectación desproporcionada que causaron las Fuerzas Militares de los Estados Unidos so</w:t>
      </w:r>
      <w:r w:rsidR="007B37C0">
        <w:rPr>
          <w:sz w:val="20"/>
          <w:szCs w:val="20"/>
          <w:lang w:val="es-ES_tradnl"/>
        </w:rPr>
        <w:t xml:space="preserve">bre bienes muebles, inmuebles así como otros bienes </w:t>
      </w:r>
      <w:r w:rsidRPr="00FA5953">
        <w:rPr>
          <w:sz w:val="20"/>
          <w:szCs w:val="20"/>
          <w:lang w:val="es-ES_tradnl"/>
        </w:rPr>
        <w:t xml:space="preserve">pecuniarios de carácter civil en las zonas de Ciudad de Panamá, Viejo Veranillo, Los Andes, San Miguelito, el complejo Patio Pinel, y con especial énfasis  en El Chorrillo, constituyeron una violación al derecho de propiedad </w:t>
      </w:r>
      <w:r w:rsidR="007B37C0">
        <w:rPr>
          <w:sz w:val="20"/>
          <w:szCs w:val="20"/>
          <w:lang w:val="es-ES_tradnl"/>
        </w:rPr>
        <w:t xml:space="preserve">personal </w:t>
      </w:r>
      <w:r w:rsidRPr="00FA5953">
        <w:rPr>
          <w:sz w:val="20"/>
          <w:szCs w:val="20"/>
          <w:lang w:val="es-ES_tradnl"/>
        </w:rPr>
        <w:t xml:space="preserve">consagrado en el artículo XXIII de la Declaración Americana, por lo cual el Estado es responsable de dichas vulneraciones. Las víctimas de estas violaciones se encuentran individualizadas en el </w:t>
      </w:r>
      <w:r w:rsidRPr="007B37C0">
        <w:rPr>
          <w:color w:val="auto"/>
          <w:sz w:val="20"/>
          <w:szCs w:val="20"/>
          <w:lang w:val="es-ES_tradnl"/>
        </w:rPr>
        <w:t xml:space="preserve">Anexo </w:t>
      </w:r>
      <w:r w:rsidR="007B37C0" w:rsidRPr="007B37C0">
        <w:rPr>
          <w:color w:val="auto"/>
          <w:sz w:val="20"/>
          <w:szCs w:val="20"/>
          <w:lang w:val="es-ES_tradnl"/>
        </w:rPr>
        <w:t xml:space="preserve">2 </w:t>
      </w:r>
      <w:r w:rsidRPr="00FA5953">
        <w:rPr>
          <w:sz w:val="20"/>
          <w:szCs w:val="20"/>
          <w:lang w:val="es-ES_tradnl"/>
        </w:rPr>
        <w:t xml:space="preserve">del presente informe de fondo. </w:t>
      </w:r>
    </w:p>
    <w:p w:rsidR="00C47E7F" w:rsidRDefault="00C47E7F" w:rsidP="00C47E7F">
      <w:pPr>
        <w:jc w:val="both"/>
        <w:rPr>
          <w:sz w:val="20"/>
          <w:szCs w:val="20"/>
          <w:lang w:val="es-ES_tradnl"/>
        </w:rPr>
      </w:pPr>
    </w:p>
    <w:p w:rsidR="00B053C8" w:rsidRPr="00EC5E87" w:rsidRDefault="005177AF" w:rsidP="00D529F8">
      <w:pPr>
        <w:pStyle w:val="Heading2"/>
        <w:numPr>
          <w:ilvl w:val="0"/>
          <w:numId w:val="71"/>
        </w:numPr>
        <w:spacing w:before="0" w:after="0"/>
        <w:ind w:firstLine="0"/>
        <w:jc w:val="both"/>
        <w:rPr>
          <w:rFonts w:ascii="Cambria" w:hAnsi="Cambria"/>
          <w:i w:val="0"/>
          <w:lang w:val="es-ES_tradnl"/>
        </w:rPr>
      </w:pPr>
      <w:bookmarkStart w:id="44" w:name="_Toc525294050"/>
      <w:r w:rsidRPr="00EC5E87">
        <w:rPr>
          <w:rFonts w:ascii="Cambria" w:hAnsi="Cambria"/>
          <w:i w:val="0"/>
          <w:sz w:val="20"/>
          <w:lang w:val="es-ES_tradnl"/>
        </w:rPr>
        <w:t xml:space="preserve">Derecho a la </w:t>
      </w:r>
      <w:r>
        <w:rPr>
          <w:rFonts w:ascii="Cambria" w:hAnsi="Cambria"/>
          <w:i w:val="0"/>
          <w:sz w:val="20"/>
          <w:lang w:val="es-ES_tradnl"/>
        </w:rPr>
        <w:t xml:space="preserve">justicia, </w:t>
      </w:r>
      <w:r w:rsidRPr="00EC5E87">
        <w:rPr>
          <w:rFonts w:ascii="Cambria" w:hAnsi="Cambria"/>
          <w:i w:val="0"/>
          <w:sz w:val="20"/>
          <w:lang w:val="es-ES_tradnl"/>
        </w:rPr>
        <w:t>verdad y reparación</w:t>
      </w:r>
      <w:bookmarkEnd w:id="44"/>
      <w:r w:rsidR="002B2DCA">
        <w:rPr>
          <w:rFonts w:ascii="Cambria" w:hAnsi="Cambria"/>
          <w:i w:val="0"/>
          <w:sz w:val="20"/>
          <w:lang w:val="es-ES_tradnl"/>
        </w:rPr>
        <w:t xml:space="preserve"> </w:t>
      </w:r>
    </w:p>
    <w:p w:rsidR="00B053C8" w:rsidRDefault="00B053C8" w:rsidP="00D529F8">
      <w:pPr>
        <w:pStyle w:val="ListParagraph"/>
        <w:suppressAutoHyphens/>
        <w:rPr>
          <w:b/>
          <w:sz w:val="20"/>
          <w:szCs w:val="20"/>
          <w:lang w:val="es-ES_tradnl"/>
        </w:rPr>
      </w:pPr>
    </w:p>
    <w:p w:rsidR="00B053C8" w:rsidRPr="00EC5E87" w:rsidRDefault="00B053C8" w:rsidP="00D529F8">
      <w:pPr>
        <w:pStyle w:val="Heading3"/>
        <w:numPr>
          <w:ilvl w:val="0"/>
          <w:numId w:val="69"/>
        </w:numPr>
        <w:spacing w:before="0" w:after="0"/>
        <w:ind w:firstLine="0"/>
        <w:jc w:val="both"/>
        <w:rPr>
          <w:rFonts w:ascii="Cambria" w:hAnsi="Cambria"/>
          <w:sz w:val="20"/>
          <w:lang w:val="es-ES_tradnl"/>
        </w:rPr>
      </w:pPr>
      <w:bookmarkStart w:id="45" w:name="_Toc525294051"/>
      <w:r w:rsidRPr="00EC5E87">
        <w:rPr>
          <w:rFonts w:ascii="Cambria" w:hAnsi="Cambria"/>
          <w:sz w:val="20"/>
          <w:lang w:val="es-ES_tradnl"/>
        </w:rPr>
        <w:t>Consideraciones generales</w:t>
      </w:r>
      <w:bookmarkEnd w:id="45"/>
    </w:p>
    <w:p w:rsidR="00B053C8" w:rsidRPr="00C9738F" w:rsidRDefault="00B053C8" w:rsidP="00B053C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lang w:val="es-VE"/>
        </w:rPr>
      </w:pPr>
    </w:p>
    <w:p w:rsidR="00477CF7" w:rsidRPr="00C9738F" w:rsidRDefault="00477CF7"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C9738F">
        <w:rPr>
          <w:rStyle w:val="FootnoteReference"/>
          <w:sz w:val="20"/>
          <w:szCs w:val="20"/>
          <w:vertAlign w:val="baseline"/>
          <w:lang w:val="es-VE"/>
        </w:rPr>
        <w:lastRenderedPageBreak/>
        <w:t>En</w:t>
      </w:r>
      <w:r w:rsidRPr="00C9738F">
        <w:rPr>
          <w:sz w:val="20"/>
          <w:szCs w:val="20"/>
          <w:lang w:val="es-US"/>
        </w:rPr>
        <w:t xml:space="preserve"> atención al caso en particular, el artículo </w:t>
      </w:r>
      <w:r w:rsidRPr="00C9738F">
        <w:rPr>
          <w:rFonts w:eastAsia="MS Mincho"/>
          <w:sz w:val="20"/>
          <w:szCs w:val="20"/>
          <w:bdr w:val="none" w:sz="0" w:space="0" w:color="auto"/>
          <w:lang w:val="es-US"/>
        </w:rPr>
        <w:t>XVIII</w:t>
      </w:r>
      <w:r w:rsidRPr="00C9738F">
        <w:rPr>
          <w:sz w:val="20"/>
          <w:szCs w:val="20"/>
          <w:lang w:val="es-US"/>
        </w:rPr>
        <w:t xml:space="preserve"> de la </w:t>
      </w:r>
      <w:r w:rsidRPr="00C9738F">
        <w:rPr>
          <w:rFonts w:eastAsia="MS Mincho"/>
          <w:sz w:val="20"/>
          <w:szCs w:val="20"/>
          <w:bdr w:val="none" w:sz="0" w:space="0" w:color="auto"/>
          <w:lang w:val="es-US"/>
        </w:rPr>
        <w:t>Declaración Americana</w:t>
      </w:r>
      <w:r w:rsidRPr="00C9738F">
        <w:rPr>
          <w:sz w:val="20"/>
          <w:szCs w:val="20"/>
          <w:lang w:val="es-US"/>
        </w:rPr>
        <w:t xml:space="preserve"> consagra el derecho de justicia en los siguientes términos:  </w:t>
      </w:r>
    </w:p>
    <w:p w:rsidR="00477CF7" w:rsidRPr="00C9738F" w:rsidRDefault="00477CF7" w:rsidP="00477CF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color w:val="auto"/>
          <w:sz w:val="20"/>
          <w:szCs w:val="20"/>
          <w:lang w:val="es-VE"/>
        </w:rPr>
      </w:pPr>
    </w:p>
    <w:p w:rsidR="00477CF7" w:rsidRPr="00C9738F" w:rsidRDefault="00477CF7" w:rsidP="00477CF7">
      <w:pPr>
        <w:ind w:left="720" w:right="720"/>
        <w:jc w:val="both"/>
        <w:rPr>
          <w:rFonts w:ascii="Cambria" w:hAnsi="Cambria"/>
          <w:sz w:val="20"/>
          <w:szCs w:val="20"/>
          <w:lang w:val="es-US"/>
        </w:rPr>
      </w:pPr>
      <w:r w:rsidRPr="00C9738F">
        <w:rPr>
          <w:rFonts w:ascii="Cambria" w:hAnsi="Cambria"/>
          <w:sz w:val="20"/>
          <w:szCs w:val="20"/>
          <w:lang w:val="es-US"/>
        </w:rPr>
        <w:t>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p w:rsidR="00477CF7" w:rsidRPr="00C9738F" w:rsidRDefault="00477CF7" w:rsidP="00477CF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eastAsia="Arial Unicode MS" w:cs="Times New Roman"/>
          <w:color w:val="auto"/>
          <w:sz w:val="20"/>
          <w:szCs w:val="20"/>
          <w:lang w:val="es-VE" w:eastAsia="en-US"/>
        </w:rPr>
      </w:pPr>
    </w:p>
    <w:p w:rsidR="00477CF7" w:rsidRPr="00C9738F" w:rsidRDefault="00477CF7"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ES"/>
        </w:rPr>
      </w:pPr>
      <w:r w:rsidRPr="00C9738F">
        <w:rPr>
          <w:color w:val="auto"/>
          <w:sz w:val="20"/>
          <w:szCs w:val="20"/>
          <w:lang w:val="es-US"/>
        </w:rPr>
        <w:t>Sobre el derecho a la justicia consagrado en la Declaración Americana, la CIDH ha reconocido repetidamente que</w:t>
      </w:r>
      <w:r w:rsidRPr="00C9738F">
        <w:rPr>
          <w:color w:val="auto"/>
          <w:sz w:val="20"/>
          <w:szCs w:val="20"/>
          <w:lang w:val="es-VE"/>
        </w:rPr>
        <w:t xml:space="preserve"> este tiene un alcance similar al derecho a la protección judicial establecido en el artículo 25 de la Convención </w:t>
      </w:r>
      <w:r w:rsidRPr="00C9738F">
        <w:rPr>
          <w:color w:val="auto"/>
          <w:sz w:val="20"/>
          <w:szCs w:val="20"/>
          <w:lang w:val="es-US"/>
        </w:rPr>
        <w:t>Americana</w:t>
      </w:r>
      <w:r w:rsidRPr="00C9738F">
        <w:rPr>
          <w:color w:val="auto"/>
          <w:sz w:val="20"/>
          <w:szCs w:val="20"/>
          <w:lang w:val="es-VE"/>
        </w:rPr>
        <w:t>, los cuales abarcan el derecho de toda persona a recurrir a un tribunal cuando se haya violado cualquiera de sus derechos y a que un tribunal competente, imparcial e independiente realice una investigación judicial a fin de determinar si se ha cometido una violación de sus derechos, así como el derecho correspondiente a obtener reparaciones por el daño sufrido</w:t>
      </w:r>
      <w:r w:rsidRPr="00C9738F">
        <w:rPr>
          <w:rStyle w:val="FootnoteReference"/>
          <w:color w:val="auto"/>
          <w:sz w:val="20"/>
          <w:szCs w:val="20"/>
          <w:lang w:val="es-VE"/>
        </w:rPr>
        <w:footnoteReference w:id="674"/>
      </w:r>
      <w:r w:rsidRPr="00C9738F">
        <w:rPr>
          <w:color w:val="auto"/>
          <w:sz w:val="20"/>
          <w:szCs w:val="20"/>
          <w:lang w:val="es-VE"/>
        </w:rPr>
        <w:t>.</w:t>
      </w:r>
    </w:p>
    <w:p w:rsidR="00477CF7" w:rsidRPr="00C9738F" w:rsidRDefault="00477CF7" w:rsidP="00477CF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ES"/>
        </w:rPr>
      </w:pPr>
    </w:p>
    <w:p w:rsidR="00477CF7" w:rsidRPr="00C9738F" w:rsidRDefault="00477CF7"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ES"/>
        </w:rPr>
      </w:pPr>
      <w:r w:rsidRPr="00C9738F">
        <w:rPr>
          <w:sz w:val="20"/>
          <w:szCs w:val="20"/>
          <w:lang w:val="es-US"/>
        </w:rPr>
        <w:t>Según</w:t>
      </w:r>
      <w:r w:rsidRPr="00C9738F">
        <w:rPr>
          <w:rStyle w:val="normalchar1"/>
          <w:rFonts w:ascii="Cambria" w:hAnsi="Cambria"/>
          <w:color w:val="auto"/>
          <w:sz w:val="20"/>
          <w:szCs w:val="20"/>
          <w:lang w:val="es-VE"/>
        </w:rPr>
        <w:t xml:space="preserve"> jurisprudencia interamericana, a fin de satisfacer el derecho a la justicia en casos como el presente, el Estado tiene que demostrar que ha realizado una investigación inmediata, exhaustiva, seria e imparcial, en la cual </w:t>
      </w:r>
      <w:r w:rsidRPr="00C9738F">
        <w:rPr>
          <w:sz w:val="20"/>
          <w:szCs w:val="20"/>
          <w:lang w:val="es-VE"/>
        </w:rPr>
        <w:t>cada acto estuvo orientado “hacía una finalidad específica, la determinación de la verdad y la investigación, persecución, captura, enjuiciamiento, y en su caso, la sanción de los responsables de los hechos”</w:t>
      </w:r>
      <w:r w:rsidRPr="00C9738F">
        <w:rPr>
          <w:rStyle w:val="FootnoteReference"/>
          <w:rFonts w:cs="Times New Roman"/>
          <w:color w:val="auto"/>
          <w:sz w:val="20"/>
          <w:szCs w:val="20"/>
          <w:lang w:val="es-VE"/>
        </w:rPr>
        <w:footnoteReference w:id="675"/>
      </w:r>
      <w:hyperlink r:id="rId18" w:history="1"/>
      <w:r w:rsidRPr="00C9738F">
        <w:rPr>
          <w:sz w:val="20"/>
          <w:szCs w:val="20"/>
          <w:lang w:val="es-VE"/>
        </w:rPr>
        <w:t xml:space="preserve">. </w:t>
      </w:r>
    </w:p>
    <w:p w:rsidR="00477CF7" w:rsidRPr="00C9738F" w:rsidRDefault="00477CF7" w:rsidP="00FC56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normalchar1"/>
          <w:rFonts w:ascii="Cambria" w:hAnsi="Cambria" w:cs="Cambria"/>
          <w:color w:val="auto"/>
          <w:sz w:val="20"/>
          <w:szCs w:val="20"/>
          <w:lang w:val="es-ES"/>
        </w:rPr>
      </w:pPr>
    </w:p>
    <w:p w:rsidR="00B053C8" w:rsidRPr="00C9738F" w:rsidRDefault="0071501F"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Pr>
          <w:sz w:val="20"/>
          <w:szCs w:val="20"/>
          <w:lang w:val="es-US"/>
        </w:rPr>
        <w:t xml:space="preserve">A la luz de las conclusiones expuestas </w:t>
      </w:r>
      <w:r w:rsidR="00B053C8" w:rsidRPr="00C9738F">
        <w:rPr>
          <w:sz w:val="20"/>
          <w:szCs w:val="20"/>
          <w:lang w:val="es-US"/>
        </w:rPr>
        <w:t>a lo largo del presente informe, la Comisión Interamericana considera importante recordar que e</w:t>
      </w:r>
      <w:r w:rsidR="00B053C8" w:rsidRPr="00C9738F">
        <w:rPr>
          <w:sz w:val="20"/>
          <w:szCs w:val="20"/>
          <w:lang w:val="es-VE"/>
        </w:rPr>
        <w:t xml:space="preserve">l derecho a la verdad ha surgido como respuesta frente a la falta de esclarecimiento, investigación, juzgamiento y sanción de los </w:t>
      </w:r>
      <w:r>
        <w:rPr>
          <w:sz w:val="20"/>
          <w:szCs w:val="20"/>
          <w:lang w:val="es-VE"/>
        </w:rPr>
        <w:t xml:space="preserve">distintos </w:t>
      </w:r>
      <w:r w:rsidR="00B053C8" w:rsidRPr="00C9738F">
        <w:rPr>
          <w:sz w:val="20"/>
          <w:szCs w:val="20"/>
          <w:lang w:val="es-VE"/>
        </w:rPr>
        <w:t>casos de graves violaciones de derechos humanos e infracciones al DIH por parte de los Estados</w:t>
      </w:r>
      <w:r w:rsidR="00B053C8" w:rsidRPr="00C9738F">
        <w:rPr>
          <w:rStyle w:val="FootnoteReference"/>
          <w:color w:val="auto"/>
          <w:sz w:val="20"/>
          <w:szCs w:val="20"/>
          <w:lang w:val="es-VE"/>
        </w:rPr>
        <w:footnoteReference w:id="676"/>
      </w:r>
      <w:r w:rsidR="00B053C8" w:rsidRPr="00C9738F">
        <w:rPr>
          <w:sz w:val="20"/>
          <w:szCs w:val="20"/>
          <w:lang w:val="es-VE"/>
        </w:rPr>
        <w:t xml:space="preserve">. En ese sentido, a pesar que el derecho a la verdad no se encuentra explícitamente recogido en los instrumentos interamericanos de derechos humanos, la CIDH ha determinado su contenido y las consecuentes obligaciones de los Estados a través del análisis integral de una serie de derechos </w:t>
      </w:r>
      <w:r>
        <w:rPr>
          <w:sz w:val="20"/>
          <w:szCs w:val="20"/>
          <w:lang w:val="es-VE"/>
        </w:rPr>
        <w:t xml:space="preserve">relevantes </w:t>
      </w:r>
      <w:r w:rsidR="00B053C8" w:rsidRPr="00C9738F">
        <w:rPr>
          <w:sz w:val="20"/>
          <w:szCs w:val="20"/>
          <w:lang w:val="es-VE"/>
        </w:rPr>
        <w:t>establecidos en la Declaración Americana sobre los Derechos y Deberes del Hombre</w:t>
      </w:r>
      <w:r w:rsidR="00B053C8" w:rsidRPr="00C9738F">
        <w:rPr>
          <w:rStyle w:val="FootnoteReference"/>
          <w:color w:val="auto"/>
          <w:sz w:val="20"/>
          <w:szCs w:val="20"/>
          <w:lang w:val="es-VE"/>
        </w:rPr>
        <w:footnoteReference w:id="677"/>
      </w:r>
      <w:r w:rsidR="00B053C8" w:rsidRPr="00C9738F">
        <w:rPr>
          <w:sz w:val="20"/>
          <w:szCs w:val="20"/>
          <w:lang w:val="es-VE"/>
        </w:rPr>
        <w:t xml:space="preserve">. </w:t>
      </w:r>
    </w:p>
    <w:p w:rsidR="00B053C8" w:rsidRPr="00C9738F" w:rsidRDefault="00B053C8" w:rsidP="00FC56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VE"/>
        </w:rPr>
      </w:pPr>
    </w:p>
    <w:p w:rsidR="00B053C8" w:rsidRPr="00C9738F"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ES"/>
        </w:rPr>
      </w:pPr>
      <w:r w:rsidRPr="00C9738F">
        <w:rPr>
          <w:sz w:val="20"/>
          <w:szCs w:val="20"/>
          <w:lang w:val="es-VE"/>
        </w:rPr>
        <w:t>La CIDH ha reconocido que el derecho a la verdad es una justa expectativa que el Estado debe satisfacer a las víctimas de violaciones de derechos humanos y a sus familiares</w:t>
      </w:r>
      <w:r w:rsidRPr="00C9738F">
        <w:rPr>
          <w:rStyle w:val="FootnoteReference"/>
          <w:color w:val="auto"/>
          <w:sz w:val="20"/>
          <w:szCs w:val="20"/>
          <w:lang w:val="es-VE"/>
        </w:rPr>
        <w:footnoteReference w:id="678"/>
      </w:r>
      <w:r w:rsidRPr="00C9738F">
        <w:rPr>
          <w:sz w:val="20"/>
          <w:szCs w:val="20"/>
          <w:lang w:val="es-VE"/>
        </w:rPr>
        <w:t xml:space="preserve">, y en ese sentido acarrea la obligación de los Estados de esclarecer, investigar, juzgar y sancionar a las personas responsables de los casos de graves </w:t>
      </w:r>
      <w:r w:rsidRPr="00C9738F">
        <w:rPr>
          <w:sz w:val="20"/>
          <w:szCs w:val="20"/>
          <w:lang w:val="es-US"/>
        </w:rPr>
        <w:t>violaciones</w:t>
      </w:r>
      <w:r w:rsidRPr="00C9738F">
        <w:rPr>
          <w:sz w:val="20"/>
          <w:szCs w:val="20"/>
          <w:lang w:val="es-VE"/>
        </w:rPr>
        <w:t xml:space="preserve"> de derechos humanos, con el objetivo de que las víctimas y sus familiares conozcan la verdad con respecto a los hechos que dieron lugar a graves violaciones de los derechos humanos y la identidad de quienes participaron en ellos</w:t>
      </w:r>
      <w:r w:rsidRPr="00C9738F">
        <w:rPr>
          <w:rStyle w:val="FootnoteReference"/>
          <w:color w:val="auto"/>
          <w:sz w:val="20"/>
          <w:szCs w:val="20"/>
          <w:lang w:val="es-VE"/>
        </w:rPr>
        <w:footnoteReference w:id="679"/>
      </w:r>
      <w:r w:rsidRPr="00C9738F">
        <w:rPr>
          <w:sz w:val="20"/>
          <w:szCs w:val="20"/>
          <w:lang w:val="es-VE"/>
        </w:rPr>
        <w:t xml:space="preserve">. </w:t>
      </w:r>
    </w:p>
    <w:p w:rsidR="00B053C8" w:rsidRPr="00C9738F" w:rsidRDefault="00B053C8" w:rsidP="00FC56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ES"/>
        </w:rPr>
      </w:pPr>
    </w:p>
    <w:p w:rsidR="00B053C8" w:rsidRPr="00C9738F"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C9738F">
        <w:rPr>
          <w:sz w:val="20"/>
          <w:szCs w:val="20"/>
          <w:lang w:val="es-VE"/>
        </w:rPr>
        <w:t>En la misma línea la Comisión y la Corte han sostenido que este derecho se vincula de manera directa con los derechos a las garantías judiciales y protección judicial, los cuales se encuentran establecidos en los artículos XVIII y XXIV de la Declaración Americana, así como en los artículos 8 y 25 de la Convención Americana</w:t>
      </w:r>
      <w:r w:rsidRPr="00C9738F">
        <w:rPr>
          <w:rStyle w:val="FootnoteReference"/>
          <w:color w:val="auto"/>
          <w:sz w:val="20"/>
          <w:szCs w:val="20"/>
          <w:lang w:val="es-VE"/>
        </w:rPr>
        <w:footnoteReference w:id="680"/>
      </w:r>
      <w:r w:rsidRPr="00C9738F">
        <w:rPr>
          <w:sz w:val="20"/>
          <w:szCs w:val="20"/>
          <w:lang w:val="es-VE"/>
        </w:rPr>
        <w:t xml:space="preserve">, </w:t>
      </w:r>
      <w:r w:rsidRPr="00C9738F">
        <w:rPr>
          <w:sz w:val="20"/>
          <w:szCs w:val="20"/>
          <w:lang w:val="es-ES"/>
        </w:rPr>
        <w:t xml:space="preserve">por cuanto ambos derechos son “fundamentales” en el establecimiento judicial de los hechos y </w:t>
      </w:r>
      <w:r w:rsidRPr="00C9738F">
        <w:rPr>
          <w:sz w:val="20"/>
          <w:szCs w:val="20"/>
          <w:lang w:val="es-ES"/>
        </w:rPr>
        <w:lastRenderedPageBreak/>
        <w:t>circunstancias que rodearon la violación de un derecho fundamental</w:t>
      </w:r>
      <w:r w:rsidRPr="00C9738F">
        <w:rPr>
          <w:rStyle w:val="FootnoteReference"/>
          <w:color w:val="auto"/>
          <w:sz w:val="20"/>
          <w:szCs w:val="20"/>
          <w:lang w:val="es-ES"/>
        </w:rPr>
        <w:footnoteReference w:id="681"/>
      </w:r>
      <w:r w:rsidRPr="00C9738F">
        <w:rPr>
          <w:sz w:val="20"/>
          <w:szCs w:val="20"/>
          <w:lang w:val="es-ES"/>
        </w:rPr>
        <w:t xml:space="preserve">. </w:t>
      </w:r>
      <w:r w:rsidRPr="00C9738F">
        <w:rPr>
          <w:sz w:val="20"/>
          <w:szCs w:val="20"/>
          <w:lang w:val="es-VE"/>
        </w:rPr>
        <w:t>El derecho a la verdad se considera un elemento fundamental del derecho a la justicia y del derecho a una reparación.</w:t>
      </w:r>
    </w:p>
    <w:p w:rsidR="004E3ECE" w:rsidRPr="00C9738F" w:rsidRDefault="004E3ECE" w:rsidP="00FC56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normalchar1"/>
          <w:rFonts w:ascii="Cambria" w:hAnsi="Cambria" w:cs="Cambria"/>
          <w:color w:val="auto"/>
          <w:sz w:val="20"/>
          <w:szCs w:val="20"/>
          <w:lang w:val="es-ES"/>
        </w:rPr>
      </w:pPr>
    </w:p>
    <w:p w:rsidR="00B053C8" w:rsidRPr="00C9738F"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ES"/>
        </w:rPr>
      </w:pPr>
      <w:r w:rsidRPr="00C9738F">
        <w:rPr>
          <w:rStyle w:val="normalchar1"/>
          <w:rFonts w:ascii="Cambria" w:hAnsi="Cambria"/>
          <w:color w:val="auto"/>
          <w:sz w:val="20"/>
          <w:szCs w:val="20"/>
          <w:lang w:val="es-US"/>
        </w:rPr>
        <w:t>Sobre la reparación, l</w:t>
      </w:r>
      <w:r w:rsidRPr="00C9738F">
        <w:rPr>
          <w:sz w:val="20"/>
          <w:szCs w:val="20"/>
          <w:lang w:val="es-US"/>
        </w:rPr>
        <w:t xml:space="preserve">a Comisión observa que el Derecho Internacional Humanitario contempla </w:t>
      </w:r>
      <w:r w:rsidRPr="00C9738F">
        <w:rPr>
          <w:bCs/>
          <w:sz w:val="20"/>
          <w:szCs w:val="20"/>
          <w:lang w:val="es-VE"/>
        </w:rPr>
        <w:t>la obligación del</w:t>
      </w:r>
      <w:r w:rsidRPr="00C9738F">
        <w:rPr>
          <w:sz w:val="20"/>
          <w:szCs w:val="20"/>
          <w:lang w:val="es-VE"/>
        </w:rPr>
        <w:t xml:space="preserve"> Estado responsable de violaciones del derecho internacional humanitario de reparar </w:t>
      </w:r>
      <w:r w:rsidRPr="00C9738F">
        <w:rPr>
          <w:sz w:val="20"/>
          <w:szCs w:val="20"/>
          <w:lang w:val="es-US"/>
        </w:rPr>
        <w:t>íntegramente</w:t>
      </w:r>
      <w:r w:rsidRPr="00C9738F">
        <w:rPr>
          <w:sz w:val="20"/>
          <w:szCs w:val="20"/>
          <w:lang w:val="es-VE"/>
        </w:rPr>
        <w:t xml:space="preserve"> la pérdida o la lesión causada</w:t>
      </w:r>
      <w:r w:rsidRPr="00C9738F">
        <w:rPr>
          <w:rStyle w:val="FootnoteReference"/>
          <w:color w:val="auto"/>
          <w:sz w:val="20"/>
          <w:szCs w:val="20"/>
          <w:lang w:val="es-VE"/>
        </w:rPr>
        <w:footnoteReference w:id="682"/>
      </w:r>
      <w:r w:rsidRPr="00C9738F">
        <w:rPr>
          <w:sz w:val="20"/>
          <w:szCs w:val="20"/>
          <w:lang w:val="es-VE"/>
        </w:rPr>
        <w:t xml:space="preserve">. Más específicamente, </w:t>
      </w:r>
      <w:r w:rsidRPr="00C9738F">
        <w:rPr>
          <w:sz w:val="20"/>
          <w:szCs w:val="20"/>
          <w:lang w:val="es-US"/>
        </w:rPr>
        <w:t xml:space="preserve">la Comisión toma en cuenta lo expresado en la Asamblea General de las Naciones Unidas en relación </w:t>
      </w:r>
      <w:r w:rsidRPr="00C9738F">
        <w:rPr>
          <w:sz w:val="20"/>
          <w:szCs w:val="20"/>
          <w:lang w:val="es-VE"/>
        </w:rPr>
        <w:t xml:space="preserve">al derecho de las víctimas de violaciones manifiestas de las normas internacionales de derechos humanos y de violaciones graves del derecho internacional humanitario a interponer recursos y obtener reparaciones. En la Resolución No. 60/147, este órgano sostuvo que: </w:t>
      </w:r>
    </w:p>
    <w:p w:rsidR="00B053C8" w:rsidRPr="00C9738F" w:rsidRDefault="00B053C8" w:rsidP="00B053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ES"/>
        </w:rPr>
      </w:pPr>
    </w:p>
    <w:p w:rsidR="00B053C8" w:rsidRPr="00C9738F" w:rsidRDefault="00B053C8" w:rsidP="00B053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color w:val="auto"/>
          <w:sz w:val="20"/>
          <w:szCs w:val="20"/>
          <w:lang w:val="es-VE"/>
        </w:rPr>
      </w:pPr>
      <w:r w:rsidRPr="00C9738F">
        <w:rPr>
          <w:color w:val="auto"/>
          <w:sz w:val="20"/>
          <w:szCs w:val="20"/>
          <w:lang w:val="es-VE"/>
        </w:rPr>
        <w:t>En los casos de violaciones manifiestas de las normas internacionales de derechos humanos y de violaciones graves del derecho internacional humanitario que constituyen crímenes en virtud del derecho internacional, los Estados tienen la obligación de investigar y, si hay pruebas suficientes, enjuiciar a las personas presuntamente responsables de las violaciones y, si se las declara culpables, la obligación de castigarlas</w:t>
      </w:r>
      <w:r w:rsidRPr="00C9738F">
        <w:rPr>
          <w:rStyle w:val="FootnoteReference"/>
          <w:color w:val="auto"/>
          <w:sz w:val="20"/>
          <w:szCs w:val="20"/>
          <w:lang w:val="es-VE"/>
        </w:rPr>
        <w:footnoteReference w:id="683"/>
      </w:r>
      <w:r w:rsidRPr="00C9738F">
        <w:rPr>
          <w:color w:val="auto"/>
          <w:sz w:val="20"/>
          <w:szCs w:val="20"/>
          <w:lang w:val="es-VE"/>
        </w:rPr>
        <w:t>.</w:t>
      </w:r>
    </w:p>
    <w:p w:rsidR="00B053C8" w:rsidRPr="00C9738F" w:rsidRDefault="00B053C8" w:rsidP="00B053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VE"/>
        </w:rPr>
      </w:pPr>
    </w:p>
    <w:p w:rsidR="00B053C8" w:rsidRPr="00C9738F"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VE"/>
        </w:rPr>
      </w:pPr>
      <w:r w:rsidRPr="00C9738F">
        <w:rPr>
          <w:color w:val="auto"/>
          <w:sz w:val="20"/>
          <w:szCs w:val="20"/>
          <w:lang w:val="es-VE"/>
        </w:rPr>
        <w:t>Asimismo, la Asamblea General determinó que entre los derechos de la víctima figuran los siguientes derechos, conforme a lo previsto en el derecho internacional: “a) Acceso igual y efectivo a la justicia; b) Reparación adecuada, efectiva y rápida del daño sufrido; y c) Acceso a información pertinente sobre las violaciones y los mecanismos de reparación”</w:t>
      </w:r>
      <w:r w:rsidRPr="00C9738F">
        <w:rPr>
          <w:rStyle w:val="FootnoteReference"/>
          <w:color w:val="auto"/>
          <w:sz w:val="20"/>
          <w:szCs w:val="20"/>
          <w:lang w:val="es-VE"/>
        </w:rPr>
        <w:footnoteReference w:id="684"/>
      </w:r>
      <w:r w:rsidR="00C87609">
        <w:rPr>
          <w:color w:val="auto"/>
          <w:sz w:val="20"/>
          <w:szCs w:val="20"/>
          <w:lang w:val="es-VE"/>
        </w:rPr>
        <w:t xml:space="preserve">. </w:t>
      </w:r>
      <w:r w:rsidRPr="00C9738F">
        <w:rPr>
          <w:color w:val="auto"/>
          <w:sz w:val="20"/>
          <w:szCs w:val="20"/>
          <w:lang w:val="es-VE"/>
        </w:rPr>
        <w:t>Por una reparación adecuada, efectiva y rápida, la Asamblea General entendió que ha de ser proporcional a la gravedad de las violaciones y al daño sufrido, y debe tener por finalidad promover la justicia, remediando las violaciones manifiestas de las normas internacionales de derechos humanos o las violaciones graves del derecho internacional humanitario</w:t>
      </w:r>
      <w:r w:rsidRPr="00C9738F">
        <w:rPr>
          <w:rStyle w:val="FootnoteReference"/>
          <w:color w:val="auto"/>
          <w:sz w:val="20"/>
          <w:szCs w:val="20"/>
          <w:lang w:val="es-VE"/>
        </w:rPr>
        <w:footnoteReference w:id="685"/>
      </w:r>
      <w:r w:rsidRPr="00C9738F">
        <w:rPr>
          <w:color w:val="auto"/>
          <w:sz w:val="20"/>
          <w:szCs w:val="20"/>
          <w:lang w:val="es-VE"/>
        </w:rPr>
        <w:t>.</w:t>
      </w:r>
    </w:p>
    <w:p w:rsidR="00B053C8" w:rsidRPr="00C9738F" w:rsidRDefault="00B053C8" w:rsidP="00B053C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b/>
          <w:color w:val="auto"/>
          <w:sz w:val="20"/>
          <w:szCs w:val="20"/>
          <w:lang w:val="es-VE"/>
        </w:rPr>
      </w:pPr>
    </w:p>
    <w:p w:rsidR="00B053C8" w:rsidRPr="00C9738F" w:rsidRDefault="00B053C8" w:rsidP="00D529F8">
      <w:pPr>
        <w:pStyle w:val="Heading3"/>
        <w:numPr>
          <w:ilvl w:val="0"/>
          <w:numId w:val="69"/>
        </w:numPr>
        <w:spacing w:before="0" w:after="0"/>
        <w:ind w:firstLine="0"/>
        <w:jc w:val="both"/>
        <w:rPr>
          <w:rFonts w:ascii="Cambria" w:hAnsi="Cambria"/>
          <w:sz w:val="20"/>
          <w:szCs w:val="20"/>
          <w:lang w:val="es-VE"/>
        </w:rPr>
      </w:pPr>
      <w:bookmarkStart w:id="46" w:name="_Toc525294052"/>
      <w:r w:rsidRPr="00C9738F">
        <w:rPr>
          <w:rFonts w:ascii="Cambria" w:hAnsi="Cambria"/>
          <w:sz w:val="20"/>
          <w:szCs w:val="20"/>
          <w:lang w:val="es-VE"/>
        </w:rPr>
        <w:t>Análisis del caso</w:t>
      </w:r>
      <w:bookmarkEnd w:id="46"/>
      <w:r w:rsidRPr="00C9738F">
        <w:rPr>
          <w:rFonts w:ascii="Cambria" w:hAnsi="Cambria"/>
          <w:sz w:val="20"/>
          <w:szCs w:val="20"/>
          <w:lang w:val="es-VE"/>
        </w:rPr>
        <w:t xml:space="preserve"> </w:t>
      </w:r>
    </w:p>
    <w:p w:rsidR="00B053C8" w:rsidRPr="00C9738F" w:rsidRDefault="00B053C8" w:rsidP="00B053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jc w:val="both"/>
        <w:rPr>
          <w:b/>
          <w:color w:val="auto"/>
          <w:sz w:val="20"/>
          <w:szCs w:val="20"/>
          <w:lang w:val="es-VE"/>
        </w:rPr>
      </w:pPr>
    </w:p>
    <w:p w:rsidR="00B053C8" w:rsidRPr="00C9738F"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VE"/>
        </w:rPr>
      </w:pPr>
      <w:r w:rsidRPr="00C9738F">
        <w:rPr>
          <w:color w:val="auto"/>
          <w:sz w:val="20"/>
          <w:szCs w:val="20"/>
          <w:lang w:val="es-VE"/>
        </w:rPr>
        <w:t xml:space="preserve">Con base en el expediente y en los argumentos presentados por las partes del presente caso, la Comisión hará su análisis en los siguientes términos: i) la falta de una investigación inmediata, seria y efectiva por parte </w:t>
      </w:r>
      <w:r w:rsidR="00477CF7" w:rsidRPr="00C9738F">
        <w:rPr>
          <w:color w:val="auto"/>
          <w:sz w:val="20"/>
          <w:szCs w:val="20"/>
          <w:lang w:val="es-VE"/>
        </w:rPr>
        <w:t>de</w:t>
      </w:r>
      <w:r w:rsidRPr="00C9738F">
        <w:rPr>
          <w:color w:val="auto"/>
          <w:sz w:val="20"/>
          <w:szCs w:val="20"/>
          <w:lang w:val="es-VE"/>
        </w:rPr>
        <w:t xml:space="preserve"> Estado</w:t>
      </w:r>
      <w:r w:rsidR="00477CF7" w:rsidRPr="00C9738F">
        <w:rPr>
          <w:color w:val="auto"/>
          <w:sz w:val="20"/>
          <w:szCs w:val="20"/>
          <w:lang w:val="es-VE"/>
        </w:rPr>
        <w:t>s Unidos</w:t>
      </w:r>
      <w:r w:rsidRPr="00C9738F">
        <w:rPr>
          <w:color w:val="auto"/>
          <w:sz w:val="20"/>
          <w:szCs w:val="20"/>
          <w:lang w:val="es-VE"/>
        </w:rPr>
        <w:t xml:space="preserve"> en cuanto a las denuncias de presuntos actos violatorios de derechos humanos y del derecho internacional humanitario por agentes del Estado; ii) la inexistencia de mecanismos efectivos para conocer la verdad; y iii) la inexistencia de mecanismos o recursos efectivos para obtener una reparación adecuada.</w:t>
      </w:r>
    </w:p>
    <w:p w:rsidR="00B053C8" w:rsidRPr="00C9738F" w:rsidRDefault="00B053C8" w:rsidP="00B053C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lang w:val="es-VE"/>
        </w:rPr>
      </w:pPr>
    </w:p>
    <w:p w:rsidR="00B053C8" w:rsidRPr="00C9738F"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C9738F">
        <w:rPr>
          <w:sz w:val="20"/>
          <w:szCs w:val="20"/>
          <w:lang w:val="es-VE"/>
        </w:rPr>
        <w:t>Antes de presentar el análisis, l</w:t>
      </w:r>
      <w:r w:rsidRPr="00C9738F">
        <w:rPr>
          <w:sz w:val="20"/>
          <w:szCs w:val="20"/>
          <w:lang w:val="es-ES_tradnl"/>
        </w:rPr>
        <w:t xml:space="preserve">a Comisión insiste en las conclusiones establecidas en los apartados anteriores, en cuanto a la responsabilidad del Estado por incumplir con sus obligaciones de conformidad con la Declaración Americana interpretada a la luz de los principios y normas del Derecho Internacional Humanitario. En este sentido se </w:t>
      </w:r>
      <w:r w:rsidR="0071501F">
        <w:rPr>
          <w:sz w:val="20"/>
          <w:szCs w:val="20"/>
          <w:lang w:val="es-ES_tradnl"/>
        </w:rPr>
        <w:t xml:space="preserve">debe </w:t>
      </w:r>
      <w:r w:rsidRPr="00C9738F">
        <w:rPr>
          <w:sz w:val="20"/>
          <w:szCs w:val="20"/>
          <w:lang w:val="es-ES_tradnl"/>
        </w:rPr>
        <w:t>recalca</w:t>
      </w:r>
      <w:r w:rsidR="0071501F">
        <w:rPr>
          <w:sz w:val="20"/>
          <w:szCs w:val="20"/>
          <w:lang w:val="es-ES_tradnl"/>
        </w:rPr>
        <w:t>r</w:t>
      </w:r>
      <w:r w:rsidRPr="00C9738F">
        <w:rPr>
          <w:sz w:val="20"/>
          <w:szCs w:val="20"/>
          <w:lang w:val="es-ES_tradnl"/>
        </w:rPr>
        <w:t xml:space="preserve"> que, entre otras consideraciones, l</w:t>
      </w:r>
      <w:r w:rsidRPr="00C9738F">
        <w:rPr>
          <w:sz w:val="20"/>
          <w:szCs w:val="20"/>
          <w:lang w:val="es-VE"/>
        </w:rPr>
        <w:t xml:space="preserve">a Comisión concluyó que el Estado no ha aportado una explicación satisfactoria y convincente que permitiera desvirtuar los múltiples indicios </w:t>
      </w:r>
      <w:r w:rsidR="009777BE">
        <w:rPr>
          <w:sz w:val="20"/>
          <w:szCs w:val="20"/>
          <w:lang w:val="es-VE"/>
        </w:rPr>
        <w:t xml:space="preserve">contextuales, circunstanciales, y testimoniales así como otras pruebas </w:t>
      </w:r>
      <w:r w:rsidRPr="00C9738F">
        <w:rPr>
          <w:sz w:val="20"/>
          <w:szCs w:val="20"/>
          <w:lang w:val="es-VE"/>
        </w:rPr>
        <w:t xml:space="preserve">que apuntan al uso </w:t>
      </w:r>
      <w:r w:rsidRPr="00C9738F">
        <w:rPr>
          <w:sz w:val="20"/>
          <w:szCs w:val="20"/>
          <w:lang w:val="es-VE"/>
        </w:rPr>
        <w:lastRenderedPageBreak/>
        <w:t xml:space="preserve">desproporcional de la fuerza y a la no observancia del contenido de los principios de distinción y precaución en la planificación y ejecución de la Operación Justa Causa. </w:t>
      </w:r>
    </w:p>
    <w:p w:rsidR="00B053C8" w:rsidRPr="00C9738F" w:rsidRDefault="00B053C8" w:rsidP="00FC56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VE"/>
        </w:rPr>
      </w:pPr>
    </w:p>
    <w:p w:rsidR="00B053C8" w:rsidRPr="00C9738F"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C9738F">
        <w:rPr>
          <w:sz w:val="20"/>
          <w:szCs w:val="20"/>
          <w:lang w:val="es-VE"/>
        </w:rPr>
        <w:t xml:space="preserve">En relación al primer punto sobre la falta de una investigación inmediata, seria y efectiva por parte del Estado, la Comisión subraya que </w:t>
      </w:r>
      <w:r w:rsidR="00477CF7" w:rsidRPr="00C9738F">
        <w:rPr>
          <w:sz w:val="20"/>
          <w:szCs w:val="20"/>
          <w:lang w:val="es-VE"/>
        </w:rPr>
        <w:t xml:space="preserve">desde diciembre de 1989 </w:t>
      </w:r>
      <w:r w:rsidRPr="00C9738F">
        <w:rPr>
          <w:sz w:val="20"/>
          <w:szCs w:val="20"/>
          <w:lang w:val="es-VE"/>
        </w:rPr>
        <w:t>hasta el momento</w:t>
      </w:r>
      <w:r w:rsidR="009777BE">
        <w:rPr>
          <w:sz w:val="20"/>
          <w:szCs w:val="20"/>
          <w:lang w:val="es-VE"/>
        </w:rPr>
        <w:t>,</w:t>
      </w:r>
      <w:r w:rsidRPr="00C9738F">
        <w:rPr>
          <w:sz w:val="20"/>
          <w:szCs w:val="20"/>
          <w:lang w:val="es-VE"/>
        </w:rPr>
        <w:t xml:space="preserve"> </w:t>
      </w:r>
      <w:r w:rsidR="00477CF7" w:rsidRPr="00C9738F">
        <w:rPr>
          <w:sz w:val="20"/>
          <w:szCs w:val="20"/>
          <w:lang w:val="es-VE"/>
        </w:rPr>
        <w:t>per</w:t>
      </w:r>
      <w:r w:rsidRPr="00C9738F">
        <w:rPr>
          <w:sz w:val="20"/>
          <w:szCs w:val="20"/>
          <w:lang w:val="es-VE"/>
        </w:rPr>
        <w:t xml:space="preserve">sisten cuestionamientos importantes sobre circunstancias relacionadas a la planificación y ejecución de la Operación Justa Causa en aspectos generales y en relación a las acciones y </w:t>
      </w:r>
      <w:r w:rsidRPr="00C9738F">
        <w:rPr>
          <w:sz w:val="20"/>
          <w:szCs w:val="20"/>
          <w:lang w:val="es-ES_tradnl"/>
        </w:rPr>
        <w:t>omisiones</w:t>
      </w:r>
      <w:r w:rsidRPr="00C9738F">
        <w:rPr>
          <w:sz w:val="20"/>
          <w:szCs w:val="20"/>
          <w:lang w:val="es-VE"/>
        </w:rPr>
        <w:t xml:space="preserve"> de agentes del Estado</w:t>
      </w:r>
      <w:r w:rsidR="00477CF7" w:rsidRPr="00C9738F">
        <w:rPr>
          <w:sz w:val="20"/>
          <w:szCs w:val="20"/>
          <w:lang w:val="es-VE"/>
        </w:rPr>
        <w:t xml:space="preserve"> y las dimensiones de las violaciones a los derechos humanos de las víctimas civiles</w:t>
      </w:r>
      <w:r w:rsidRPr="00C9738F">
        <w:rPr>
          <w:sz w:val="20"/>
          <w:szCs w:val="20"/>
          <w:lang w:val="es-VE"/>
        </w:rPr>
        <w:t xml:space="preserve">. En este sentido, se recoge el </w:t>
      </w:r>
      <w:r w:rsidR="00477CF7" w:rsidRPr="00C9738F">
        <w:rPr>
          <w:sz w:val="20"/>
          <w:szCs w:val="20"/>
          <w:lang w:val="es-VE"/>
        </w:rPr>
        <w:t>hecho de que todavía no hay claridad sobre</w:t>
      </w:r>
      <w:r w:rsidRPr="00C9738F">
        <w:rPr>
          <w:sz w:val="20"/>
          <w:szCs w:val="20"/>
          <w:lang w:val="es-VE"/>
        </w:rPr>
        <w:t xml:space="preserve"> aspectos</w:t>
      </w:r>
      <w:r w:rsidR="009777BE">
        <w:rPr>
          <w:sz w:val="20"/>
          <w:szCs w:val="20"/>
          <w:lang w:val="es-VE"/>
        </w:rPr>
        <w:t xml:space="preserve"> cruciales</w:t>
      </w:r>
      <w:r w:rsidRPr="00C9738F">
        <w:rPr>
          <w:sz w:val="20"/>
          <w:szCs w:val="20"/>
          <w:lang w:val="es-VE"/>
        </w:rPr>
        <w:t xml:space="preserve"> tales como la cifra oficial de civiles panameños fallecidos y lesionados; </w:t>
      </w:r>
      <w:r w:rsidR="00477CF7" w:rsidRPr="00C9738F">
        <w:rPr>
          <w:sz w:val="20"/>
          <w:szCs w:val="20"/>
          <w:lang w:val="es-VE"/>
        </w:rPr>
        <w:t xml:space="preserve">el </w:t>
      </w:r>
      <w:r w:rsidRPr="00C9738F">
        <w:rPr>
          <w:sz w:val="20"/>
          <w:szCs w:val="20"/>
          <w:lang w:val="es-VE"/>
        </w:rPr>
        <w:t xml:space="preserve">origen del incendio que causó graves daños en El Chorrillo; las actuaciones individuales </w:t>
      </w:r>
      <w:r w:rsidR="009777BE">
        <w:rPr>
          <w:sz w:val="20"/>
          <w:szCs w:val="20"/>
          <w:lang w:val="es-VE"/>
        </w:rPr>
        <w:t xml:space="preserve">ilegales </w:t>
      </w:r>
      <w:r w:rsidRPr="00C9738F">
        <w:rPr>
          <w:sz w:val="20"/>
          <w:szCs w:val="20"/>
          <w:lang w:val="es-VE"/>
        </w:rPr>
        <w:t xml:space="preserve">de soldados estadounidenses, </w:t>
      </w:r>
      <w:r w:rsidR="00477CF7" w:rsidRPr="00C9738F">
        <w:rPr>
          <w:sz w:val="20"/>
          <w:szCs w:val="20"/>
          <w:lang w:val="es-VE"/>
        </w:rPr>
        <w:t xml:space="preserve">y </w:t>
      </w:r>
      <w:r w:rsidRPr="00C9738F">
        <w:rPr>
          <w:sz w:val="20"/>
          <w:szCs w:val="20"/>
          <w:lang w:val="es-VE"/>
        </w:rPr>
        <w:t xml:space="preserve">la existencia </w:t>
      </w:r>
      <w:r w:rsidR="009777BE">
        <w:rPr>
          <w:sz w:val="20"/>
          <w:szCs w:val="20"/>
          <w:lang w:val="es-VE"/>
        </w:rPr>
        <w:t xml:space="preserve">y extensión </w:t>
      </w:r>
      <w:r w:rsidRPr="00C9738F">
        <w:rPr>
          <w:sz w:val="20"/>
          <w:szCs w:val="20"/>
          <w:lang w:val="es-VE"/>
        </w:rPr>
        <w:t xml:space="preserve">de otras fosas comunes. </w:t>
      </w:r>
    </w:p>
    <w:p w:rsidR="00B053C8" w:rsidRPr="00C9738F" w:rsidRDefault="00B053C8" w:rsidP="00FC56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VE"/>
        </w:rPr>
      </w:pPr>
    </w:p>
    <w:p w:rsidR="00B053C8" w:rsidRPr="00C9738F"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C9738F">
        <w:rPr>
          <w:sz w:val="20"/>
          <w:szCs w:val="20"/>
          <w:lang w:val="es-ES_tradnl"/>
        </w:rPr>
        <w:t>El Estado, en relación a las presuntas víctimas del presente caso, aseguró que existe una extrema dificultad de investigar en instancias específicas la alegada conducta violatoria</w:t>
      </w:r>
      <w:r w:rsidRPr="00C9738F">
        <w:rPr>
          <w:rStyle w:val="FootnoteReference"/>
          <w:color w:val="auto"/>
          <w:sz w:val="20"/>
          <w:szCs w:val="20"/>
          <w:lang w:val="es-ES_tradnl"/>
        </w:rPr>
        <w:footnoteReference w:id="686"/>
      </w:r>
      <w:r w:rsidRPr="00C9738F">
        <w:rPr>
          <w:sz w:val="20"/>
          <w:szCs w:val="20"/>
          <w:lang w:val="es-ES_tradnl"/>
        </w:rPr>
        <w:t>, debido al alto grado de generalidad con el cual la parte peticionaria presentó el caso</w:t>
      </w:r>
      <w:r w:rsidR="009777BE">
        <w:rPr>
          <w:sz w:val="20"/>
          <w:szCs w:val="20"/>
          <w:lang w:val="es-ES_tradnl"/>
        </w:rPr>
        <w:t>. E</w:t>
      </w:r>
      <w:r w:rsidRPr="00C9738F">
        <w:rPr>
          <w:sz w:val="20"/>
          <w:szCs w:val="20"/>
          <w:lang w:val="es-ES_tradnl"/>
        </w:rPr>
        <w:t xml:space="preserve">n </w:t>
      </w:r>
      <w:r w:rsidR="009777BE">
        <w:rPr>
          <w:sz w:val="20"/>
          <w:szCs w:val="20"/>
          <w:lang w:val="es-ES_tradnl"/>
        </w:rPr>
        <w:t xml:space="preserve">relación a </w:t>
      </w:r>
      <w:r w:rsidRPr="00C9738F">
        <w:rPr>
          <w:sz w:val="20"/>
          <w:szCs w:val="20"/>
          <w:lang w:val="es-ES_tradnl"/>
        </w:rPr>
        <w:t>cas</w:t>
      </w:r>
      <w:r w:rsidR="009777BE">
        <w:rPr>
          <w:sz w:val="20"/>
          <w:szCs w:val="20"/>
          <w:lang w:val="es-ES_tradnl"/>
        </w:rPr>
        <w:t>os específicos</w:t>
      </w:r>
      <w:r w:rsidRPr="00C9738F">
        <w:rPr>
          <w:sz w:val="20"/>
          <w:szCs w:val="20"/>
          <w:lang w:val="es-ES_tradnl"/>
        </w:rPr>
        <w:t xml:space="preserve"> </w:t>
      </w:r>
      <w:r w:rsidR="009777BE">
        <w:rPr>
          <w:sz w:val="20"/>
          <w:szCs w:val="20"/>
          <w:lang w:val="es-ES_tradnl"/>
        </w:rPr>
        <w:t>sin embargo, el Estado indicó que sus</w:t>
      </w:r>
      <w:r w:rsidRPr="00C9738F">
        <w:rPr>
          <w:sz w:val="20"/>
          <w:szCs w:val="20"/>
          <w:lang w:val="es-US"/>
        </w:rPr>
        <w:t xml:space="preserve"> funcionaros “investigaron a fondo y, cuando fue </w:t>
      </w:r>
      <w:r w:rsidRPr="00C9738F">
        <w:rPr>
          <w:sz w:val="20"/>
          <w:szCs w:val="20"/>
          <w:lang w:val="es-ES_tradnl"/>
        </w:rPr>
        <w:t>necesario, tomaron medidas para abordar los problemas relacionados con la Operación Justa Causa”</w:t>
      </w:r>
      <w:r w:rsidRPr="00C9738F">
        <w:rPr>
          <w:rStyle w:val="FootnoteReference"/>
          <w:color w:val="auto"/>
          <w:sz w:val="20"/>
          <w:szCs w:val="20"/>
          <w:lang w:val="es-ES_tradnl"/>
        </w:rPr>
        <w:footnoteReference w:id="687"/>
      </w:r>
      <w:r w:rsidRPr="00C9738F">
        <w:rPr>
          <w:sz w:val="20"/>
          <w:szCs w:val="20"/>
          <w:lang w:val="es-ES_tradnl"/>
        </w:rPr>
        <w:t>. Siguiendo la misma línea,</w:t>
      </w:r>
      <w:r w:rsidRPr="00C9738F">
        <w:rPr>
          <w:sz w:val="20"/>
          <w:szCs w:val="20"/>
          <w:lang w:val="es-VE"/>
        </w:rPr>
        <w:t xml:space="preserve"> </w:t>
      </w:r>
      <w:r w:rsidR="009777BE">
        <w:rPr>
          <w:sz w:val="20"/>
          <w:szCs w:val="20"/>
          <w:lang w:val="es-VE"/>
        </w:rPr>
        <w:t xml:space="preserve">el Estado </w:t>
      </w:r>
      <w:r w:rsidRPr="00C9738F">
        <w:rPr>
          <w:sz w:val="20"/>
          <w:szCs w:val="20"/>
          <w:lang w:val="es-VE"/>
        </w:rPr>
        <w:t>negó la participación de agentes de</w:t>
      </w:r>
      <w:r w:rsidR="00477CF7" w:rsidRPr="00C9738F">
        <w:rPr>
          <w:sz w:val="20"/>
          <w:szCs w:val="20"/>
          <w:lang w:val="es-VE"/>
        </w:rPr>
        <w:t xml:space="preserve"> Estados Unidos</w:t>
      </w:r>
      <w:r w:rsidRPr="00C9738F">
        <w:rPr>
          <w:sz w:val="20"/>
          <w:szCs w:val="20"/>
          <w:lang w:val="es-VE"/>
        </w:rPr>
        <w:t xml:space="preserve"> en el entierro de </w:t>
      </w:r>
      <w:r w:rsidRPr="00C9738F">
        <w:rPr>
          <w:sz w:val="20"/>
          <w:szCs w:val="20"/>
          <w:lang w:val="es-ES_tradnl"/>
        </w:rPr>
        <w:t>restos</w:t>
      </w:r>
      <w:r w:rsidRPr="00C9738F">
        <w:rPr>
          <w:sz w:val="20"/>
          <w:szCs w:val="20"/>
          <w:lang w:val="es-VE"/>
        </w:rPr>
        <w:t xml:space="preserve"> humanos en fosas comunes, reconociendo el entierro de 28 panameños fallecidos el 21 de diciembre de 1989 en tumbas individuales en el cementerio El Corozal como una única oportunidad en la que se vieron involucrados en el entierro de individuos panameños. </w:t>
      </w:r>
      <w:r w:rsidR="002736B1">
        <w:rPr>
          <w:sz w:val="20"/>
          <w:szCs w:val="20"/>
          <w:lang w:val="es-VE"/>
        </w:rPr>
        <w:t>El Estado indicó que e</w:t>
      </w:r>
      <w:r w:rsidRPr="00C9738F">
        <w:rPr>
          <w:sz w:val="20"/>
          <w:szCs w:val="20"/>
          <w:lang w:val="es-VE"/>
        </w:rPr>
        <w:t xml:space="preserve">sta participación había atendido </w:t>
      </w:r>
      <w:r w:rsidR="002736B1">
        <w:rPr>
          <w:sz w:val="20"/>
          <w:szCs w:val="20"/>
          <w:lang w:val="es-VE"/>
        </w:rPr>
        <w:t xml:space="preserve">a la colaboración con autoridades locales debido </w:t>
      </w:r>
      <w:r w:rsidRPr="00C9738F">
        <w:rPr>
          <w:sz w:val="20"/>
          <w:szCs w:val="20"/>
          <w:lang w:val="es-VE"/>
        </w:rPr>
        <w:t xml:space="preserve">a razones de </w:t>
      </w:r>
      <w:r w:rsidR="002736B1">
        <w:rPr>
          <w:sz w:val="20"/>
          <w:szCs w:val="20"/>
          <w:lang w:val="es-VE"/>
        </w:rPr>
        <w:t>salu</w:t>
      </w:r>
      <w:r w:rsidRPr="00C9738F">
        <w:rPr>
          <w:sz w:val="20"/>
          <w:szCs w:val="20"/>
          <w:lang w:val="es-VE"/>
        </w:rPr>
        <w:t xml:space="preserve">d pública. </w:t>
      </w:r>
    </w:p>
    <w:p w:rsidR="00B053C8" w:rsidRPr="00C9738F" w:rsidRDefault="00B053C8" w:rsidP="00FC56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US"/>
        </w:rPr>
      </w:pPr>
    </w:p>
    <w:p w:rsidR="00B053C8" w:rsidRPr="00C9738F"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US"/>
        </w:rPr>
      </w:pPr>
      <w:r w:rsidRPr="00C9738F">
        <w:rPr>
          <w:sz w:val="20"/>
          <w:szCs w:val="20"/>
          <w:lang w:val="es-US"/>
        </w:rPr>
        <w:t xml:space="preserve">La Comisión destaca que el cuestionamiento sobre la cifra oficial es una preocupación compartida por distintos actores. </w:t>
      </w:r>
      <w:r w:rsidR="00477CF7" w:rsidRPr="00C9738F">
        <w:rPr>
          <w:sz w:val="20"/>
          <w:szCs w:val="20"/>
          <w:lang w:val="es-US"/>
        </w:rPr>
        <w:t>Poco tiempo después de la invasión</w:t>
      </w:r>
      <w:r w:rsidRPr="00C9738F">
        <w:rPr>
          <w:sz w:val="20"/>
          <w:szCs w:val="20"/>
          <w:lang w:val="es-US"/>
        </w:rPr>
        <w:t xml:space="preserve">, organizaciones civiles de víctimas de la operación militar, Americas Watch, Physicians for Human Rigths e incluso la Iglesia Católica en Panamá, caracterizaron la cifra oficial como incompleta y presentaron </w:t>
      </w:r>
      <w:r w:rsidR="002736B1">
        <w:rPr>
          <w:sz w:val="20"/>
          <w:szCs w:val="20"/>
          <w:lang w:val="es-US"/>
        </w:rPr>
        <w:t xml:space="preserve">indicaciones de </w:t>
      </w:r>
      <w:r w:rsidRPr="00C9738F">
        <w:rPr>
          <w:sz w:val="20"/>
          <w:szCs w:val="20"/>
          <w:lang w:val="es-US"/>
        </w:rPr>
        <w:t>cifras superiores. En opinión de Physicians for Human Rights, la cifra oficial subestima “significativamente el número real de civiles panameños fallecidos y lesionados.</w:t>
      </w:r>
    </w:p>
    <w:p w:rsidR="00B053C8" w:rsidRPr="00C9738F" w:rsidRDefault="00B053C8" w:rsidP="00FC56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US"/>
        </w:rPr>
      </w:pPr>
    </w:p>
    <w:p w:rsidR="00B053C8" w:rsidRPr="00C9738F" w:rsidRDefault="00B053C8" w:rsidP="002736B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US"/>
        </w:rPr>
      </w:pPr>
      <w:r w:rsidRPr="00C9738F">
        <w:rPr>
          <w:sz w:val="20"/>
          <w:szCs w:val="20"/>
          <w:lang w:val="es-US"/>
        </w:rPr>
        <w:t xml:space="preserve">Al respecto la CIDH considera que las cifras oficiales sobre los heridos y fallecidos, en conjunto con los cuestionamientos sobre su veracidad, aportaban razones suficientes para iniciar una investigación de oficio en cuanto a la compatibilidad de la planificación y ejecución de la operación militar en relación con los principios del derecho internacional humanitario, en particular en cuanto a las armas y tácticas de guerra implementadas y a la adecuación de las medidas de protección a civiles. Sin embargo de la información aportada por el Estado y disponible en el expediente, la Comisión no </w:t>
      </w:r>
      <w:r w:rsidR="00477CF7" w:rsidRPr="00C9738F">
        <w:rPr>
          <w:sz w:val="20"/>
          <w:szCs w:val="20"/>
          <w:lang w:val="es-US"/>
        </w:rPr>
        <w:t xml:space="preserve">cuenta con indicios </w:t>
      </w:r>
      <w:r w:rsidRPr="00C9738F">
        <w:rPr>
          <w:sz w:val="20"/>
          <w:szCs w:val="20"/>
          <w:lang w:val="es-US"/>
        </w:rPr>
        <w:t xml:space="preserve">que el Estado haya emprendido acciones concretas y suficientes para llevar a cabo una investigación conforme era su obligación a la luz del derecho de justicia. </w:t>
      </w:r>
      <w:r w:rsidR="002736B1" w:rsidRPr="002736B1">
        <w:rPr>
          <w:sz w:val="20"/>
          <w:szCs w:val="20"/>
          <w:lang w:val="es-US"/>
        </w:rPr>
        <w:t>La Comisión observa que el Estado no ha informado haber iniciado</w:t>
      </w:r>
      <w:r w:rsidR="002736B1">
        <w:rPr>
          <w:sz w:val="20"/>
          <w:szCs w:val="20"/>
          <w:lang w:val="es-US"/>
        </w:rPr>
        <w:t xml:space="preserve"> una investigación exhaustiva, o</w:t>
      </w:r>
      <w:r w:rsidR="002736B1" w:rsidRPr="002736B1">
        <w:rPr>
          <w:sz w:val="20"/>
          <w:szCs w:val="20"/>
          <w:lang w:val="es-US"/>
        </w:rPr>
        <w:t xml:space="preserve"> haber encontrado dificultades o complejidades para llevarla adelante; más bien, parece con</w:t>
      </w:r>
      <w:r w:rsidR="002736B1">
        <w:rPr>
          <w:sz w:val="20"/>
          <w:szCs w:val="20"/>
          <w:lang w:val="es-US"/>
        </w:rPr>
        <w:t xml:space="preserve">siderar que la obligación no </w:t>
      </w:r>
      <w:r w:rsidR="002736B1" w:rsidRPr="002736B1">
        <w:rPr>
          <w:sz w:val="20"/>
          <w:szCs w:val="20"/>
          <w:lang w:val="es-US"/>
        </w:rPr>
        <w:t>aplica.</w:t>
      </w:r>
    </w:p>
    <w:p w:rsidR="00B053C8" w:rsidRPr="00C9738F" w:rsidRDefault="00B053C8" w:rsidP="00FC56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US"/>
        </w:rPr>
      </w:pPr>
    </w:p>
    <w:p w:rsidR="00B053C8" w:rsidRPr="00C9738F"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US"/>
        </w:rPr>
      </w:pPr>
      <w:r w:rsidRPr="00C9738F">
        <w:rPr>
          <w:sz w:val="20"/>
          <w:szCs w:val="20"/>
          <w:lang w:val="es-US"/>
        </w:rPr>
        <w:t xml:space="preserve">La Comisión destaca que un número importante de familiares acudieron a autoridades locales y nacionales de Panamá, así como a las oficinas del Comando Sur de Estados Unidos en Panamá. En opinión de la Comisión, y sobre la base del expediente, el Estado no emprendió acciones para investigar de conformidad con las garantías del derecho a la justicia, las denuncias individualizadas. </w:t>
      </w:r>
      <w:r w:rsidRPr="00C9738F">
        <w:rPr>
          <w:sz w:val="20"/>
          <w:szCs w:val="20"/>
          <w:lang w:val="es-VE"/>
        </w:rPr>
        <w:t xml:space="preserve">El Estado, además de esclarecer si la Operación Justa causa y las muertes y lesiones causadas a civiles en dicho contexto fueron compatibles </w:t>
      </w:r>
      <w:r w:rsidR="007E4C91">
        <w:rPr>
          <w:sz w:val="20"/>
          <w:szCs w:val="20"/>
          <w:lang w:val="es-VE"/>
        </w:rPr>
        <w:t xml:space="preserve">con los derechos humanos y </w:t>
      </w:r>
      <w:r w:rsidRPr="00C9738F">
        <w:rPr>
          <w:sz w:val="20"/>
          <w:szCs w:val="20"/>
          <w:lang w:val="es-VE"/>
        </w:rPr>
        <w:t xml:space="preserve">con el DIH, también debió examinar los casos puntuales respecto de los cuales recibió información sobre momentos específicos de uso de la fuerza por parte de sus agentes. </w:t>
      </w:r>
      <w:r w:rsidRPr="00C9738F">
        <w:rPr>
          <w:sz w:val="20"/>
          <w:szCs w:val="20"/>
          <w:lang w:val="es-US"/>
        </w:rPr>
        <w:t xml:space="preserve">En particular, la Comisión observa que </w:t>
      </w:r>
      <w:r w:rsidRPr="00C9738F">
        <w:rPr>
          <w:sz w:val="20"/>
          <w:szCs w:val="20"/>
          <w:lang w:val="es-VE"/>
        </w:rPr>
        <w:t>las declaraciones presentadas contenían datos y elementos importantes y suficientes, como la identificación de testigos y la determinación del tiempo y lugar de los presuntos hechos causantes, para iniciar las investigaciones pertinentes a fin de alcanzar un esclarecimiento y</w:t>
      </w:r>
      <w:r w:rsidR="007E4C91">
        <w:rPr>
          <w:sz w:val="20"/>
          <w:szCs w:val="20"/>
          <w:lang w:val="es-VE"/>
        </w:rPr>
        <w:t>, cuando aplicable, imponer una</w:t>
      </w:r>
      <w:r w:rsidRPr="00C9738F">
        <w:rPr>
          <w:sz w:val="20"/>
          <w:szCs w:val="20"/>
          <w:lang w:val="es-VE"/>
        </w:rPr>
        <w:t xml:space="preserve"> eventual sanción.</w:t>
      </w:r>
    </w:p>
    <w:p w:rsidR="00B053C8" w:rsidRPr="00C9738F" w:rsidRDefault="00B053C8" w:rsidP="00FC56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US"/>
        </w:rPr>
      </w:pPr>
    </w:p>
    <w:p w:rsidR="00B053C8" w:rsidRPr="00C9738F"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C9738F">
        <w:rPr>
          <w:sz w:val="20"/>
          <w:szCs w:val="20"/>
          <w:lang w:val="es-US"/>
        </w:rPr>
        <w:t>En relación a las fosas comunes, la Comisión verifica la existencia de dos fosas comunes, Jardín de Paz y Monte Esperanza, las cuales fueron objeto de investigaciones por parte del Ministerio Público panameño en la exhumación e identificación de los restos humanos. Para efectos de este caso y en relación con las obligaciones de Estados Unidos, la Comisión señala que</w:t>
      </w:r>
      <w:r w:rsidR="005C7A07" w:rsidRPr="00C9738F">
        <w:rPr>
          <w:sz w:val="20"/>
          <w:szCs w:val="20"/>
          <w:lang w:val="es-US"/>
        </w:rPr>
        <w:t xml:space="preserve"> </w:t>
      </w:r>
      <w:r w:rsidR="007E4C91">
        <w:rPr>
          <w:sz w:val="20"/>
          <w:szCs w:val="20"/>
          <w:lang w:val="es-US"/>
        </w:rPr>
        <w:t xml:space="preserve">debido a la </w:t>
      </w:r>
      <w:r w:rsidR="005C7A07" w:rsidRPr="00C9738F">
        <w:rPr>
          <w:sz w:val="20"/>
          <w:szCs w:val="20"/>
          <w:lang w:val="es-US"/>
        </w:rPr>
        <w:t xml:space="preserve">falta de investigación, hasta el momento, no es claro el rol de los Estados Unidos en relación a estas y otras posibles fosas. Asimismo la CIDH observa que </w:t>
      </w:r>
      <w:r w:rsidRPr="00C9738F">
        <w:rPr>
          <w:sz w:val="20"/>
          <w:szCs w:val="20"/>
          <w:lang w:val="es-US"/>
        </w:rPr>
        <w:t>la existencia de fosas comunes dificulta el establecimiento de posibles violaciones del derecho a la vida a la luz de</w:t>
      </w:r>
      <w:r w:rsidR="007E4C91">
        <w:rPr>
          <w:sz w:val="20"/>
          <w:szCs w:val="20"/>
          <w:lang w:val="es-US"/>
        </w:rPr>
        <w:t xml:space="preserve"> </w:t>
      </w:r>
      <w:r w:rsidRPr="00C9738F">
        <w:rPr>
          <w:sz w:val="20"/>
          <w:szCs w:val="20"/>
          <w:lang w:val="es-US"/>
        </w:rPr>
        <w:t>l</w:t>
      </w:r>
      <w:r w:rsidR="007E4C91">
        <w:rPr>
          <w:sz w:val="20"/>
          <w:szCs w:val="20"/>
          <w:lang w:val="es-US"/>
        </w:rPr>
        <w:t>os derechos humanos y del</w:t>
      </w:r>
      <w:r w:rsidRPr="00C9738F">
        <w:rPr>
          <w:sz w:val="20"/>
          <w:szCs w:val="20"/>
          <w:lang w:val="es-US"/>
        </w:rPr>
        <w:t xml:space="preserve"> derecho internacional humanitario y la identificación plena de las víctimas. En este sentido en cuanto a las personas no identificadas de las fosas comunes mencionadas y la posible existencia de otras fosas comunes, la CIDH considera sería un asunto pendiente en relación al derecho a la verdad y justicia. </w:t>
      </w:r>
    </w:p>
    <w:p w:rsidR="00B053C8" w:rsidRPr="00C9738F" w:rsidRDefault="00B053C8" w:rsidP="00FC56EC">
      <w:pPr>
        <w:pStyle w:val="ListParagraph"/>
        <w:ind w:left="0" w:firstLine="720"/>
        <w:jc w:val="both"/>
        <w:rPr>
          <w:color w:val="auto"/>
          <w:sz w:val="20"/>
          <w:szCs w:val="20"/>
          <w:lang w:val="es-VE"/>
        </w:rPr>
      </w:pPr>
    </w:p>
    <w:p w:rsidR="00B053C8" w:rsidRPr="00C9738F"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US"/>
        </w:rPr>
      </w:pPr>
      <w:r w:rsidRPr="00C9738F">
        <w:rPr>
          <w:sz w:val="20"/>
          <w:szCs w:val="20"/>
          <w:lang w:val="es-VE"/>
        </w:rPr>
        <w:t xml:space="preserve">Finalmente, en el marco de las afectaciones </w:t>
      </w:r>
      <w:r w:rsidR="007E4C91">
        <w:rPr>
          <w:sz w:val="20"/>
          <w:szCs w:val="20"/>
          <w:lang w:val="es-VE"/>
        </w:rPr>
        <w:t>y daños sostenidos por</w:t>
      </w:r>
      <w:r w:rsidRPr="00C9738F">
        <w:rPr>
          <w:sz w:val="20"/>
          <w:szCs w:val="20"/>
          <w:lang w:val="es-VE"/>
        </w:rPr>
        <w:t xml:space="preserve"> los habitantes del Barrio El Chorrillo, </w:t>
      </w:r>
      <w:r w:rsidR="007E4C91">
        <w:rPr>
          <w:sz w:val="20"/>
          <w:szCs w:val="20"/>
          <w:lang w:val="es-VE"/>
        </w:rPr>
        <w:t xml:space="preserve">la Comisión toma nota que el Estado </w:t>
      </w:r>
      <w:r w:rsidRPr="00C9738F">
        <w:rPr>
          <w:sz w:val="20"/>
          <w:szCs w:val="20"/>
          <w:lang w:val="es-VE"/>
        </w:rPr>
        <w:t xml:space="preserve">tomó acciones que generaron una </w:t>
      </w:r>
      <w:r w:rsidRPr="00C9738F">
        <w:rPr>
          <w:sz w:val="20"/>
          <w:szCs w:val="20"/>
          <w:lang w:val="es-US"/>
        </w:rPr>
        <w:t xml:space="preserve">imposibilidad en el posterior esclarecimiento de las circunstancias o acciones que generaron el incendio que afectó a esta localidad. Al respecto la CIDH señala que las partes del presente caso reconocen las acciones de limpieza y demolición de El Chorrillo efectuadas a corto plazo después de los hechos del 20 de diciembre de 1989. Aunque el Estado señaló la importancia y necesidad de demoler las ruinas por cuestiones de seguridad de los agentes del Estado y los demás civiles que permanecían en la localidad, no demostró haber </w:t>
      </w:r>
      <w:r w:rsidR="005C7A07" w:rsidRPr="00C9738F">
        <w:rPr>
          <w:sz w:val="20"/>
          <w:szCs w:val="20"/>
          <w:lang w:val="es-US"/>
        </w:rPr>
        <w:t xml:space="preserve">realizado </w:t>
      </w:r>
      <w:r w:rsidR="007E4C91">
        <w:rPr>
          <w:sz w:val="20"/>
          <w:szCs w:val="20"/>
          <w:lang w:val="es-US"/>
        </w:rPr>
        <w:t xml:space="preserve">alguna medida </w:t>
      </w:r>
      <w:r w:rsidR="005C7A07" w:rsidRPr="00C9738F">
        <w:rPr>
          <w:sz w:val="20"/>
          <w:szCs w:val="20"/>
          <w:lang w:val="es-US"/>
        </w:rPr>
        <w:t xml:space="preserve">de investigación y documentación antes de </w:t>
      </w:r>
      <w:r w:rsidRPr="00C9738F">
        <w:rPr>
          <w:sz w:val="20"/>
          <w:szCs w:val="20"/>
          <w:lang w:val="es-US"/>
        </w:rPr>
        <w:t xml:space="preserve">con las salvaguardas necesarias para proteger elementos esenciales para el posterior esclarecimiento. </w:t>
      </w:r>
    </w:p>
    <w:p w:rsidR="00B053C8" w:rsidRPr="00C9738F" w:rsidRDefault="00B053C8" w:rsidP="00FC56EC">
      <w:pPr>
        <w:ind w:firstLine="720"/>
        <w:jc w:val="both"/>
        <w:rPr>
          <w:rFonts w:ascii="Cambria" w:hAnsi="Cambria"/>
          <w:sz w:val="20"/>
          <w:szCs w:val="20"/>
          <w:lang w:val="es-US"/>
        </w:rPr>
      </w:pPr>
    </w:p>
    <w:p w:rsidR="00B053C8" w:rsidRPr="00C9738F"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C9738F">
        <w:rPr>
          <w:sz w:val="20"/>
          <w:szCs w:val="20"/>
          <w:lang w:val="es-VE"/>
        </w:rPr>
        <w:t xml:space="preserve">En concreto, la CIDH considera que el Estado no ha realizado diligencias esenciales para </w:t>
      </w:r>
      <w:r w:rsidR="007E4C91">
        <w:rPr>
          <w:sz w:val="20"/>
          <w:szCs w:val="20"/>
          <w:lang w:val="es-VE"/>
        </w:rPr>
        <w:t xml:space="preserve">llevar a cabo una investigación </w:t>
      </w:r>
      <w:r w:rsidRPr="00C9738F">
        <w:rPr>
          <w:sz w:val="20"/>
          <w:szCs w:val="20"/>
          <w:lang w:val="es-VE"/>
        </w:rPr>
        <w:t xml:space="preserve">de manera seria y </w:t>
      </w:r>
      <w:r w:rsidRPr="00C9738F">
        <w:rPr>
          <w:sz w:val="20"/>
          <w:szCs w:val="20"/>
          <w:lang w:val="es-US"/>
        </w:rPr>
        <w:t>efectiva</w:t>
      </w:r>
      <w:r w:rsidR="007E4C91">
        <w:rPr>
          <w:sz w:val="20"/>
          <w:szCs w:val="20"/>
          <w:lang w:val="es-US"/>
        </w:rPr>
        <w:t xml:space="preserve"> sobre</w:t>
      </w:r>
      <w:r w:rsidRPr="00C9738F">
        <w:rPr>
          <w:sz w:val="20"/>
          <w:szCs w:val="20"/>
          <w:lang w:val="es-VE"/>
        </w:rPr>
        <w:t xml:space="preserve"> las vulneraciones cometidas en perjuicio de las víctimas fallecidas. En el mismo sentido la Comisión considera aplicables los criterios establecidos para las personas que resultaron</w:t>
      </w:r>
      <w:r w:rsidR="008A0A18">
        <w:rPr>
          <w:sz w:val="20"/>
          <w:szCs w:val="20"/>
          <w:lang w:val="es-VE"/>
        </w:rPr>
        <w:t xml:space="preserve"> gravemente</w:t>
      </w:r>
      <w:r w:rsidRPr="00C9738F">
        <w:rPr>
          <w:sz w:val="20"/>
          <w:szCs w:val="20"/>
          <w:lang w:val="es-VE"/>
        </w:rPr>
        <w:t xml:space="preserve"> lesionadas. </w:t>
      </w:r>
    </w:p>
    <w:p w:rsidR="00B053C8" w:rsidRPr="00C9738F" w:rsidRDefault="00B053C8" w:rsidP="00FC56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VE"/>
        </w:rPr>
      </w:pPr>
    </w:p>
    <w:p w:rsidR="00B053C8" w:rsidRPr="00C9738F"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C9738F">
        <w:rPr>
          <w:sz w:val="20"/>
          <w:szCs w:val="20"/>
          <w:lang w:val="es-VE"/>
        </w:rPr>
        <w:t xml:space="preserve">En </w:t>
      </w:r>
      <w:r w:rsidRPr="00C9738F">
        <w:rPr>
          <w:sz w:val="20"/>
          <w:szCs w:val="20"/>
          <w:lang w:val="es-US"/>
        </w:rPr>
        <w:t>relación</w:t>
      </w:r>
      <w:r w:rsidRPr="00C9738F">
        <w:rPr>
          <w:sz w:val="20"/>
          <w:szCs w:val="20"/>
          <w:lang w:val="es-VE"/>
        </w:rPr>
        <w:t xml:space="preserve"> a la inexistencia de mecanismos efectivos para conocer la verdad, l</w:t>
      </w:r>
      <w:r w:rsidRPr="00C9738F">
        <w:rPr>
          <w:sz w:val="20"/>
          <w:szCs w:val="20"/>
          <w:lang w:val="es-US"/>
        </w:rPr>
        <w:t xml:space="preserve">a Comisión comprende las dimensiones de los desafíos en materia de verdad y justicia, pero advierte que el Estado no desplegó inmediatamente posterior a la Operación ni ha desplegado en el transcurso de los años posteriores, esfuerzos </w:t>
      </w:r>
      <w:r w:rsidR="008A0A18">
        <w:rPr>
          <w:sz w:val="20"/>
          <w:szCs w:val="20"/>
          <w:lang w:val="es-US"/>
        </w:rPr>
        <w:t xml:space="preserve">serios </w:t>
      </w:r>
      <w:r w:rsidRPr="00C9738F">
        <w:rPr>
          <w:sz w:val="20"/>
          <w:szCs w:val="20"/>
          <w:lang w:val="es-US"/>
        </w:rPr>
        <w:t xml:space="preserve">para enfrentarlos.  El </w:t>
      </w:r>
      <w:r w:rsidRPr="00C9738F">
        <w:rPr>
          <w:sz w:val="20"/>
          <w:szCs w:val="20"/>
          <w:lang w:val="es-AR"/>
        </w:rPr>
        <w:t xml:space="preserve">Estado no cumplió con su obligación de garantizar el acceso a mecanismos adecuados y efectivos para las víctimas y sus familiares para hacer efectivo su derecho a la verdad. </w:t>
      </w:r>
      <w:r w:rsidRPr="00C9738F">
        <w:rPr>
          <w:sz w:val="20"/>
          <w:szCs w:val="20"/>
          <w:lang w:val="es-US"/>
        </w:rPr>
        <w:t>Al respecto, la CIDH recuerda que cuando el aparato del Estado deja violaciones de derechos humanos sin sancionar y no se restablece con prontitud el pleno goce de los derechos humanos de la víctima, el Estado no está cumpliendo sus deberes positivos con arreglo al derecho internacional de los derechos humanos</w:t>
      </w:r>
      <w:r w:rsidRPr="00C9738F">
        <w:rPr>
          <w:rStyle w:val="FootnoteReference"/>
          <w:color w:val="auto"/>
          <w:sz w:val="20"/>
          <w:szCs w:val="20"/>
        </w:rPr>
        <w:footnoteReference w:id="688"/>
      </w:r>
      <w:r w:rsidRPr="00C9738F">
        <w:rPr>
          <w:sz w:val="20"/>
          <w:szCs w:val="20"/>
          <w:lang w:val="es-US"/>
        </w:rPr>
        <w:t>. La Comisión reitera que ninguna medida estatal que se adopte en materia de justicia puede devenir en la ausencia total de investigación de ningún caso de violaciones de derechos humanos</w:t>
      </w:r>
      <w:r w:rsidRPr="00C9738F">
        <w:rPr>
          <w:rStyle w:val="FootnoteReference"/>
          <w:color w:val="auto"/>
          <w:sz w:val="20"/>
          <w:szCs w:val="20"/>
        </w:rPr>
        <w:footnoteReference w:id="689"/>
      </w:r>
      <w:r w:rsidRPr="00C9738F">
        <w:rPr>
          <w:sz w:val="20"/>
          <w:szCs w:val="20"/>
          <w:lang w:val="es-US"/>
        </w:rPr>
        <w:t xml:space="preserve">. </w:t>
      </w:r>
    </w:p>
    <w:p w:rsidR="00B053C8" w:rsidRPr="00C9738F" w:rsidRDefault="00B053C8" w:rsidP="00FC56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VE"/>
        </w:rPr>
      </w:pPr>
    </w:p>
    <w:p w:rsidR="00B053C8" w:rsidRPr="00FC56EC"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C9738F">
        <w:rPr>
          <w:sz w:val="20"/>
          <w:szCs w:val="20"/>
          <w:lang w:val="es-VE"/>
        </w:rPr>
        <w:t xml:space="preserve">La Comisión observa que en este sentido el Estado no </w:t>
      </w:r>
      <w:r w:rsidR="008A0A18">
        <w:rPr>
          <w:sz w:val="20"/>
          <w:szCs w:val="20"/>
          <w:lang w:val="es-VE"/>
        </w:rPr>
        <w:t xml:space="preserve">tomó las medidas </w:t>
      </w:r>
      <w:r w:rsidRPr="00C9738F">
        <w:rPr>
          <w:sz w:val="20"/>
          <w:szCs w:val="20"/>
          <w:lang w:val="es-VE"/>
        </w:rPr>
        <w:t>legal</w:t>
      </w:r>
      <w:r w:rsidR="008A0A18">
        <w:rPr>
          <w:sz w:val="20"/>
          <w:szCs w:val="20"/>
          <w:lang w:val="es-VE"/>
        </w:rPr>
        <w:t>es</w:t>
      </w:r>
      <w:r w:rsidRPr="00C9738F">
        <w:rPr>
          <w:sz w:val="20"/>
          <w:szCs w:val="20"/>
          <w:lang w:val="es-VE"/>
        </w:rPr>
        <w:t xml:space="preserve"> y administrativa</w:t>
      </w:r>
      <w:r w:rsidR="008A0A18">
        <w:rPr>
          <w:sz w:val="20"/>
          <w:szCs w:val="20"/>
          <w:lang w:val="es-VE"/>
        </w:rPr>
        <w:t>s necesarias</w:t>
      </w:r>
      <w:r w:rsidRPr="00C9738F">
        <w:rPr>
          <w:sz w:val="20"/>
          <w:szCs w:val="20"/>
          <w:lang w:val="es-VE"/>
        </w:rPr>
        <w:t xml:space="preserve"> para recibir denuncias sobre posibles violaciones a derechos humanos como consecuencia de acciones u omisiones del Estado en el desarrollo de un conflicto</w:t>
      </w:r>
      <w:r w:rsidR="008A0A18">
        <w:rPr>
          <w:sz w:val="20"/>
          <w:szCs w:val="20"/>
          <w:lang w:val="es-VE"/>
        </w:rPr>
        <w:t xml:space="preserve"> armado.</w:t>
      </w:r>
      <w:r w:rsidRPr="00FC56EC">
        <w:rPr>
          <w:sz w:val="20"/>
          <w:szCs w:val="20"/>
          <w:lang w:val="es-VE"/>
        </w:rPr>
        <w:t xml:space="preserve"> Igualmente no se observa que</w:t>
      </w:r>
      <w:r w:rsidRPr="00FC56EC">
        <w:rPr>
          <w:sz w:val="20"/>
          <w:szCs w:val="20"/>
          <w:lang w:val="es-AR"/>
        </w:rPr>
        <w:t xml:space="preserve"> las presuntas víctimas hayan tenido acceso a </w:t>
      </w:r>
      <w:r w:rsidRPr="00FC56EC">
        <w:rPr>
          <w:sz w:val="20"/>
          <w:szCs w:val="20"/>
          <w:lang w:val="es-VE"/>
        </w:rPr>
        <w:t xml:space="preserve">las </w:t>
      </w:r>
      <w:r w:rsidR="00D621B5">
        <w:rPr>
          <w:sz w:val="20"/>
          <w:szCs w:val="20"/>
          <w:lang w:val="es-VE"/>
        </w:rPr>
        <w:t xml:space="preserve">pocas </w:t>
      </w:r>
      <w:r w:rsidRPr="00FC56EC">
        <w:rPr>
          <w:sz w:val="20"/>
          <w:szCs w:val="20"/>
          <w:lang w:val="es-VE"/>
        </w:rPr>
        <w:t>investigaciones y procesos judiciales que el Estado afirma haber realizado en relación a las</w:t>
      </w:r>
      <w:r w:rsidR="00D621B5">
        <w:rPr>
          <w:sz w:val="20"/>
          <w:szCs w:val="20"/>
          <w:lang w:val="es-VE"/>
        </w:rPr>
        <w:t xml:space="preserve"> múltiples</w:t>
      </w:r>
      <w:r w:rsidRPr="00FC56EC">
        <w:rPr>
          <w:sz w:val="20"/>
          <w:szCs w:val="20"/>
          <w:lang w:val="es-VE"/>
        </w:rPr>
        <w:t xml:space="preserve"> denuncias presentadas. </w:t>
      </w:r>
    </w:p>
    <w:p w:rsidR="00B053C8" w:rsidRPr="004E3ECE" w:rsidRDefault="00B053C8" w:rsidP="00FC56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VE"/>
        </w:rPr>
      </w:pPr>
    </w:p>
    <w:p w:rsidR="00B053C8" w:rsidRPr="00FC56EC"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FC56EC">
        <w:rPr>
          <w:sz w:val="20"/>
          <w:szCs w:val="20"/>
          <w:lang w:val="es-US"/>
        </w:rPr>
        <w:t xml:space="preserve">La Comisión toma nota del establecimiento de la Comisión 20 de diciembre de 1989 como una iniciativa del gobierno panameño como consecuencia de los reclamos de las víctimas y asociaciones de víctimas involucradas. Sin embargo, resalta que a pesar de la expresada intención del gobierno de Estados Unidos de colaborar con las actividades de esta Comisión para la verdad, no puede considerarse </w:t>
      </w:r>
      <w:r w:rsidR="00D621B5">
        <w:rPr>
          <w:sz w:val="20"/>
          <w:szCs w:val="20"/>
          <w:lang w:val="es-US"/>
        </w:rPr>
        <w:t xml:space="preserve">equivalente al cumplimiento de </w:t>
      </w:r>
      <w:r w:rsidRPr="00FC56EC">
        <w:rPr>
          <w:sz w:val="20"/>
          <w:szCs w:val="20"/>
          <w:lang w:val="es-US"/>
        </w:rPr>
        <w:t>la</w:t>
      </w:r>
      <w:r w:rsidR="00D621B5">
        <w:rPr>
          <w:sz w:val="20"/>
          <w:szCs w:val="20"/>
          <w:lang w:val="es-US"/>
        </w:rPr>
        <w:t xml:space="preserve">s obligaciones </w:t>
      </w:r>
      <w:r w:rsidRPr="00FC56EC">
        <w:rPr>
          <w:sz w:val="20"/>
          <w:szCs w:val="20"/>
          <w:lang w:val="es-US"/>
        </w:rPr>
        <w:t xml:space="preserve">del Estado con respecto de las presuntas víctimas del presente caso.  </w:t>
      </w:r>
    </w:p>
    <w:p w:rsidR="00B053C8" w:rsidRPr="004E3ECE" w:rsidRDefault="00B053C8" w:rsidP="00FC56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VE"/>
        </w:rPr>
      </w:pPr>
    </w:p>
    <w:p w:rsidR="00B053C8" w:rsidRPr="00FC56EC"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FC56EC">
        <w:rPr>
          <w:sz w:val="20"/>
          <w:szCs w:val="20"/>
          <w:lang w:val="es-VE"/>
        </w:rPr>
        <w:lastRenderedPageBreak/>
        <w:t xml:space="preserve">En relación al tercer punto, la CIDH recalca la existencia del deber del Estado de otorgar una reparación adecuada a las víctimas de violaciones a derechos humanos y de violaciones al derecho internacional humanitario. En este sentido la CIDH destaca que en el marco de este caso, </w:t>
      </w:r>
      <w:r w:rsidR="00D621B5">
        <w:rPr>
          <w:sz w:val="20"/>
          <w:szCs w:val="20"/>
          <w:lang w:val="es-VE"/>
        </w:rPr>
        <w:t>existían algunas</w:t>
      </w:r>
      <w:r w:rsidRPr="00FC56EC">
        <w:rPr>
          <w:sz w:val="20"/>
          <w:szCs w:val="20"/>
          <w:lang w:val="es-VE"/>
        </w:rPr>
        <w:t xml:space="preserve"> estructuras establecidas por el Comando Sur para la obtención de indemnizaciones por agravios cometidos por soldados estadounidenses, sin embargo como fue analizado en informe de admisibilidad del presente caso, no era un recurso adecuado y disponible para los civiles que sufrieron por la pérdida de vida de un familiar, por lesiones y/o pérdidas de propiedad en el contexto de un conflicto armado internacional. </w:t>
      </w:r>
    </w:p>
    <w:p w:rsidR="00B053C8" w:rsidRPr="004E3ECE" w:rsidRDefault="00B053C8" w:rsidP="00FC56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VE"/>
        </w:rPr>
      </w:pPr>
    </w:p>
    <w:p w:rsidR="00B053C8" w:rsidRPr="00FC56EC"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US"/>
        </w:rPr>
      </w:pPr>
      <w:r w:rsidRPr="00FC56EC">
        <w:rPr>
          <w:sz w:val="20"/>
          <w:szCs w:val="20"/>
          <w:lang w:val="es-VE"/>
        </w:rPr>
        <w:t xml:space="preserve">La Comisión observa que al mantener el Estado su posición en cuanto a la inexistencia de una obligación de reparar daños o vulneraciones ocurridas en el marco de un conflicto armado internacional, imposibilitó el acceso y aún más la posible obtención de una indemnización adecuada y suficiente al daño sufrido por las presuntas víctimas incluso antes de que existiera una investigación pertinente. </w:t>
      </w:r>
    </w:p>
    <w:p w:rsidR="00B053C8" w:rsidRPr="004E3ECE" w:rsidRDefault="00B053C8" w:rsidP="00FC56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US"/>
        </w:rPr>
      </w:pPr>
    </w:p>
    <w:p w:rsidR="00B053C8" w:rsidRPr="00FC56EC" w:rsidRDefault="00D621B5"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Pr>
          <w:sz w:val="20"/>
          <w:szCs w:val="20"/>
          <w:lang w:val="es-US"/>
        </w:rPr>
        <w:t xml:space="preserve">Asimismo el Estado </w:t>
      </w:r>
      <w:r w:rsidR="00B053C8" w:rsidRPr="00FC56EC">
        <w:rPr>
          <w:sz w:val="20"/>
          <w:szCs w:val="20"/>
          <w:lang w:val="es-US"/>
        </w:rPr>
        <w:t xml:space="preserve">insistió que </w:t>
      </w:r>
      <w:r w:rsidR="00B053C8" w:rsidRPr="00FC56EC">
        <w:rPr>
          <w:sz w:val="20"/>
          <w:szCs w:val="20"/>
          <w:lang w:val="es-VE"/>
        </w:rPr>
        <w:t xml:space="preserve">los intereses humanitarios legítimos del pueblo panameño habían sido abordados por los programas de asistencia económica establecidos por </w:t>
      </w:r>
      <w:r>
        <w:rPr>
          <w:sz w:val="20"/>
          <w:szCs w:val="20"/>
          <w:lang w:val="es-VE"/>
        </w:rPr>
        <w:t xml:space="preserve">el gobierno </w:t>
      </w:r>
      <w:r w:rsidR="00B053C8" w:rsidRPr="00FC56EC">
        <w:rPr>
          <w:sz w:val="20"/>
          <w:szCs w:val="20"/>
          <w:lang w:val="es-VE"/>
        </w:rPr>
        <w:t>en Panamá, como asistencia ex gratia, en los cuales se habría comprometido un total de casi mil millones de dólares para la reconstrucción de Panamá a raíz del régimen de Noriega y los eventos que fomentó.</w:t>
      </w:r>
    </w:p>
    <w:p w:rsidR="00B053C8" w:rsidRPr="004E3ECE" w:rsidRDefault="00B053C8" w:rsidP="00FC56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VE"/>
        </w:rPr>
      </w:pPr>
    </w:p>
    <w:p w:rsidR="00B053C8" w:rsidRPr="00FC56EC"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FC56EC">
        <w:rPr>
          <w:sz w:val="20"/>
          <w:szCs w:val="20"/>
          <w:lang w:val="es-VE"/>
        </w:rPr>
        <w:t xml:space="preserve">La Comisión coincide con el argumento del Estado en cuanto a que los programas de asistencia económica no deben ser considerados como reparación suficiente y adecuada conforme al derecho internacional de los derechos humanos y el derecho internacional humanitario al no responder a los daños específicos sufridos por las victimas de manera individualizada como consecuencia de un reconocimiento de una lesión y del esclarecimiento necesario de las circunstancias. </w:t>
      </w:r>
    </w:p>
    <w:p w:rsidR="00B053C8" w:rsidRPr="004E3ECE" w:rsidRDefault="00B053C8" w:rsidP="00FC56E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VE"/>
        </w:rPr>
      </w:pPr>
    </w:p>
    <w:p w:rsidR="00B053C8"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VE"/>
        </w:rPr>
      </w:pPr>
      <w:r w:rsidRPr="00FC56EC">
        <w:rPr>
          <w:sz w:val="20"/>
          <w:szCs w:val="20"/>
          <w:lang w:val="es-VE"/>
        </w:rPr>
        <w:t>En conclusión, la Comisión Interamericana considera que el Estado en el presente caso incumplió con sus obligaciones de respetar y garantizar el derecho a la justicia</w:t>
      </w:r>
      <w:r w:rsidR="00FC56EC">
        <w:rPr>
          <w:sz w:val="20"/>
          <w:szCs w:val="20"/>
          <w:lang w:val="es-VE"/>
        </w:rPr>
        <w:t xml:space="preserve">, </w:t>
      </w:r>
      <w:r w:rsidR="00BF4593">
        <w:rPr>
          <w:sz w:val="20"/>
          <w:szCs w:val="20"/>
          <w:lang w:val="es-VE"/>
        </w:rPr>
        <w:t>verdad</w:t>
      </w:r>
      <w:r w:rsidRPr="00FC56EC">
        <w:rPr>
          <w:sz w:val="20"/>
          <w:szCs w:val="20"/>
          <w:lang w:val="es-VE"/>
        </w:rPr>
        <w:t xml:space="preserve"> y reparación de conformidad con la Declaración Americana en perjuicio de las personas respecto de las cuales se establecieron violaciones a dicho instrumento en las secciones precedentes, en tanto no emprendió las medidas necesarias para realizar de oficio investigaciones serias en relación a</w:t>
      </w:r>
      <w:r w:rsidR="00FC56EC">
        <w:rPr>
          <w:sz w:val="20"/>
          <w:szCs w:val="20"/>
          <w:lang w:val="es-VE"/>
        </w:rPr>
        <w:t>l</w:t>
      </w:r>
      <w:r w:rsidRPr="00FC56EC">
        <w:rPr>
          <w:sz w:val="20"/>
          <w:szCs w:val="20"/>
          <w:lang w:val="es-VE"/>
        </w:rPr>
        <w:t xml:space="preserve"> uso de la fuerza en contravención de los principios del </w:t>
      </w:r>
      <w:r w:rsidR="00D621B5">
        <w:rPr>
          <w:sz w:val="20"/>
          <w:szCs w:val="20"/>
          <w:lang w:val="es-VE"/>
        </w:rPr>
        <w:t xml:space="preserve">derecho internacional de los derechos humanos y del </w:t>
      </w:r>
      <w:r w:rsidRPr="00FC56EC">
        <w:rPr>
          <w:sz w:val="20"/>
          <w:szCs w:val="20"/>
          <w:lang w:val="es-VE"/>
        </w:rPr>
        <w:t xml:space="preserve">derecho internacional humanitario; y no adecuó la estructura existente para permitir a </w:t>
      </w:r>
      <w:r w:rsidR="00087B03">
        <w:rPr>
          <w:sz w:val="20"/>
          <w:szCs w:val="20"/>
          <w:lang w:val="es-VE"/>
        </w:rPr>
        <w:t xml:space="preserve">aquellos afectados </w:t>
      </w:r>
      <w:r w:rsidRPr="00FC56EC">
        <w:rPr>
          <w:sz w:val="20"/>
          <w:szCs w:val="20"/>
          <w:lang w:val="es-VE"/>
        </w:rPr>
        <w:t xml:space="preserve">obtener el esclarecimiento de los hechos relevantes y la obtención de una reparación integra correspondiente al daño sufrido. En el caso de las víctimas que perdieron la vida, la Comisión establece que esta violación se configuró en perjuicio de sus familiares. </w:t>
      </w:r>
    </w:p>
    <w:p w:rsidR="00681DE0" w:rsidRDefault="00681DE0" w:rsidP="00681DE0">
      <w:pPr>
        <w:pStyle w:val="ListParagraph"/>
        <w:jc w:val="both"/>
        <w:rPr>
          <w:sz w:val="20"/>
          <w:szCs w:val="20"/>
          <w:lang w:val="es-VE"/>
        </w:rPr>
      </w:pPr>
    </w:p>
    <w:p w:rsidR="00681DE0" w:rsidRPr="008F4830" w:rsidRDefault="005177AF" w:rsidP="00D529F8">
      <w:pPr>
        <w:pStyle w:val="Heading2"/>
        <w:numPr>
          <w:ilvl w:val="0"/>
          <w:numId w:val="71"/>
        </w:numPr>
        <w:spacing w:before="0" w:after="0"/>
        <w:ind w:firstLine="0"/>
        <w:jc w:val="both"/>
        <w:rPr>
          <w:rFonts w:ascii="Cambria" w:hAnsi="Cambria"/>
          <w:i w:val="0"/>
          <w:sz w:val="20"/>
          <w:lang w:val="es-VE"/>
        </w:rPr>
      </w:pPr>
      <w:bookmarkStart w:id="47" w:name="_Toc525294053"/>
      <w:r>
        <w:rPr>
          <w:rFonts w:ascii="Cambria" w:hAnsi="Cambria"/>
          <w:i w:val="0"/>
          <w:sz w:val="20"/>
          <w:lang w:val="es-VE"/>
        </w:rPr>
        <w:t>Derecho a la integridad personal</w:t>
      </w:r>
      <w:bookmarkEnd w:id="47"/>
    </w:p>
    <w:p w:rsidR="00681DE0" w:rsidRDefault="00681DE0" w:rsidP="00681DE0">
      <w:pPr>
        <w:pStyle w:val="ListParagraph"/>
        <w:jc w:val="both"/>
        <w:rPr>
          <w:sz w:val="20"/>
          <w:szCs w:val="20"/>
          <w:lang w:val="es-VE"/>
        </w:rPr>
      </w:pPr>
    </w:p>
    <w:p w:rsidR="00681DE0" w:rsidRPr="00B06A7F" w:rsidRDefault="00681DE0"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ES_tradnl"/>
        </w:rPr>
      </w:pPr>
      <w:r w:rsidRPr="00B06A7F">
        <w:rPr>
          <w:sz w:val="20"/>
          <w:szCs w:val="20"/>
          <w:lang w:val="es-ES_tradnl"/>
        </w:rPr>
        <w:t xml:space="preserve">El </w:t>
      </w:r>
      <w:r w:rsidRPr="00B06A7F">
        <w:rPr>
          <w:sz w:val="20"/>
          <w:szCs w:val="20"/>
          <w:lang w:val="es-US"/>
        </w:rPr>
        <w:t>artículo</w:t>
      </w:r>
      <w:r w:rsidRPr="00B06A7F">
        <w:rPr>
          <w:sz w:val="20"/>
          <w:szCs w:val="20"/>
          <w:lang w:val="es-ES_tradnl"/>
        </w:rPr>
        <w:t xml:space="preserve"> I de la Declaración Americana consagra el derecho a la integridad personal en los siguientes términos:</w:t>
      </w:r>
    </w:p>
    <w:p w:rsidR="00681DE0" w:rsidRPr="00B06A7F" w:rsidRDefault="00681DE0" w:rsidP="00681DE0">
      <w:pPr>
        <w:jc w:val="both"/>
        <w:rPr>
          <w:rFonts w:ascii="Cambria" w:hAnsi="Cambria"/>
          <w:sz w:val="20"/>
          <w:szCs w:val="20"/>
          <w:lang w:val="es-ES_tradnl"/>
        </w:rPr>
      </w:pPr>
    </w:p>
    <w:p w:rsidR="004A41B5" w:rsidRPr="00DF542C" w:rsidRDefault="00681DE0" w:rsidP="005177AF">
      <w:pPr>
        <w:ind w:left="720" w:right="720"/>
        <w:jc w:val="both"/>
        <w:rPr>
          <w:rFonts w:ascii="Cambria" w:hAnsi="Cambria"/>
          <w:sz w:val="20"/>
          <w:szCs w:val="20"/>
          <w:lang w:val="es-ES_tradnl"/>
        </w:rPr>
      </w:pPr>
      <w:r w:rsidRPr="00B06A7F">
        <w:rPr>
          <w:rFonts w:ascii="Cambria" w:hAnsi="Cambria"/>
          <w:sz w:val="20"/>
          <w:szCs w:val="20"/>
          <w:lang w:val="es-ES_tradnl"/>
        </w:rPr>
        <w:t>Todo ser humano tiene derecho a la vida, a la libertad y a la seguridad de su persona.</w:t>
      </w:r>
    </w:p>
    <w:p w:rsidR="004A41B5" w:rsidRDefault="004A41B5" w:rsidP="00B053C8">
      <w:pPr>
        <w:pStyle w:val="ListParagraph"/>
        <w:suppressAutoHyphens/>
        <w:ind w:left="0"/>
        <w:rPr>
          <w:b/>
          <w:sz w:val="20"/>
          <w:szCs w:val="20"/>
          <w:lang w:val="es-ES_tradnl"/>
        </w:rPr>
      </w:pPr>
    </w:p>
    <w:p w:rsidR="004A41B5" w:rsidRDefault="00A537E8" w:rsidP="00360602">
      <w:pPr>
        <w:pStyle w:val="ListParagraph"/>
        <w:numPr>
          <w:ilvl w:val="0"/>
          <w:numId w:val="58"/>
        </w:numPr>
        <w:ind w:left="0" w:firstLine="720"/>
        <w:jc w:val="both"/>
        <w:rPr>
          <w:rFonts w:cs="Courier New"/>
          <w:sz w:val="20"/>
          <w:szCs w:val="20"/>
          <w:lang w:val="es-ES_tradnl"/>
        </w:rPr>
      </w:pPr>
      <w:bookmarkStart w:id="48" w:name="_Hlk499854598"/>
      <w:r>
        <w:rPr>
          <w:rFonts w:cs="Courier New"/>
          <w:sz w:val="20"/>
          <w:szCs w:val="20"/>
          <w:lang w:val="es-ES_tradnl"/>
        </w:rPr>
        <w:t xml:space="preserve">La CIDH observa que </w:t>
      </w:r>
      <w:r w:rsidR="00C45D15">
        <w:rPr>
          <w:rFonts w:cs="Courier New"/>
          <w:sz w:val="20"/>
          <w:szCs w:val="20"/>
          <w:lang w:val="es-ES_tradnl"/>
        </w:rPr>
        <w:t>por</w:t>
      </w:r>
      <w:r>
        <w:rPr>
          <w:rFonts w:cs="Courier New"/>
          <w:sz w:val="20"/>
          <w:szCs w:val="20"/>
          <w:lang w:val="es-ES_tradnl"/>
        </w:rPr>
        <w:t xml:space="preserve"> </w:t>
      </w:r>
      <w:r w:rsidR="00251024">
        <w:rPr>
          <w:rFonts w:cs="Courier New"/>
          <w:sz w:val="20"/>
          <w:szCs w:val="20"/>
          <w:lang w:val="es-ES_tradnl"/>
        </w:rPr>
        <w:t>el diseño y ejecución d</w:t>
      </w:r>
      <w:r>
        <w:rPr>
          <w:rFonts w:cs="Courier New"/>
          <w:sz w:val="20"/>
          <w:szCs w:val="20"/>
          <w:lang w:val="es-ES_tradnl"/>
        </w:rPr>
        <w:t>e la invasión militar y</w:t>
      </w:r>
      <w:r w:rsidR="00251024">
        <w:rPr>
          <w:rFonts w:cs="Courier New"/>
          <w:sz w:val="20"/>
          <w:szCs w:val="20"/>
          <w:lang w:val="es-ES_tradnl"/>
        </w:rPr>
        <w:t xml:space="preserve"> de</w:t>
      </w:r>
      <w:r>
        <w:rPr>
          <w:rFonts w:cs="Courier New"/>
          <w:sz w:val="20"/>
          <w:szCs w:val="20"/>
          <w:lang w:val="es-ES_tradnl"/>
        </w:rPr>
        <w:t xml:space="preserve"> los días posteriores</w:t>
      </w:r>
      <w:r w:rsidR="00E77541">
        <w:rPr>
          <w:rFonts w:cs="Courier New"/>
          <w:sz w:val="20"/>
          <w:szCs w:val="20"/>
          <w:lang w:val="es-ES_tradnl"/>
        </w:rPr>
        <w:t xml:space="preserve">, </w:t>
      </w:r>
      <w:r w:rsidR="00087B03">
        <w:rPr>
          <w:rFonts w:cs="Courier New"/>
          <w:sz w:val="20"/>
          <w:szCs w:val="20"/>
          <w:lang w:val="es-ES_tradnl"/>
        </w:rPr>
        <w:t>los Estados Unidos es responsable por las</w:t>
      </w:r>
      <w:r w:rsidR="00251024">
        <w:rPr>
          <w:rFonts w:cs="Courier New"/>
          <w:sz w:val="20"/>
          <w:szCs w:val="20"/>
          <w:lang w:val="es-ES_tradnl"/>
        </w:rPr>
        <w:t xml:space="preserve"> </w:t>
      </w:r>
      <w:r>
        <w:rPr>
          <w:rFonts w:cs="Courier New"/>
          <w:sz w:val="20"/>
          <w:szCs w:val="20"/>
          <w:lang w:val="es-ES_tradnl"/>
        </w:rPr>
        <w:t>violaci</w:t>
      </w:r>
      <w:r w:rsidR="00251024">
        <w:rPr>
          <w:rFonts w:cs="Courier New"/>
          <w:sz w:val="20"/>
          <w:szCs w:val="20"/>
          <w:lang w:val="es-ES_tradnl"/>
        </w:rPr>
        <w:t xml:space="preserve">ones </w:t>
      </w:r>
      <w:r w:rsidR="00087B03">
        <w:rPr>
          <w:rFonts w:cs="Courier New"/>
          <w:sz w:val="20"/>
          <w:szCs w:val="20"/>
          <w:lang w:val="es-ES_tradnl"/>
        </w:rPr>
        <w:t xml:space="preserve">a </w:t>
      </w:r>
      <w:r w:rsidR="00251024">
        <w:rPr>
          <w:rFonts w:cs="Courier New"/>
          <w:sz w:val="20"/>
          <w:szCs w:val="20"/>
          <w:lang w:val="es-ES_tradnl"/>
        </w:rPr>
        <w:t>los derechos humanos</w:t>
      </w:r>
      <w:r w:rsidR="00C45D15">
        <w:rPr>
          <w:rFonts w:cs="Courier New"/>
          <w:sz w:val="20"/>
          <w:szCs w:val="20"/>
          <w:lang w:val="es-ES_tradnl"/>
        </w:rPr>
        <w:t xml:space="preserve"> </w:t>
      </w:r>
      <w:r w:rsidR="00616071">
        <w:rPr>
          <w:rFonts w:cs="Courier New"/>
          <w:sz w:val="20"/>
          <w:szCs w:val="20"/>
          <w:lang w:val="es-ES_tradnl"/>
        </w:rPr>
        <w:t xml:space="preserve">en </w:t>
      </w:r>
      <w:r w:rsidR="00823DC6">
        <w:rPr>
          <w:rFonts w:cs="Courier New"/>
          <w:sz w:val="20"/>
          <w:szCs w:val="20"/>
          <w:lang w:val="es-ES_tradnl"/>
        </w:rPr>
        <w:t>un contexto de</w:t>
      </w:r>
      <w:r w:rsidR="00616071">
        <w:rPr>
          <w:rFonts w:cs="Courier New"/>
          <w:sz w:val="20"/>
          <w:szCs w:val="20"/>
          <w:lang w:val="es-ES_tradnl"/>
        </w:rPr>
        <w:t xml:space="preserve"> </w:t>
      </w:r>
      <w:r w:rsidR="003757E0">
        <w:rPr>
          <w:rFonts w:cs="Courier New"/>
          <w:sz w:val="20"/>
          <w:szCs w:val="20"/>
          <w:lang w:val="es-ES_tradnl"/>
        </w:rPr>
        <w:t xml:space="preserve">conflicto armado y </w:t>
      </w:r>
      <w:r w:rsidR="00087B03">
        <w:rPr>
          <w:rFonts w:cs="Courier New"/>
          <w:sz w:val="20"/>
          <w:szCs w:val="20"/>
          <w:lang w:val="es-ES_tradnl"/>
        </w:rPr>
        <w:t xml:space="preserve">en circunstancias que generaron un </w:t>
      </w:r>
      <w:r w:rsidR="003757E0">
        <w:rPr>
          <w:rFonts w:cs="Courier New"/>
          <w:sz w:val="20"/>
          <w:szCs w:val="20"/>
          <w:lang w:val="es-ES_tradnl"/>
        </w:rPr>
        <w:t xml:space="preserve">alto nivel de incertidumbre, en las que las víctimas sufrieron un </w:t>
      </w:r>
      <w:r w:rsidR="00823DC6">
        <w:rPr>
          <w:rFonts w:cs="Courier New"/>
          <w:sz w:val="20"/>
          <w:szCs w:val="20"/>
          <w:lang w:val="es-ES_tradnl"/>
        </w:rPr>
        <w:t xml:space="preserve">impacto perceptible </w:t>
      </w:r>
      <w:r w:rsidR="003757E0">
        <w:rPr>
          <w:rFonts w:cs="Courier New"/>
          <w:sz w:val="20"/>
          <w:szCs w:val="20"/>
          <w:lang w:val="es-ES_tradnl"/>
        </w:rPr>
        <w:t xml:space="preserve">en vida familiar, en cuanto aquellas que perdieron a un familiar </w:t>
      </w:r>
      <w:r w:rsidR="00087B03">
        <w:rPr>
          <w:rFonts w:cs="Courier New"/>
          <w:sz w:val="20"/>
          <w:szCs w:val="20"/>
          <w:lang w:val="es-ES_tradnl"/>
        </w:rPr>
        <w:t>y/</w:t>
      </w:r>
      <w:r w:rsidR="003757E0">
        <w:rPr>
          <w:rFonts w:cs="Courier New"/>
          <w:sz w:val="20"/>
          <w:szCs w:val="20"/>
          <w:lang w:val="es-ES_tradnl"/>
        </w:rPr>
        <w:t xml:space="preserve">o que ellas o familiares sufrieron lesiones graves, </w:t>
      </w:r>
      <w:r w:rsidR="00087B03">
        <w:rPr>
          <w:rFonts w:cs="Courier New"/>
          <w:sz w:val="20"/>
          <w:szCs w:val="20"/>
          <w:lang w:val="es-ES_tradnl"/>
        </w:rPr>
        <w:t xml:space="preserve">y/o sufrieron una afectación </w:t>
      </w:r>
      <w:r w:rsidR="003757E0">
        <w:rPr>
          <w:rFonts w:cs="Courier New"/>
          <w:sz w:val="20"/>
          <w:szCs w:val="20"/>
          <w:lang w:val="es-ES_tradnl"/>
        </w:rPr>
        <w:t xml:space="preserve">en su esfera </w:t>
      </w:r>
      <w:r w:rsidR="00087B03">
        <w:rPr>
          <w:rFonts w:cs="Courier New"/>
          <w:sz w:val="20"/>
          <w:szCs w:val="20"/>
          <w:lang w:val="es-ES_tradnl"/>
        </w:rPr>
        <w:t xml:space="preserve">personal, familiar, </w:t>
      </w:r>
      <w:r w:rsidR="003757E0">
        <w:rPr>
          <w:rFonts w:cs="Courier New"/>
          <w:sz w:val="20"/>
          <w:szCs w:val="20"/>
          <w:lang w:val="es-ES_tradnl"/>
        </w:rPr>
        <w:t>laboral y en su estabilidad económica.</w:t>
      </w:r>
      <w:r>
        <w:rPr>
          <w:rFonts w:cs="Courier New"/>
          <w:sz w:val="20"/>
          <w:szCs w:val="20"/>
          <w:lang w:val="es-ES_tradnl"/>
        </w:rPr>
        <w:t xml:space="preserve"> </w:t>
      </w:r>
      <w:r w:rsidR="004A41B5" w:rsidRPr="00FA5953">
        <w:rPr>
          <w:rFonts w:cs="Courier New"/>
          <w:sz w:val="20"/>
          <w:szCs w:val="20"/>
          <w:lang w:val="es-ES_tradnl"/>
        </w:rPr>
        <w:t xml:space="preserve">La Comisión nota que un grupo de 104 personas alegaron vulneraciones a su integridad psicológica y la de sus familiares como consecuencia de diversos hechos en el contexto de la ejecución de la Operación Justa Causa. De la descripción de tales hechos, la Comisión encuentra que tienen fuertes similitudes con los hechos analizados en esta sección, por lo que resulta razonable inferir su relación de causalidad con los mismos y la consecuente violación a su derecho a la integridad personal, consagrado en la misma disposición.   </w:t>
      </w:r>
    </w:p>
    <w:p w:rsidR="003757E0" w:rsidRDefault="003757E0" w:rsidP="003757E0">
      <w:pPr>
        <w:pStyle w:val="ListParagraph"/>
        <w:jc w:val="both"/>
        <w:rPr>
          <w:rFonts w:cs="Courier New"/>
          <w:sz w:val="20"/>
          <w:szCs w:val="20"/>
          <w:lang w:val="es-ES_tradnl"/>
        </w:rPr>
      </w:pPr>
    </w:p>
    <w:p w:rsidR="003757E0" w:rsidRPr="003757E0" w:rsidRDefault="003757E0" w:rsidP="00360602">
      <w:pPr>
        <w:pStyle w:val="ListParagraph"/>
        <w:numPr>
          <w:ilvl w:val="0"/>
          <w:numId w:val="58"/>
        </w:numPr>
        <w:ind w:left="0" w:firstLine="720"/>
        <w:jc w:val="both"/>
        <w:rPr>
          <w:rFonts w:cs="Courier New"/>
          <w:sz w:val="20"/>
          <w:szCs w:val="20"/>
          <w:lang w:val="es-ES_tradnl"/>
        </w:rPr>
      </w:pPr>
      <w:r w:rsidRPr="003757E0">
        <w:rPr>
          <w:rFonts w:cs="Courier New"/>
          <w:sz w:val="20"/>
          <w:szCs w:val="20"/>
          <w:lang w:val="es-ES_tradnl"/>
        </w:rPr>
        <w:t>En</w:t>
      </w:r>
      <w:r>
        <w:rPr>
          <w:rFonts w:cs="Courier New"/>
          <w:sz w:val="20"/>
          <w:szCs w:val="20"/>
          <w:lang w:val="es-ES_tradnl"/>
        </w:rPr>
        <w:t xml:space="preserve"> sentido la CIDH concluye la vulneración en perjuicio de las víctimas descritas de su integridad personal. </w:t>
      </w:r>
    </w:p>
    <w:bookmarkEnd w:id="48"/>
    <w:p w:rsidR="004A41B5" w:rsidRPr="0002410E" w:rsidRDefault="004A41B5" w:rsidP="00B053C8">
      <w:pPr>
        <w:pStyle w:val="ListParagraph"/>
        <w:suppressAutoHyphens/>
        <w:ind w:left="0"/>
        <w:rPr>
          <w:b/>
          <w:sz w:val="20"/>
          <w:szCs w:val="20"/>
          <w:lang w:val="es-ES_tradnl"/>
        </w:rPr>
      </w:pPr>
    </w:p>
    <w:p w:rsidR="0075298F" w:rsidRPr="007652AC" w:rsidRDefault="0075298F" w:rsidP="00D529F8">
      <w:pPr>
        <w:pStyle w:val="Heading1"/>
        <w:spacing w:before="0"/>
        <w:ind w:firstLine="0"/>
        <w:jc w:val="both"/>
        <w:rPr>
          <w:rFonts w:ascii="Cambria" w:hAnsi="Cambria"/>
          <w:color w:val="auto"/>
          <w:sz w:val="20"/>
          <w:lang w:val="es-ES_tradnl"/>
        </w:rPr>
      </w:pPr>
      <w:bookmarkStart w:id="49" w:name="_Toc525294054"/>
      <w:r w:rsidRPr="007652AC">
        <w:rPr>
          <w:rFonts w:ascii="Cambria" w:hAnsi="Cambria"/>
          <w:color w:val="auto"/>
          <w:sz w:val="20"/>
          <w:lang w:val="es-ES_tradnl"/>
        </w:rPr>
        <w:lastRenderedPageBreak/>
        <w:t>INFORME No.169/17</w:t>
      </w:r>
      <w:bookmarkEnd w:id="49"/>
    </w:p>
    <w:p w:rsidR="0075298F" w:rsidRPr="007652AC" w:rsidRDefault="0075298F" w:rsidP="0075298F">
      <w:pPr>
        <w:pStyle w:val="ListParagraph"/>
        <w:jc w:val="both"/>
        <w:rPr>
          <w:rFonts w:cs="Courier New"/>
          <w:sz w:val="20"/>
          <w:szCs w:val="20"/>
          <w:lang w:val="es-ES_tradnl"/>
        </w:rPr>
      </w:pPr>
    </w:p>
    <w:p w:rsidR="0075298F" w:rsidRPr="007652AC" w:rsidRDefault="0075298F" w:rsidP="0075298F">
      <w:pPr>
        <w:pStyle w:val="ListParagraph"/>
        <w:numPr>
          <w:ilvl w:val="0"/>
          <w:numId w:val="58"/>
        </w:numPr>
        <w:ind w:left="0" w:firstLine="720"/>
        <w:jc w:val="both"/>
        <w:rPr>
          <w:rFonts w:cs="Courier New"/>
          <w:sz w:val="20"/>
          <w:szCs w:val="20"/>
          <w:lang w:val="es-ES_tradnl"/>
        </w:rPr>
      </w:pPr>
      <w:r w:rsidRPr="007652AC">
        <w:rPr>
          <w:rFonts w:cs="Courier New"/>
          <w:sz w:val="20"/>
          <w:szCs w:val="20"/>
          <w:lang w:val="es-ES_tradnl"/>
        </w:rPr>
        <w:t xml:space="preserve">El 6 de diciembre de 2017, la Comisión aprobó el Informe de Fondo No. 169/17 respecto del presente caso, comprendido en los párrafos 1 al 460 supra, y emitió las siguientes recomendaciones al Estado: </w:t>
      </w:r>
    </w:p>
    <w:p w:rsidR="0075298F" w:rsidRDefault="0075298F" w:rsidP="0075298F">
      <w:pPr>
        <w:pStyle w:val="ListParagraph"/>
        <w:jc w:val="both"/>
        <w:rPr>
          <w:rFonts w:cs="Courier New"/>
          <w:sz w:val="20"/>
          <w:szCs w:val="20"/>
          <w:lang w:val="es-ES_tradnl"/>
        </w:rPr>
      </w:pPr>
    </w:p>
    <w:p w:rsidR="0075298F" w:rsidRPr="00AA6F56" w:rsidRDefault="0075298F" w:rsidP="0075298F">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color w:val="auto"/>
          <w:sz w:val="20"/>
          <w:szCs w:val="20"/>
          <w:bdr w:val="none" w:sz="0" w:space="0" w:color="auto"/>
          <w:lang w:val="es-ES"/>
        </w:rPr>
      </w:pPr>
      <w:r w:rsidRPr="00AA6F56">
        <w:rPr>
          <w:rFonts w:eastAsia="Times New Roman" w:cs="Tahoma"/>
          <w:color w:val="auto"/>
          <w:sz w:val="20"/>
          <w:szCs w:val="20"/>
          <w:bdr w:val="none" w:sz="0" w:space="0" w:color="auto"/>
          <w:lang w:val="es-ES"/>
        </w:rPr>
        <w:t xml:space="preserve">Reparar integralmente las violaciones de derechos humanos </w:t>
      </w:r>
      <w:r>
        <w:rPr>
          <w:rFonts w:eastAsia="Times New Roman" w:cs="Tahoma"/>
          <w:color w:val="auto"/>
          <w:sz w:val="20"/>
          <w:szCs w:val="20"/>
          <w:bdr w:val="none" w:sz="0" w:space="0" w:color="auto"/>
          <w:lang w:val="es-ES"/>
        </w:rPr>
        <w:t xml:space="preserve">establecidas </w:t>
      </w:r>
      <w:r w:rsidRPr="00AA6F56">
        <w:rPr>
          <w:rFonts w:eastAsia="Times New Roman" w:cs="Tahoma"/>
          <w:color w:val="auto"/>
          <w:sz w:val="20"/>
          <w:szCs w:val="20"/>
          <w:bdr w:val="none" w:sz="0" w:space="0" w:color="auto"/>
          <w:lang w:val="es-ES"/>
        </w:rPr>
        <w:t xml:space="preserve">en el presente informe tanto en el aspecto material como inmaterial. El Estado deberá adoptar las medidas de compensación económica y satisfacción. </w:t>
      </w:r>
    </w:p>
    <w:p w:rsidR="0075298F" w:rsidRDefault="0075298F" w:rsidP="0075298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lang w:val="es-ES"/>
        </w:rPr>
      </w:pPr>
    </w:p>
    <w:p w:rsidR="0075298F" w:rsidRDefault="0075298F" w:rsidP="0075298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lang w:val="es-ES"/>
        </w:rPr>
      </w:pPr>
      <w:r>
        <w:rPr>
          <w:rFonts w:eastAsia="Times New Roman" w:cs="Tahoma"/>
          <w:sz w:val="20"/>
          <w:szCs w:val="20"/>
          <w:bdr w:val="none" w:sz="0" w:space="0" w:color="auto"/>
          <w:lang w:val="es-ES"/>
        </w:rPr>
        <w:t>La Comisión considera que a efectos de cumplir con esta recomendación el Estado debe crear, a la brevedad, un mecanismo especial, por iniciativa propia e independiente de las iniciativas que pudiese tomar el Estado panameño, a fin de que se materialicen las reparaciones aplicables a cada grupo de víctimas, considerando la naturaleza de las violaciones declaradas. Tomando en cuenta que las víctimas no se encuentran en la jurisdicción territorial de los Estados Unidos, la Comisión insta a este Estado a desplegar todos los esfuerzos diplomáticos o de otra índole que sean necesarios para la debida implementación de esta recomendación. Asimismo, respecto de las víctimas fallecidas, las reparaciones deberán ser reconocidas a sus familiares o herederos según sea el caso.</w:t>
      </w:r>
    </w:p>
    <w:p w:rsidR="0075298F" w:rsidRPr="005F309E" w:rsidRDefault="0075298F" w:rsidP="0075298F">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Pr>
          <w:rFonts w:eastAsia="Times New Roman" w:cs="Tahoma"/>
          <w:sz w:val="20"/>
          <w:szCs w:val="20"/>
          <w:bdr w:val="none" w:sz="0" w:space="0" w:color="auto"/>
          <w:lang w:val="es-ES"/>
        </w:rPr>
        <w:t xml:space="preserve">  </w:t>
      </w:r>
    </w:p>
    <w:p w:rsidR="0075298F" w:rsidRPr="0043359C" w:rsidRDefault="0075298F" w:rsidP="0075298F">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14"/>
          <w:szCs w:val="14"/>
          <w:bdr w:val="none" w:sz="0" w:space="0" w:color="auto"/>
          <w:lang w:val="es-ES"/>
        </w:rPr>
      </w:pPr>
      <w:r>
        <w:rPr>
          <w:rFonts w:eastAsia="Times New Roman" w:cs="Tahoma"/>
          <w:sz w:val="20"/>
          <w:szCs w:val="20"/>
          <w:bdr w:val="none" w:sz="0" w:space="0" w:color="auto"/>
          <w:lang w:val="es-ES"/>
        </w:rPr>
        <w:t>Disponer las medidas de atención en salud física y mental necesarias para la rehabilitación de las víctimas que así lo requieran, de ser su voluntad. Tomando en cuenta que las víctimas no se encuentran bajo la jurisdicción territorial de los Estados Unidos,</w:t>
      </w:r>
      <w:r w:rsidRPr="0043359C">
        <w:rPr>
          <w:rFonts w:eastAsia="Times New Roman" w:cs="Tahoma"/>
          <w:sz w:val="20"/>
          <w:szCs w:val="20"/>
          <w:lang w:val="es-ES"/>
        </w:rPr>
        <w:t xml:space="preserve"> corresponde pagarles un monto específico para cubrir los servicios médicos que deban sufragar en</w:t>
      </w:r>
      <w:r>
        <w:rPr>
          <w:rFonts w:eastAsia="Times New Roman" w:cs="Tahoma"/>
          <w:sz w:val="20"/>
          <w:szCs w:val="20"/>
          <w:lang w:val="es-ES"/>
        </w:rPr>
        <w:t xml:space="preserve"> el país donde se encuentran</w:t>
      </w:r>
      <w:r w:rsidRPr="0043359C">
        <w:rPr>
          <w:rFonts w:eastAsia="Times New Roman" w:cs="Tahoma"/>
          <w:sz w:val="20"/>
          <w:szCs w:val="20"/>
          <w:lang w:val="es-ES"/>
        </w:rPr>
        <w:t>.</w:t>
      </w:r>
    </w:p>
    <w:p w:rsidR="0075298F" w:rsidRPr="0033028D" w:rsidRDefault="0075298F" w:rsidP="0075298F">
      <w:pPr>
        <w:pStyle w:val="ListParagraph"/>
        <w:rPr>
          <w:sz w:val="20"/>
          <w:szCs w:val="20"/>
          <w:lang w:val="es-ES"/>
        </w:rPr>
      </w:pPr>
    </w:p>
    <w:p w:rsidR="0075298F" w:rsidRPr="0033028D" w:rsidRDefault="0075298F" w:rsidP="0075298F">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14"/>
          <w:szCs w:val="14"/>
          <w:bdr w:val="none" w:sz="0" w:space="0" w:color="auto"/>
          <w:lang w:val="es-ES"/>
        </w:rPr>
      </w:pPr>
      <w:r>
        <w:rPr>
          <w:rFonts w:eastAsia="Times New Roman" w:cs="Tahoma"/>
          <w:color w:val="auto"/>
          <w:sz w:val="20"/>
          <w:szCs w:val="20"/>
          <w:bdr w:val="none" w:sz="0" w:space="0" w:color="auto"/>
          <w:lang w:val="es-AR"/>
        </w:rPr>
        <w:t>Realizar</w:t>
      </w:r>
      <w:r w:rsidRPr="006A14AC">
        <w:rPr>
          <w:rFonts w:eastAsia="Times New Roman" w:cs="Tahoma"/>
          <w:color w:val="auto"/>
          <w:sz w:val="20"/>
          <w:szCs w:val="20"/>
          <w:bdr w:val="none" w:sz="0" w:space="0" w:color="auto"/>
          <w:lang w:val="es-AR"/>
        </w:rPr>
        <w:t xml:space="preserve"> una </w:t>
      </w:r>
      <w:r w:rsidRPr="0033028D">
        <w:rPr>
          <w:rFonts w:eastAsia="Times New Roman" w:cs="Tahoma"/>
          <w:sz w:val="20"/>
          <w:szCs w:val="20"/>
          <w:bdr w:val="none" w:sz="0" w:space="0" w:color="auto"/>
          <w:lang w:val="es-AR"/>
        </w:rPr>
        <w:t xml:space="preserve">investigación de manera diligente, efectiva y dentro de un plazo razonable con el objeto de esclarecer </w:t>
      </w:r>
      <w:r>
        <w:rPr>
          <w:rFonts w:eastAsia="Times New Roman" w:cs="Tahoma"/>
          <w:sz w:val="20"/>
          <w:szCs w:val="20"/>
          <w:bdr w:val="none" w:sz="0" w:space="0" w:color="auto"/>
          <w:lang w:val="es-AR"/>
        </w:rPr>
        <w:t xml:space="preserve">plenamente </w:t>
      </w:r>
      <w:r w:rsidRPr="0033028D">
        <w:rPr>
          <w:rFonts w:eastAsia="Times New Roman" w:cs="Tahoma"/>
          <w:sz w:val="20"/>
          <w:szCs w:val="20"/>
          <w:bdr w:val="none" w:sz="0" w:space="0" w:color="auto"/>
          <w:lang w:val="es-AR"/>
        </w:rPr>
        <w:t xml:space="preserve">los hechos en forma completa, identificar todas las posibles responsabilidades e imponer </w:t>
      </w:r>
      <w:r w:rsidRPr="005005B0">
        <w:rPr>
          <w:rFonts w:eastAsia="Times New Roman" w:cs="Tahoma"/>
          <w:sz w:val="20"/>
          <w:szCs w:val="20"/>
          <w:bdr w:val="none" w:sz="0" w:space="0" w:color="auto"/>
          <w:lang w:val="es-AR"/>
        </w:rPr>
        <w:t xml:space="preserve">las formas correspondientes de </w:t>
      </w:r>
      <w:r>
        <w:rPr>
          <w:rFonts w:eastAsia="Times New Roman" w:cs="Tahoma"/>
          <w:sz w:val="20"/>
          <w:szCs w:val="20"/>
          <w:bdr w:val="none" w:sz="0" w:space="0" w:color="auto"/>
          <w:lang w:val="es-AR"/>
        </w:rPr>
        <w:t xml:space="preserve">sanción </w:t>
      </w:r>
      <w:r w:rsidRPr="0033028D">
        <w:rPr>
          <w:rFonts w:eastAsia="Times New Roman" w:cs="Tahoma"/>
          <w:sz w:val="20"/>
          <w:szCs w:val="20"/>
          <w:bdr w:val="none" w:sz="0" w:space="0" w:color="auto"/>
          <w:lang w:val="es-AR"/>
        </w:rPr>
        <w:t xml:space="preserve">respecto de las violaciones de derechos humanos declaradas en el presente informe. </w:t>
      </w:r>
    </w:p>
    <w:p w:rsidR="0075298F" w:rsidRDefault="0075298F" w:rsidP="0075298F">
      <w:pPr>
        <w:pStyle w:val="ListParagraph"/>
        <w:jc w:val="both"/>
        <w:rPr>
          <w:rFonts w:cs="Courier New"/>
          <w:sz w:val="20"/>
          <w:szCs w:val="20"/>
          <w:lang w:val="es-ES_tradnl"/>
        </w:rPr>
      </w:pPr>
    </w:p>
    <w:p w:rsidR="0075298F" w:rsidRPr="0075298F" w:rsidRDefault="0075298F" w:rsidP="0075298F">
      <w:pPr>
        <w:pStyle w:val="ListParagraph"/>
        <w:jc w:val="both"/>
        <w:rPr>
          <w:rFonts w:cs="Courier New"/>
          <w:sz w:val="20"/>
          <w:szCs w:val="20"/>
          <w:lang w:val="es-ES_tradnl"/>
        </w:rPr>
      </w:pPr>
    </w:p>
    <w:p w:rsidR="00BE72D1" w:rsidRPr="007652AC" w:rsidRDefault="00275F0F" w:rsidP="00E073CB">
      <w:pPr>
        <w:pStyle w:val="Heading1"/>
        <w:spacing w:before="0"/>
        <w:ind w:firstLine="0"/>
        <w:jc w:val="both"/>
        <w:rPr>
          <w:rFonts w:ascii="Cambria" w:hAnsi="Cambria"/>
          <w:color w:val="auto"/>
          <w:sz w:val="20"/>
          <w:lang w:val="es-ES_tradnl"/>
        </w:rPr>
      </w:pPr>
      <w:bookmarkStart w:id="50" w:name="_Toc525294055"/>
      <w:r w:rsidRPr="007652AC">
        <w:rPr>
          <w:rFonts w:ascii="Cambria" w:hAnsi="Cambria"/>
          <w:color w:val="auto"/>
          <w:sz w:val="20"/>
          <w:lang w:val="es-ES_tradnl"/>
        </w:rPr>
        <w:t>MEDIDAS POSTERIORES AL INFORME No. 169/17</w:t>
      </w:r>
      <w:bookmarkEnd w:id="50"/>
      <w:r w:rsidRPr="007652AC">
        <w:rPr>
          <w:rFonts w:ascii="Cambria" w:hAnsi="Cambria"/>
          <w:color w:val="auto"/>
          <w:sz w:val="20"/>
          <w:lang w:val="es-ES_tradnl"/>
        </w:rPr>
        <w:t xml:space="preserve"> </w:t>
      </w:r>
    </w:p>
    <w:p w:rsidR="00275F0F" w:rsidRPr="007652AC" w:rsidRDefault="00275F0F" w:rsidP="00275F0F">
      <w:pPr>
        <w:rPr>
          <w:lang w:val="es-ES_tradnl"/>
        </w:rPr>
      </w:pPr>
    </w:p>
    <w:p w:rsidR="00275F0F" w:rsidRPr="007652AC" w:rsidRDefault="00275F0F" w:rsidP="00275F0F">
      <w:pPr>
        <w:pStyle w:val="ListParagraph"/>
        <w:numPr>
          <w:ilvl w:val="0"/>
          <w:numId w:val="58"/>
        </w:numPr>
        <w:ind w:left="0" w:firstLine="720"/>
        <w:jc w:val="both"/>
        <w:rPr>
          <w:rFonts w:cs="Courier New"/>
          <w:sz w:val="20"/>
          <w:szCs w:val="20"/>
          <w:lang w:val="es-ES_tradnl"/>
        </w:rPr>
      </w:pPr>
      <w:r w:rsidRPr="007652AC">
        <w:rPr>
          <w:rFonts w:cs="Courier New"/>
          <w:sz w:val="20"/>
          <w:szCs w:val="20"/>
          <w:lang w:val="es-ES_tradnl"/>
        </w:rPr>
        <w:t>El 29 de diciembre de 2017, la Comisión remitió el informe de fondo al Estado y le otorgó dos meses para que informara sobre las medidas tomadas para cumplir con las recomendaciones.</w:t>
      </w:r>
    </w:p>
    <w:p w:rsidR="00A83A45" w:rsidRPr="007652AC" w:rsidRDefault="00A83A45" w:rsidP="00A83A45">
      <w:pPr>
        <w:pStyle w:val="ListParagraph"/>
        <w:jc w:val="both"/>
        <w:rPr>
          <w:rFonts w:cs="Courier New"/>
          <w:sz w:val="20"/>
          <w:szCs w:val="20"/>
          <w:lang w:val="es-ES_tradnl"/>
        </w:rPr>
      </w:pPr>
    </w:p>
    <w:p w:rsidR="00275F0F" w:rsidRPr="007652AC" w:rsidRDefault="00275F0F" w:rsidP="00275F0F">
      <w:pPr>
        <w:pStyle w:val="ListParagraph"/>
        <w:numPr>
          <w:ilvl w:val="0"/>
          <w:numId w:val="58"/>
        </w:numPr>
        <w:ind w:left="0" w:firstLine="720"/>
        <w:jc w:val="both"/>
        <w:rPr>
          <w:rFonts w:cs="Courier New"/>
          <w:sz w:val="20"/>
          <w:szCs w:val="20"/>
          <w:lang w:val="es-ES_tradnl"/>
        </w:rPr>
      </w:pPr>
      <w:r w:rsidRPr="007652AC">
        <w:rPr>
          <w:rFonts w:cs="Courier New"/>
          <w:sz w:val="20"/>
          <w:szCs w:val="20"/>
          <w:lang w:val="es-ES_tradnl"/>
        </w:rPr>
        <w:t xml:space="preserve">El 1 de febrero de 2018,  los peticionarios enviaron una comunicación a la Comisión expresando su preocupación “por la presencia de personal militar de Estados Unidos, con inmunidad diplomática, en el territorio panameño”. No presentaron mayor explicación. </w:t>
      </w:r>
    </w:p>
    <w:p w:rsidR="00A83A45" w:rsidRPr="007652AC" w:rsidRDefault="00A83A45" w:rsidP="00A83A45">
      <w:pPr>
        <w:pStyle w:val="ListParagraph"/>
        <w:rPr>
          <w:rFonts w:cs="Courier New"/>
          <w:sz w:val="20"/>
          <w:szCs w:val="20"/>
          <w:lang w:val="es-ES_tradnl"/>
        </w:rPr>
      </w:pPr>
    </w:p>
    <w:p w:rsidR="00275F0F" w:rsidRPr="007652AC" w:rsidRDefault="00275F0F" w:rsidP="00275F0F">
      <w:pPr>
        <w:pStyle w:val="ListParagraph"/>
        <w:numPr>
          <w:ilvl w:val="0"/>
          <w:numId w:val="58"/>
        </w:numPr>
        <w:ind w:left="0" w:firstLine="720"/>
        <w:jc w:val="both"/>
        <w:rPr>
          <w:rFonts w:cs="Courier New"/>
          <w:sz w:val="20"/>
          <w:szCs w:val="20"/>
          <w:lang w:val="es-ES_tradnl"/>
        </w:rPr>
      </w:pPr>
      <w:r w:rsidRPr="007652AC">
        <w:rPr>
          <w:rFonts w:cs="Courier New"/>
          <w:sz w:val="20"/>
          <w:szCs w:val="20"/>
          <w:lang w:val="es-ES_tradnl"/>
        </w:rPr>
        <w:t xml:space="preserve">En marzo de 2018, el Estado informó a la Comisión haber “tomado </w:t>
      </w:r>
      <w:r w:rsidR="00A83A45" w:rsidRPr="007652AC">
        <w:rPr>
          <w:rFonts w:cs="Courier New"/>
          <w:sz w:val="20"/>
          <w:szCs w:val="20"/>
          <w:lang w:val="es-ES_tradnl"/>
        </w:rPr>
        <w:t xml:space="preserve">en consideración las recomendaciones no vinculantes establecidas [en el informe]” y reiteró su objeción a la forma en que la Comisión interpretó y aplicó el derecho sobre conflictos armados en el informe. El Estado indicó que el único instrumento internacional relevante para los Estados Unidos, en cuanto a peticiones ante la CIDH, es la Declaración Americana, </w:t>
      </w:r>
      <w:r w:rsidR="00A83A45" w:rsidRPr="007652AC">
        <w:rPr>
          <w:rFonts w:cs="Courier New"/>
          <w:sz w:val="20"/>
          <w:szCs w:val="20"/>
          <w:lang w:val="es-ES"/>
        </w:rPr>
        <w:t>que no abarca la ley consuetudinaria o convencional de conflicto armado.</w:t>
      </w:r>
    </w:p>
    <w:p w:rsidR="009A0B1B" w:rsidRPr="007652AC" w:rsidRDefault="009A0B1B" w:rsidP="009A0B1B">
      <w:pPr>
        <w:pStyle w:val="ListParagraph"/>
        <w:rPr>
          <w:rFonts w:cs="Courier New"/>
          <w:sz w:val="20"/>
          <w:szCs w:val="20"/>
          <w:lang w:val="es-ES_tradnl"/>
        </w:rPr>
      </w:pPr>
    </w:p>
    <w:p w:rsidR="009A0B1B" w:rsidRPr="007652AC" w:rsidRDefault="009A0B1B" w:rsidP="00275F0F">
      <w:pPr>
        <w:pStyle w:val="ListParagraph"/>
        <w:numPr>
          <w:ilvl w:val="0"/>
          <w:numId w:val="58"/>
        </w:numPr>
        <w:ind w:left="0" w:firstLine="720"/>
        <w:jc w:val="both"/>
        <w:rPr>
          <w:rFonts w:cs="Courier New"/>
          <w:sz w:val="20"/>
          <w:szCs w:val="20"/>
          <w:lang w:val="es-ES_tradnl"/>
        </w:rPr>
      </w:pPr>
      <w:r w:rsidRPr="007652AC">
        <w:rPr>
          <w:rFonts w:cs="Courier New"/>
          <w:sz w:val="20"/>
          <w:szCs w:val="20"/>
          <w:lang w:val="es-ES"/>
        </w:rPr>
        <w:t>El Estado también objetó la recomendación de establecer un mecanismo especial que permita reparaciones por muerte, lesiones o daños a la propiedad sufridos por civiles durante la Operación Just</w:t>
      </w:r>
      <w:r w:rsidR="00DC3D17" w:rsidRPr="007652AC">
        <w:rPr>
          <w:rFonts w:cs="Courier New"/>
          <w:sz w:val="20"/>
          <w:szCs w:val="20"/>
          <w:lang w:val="es-ES"/>
        </w:rPr>
        <w:t>a</w:t>
      </w:r>
      <w:r w:rsidRPr="007652AC">
        <w:rPr>
          <w:rFonts w:cs="Courier New"/>
          <w:sz w:val="20"/>
          <w:szCs w:val="20"/>
          <w:lang w:val="es-ES"/>
        </w:rPr>
        <w:t xml:space="preserve"> Caus</w:t>
      </w:r>
      <w:r w:rsidR="00DC3D17" w:rsidRPr="007652AC">
        <w:rPr>
          <w:rFonts w:cs="Courier New"/>
          <w:sz w:val="20"/>
          <w:szCs w:val="20"/>
          <w:lang w:val="es-ES"/>
        </w:rPr>
        <w:t>a</w:t>
      </w:r>
      <w:r w:rsidRPr="007652AC">
        <w:rPr>
          <w:rFonts w:cs="Courier New"/>
          <w:sz w:val="20"/>
          <w:szCs w:val="20"/>
          <w:lang w:val="es-ES"/>
        </w:rPr>
        <w:t>. Insistió en que ni la Declaración Americana ni el derecho internacional consuetudinario establecen un derecho de indemnización para las personas que sufren muertes o lesiones durante el curso de un conflicto armado internacional lícito.</w:t>
      </w:r>
    </w:p>
    <w:p w:rsidR="00DC3D17" w:rsidRPr="007652AC" w:rsidRDefault="00DC3D17" w:rsidP="00DC3D17">
      <w:pPr>
        <w:pStyle w:val="ListParagraph"/>
        <w:rPr>
          <w:rFonts w:cs="Courier New"/>
          <w:sz w:val="20"/>
          <w:szCs w:val="20"/>
          <w:lang w:val="es-ES_tradnl"/>
        </w:rPr>
      </w:pPr>
    </w:p>
    <w:p w:rsidR="00DC3D17" w:rsidRPr="007652AC" w:rsidRDefault="00DC3D17" w:rsidP="00275F0F">
      <w:pPr>
        <w:pStyle w:val="ListParagraph"/>
        <w:numPr>
          <w:ilvl w:val="0"/>
          <w:numId w:val="58"/>
        </w:numPr>
        <w:ind w:left="0" w:firstLine="720"/>
        <w:jc w:val="both"/>
        <w:rPr>
          <w:rFonts w:cs="Courier New"/>
          <w:sz w:val="20"/>
          <w:szCs w:val="20"/>
          <w:lang w:val="es-ES_tradnl"/>
        </w:rPr>
      </w:pPr>
      <w:r w:rsidRPr="007652AC">
        <w:rPr>
          <w:rFonts w:cs="Courier New"/>
          <w:sz w:val="20"/>
          <w:szCs w:val="20"/>
          <w:lang w:val="es-ES"/>
        </w:rPr>
        <w:t xml:space="preserve">El Estado reiteró que proporcionó asistencia financiera sustancial al Gobierno de Panamá en forma de reconstrucción y recuperación en los años posteriores a la Operación Justa Causa y que Estados Unidos se reunió con la Comisión 20 de Diciembre para identificar áreas en las que puede cooperar El Estado </w:t>
      </w:r>
      <w:r w:rsidRPr="007652AC">
        <w:rPr>
          <w:rFonts w:cs="Courier New"/>
          <w:sz w:val="20"/>
          <w:szCs w:val="20"/>
          <w:lang w:val="es-ES"/>
        </w:rPr>
        <w:lastRenderedPageBreak/>
        <w:t>reiteró que la Comisión debería haber esperado a que la Comisión 20 de Diciembre terminara su trabajo</w:t>
      </w:r>
      <w:r w:rsidR="006F6720" w:rsidRPr="007652AC">
        <w:rPr>
          <w:rFonts w:cs="Courier New"/>
          <w:sz w:val="20"/>
          <w:szCs w:val="20"/>
          <w:lang w:val="es-ES"/>
        </w:rPr>
        <w:t>,</w:t>
      </w:r>
      <w:r w:rsidRPr="007652AC">
        <w:rPr>
          <w:rFonts w:cs="Courier New"/>
          <w:sz w:val="20"/>
          <w:szCs w:val="20"/>
          <w:lang w:val="es-ES"/>
        </w:rPr>
        <w:t xml:space="preserve"> en lugar de emitir una serie de recomendaciones a</w:t>
      </w:r>
      <w:r w:rsidR="006F6720" w:rsidRPr="007652AC">
        <w:rPr>
          <w:rFonts w:cs="Courier New"/>
          <w:sz w:val="20"/>
          <w:szCs w:val="20"/>
          <w:lang w:val="es-ES"/>
        </w:rPr>
        <w:t xml:space="preserve">l </w:t>
      </w:r>
      <w:r w:rsidRPr="007652AC">
        <w:rPr>
          <w:rFonts w:cs="Courier New"/>
          <w:sz w:val="20"/>
          <w:szCs w:val="20"/>
          <w:lang w:val="es-ES"/>
        </w:rPr>
        <w:t>Estados</w:t>
      </w:r>
      <w:r w:rsidR="006F6720" w:rsidRPr="007652AC">
        <w:rPr>
          <w:rFonts w:cs="Courier New"/>
          <w:sz w:val="20"/>
          <w:szCs w:val="20"/>
          <w:lang w:val="es-ES"/>
        </w:rPr>
        <w:t xml:space="preserve"> cuya implementación no es f</w:t>
      </w:r>
      <w:r w:rsidRPr="007652AC">
        <w:rPr>
          <w:rFonts w:cs="Courier New"/>
          <w:sz w:val="20"/>
          <w:szCs w:val="20"/>
          <w:lang w:val="es-ES"/>
        </w:rPr>
        <w:t>actible.</w:t>
      </w:r>
    </w:p>
    <w:p w:rsidR="007652AC" w:rsidRPr="007652AC" w:rsidRDefault="007652AC" w:rsidP="007652AC">
      <w:pPr>
        <w:pStyle w:val="ListParagraph"/>
        <w:rPr>
          <w:rFonts w:cs="Courier New"/>
          <w:sz w:val="20"/>
          <w:szCs w:val="20"/>
          <w:lang w:val="es-ES_tradnl"/>
        </w:rPr>
      </w:pPr>
    </w:p>
    <w:p w:rsidR="007652AC" w:rsidRPr="00DB7C7D" w:rsidRDefault="00DB7C7D" w:rsidP="00275F0F">
      <w:pPr>
        <w:pStyle w:val="ListParagraph"/>
        <w:numPr>
          <w:ilvl w:val="0"/>
          <w:numId w:val="58"/>
        </w:numPr>
        <w:ind w:left="0" w:firstLine="720"/>
        <w:jc w:val="both"/>
        <w:rPr>
          <w:rFonts w:asciiTheme="majorHAnsi" w:hAnsiTheme="majorHAnsi" w:cs="Courier New"/>
          <w:sz w:val="20"/>
          <w:szCs w:val="20"/>
          <w:lang w:val="es-ES_tradnl"/>
        </w:rPr>
      </w:pPr>
      <w:r w:rsidRPr="00DB7C7D">
        <w:rPr>
          <w:rFonts w:asciiTheme="majorHAnsi" w:hAnsiTheme="majorHAnsi" w:cs="Arial"/>
          <w:color w:val="222222"/>
          <w:sz w:val="20"/>
          <w:szCs w:val="20"/>
          <w:lang w:val="es-ES"/>
        </w:rPr>
        <w:t>El 27 de abril de 2018, los peticionarios presentaron una comunicación a la Comisión en la que se ref</w:t>
      </w:r>
      <w:r>
        <w:rPr>
          <w:rFonts w:asciiTheme="majorHAnsi" w:hAnsiTheme="majorHAnsi" w:cs="Arial"/>
          <w:color w:val="222222"/>
          <w:sz w:val="20"/>
          <w:szCs w:val="20"/>
          <w:lang w:val="es-ES"/>
        </w:rPr>
        <w:t xml:space="preserve">irieron </w:t>
      </w:r>
      <w:r w:rsidRPr="00DB7C7D">
        <w:rPr>
          <w:rFonts w:asciiTheme="majorHAnsi" w:hAnsiTheme="majorHAnsi" w:cs="Arial"/>
          <w:color w:val="222222"/>
          <w:sz w:val="20"/>
          <w:szCs w:val="20"/>
          <w:lang w:val="es-ES"/>
        </w:rPr>
        <w:t xml:space="preserve">al incumplimiento por parte de los Estados Unidos de sus obligaciones dentro del sistema interamericano y subrayaron </w:t>
      </w:r>
      <w:r>
        <w:rPr>
          <w:rFonts w:asciiTheme="majorHAnsi" w:hAnsiTheme="majorHAnsi" w:cs="Arial"/>
          <w:color w:val="222222"/>
          <w:sz w:val="20"/>
          <w:szCs w:val="20"/>
          <w:lang w:val="es-ES"/>
        </w:rPr>
        <w:t xml:space="preserve">que ello se refleja en la </w:t>
      </w:r>
      <w:r w:rsidRPr="00DB7C7D">
        <w:rPr>
          <w:rFonts w:asciiTheme="majorHAnsi" w:hAnsiTheme="majorHAnsi" w:cs="Arial"/>
          <w:color w:val="222222"/>
          <w:sz w:val="20"/>
          <w:szCs w:val="20"/>
          <w:lang w:val="es-ES"/>
        </w:rPr>
        <w:t>respuesta</w:t>
      </w:r>
      <w:r>
        <w:rPr>
          <w:rFonts w:asciiTheme="majorHAnsi" w:hAnsiTheme="majorHAnsi" w:cs="Arial"/>
          <w:color w:val="222222"/>
          <w:sz w:val="20"/>
          <w:szCs w:val="20"/>
          <w:lang w:val="es-ES"/>
        </w:rPr>
        <w:t xml:space="preserve"> dada</w:t>
      </w:r>
      <w:r w:rsidRPr="00DB7C7D">
        <w:rPr>
          <w:rFonts w:asciiTheme="majorHAnsi" w:hAnsiTheme="majorHAnsi" w:cs="Arial"/>
          <w:color w:val="222222"/>
          <w:sz w:val="20"/>
          <w:szCs w:val="20"/>
          <w:lang w:val="es-ES"/>
        </w:rPr>
        <w:t xml:space="preserve"> al informe de la Comisión y </w:t>
      </w:r>
      <w:r>
        <w:rPr>
          <w:rFonts w:asciiTheme="majorHAnsi" w:hAnsiTheme="majorHAnsi" w:cs="Arial"/>
          <w:color w:val="222222"/>
          <w:sz w:val="20"/>
          <w:szCs w:val="20"/>
          <w:lang w:val="es-ES"/>
        </w:rPr>
        <w:t>sus</w:t>
      </w:r>
      <w:r w:rsidRPr="00DB7C7D">
        <w:rPr>
          <w:rFonts w:asciiTheme="majorHAnsi" w:hAnsiTheme="majorHAnsi" w:cs="Arial"/>
          <w:color w:val="222222"/>
          <w:sz w:val="20"/>
          <w:szCs w:val="20"/>
          <w:lang w:val="es-ES"/>
        </w:rPr>
        <w:t xml:space="preserve"> recomendaciones. Señalaron que las acciones que el Estado de Panamá puede emprender para aclarar los </w:t>
      </w:r>
      <w:r>
        <w:rPr>
          <w:rFonts w:asciiTheme="majorHAnsi" w:hAnsiTheme="majorHAnsi" w:cs="Arial"/>
          <w:color w:val="222222"/>
          <w:sz w:val="20"/>
          <w:szCs w:val="20"/>
          <w:lang w:val="es-ES"/>
        </w:rPr>
        <w:t>hechos</w:t>
      </w:r>
      <w:r w:rsidRPr="00DB7C7D">
        <w:rPr>
          <w:rFonts w:asciiTheme="majorHAnsi" w:hAnsiTheme="majorHAnsi" w:cs="Arial"/>
          <w:color w:val="222222"/>
          <w:sz w:val="20"/>
          <w:szCs w:val="20"/>
          <w:lang w:val="es-ES"/>
        </w:rPr>
        <w:t xml:space="preserve"> de la invasión y </w:t>
      </w:r>
      <w:r>
        <w:rPr>
          <w:rFonts w:asciiTheme="majorHAnsi" w:hAnsiTheme="majorHAnsi" w:cs="Arial"/>
          <w:color w:val="222222"/>
          <w:sz w:val="20"/>
          <w:szCs w:val="20"/>
          <w:lang w:val="es-ES"/>
        </w:rPr>
        <w:t>sus</w:t>
      </w:r>
      <w:r w:rsidRPr="00DB7C7D">
        <w:rPr>
          <w:rFonts w:asciiTheme="majorHAnsi" w:hAnsiTheme="majorHAnsi" w:cs="Arial"/>
          <w:color w:val="222222"/>
          <w:sz w:val="20"/>
          <w:szCs w:val="20"/>
          <w:lang w:val="es-ES"/>
        </w:rPr>
        <w:t xml:space="preserve"> consecuencias son independientes del marco del presente caso que se refiere a la responsabilidad </w:t>
      </w:r>
      <w:r>
        <w:rPr>
          <w:rFonts w:asciiTheme="majorHAnsi" w:hAnsiTheme="majorHAnsi" w:cs="Arial"/>
          <w:color w:val="222222"/>
          <w:sz w:val="20"/>
          <w:szCs w:val="20"/>
          <w:lang w:val="es-ES"/>
        </w:rPr>
        <w:t xml:space="preserve">de Estados Unidos y su </w:t>
      </w:r>
      <w:r w:rsidRPr="00DB7C7D">
        <w:rPr>
          <w:rFonts w:asciiTheme="majorHAnsi" w:hAnsiTheme="majorHAnsi" w:cs="Arial"/>
          <w:color w:val="222222"/>
          <w:sz w:val="20"/>
          <w:szCs w:val="20"/>
          <w:lang w:val="es-ES"/>
        </w:rPr>
        <w:t xml:space="preserve"> deber de proporcionar reparación.</w:t>
      </w:r>
    </w:p>
    <w:p w:rsidR="00DB7C7D" w:rsidRPr="00DB7C7D" w:rsidRDefault="00DB7C7D" w:rsidP="00DB7C7D">
      <w:pPr>
        <w:pStyle w:val="ListParagraph"/>
        <w:rPr>
          <w:rFonts w:asciiTheme="majorHAnsi" w:hAnsiTheme="majorHAnsi" w:cs="Courier New"/>
          <w:sz w:val="20"/>
          <w:szCs w:val="20"/>
          <w:lang w:val="es-ES_tradnl"/>
        </w:rPr>
      </w:pPr>
    </w:p>
    <w:p w:rsidR="00DB7C7D" w:rsidRPr="00146FB9" w:rsidRDefault="00DB7C7D" w:rsidP="00DB7C7D">
      <w:pPr>
        <w:pStyle w:val="ListParagraph"/>
        <w:numPr>
          <w:ilvl w:val="0"/>
          <w:numId w:val="58"/>
        </w:numPr>
        <w:ind w:left="0" w:firstLine="720"/>
        <w:jc w:val="both"/>
        <w:rPr>
          <w:rFonts w:asciiTheme="majorHAnsi" w:hAnsiTheme="majorHAnsi" w:cs="Courier New"/>
          <w:sz w:val="20"/>
          <w:szCs w:val="20"/>
          <w:lang w:val="es-ES_tradnl"/>
        </w:rPr>
      </w:pPr>
      <w:r w:rsidRPr="00DB7C7D">
        <w:rPr>
          <w:rFonts w:asciiTheme="majorHAnsi" w:hAnsiTheme="majorHAnsi" w:cs="Arial"/>
          <w:color w:val="222222"/>
          <w:sz w:val="20"/>
          <w:szCs w:val="20"/>
          <w:lang w:val="es-ES"/>
        </w:rPr>
        <w:t>Los peticionarios también abordaron la importancia de las recomendaciones de la Comisión e indicaron varias formas en que los Estados Unidos podrían implementarlas. Por ejemplo, con respecto a proporcionar tratamiento médico y rehabilitación a las víctimas, notaron que hay varios hospitales en Panamá que están afiliados a hospitales en los Estados Unidos</w:t>
      </w:r>
      <w:r>
        <w:rPr>
          <w:rFonts w:asciiTheme="majorHAnsi" w:hAnsiTheme="majorHAnsi" w:cs="Arial"/>
          <w:color w:val="222222"/>
          <w:sz w:val="20"/>
          <w:szCs w:val="20"/>
          <w:lang w:val="es-ES"/>
        </w:rPr>
        <w:t>,</w:t>
      </w:r>
      <w:r w:rsidRPr="00DB7C7D">
        <w:rPr>
          <w:rFonts w:asciiTheme="majorHAnsi" w:hAnsiTheme="majorHAnsi" w:cs="Arial"/>
          <w:color w:val="222222"/>
          <w:sz w:val="20"/>
          <w:szCs w:val="20"/>
          <w:lang w:val="es-ES"/>
        </w:rPr>
        <w:t xml:space="preserve"> donde podrían recibir tratamiento. Indicaron su voluntad de proporcionar más información para facilitar el proceso de implementación de las recomendaciones a fin de que las víctimas puedan encontrar un sentido de satisfacción de su demanda de justicia.</w:t>
      </w:r>
    </w:p>
    <w:p w:rsidR="00146FB9" w:rsidRDefault="00146FB9" w:rsidP="00146FB9">
      <w:pPr>
        <w:pStyle w:val="ListParagraph"/>
        <w:rPr>
          <w:rFonts w:asciiTheme="majorHAnsi" w:hAnsiTheme="majorHAnsi" w:cs="Courier New"/>
          <w:sz w:val="20"/>
          <w:szCs w:val="20"/>
          <w:lang w:val="es-ES_tradnl"/>
        </w:rPr>
      </w:pPr>
    </w:p>
    <w:p w:rsidR="00146FB9" w:rsidRDefault="00146FB9" w:rsidP="00146FB9">
      <w:pPr>
        <w:pStyle w:val="ListParagraph"/>
        <w:rPr>
          <w:rFonts w:asciiTheme="majorHAnsi" w:hAnsiTheme="majorHAnsi" w:cs="Courier New"/>
          <w:sz w:val="20"/>
          <w:szCs w:val="20"/>
          <w:lang w:val="es-ES_tradnl"/>
        </w:rPr>
      </w:pPr>
    </w:p>
    <w:p w:rsidR="007519CC" w:rsidRDefault="007519CC" w:rsidP="00146FB9">
      <w:pPr>
        <w:pStyle w:val="ListParagraph"/>
        <w:rPr>
          <w:rFonts w:asciiTheme="majorHAnsi" w:hAnsiTheme="majorHAnsi" w:cs="Courier New"/>
          <w:sz w:val="20"/>
          <w:szCs w:val="20"/>
          <w:lang w:val="es-ES_tradnl"/>
        </w:rPr>
      </w:pPr>
    </w:p>
    <w:p w:rsidR="007519CC" w:rsidRDefault="007519CC" w:rsidP="00146FB9">
      <w:pPr>
        <w:pStyle w:val="ListParagraph"/>
        <w:rPr>
          <w:rFonts w:asciiTheme="majorHAnsi" w:hAnsiTheme="majorHAnsi" w:cs="Courier New"/>
          <w:sz w:val="20"/>
          <w:szCs w:val="20"/>
          <w:lang w:val="es-ES_tradnl"/>
        </w:rPr>
      </w:pPr>
    </w:p>
    <w:p w:rsidR="00146FB9" w:rsidRPr="001A6CA9" w:rsidRDefault="00146FB9" w:rsidP="00146FB9">
      <w:pPr>
        <w:pStyle w:val="Heading1"/>
        <w:spacing w:before="0"/>
        <w:ind w:firstLine="0"/>
        <w:jc w:val="both"/>
        <w:rPr>
          <w:rFonts w:ascii="Cambria" w:hAnsi="Cambria"/>
          <w:color w:val="auto"/>
          <w:sz w:val="20"/>
          <w:lang w:val="es-ES_tradnl"/>
        </w:rPr>
      </w:pPr>
      <w:bookmarkStart w:id="51" w:name="_Toc525294056"/>
      <w:r w:rsidRPr="001A6CA9">
        <w:rPr>
          <w:rFonts w:ascii="Cambria" w:hAnsi="Cambria"/>
          <w:color w:val="auto"/>
          <w:sz w:val="20"/>
          <w:lang w:val="es-VE"/>
        </w:rPr>
        <w:t>INFORME DE FONDO (FINAL) No. 70/18</w:t>
      </w:r>
      <w:bookmarkEnd w:id="51"/>
      <w:r w:rsidRPr="001A6CA9">
        <w:rPr>
          <w:rFonts w:ascii="Cambria" w:hAnsi="Cambria"/>
          <w:color w:val="auto"/>
          <w:sz w:val="20"/>
          <w:lang w:val="es-ES_tradnl"/>
        </w:rPr>
        <w:t xml:space="preserve"> </w:t>
      </w:r>
    </w:p>
    <w:p w:rsidR="00146FB9" w:rsidRPr="00146FB9" w:rsidRDefault="00146FB9" w:rsidP="00146FB9">
      <w:pPr>
        <w:pStyle w:val="ListParagraph"/>
        <w:rPr>
          <w:rFonts w:asciiTheme="majorHAnsi" w:hAnsiTheme="majorHAnsi" w:cs="Courier New"/>
          <w:sz w:val="20"/>
          <w:szCs w:val="20"/>
          <w:lang w:val="es-ES_tradnl"/>
        </w:rPr>
      </w:pPr>
    </w:p>
    <w:p w:rsidR="00146FB9" w:rsidRPr="007519CC" w:rsidRDefault="00146FB9" w:rsidP="00DB7C7D">
      <w:pPr>
        <w:pStyle w:val="ListParagraph"/>
        <w:numPr>
          <w:ilvl w:val="0"/>
          <w:numId w:val="58"/>
        </w:numPr>
        <w:ind w:left="0" w:firstLine="720"/>
        <w:jc w:val="both"/>
        <w:rPr>
          <w:rFonts w:asciiTheme="majorHAnsi" w:hAnsiTheme="majorHAnsi" w:cs="Courier New"/>
          <w:sz w:val="20"/>
          <w:szCs w:val="20"/>
          <w:lang w:val="es-ES_tradnl"/>
        </w:rPr>
      </w:pPr>
      <w:r w:rsidRPr="007519CC">
        <w:rPr>
          <w:rFonts w:asciiTheme="majorHAnsi" w:hAnsiTheme="majorHAnsi" w:cs="Arial"/>
          <w:color w:val="222222"/>
          <w:sz w:val="20"/>
          <w:szCs w:val="20"/>
          <w:lang w:val="es-ES"/>
        </w:rPr>
        <w:t>El 10 de mayo de 2018, la Comisión aprobó su Informe de Fondo (Final) No. 70/18 y lo remitió al Estado el 16 de agosto de 2018 solicitándole que informara sobre las medidas adoptadas para cumplir con las recomendaciones dentro de un mes. No se recibió respuesta del Estado.</w:t>
      </w:r>
    </w:p>
    <w:p w:rsidR="0030145E" w:rsidRPr="007519CC" w:rsidRDefault="0030145E" w:rsidP="0030145E">
      <w:pPr>
        <w:pStyle w:val="ListParagraph"/>
        <w:jc w:val="both"/>
        <w:rPr>
          <w:rFonts w:asciiTheme="majorHAnsi" w:hAnsiTheme="majorHAnsi" w:cs="Courier New"/>
          <w:sz w:val="20"/>
          <w:szCs w:val="20"/>
          <w:lang w:val="es-ES_tradnl"/>
        </w:rPr>
      </w:pPr>
    </w:p>
    <w:p w:rsidR="00146FB9" w:rsidRPr="007519CC" w:rsidRDefault="0030145E" w:rsidP="00DB7C7D">
      <w:pPr>
        <w:pStyle w:val="ListParagraph"/>
        <w:numPr>
          <w:ilvl w:val="0"/>
          <w:numId w:val="58"/>
        </w:numPr>
        <w:ind w:left="0" w:firstLine="720"/>
        <w:jc w:val="both"/>
        <w:rPr>
          <w:rFonts w:asciiTheme="majorHAnsi" w:hAnsiTheme="majorHAnsi" w:cs="Courier New"/>
          <w:sz w:val="20"/>
          <w:szCs w:val="20"/>
          <w:lang w:val="es-ES_tradnl"/>
        </w:rPr>
      </w:pPr>
      <w:r w:rsidRPr="007519CC">
        <w:rPr>
          <w:rFonts w:asciiTheme="majorHAnsi" w:hAnsiTheme="majorHAnsi" w:cs="Arial"/>
          <w:color w:val="222222"/>
          <w:sz w:val="20"/>
          <w:szCs w:val="20"/>
          <w:lang w:val="es-ES"/>
        </w:rPr>
        <w:t>El 23 de agosto de 2018, los peticionarios informaron</w:t>
      </w:r>
      <w:r w:rsidR="000E3CD4" w:rsidRPr="007519CC">
        <w:rPr>
          <w:rFonts w:asciiTheme="majorHAnsi" w:hAnsiTheme="majorHAnsi" w:cs="Arial"/>
          <w:color w:val="222222"/>
          <w:sz w:val="20"/>
          <w:szCs w:val="20"/>
          <w:lang w:val="es-ES"/>
        </w:rPr>
        <w:t xml:space="preserve"> acerca de dos profesionales expertos en </w:t>
      </w:r>
      <w:r w:rsidRPr="007519CC">
        <w:rPr>
          <w:rFonts w:asciiTheme="majorHAnsi" w:hAnsiTheme="majorHAnsi" w:cs="Arial"/>
          <w:color w:val="222222"/>
          <w:sz w:val="20"/>
          <w:szCs w:val="20"/>
          <w:lang w:val="es-ES"/>
        </w:rPr>
        <w:t xml:space="preserve">salud mental </w:t>
      </w:r>
      <w:r w:rsidR="000E3CD4" w:rsidRPr="007519CC">
        <w:rPr>
          <w:rFonts w:asciiTheme="majorHAnsi" w:hAnsiTheme="majorHAnsi" w:cs="Arial"/>
          <w:color w:val="222222"/>
          <w:sz w:val="20"/>
          <w:szCs w:val="20"/>
          <w:lang w:val="es-ES"/>
        </w:rPr>
        <w:t xml:space="preserve">que podrían </w:t>
      </w:r>
      <w:r w:rsidRPr="007519CC">
        <w:rPr>
          <w:rFonts w:asciiTheme="majorHAnsi" w:hAnsiTheme="majorHAnsi" w:cs="Arial"/>
          <w:color w:val="222222"/>
          <w:sz w:val="20"/>
          <w:szCs w:val="20"/>
          <w:lang w:val="es-ES"/>
        </w:rPr>
        <w:t>ayudar a establecer un centro postraumático o c</w:t>
      </w:r>
      <w:r w:rsidR="000E3CD4" w:rsidRPr="007519CC">
        <w:rPr>
          <w:rFonts w:asciiTheme="majorHAnsi" w:hAnsiTheme="majorHAnsi" w:cs="Arial"/>
          <w:color w:val="222222"/>
          <w:sz w:val="20"/>
          <w:szCs w:val="20"/>
          <w:lang w:val="es-ES"/>
        </w:rPr>
        <w:t>ualquier otro programa en beneficio</w:t>
      </w:r>
      <w:r w:rsidRPr="007519CC">
        <w:rPr>
          <w:rFonts w:asciiTheme="majorHAnsi" w:hAnsiTheme="majorHAnsi" w:cs="Arial"/>
          <w:color w:val="222222"/>
          <w:sz w:val="20"/>
          <w:szCs w:val="20"/>
          <w:lang w:val="es-ES"/>
        </w:rPr>
        <w:t xml:space="preserve"> de las víctimas. También informaron que recopilarían documentos adicionales disponibles en Panamá y los EE. UU. </w:t>
      </w:r>
      <w:r w:rsidR="000E3CD4" w:rsidRPr="007519CC">
        <w:rPr>
          <w:rFonts w:asciiTheme="majorHAnsi" w:hAnsiTheme="majorHAnsi" w:cs="Arial"/>
          <w:color w:val="222222"/>
          <w:sz w:val="20"/>
          <w:szCs w:val="20"/>
          <w:lang w:val="es-ES"/>
        </w:rPr>
        <w:t>p</w:t>
      </w:r>
      <w:r w:rsidRPr="007519CC">
        <w:rPr>
          <w:rFonts w:asciiTheme="majorHAnsi" w:hAnsiTheme="majorHAnsi" w:cs="Arial"/>
          <w:color w:val="222222"/>
          <w:sz w:val="20"/>
          <w:szCs w:val="20"/>
          <w:lang w:val="es-ES"/>
        </w:rPr>
        <w:t>ra ayudar en la tarea de encontrar la verdad y la responsabilidad que las víctimas necesitan para complementar las reparaciones financieras y de otro tipo. Finalmente, los peticionarios solicitaron a la Comisión que corrija el nombre de una de las víctimas, Elizabeth Ramos, que es Rudas y no Rueda, como se establece en el Anexo 1-Lista de Víctimas, del Informe de Fondo. La Comisión procedió según lo solicitado.</w:t>
      </w:r>
    </w:p>
    <w:p w:rsidR="00275F0F" w:rsidRPr="00DB7C7D" w:rsidRDefault="00275F0F" w:rsidP="00275F0F">
      <w:pPr>
        <w:rPr>
          <w:rFonts w:asciiTheme="majorHAnsi" w:hAnsiTheme="majorHAnsi"/>
          <w:sz w:val="20"/>
          <w:szCs w:val="20"/>
          <w:lang w:val="es-ES_tradnl"/>
        </w:rPr>
      </w:pPr>
    </w:p>
    <w:p w:rsidR="00B053C8" w:rsidRPr="007519CC" w:rsidRDefault="00B053C8" w:rsidP="00E073CB">
      <w:pPr>
        <w:pStyle w:val="Heading1"/>
        <w:spacing w:before="0"/>
        <w:ind w:firstLine="0"/>
        <w:jc w:val="both"/>
        <w:rPr>
          <w:rFonts w:ascii="Cambria" w:hAnsi="Cambria"/>
          <w:color w:val="auto"/>
          <w:sz w:val="20"/>
          <w:lang w:val="es-ES_tradnl"/>
        </w:rPr>
      </w:pPr>
      <w:bookmarkStart w:id="52" w:name="_Toc525294057"/>
      <w:r w:rsidRPr="007519CC">
        <w:rPr>
          <w:rFonts w:ascii="Cambria" w:hAnsi="Cambria"/>
          <w:color w:val="auto"/>
          <w:sz w:val="20"/>
          <w:lang w:val="es-VE"/>
        </w:rPr>
        <w:t>CONCLUSIONES</w:t>
      </w:r>
      <w:r w:rsidRPr="007519CC">
        <w:rPr>
          <w:rFonts w:ascii="Cambria" w:hAnsi="Cambria"/>
          <w:color w:val="auto"/>
          <w:sz w:val="20"/>
          <w:lang w:val="es-ES_tradnl"/>
        </w:rPr>
        <w:t xml:space="preserve"> Y RECOMENDACIONES</w:t>
      </w:r>
      <w:bookmarkEnd w:id="52"/>
      <w:r w:rsidRPr="007519CC">
        <w:rPr>
          <w:rFonts w:ascii="Cambria" w:hAnsi="Cambria"/>
          <w:color w:val="auto"/>
          <w:sz w:val="20"/>
          <w:lang w:val="es-ES_tradnl"/>
        </w:rPr>
        <w:t xml:space="preserve"> </w:t>
      </w:r>
    </w:p>
    <w:p w:rsidR="00B053C8" w:rsidRPr="007519CC" w:rsidRDefault="00B053C8" w:rsidP="00B053C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lang w:val="es-ES_tradnl"/>
        </w:rPr>
      </w:pPr>
    </w:p>
    <w:p w:rsidR="003F2ADB" w:rsidRPr="007519CC" w:rsidRDefault="005F0CCE"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ES_tradnl"/>
        </w:rPr>
      </w:pPr>
      <w:r w:rsidRPr="007519CC">
        <w:rPr>
          <w:color w:val="auto"/>
          <w:sz w:val="20"/>
          <w:szCs w:val="20"/>
          <w:lang w:val="es-ES"/>
        </w:rPr>
        <w:t>De la información disponible a la fecha de aprobación del presente informe, la Comisión observa que Estados Unidos no ha cumplido con las recomendaciones establecidas en el informe de fondo.</w:t>
      </w:r>
    </w:p>
    <w:p w:rsidR="005F0CCE" w:rsidRPr="000E3CD4" w:rsidRDefault="005F0CCE" w:rsidP="005F0CCE">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lang w:val="es-ES_tradnl"/>
        </w:rPr>
      </w:pPr>
    </w:p>
    <w:p w:rsidR="00B053C8" w:rsidRPr="000E3CD4" w:rsidRDefault="00B053C8" w:rsidP="0036060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ES_tradnl"/>
        </w:rPr>
      </w:pPr>
      <w:r w:rsidRPr="000E3CD4">
        <w:rPr>
          <w:color w:val="auto"/>
          <w:sz w:val="20"/>
          <w:szCs w:val="20"/>
          <w:lang w:val="es-VE"/>
        </w:rPr>
        <w:t>Con base en las determinaciones de hecho y de derecho, la Comisión Interamericana concluyó que el Estado es responsable por la violación de los artículos I (derecho a la vida, a la libertad, a la seguridad e integridad de la persona), VII (derecho de protección a la infancia), XXIII (derecho a la propiedad) y XVIII (derecho de justicia) de la Declaración Americana de los Derechos y Deberes del Hombre, en perjuicio de las personas que se individualizan en los Anexos del presente informe de fondo respecto de cada una de las violaciones respectivas.</w:t>
      </w:r>
    </w:p>
    <w:p w:rsidR="005F0CCE" w:rsidRPr="000E3CD4" w:rsidRDefault="005F0CCE" w:rsidP="000E3CD4">
      <w:pPr>
        <w:pStyle w:val="Heading1"/>
        <w:numPr>
          <w:ilvl w:val="0"/>
          <w:numId w:val="0"/>
        </w:numPr>
        <w:spacing w:before="0"/>
        <w:ind w:left="720"/>
        <w:jc w:val="both"/>
        <w:rPr>
          <w:color w:val="auto"/>
          <w:sz w:val="20"/>
          <w:szCs w:val="20"/>
          <w:lang w:val="es-ES_tradnl"/>
        </w:rPr>
      </w:pPr>
    </w:p>
    <w:p w:rsidR="005F0CCE" w:rsidRPr="000E3CD4" w:rsidRDefault="005F0CCE" w:rsidP="005F0CCE">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lang w:val="es-ES_tradnl"/>
        </w:rPr>
      </w:pPr>
      <w:r w:rsidRPr="000E3CD4">
        <w:rPr>
          <w:color w:val="auto"/>
          <w:sz w:val="20"/>
          <w:szCs w:val="20"/>
          <w:lang w:val="es-ES_tradnl"/>
        </w:rPr>
        <w:t xml:space="preserve">Consecuentemente, </w:t>
      </w:r>
    </w:p>
    <w:p w:rsidR="00B053C8" w:rsidRPr="000E3CD4" w:rsidRDefault="00B053C8" w:rsidP="00B053C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lang w:val="es-ES_tradnl"/>
        </w:rPr>
      </w:pPr>
    </w:p>
    <w:p w:rsidR="00B053C8" w:rsidRPr="00AA6F56" w:rsidRDefault="00B053C8" w:rsidP="00B053C8">
      <w:pPr>
        <w:ind w:firstLine="720"/>
        <w:jc w:val="both"/>
        <w:rPr>
          <w:rFonts w:ascii="Cambria" w:hAnsi="Cambria"/>
          <w:b/>
          <w:sz w:val="20"/>
          <w:szCs w:val="20"/>
          <w:lang w:val="es-ES_tradnl"/>
        </w:rPr>
      </w:pPr>
      <w:r w:rsidRPr="000E3CD4">
        <w:rPr>
          <w:rFonts w:ascii="Cambria" w:hAnsi="Cambria"/>
          <w:b/>
          <w:sz w:val="20"/>
          <w:szCs w:val="20"/>
          <w:lang w:val="es-ES_tradnl"/>
        </w:rPr>
        <w:tab/>
        <w:t>LA COMISIÓN INTERAMERICANA DE DERECHOS HUMANOS, RE</w:t>
      </w:r>
      <w:r w:rsidR="005F0CCE" w:rsidRPr="000E3CD4">
        <w:rPr>
          <w:rFonts w:ascii="Cambria" w:hAnsi="Cambria"/>
          <w:b/>
          <w:sz w:val="20"/>
          <w:szCs w:val="20"/>
          <w:lang w:val="es-ES_tradnl"/>
        </w:rPr>
        <w:t>ITERA</w:t>
      </w:r>
      <w:r w:rsidRPr="000E3CD4">
        <w:rPr>
          <w:rFonts w:ascii="Cambria" w:hAnsi="Cambria"/>
          <w:b/>
          <w:sz w:val="20"/>
          <w:szCs w:val="20"/>
          <w:lang w:val="es-ES_tradnl"/>
        </w:rPr>
        <w:t xml:space="preserve"> A LOS ESTADOS UNIDOS</w:t>
      </w:r>
      <w:r w:rsidR="005F0CCE" w:rsidRPr="000E3CD4">
        <w:rPr>
          <w:rFonts w:ascii="Cambria" w:hAnsi="Cambria"/>
          <w:b/>
          <w:sz w:val="20"/>
          <w:szCs w:val="20"/>
          <w:lang w:val="es-ES_tradnl"/>
        </w:rPr>
        <w:t xml:space="preserve"> DE AMÉRICA, LAS SIGUIENTES RECOMENDACIONES:</w:t>
      </w:r>
    </w:p>
    <w:p w:rsidR="00B053C8" w:rsidRPr="00AA6F56" w:rsidRDefault="00B053C8" w:rsidP="00B053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color w:val="auto"/>
          <w:sz w:val="20"/>
          <w:szCs w:val="20"/>
          <w:bdr w:val="none" w:sz="0" w:space="0" w:color="auto"/>
          <w:lang w:val="es-ES"/>
        </w:rPr>
      </w:pPr>
    </w:p>
    <w:p w:rsidR="00B053C8" w:rsidRPr="00AA6F56" w:rsidRDefault="00B053C8" w:rsidP="005F0CCE">
      <w:pPr>
        <w:pStyle w:val="ListParagraph"/>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color w:val="auto"/>
          <w:sz w:val="20"/>
          <w:szCs w:val="20"/>
          <w:bdr w:val="none" w:sz="0" w:space="0" w:color="auto"/>
          <w:lang w:val="es-ES"/>
        </w:rPr>
      </w:pPr>
      <w:r w:rsidRPr="00AA6F56">
        <w:rPr>
          <w:rFonts w:eastAsia="Times New Roman" w:cs="Tahoma"/>
          <w:color w:val="auto"/>
          <w:sz w:val="20"/>
          <w:szCs w:val="20"/>
          <w:bdr w:val="none" w:sz="0" w:space="0" w:color="auto"/>
          <w:lang w:val="es-ES"/>
        </w:rPr>
        <w:t xml:space="preserve">Reparar integralmente las violaciones de derechos humanos </w:t>
      </w:r>
      <w:r w:rsidR="00087B03">
        <w:rPr>
          <w:rFonts w:eastAsia="Times New Roman" w:cs="Tahoma"/>
          <w:color w:val="auto"/>
          <w:sz w:val="20"/>
          <w:szCs w:val="20"/>
          <w:bdr w:val="none" w:sz="0" w:space="0" w:color="auto"/>
          <w:lang w:val="es-ES"/>
        </w:rPr>
        <w:t xml:space="preserve">establecidas </w:t>
      </w:r>
      <w:r w:rsidRPr="00AA6F56">
        <w:rPr>
          <w:rFonts w:eastAsia="Times New Roman" w:cs="Tahoma"/>
          <w:color w:val="auto"/>
          <w:sz w:val="20"/>
          <w:szCs w:val="20"/>
          <w:bdr w:val="none" w:sz="0" w:space="0" w:color="auto"/>
          <w:lang w:val="es-ES"/>
        </w:rPr>
        <w:t xml:space="preserve">en el presente informe tanto en el aspecto material como inmaterial. El Estado deberá adoptar las medidas de compensación económica y satisfacción. </w:t>
      </w:r>
    </w:p>
    <w:p w:rsidR="00B053C8" w:rsidRDefault="00B053C8" w:rsidP="00B053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lang w:val="es-ES"/>
        </w:rPr>
      </w:pPr>
    </w:p>
    <w:p w:rsidR="00B053C8" w:rsidRDefault="00B053C8" w:rsidP="00B053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lang w:val="es-ES"/>
        </w:rPr>
      </w:pPr>
      <w:r>
        <w:rPr>
          <w:rFonts w:eastAsia="Times New Roman" w:cs="Tahoma"/>
          <w:sz w:val="20"/>
          <w:szCs w:val="20"/>
          <w:bdr w:val="none" w:sz="0" w:space="0" w:color="auto"/>
          <w:lang w:val="es-ES"/>
        </w:rPr>
        <w:lastRenderedPageBreak/>
        <w:t>La Comisión considera que a efectos de cumplir con esta recomendación el Estado debe crear, a la bre</w:t>
      </w:r>
      <w:r w:rsidR="00087B03">
        <w:rPr>
          <w:rFonts w:eastAsia="Times New Roman" w:cs="Tahoma"/>
          <w:sz w:val="20"/>
          <w:szCs w:val="20"/>
          <w:bdr w:val="none" w:sz="0" w:space="0" w:color="auto"/>
          <w:lang w:val="es-ES"/>
        </w:rPr>
        <w:t xml:space="preserve">vedad, un mecanismo especial, </w:t>
      </w:r>
      <w:r w:rsidR="005005B0">
        <w:rPr>
          <w:rFonts w:eastAsia="Times New Roman" w:cs="Tahoma"/>
          <w:sz w:val="20"/>
          <w:szCs w:val="20"/>
          <w:bdr w:val="none" w:sz="0" w:space="0" w:color="auto"/>
          <w:lang w:val="es-ES"/>
        </w:rPr>
        <w:t xml:space="preserve">por </w:t>
      </w:r>
      <w:r w:rsidR="00087B03">
        <w:rPr>
          <w:rFonts w:eastAsia="Times New Roman" w:cs="Tahoma"/>
          <w:sz w:val="20"/>
          <w:szCs w:val="20"/>
          <w:bdr w:val="none" w:sz="0" w:space="0" w:color="auto"/>
          <w:lang w:val="es-ES"/>
        </w:rPr>
        <w:t xml:space="preserve">iniciativa </w:t>
      </w:r>
      <w:r w:rsidR="005005B0">
        <w:rPr>
          <w:rFonts w:eastAsia="Times New Roman" w:cs="Tahoma"/>
          <w:sz w:val="20"/>
          <w:szCs w:val="20"/>
          <w:bdr w:val="none" w:sz="0" w:space="0" w:color="auto"/>
          <w:lang w:val="es-ES"/>
        </w:rPr>
        <w:t xml:space="preserve">propia </w:t>
      </w:r>
      <w:r>
        <w:rPr>
          <w:rFonts w:eastAsia="Times New Roman" w:cs="Tahoma"/>
          <w:sz w:val="20"/>
          <w:szCs w:val="20"/>
          <w:bdr w:val="none" w:sz="0" w:space="0" w:color="auto"/>
          <w:lang w:val="es-ES"/>
        </w:rPr>
        <w:t>e independient</w:t>
      </w:r>
      <w:r w:rsidR="005005B0">
        <w:rPr>
          <w:rFonts w:eastAsia="Times New Roman" w:cs="Tahoma"/>
          <w:sz w:val="20"/>
          <w:szCs w:val="20"/>
          <w:bdr w:val="none" w:sz="0" w:space="0" w:color="auto"/>
          <w:lang w:val="es-ES"/>
        </w:rPr>
        <w:t>e de las iniciativas que pudiese tomar</w:t>
      </w:r>
      <w:r>
        <w:rPr>
          <w:rFonts w:eastAsia="Times New Roman" w:cs="Tahoma"/>
          <w:sz w:val="20"/>
          <w:szCs w:val="20"/>
          <w:bdr w:val="none" w:sz="0" w:space="0" w:color="auto"/>
          <w:lang w:val="es-ES"/>
        </w:rPr>
        <w:t xml:space="preserve"> el Estado panameño, a fin de que se materialicen las reparaciones aplicables a cada grupo de víctimas, considerando la naturaleza de las violaciones declaradas. Tomando en cuenta que las víctimas no se encuentran</w:t>
      </w:r>
      <w:r w:rsidR="005005B0">
        <w:rPr>
          <w:rFonts w:eastAsia="Times New Roman" w:cs="Tahoma"/>
          <w:sz w:val="20"/>
          <w:szCs w:val="20"/>
          <w:bdr w:val="none" w:sz="0" w:space="0" w:color="auto"/>
          <w:lang w:val="es-ES"/>
        </w:rPr>
        <w:t xml:space="preserve"> en </w:t>
      </w:r>
      <w:r>
        <w:rPr>
          <w:rFonts w:eastAsia="Times New Roman" w:cs="Tahoma"/>
          <w:sz w:val="20"/>
          <w:szCs w:val="20"/>
          <w:bdr w:val="none" w:sz="0" w:space="0" w:color="auto"/>
          <w:lang w:val="es-ES"/>
        </w:rPr>
        <w:t xml:space="preserve">la jurisdicción </w:t>
      </w:r>
      <w:r w:rsidR="005005B0">
        <w:rPr>
          <w:rFonts w:eastAsia="Times New Roman" w:cs="Tahoma"/>
          <w:sz w:val="20"/>
          <w:szCs w:val="20"/>
          <w:bdr w:val="none" w:sz="0" w:space="0" w:color="auto"/>
          <w:lang w:val="es-ES"/>
        </w:rPr>
        <w:t xml:space="preserve">territorial </w:t>
      </w:r>
      <w:r>
        <w:rPr>
          <w:rFonts w:eastAsia="Times New Roman" w:cs="Tahoma"/>
          <w:sz w:val="20"/>
          <w:szCs w:val="20"/>
          <w:bdr w:val="none" w:sz="0" w:space="0" w:color="auto"/>
          <w:lang w:val="es-ES"/>
        </w:rPr>
        <w:t>de los Estados Unidos, la Comisión insta a este Estado a desplegar todos los esfuerzos diplomáticos o de otra índole que sean necesarios para la debida implementación de esta recomendación. Asimismo, respecto de las víctimas fallecidas, las reparaciones deberán ser reconocidas a sus familiares o herederos según sea el caso.</w:t>
      </w:r>
    </w:p>
    <w:p w:rsidR="00B053C8" w:rsidRPr="005F309E" w:rsidRDefault="00B053C8" w:rsidP="00B053C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Pr>
          <w:rFonts w:eastAsia="Times New Roman" w:cs="Tahoma"/>
          <w:sz w:val="20"/>
          <w:szCs w:val="20"/>
          <w:bdr w:val="none" w:sz="0" w:space="0" w:color="auto"/>
          <w:lang w:val="es-ES"/>
        </w:rPr>
        <w:t xml:space="preserve">  </w:t>
      </w:r>
    </w:p>
    <w:p w:rsidR="00B053C8" w:rsidRPr="0043359C" w:rsidRDefault="00B053C8" w:rsidP="005F0CCE">
      <w:pPr>
        <w:pStyle w:val="ListParagraph"/>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14"/>
          <w:szCs w:val="14"/>
          <w:bdr w:val="none" w:sz="0" w:space="0" w:color="auto"/>
          <w:lang w:val="es-ES"/>
        </w:rPr>
      </w:pPr>
      <w:r>
        <w:rPr>
          <w:rFonts w:eastAsia="Times New Roman" w:cs="Tahoma"/>
          <w:sz w:val="20"/>
          <w:szCs w:val="20"/>
          <w:bdr w:val="none" w:sz="0" w:space="0" w:color="auto"/>
          <w:lang w:val="es-ES"/>
        </w:rPr>
        <w:t xml:space="preserve">Disponer las medidas de atención en salud física y mental necesarias para la rehabilitación de las víctimas que así lo requieran, de ser su voluntad. Tomando en cuenta que las víctimas no se encuentran bajo la jurisdicción </w:t>
      </w:r>
      <w:r w:rsidR="005005B0">
        <w:rPr>
          <w:rFonts w:eastAsia="Times New Roman" w:cs="Tahoma"/>
          <w:sz w:val="20"/>
          <w:szCs w:val="20"/>
          <w:bdr w:val="none" w:sz="0" w:space="0" w:color="auto"/>
          <w:lang w:val="es-ES"/>
        </w:rPr>
        <w:t xml:space="preserve">territorial </w:t>
      </w:r>
      <w:r>
        <w:rPr>
          <w:rFonts w:eastAsia="Times New Roman" w:cs="Tahoma"/>
          <w:sz w:val="20"/>
          <w:szCs w:val="20"/>
          <w:bdr w:val="none" w:sz="0" w:space="0" w:color="auto"/>
          <w:lang w:val="es-ES"/>
        </w:rPr>
        <w:t>de los Estados Unidos,</w:t>
      </w:r>
      <w:r w:rsidRPr="0043359C">
        <w:rPr>
          <w:rFonts w:eastAsia="Times New Roman" w:cs="Tahoma"/>
          <w:sz w:val="20"/>
          <w:szCs w:val="20"/>
          <w:lang w:val="es-ES"/>
        </w:rPr>
        <w:t xml:space="preserve"> corresponde pagarles un monto específico para cubrir los servicios médicos que deban sufragar en</w:t>
      </w:r>
      <w:r>
        <w:rPr>
          <w:rFonts w:eastAsia="Times New Roman" w:cs="Tahoma"/>
          <w:sz w:val="20"/>
          <w:szCs w:val="20"/>
          <w:lang w:val="es-ES"/>
        </w:rPr>
        <w:t xml:space="preserve"> el país donde se encuentran</w:t>
      </w:r>
      <w:r w:rsidRPr="0043359C">
        <w:rPr>
          <w:rFonts w:eastAsia="Times New Roman" w:cs="Tahoma"/>
          <w:sz w:val="20"/>
          <w:szCs w:val="20"/>
          <w:lang w:val="es-ES"/>
        </w:rPr>
        <w:t>.</w:t>
      </w:r>
    </w:p>
    <w:p w:rsidR="00B053C8" w:rsidRPr="0033028D" w:rsidRDefault="00B053C8" w:rsidP="00B053C8">
      <w:pPr>
        <w:pStyle w:val="ListParagraph"/>
        <w:rPr>
          <w:sz w:val="20"/>
          <w:szCs w:val="20"/>
          <w:lang w:val="es-ES"/>
        </w:rPr>
      </w:pPr>
    </w:p>
    <w:p w:rsidR="00B053C8" w:rsidRPr="005F0CCE" w:rsidRDefault="0069680C" w:rsidP="005F0CCE">
      <w:pPr>
        <w:pStyle w:val="ListParagraph"/>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14"/>
          <w:szCs w:val="14"/>
          <w:bdr w:val="none" w:sz="0" w:space="0" w:color="auto"/>
          <w:lang w:val="es-ES"/>
        </w:rPr>
      </w:pPr>
      <w:r>
        <w:rPr>
          <w:rFonts w:eastAsia="Times New Roman" w:cs="Tahoma"/>
          <w:color w:val="auto"/>
          <w:sz w:val="20"/>
          <w:szCs w:val="20"/>
          <w:bdr w:val="none" w:sz="0" w:space="0" w:color="auto"/>
          <w:lang w:val="es-AR"/>
        </w:rPr>
        <w:t>Realizar</w:t>
      </w:r>
      <w:r w:rsidR="00B053C8" w:rsidRPr="006A14AC">
        <w:rPr>
          <w:rFonts w:eastAsia="Times New Roman" w:cs="Tahoma"/>
          <w:color w:val="auto"/>
          <w:sz w:val="20"/>
          <w:szCs w:val="20"/>
          <w:bdr w:val="none" w:sz="0" w:space="0" w:color="auto"/>
          <w:lang w:val="es-AR"/>
        </w:rPr>
        <w:t xml:space="preserve"> una </w:t>
      </w:r>
      <w:r w:rsidR="00B053C8" w:rsidRPr="0033028D">
        <w:rPr>
          <w:rFonts w:eastAsia="Times New Roman" w:cs="Tahoma"/>
          <w:sz w:val="20"/>
          <w:szCs w:val="20"/>
          <w:bdr w:val="none" w:sz="0" w:space="0" w:color="auto"/>
          <w:lang w:val="es-AR"/>
        </w:rPr>
        <w:t xml:space="preserve">investigación de manera diligente, efectiva y dentro de un plazo razonable con el objeto de esclarecer </w:t>
      </w:r>
      <w:r w:rsidR="005005B0">
        <w:rPr>
          <w:rFonts w:eastAsia="Times New Roman" w:cs="Tahoma"/>
          <w:sz w:val="20"/>
          <w:szCs w:val="20"/>
          <w:bdr w:val="none" w:sz="0" w:space="0" w:color="auto"/>
          <w:lang w:val="es-AR"/>
        </w:rPr>
        <w:t xml:space="preserve">plenamente </w:t>
      </w:r>
      <w:r w:rsidR="00B053C8" w:rsidRPr="0033028D">
        <w:rPr>
          <w:rFonts w:eastAsia="Times New Roman" w:cs="Tahoma"/>
          <w:sz w:val="20"/>
          <w:szCs w:val="20"/>
          <w:bdr w:val="none" w:sz="0" w:space="0" w:color="auto"/>
          <w:lang w:val="es-AR"/>
        </w:rPr>
        <w:t xml:space="preserve">los hechos en forma completa, identificar todas las posibles responsabilidades e imponer </w:t>
      </w:r>
      <w:r w:rsidR="005005B0" w:rsidRPr="005005B0">
        <w:rPr>
          <w:rFonts w:eastAsia="Times New Roman" w:cs="Tahoma"/>
          <w:sz w:val="20"/>
          <w:szCs w:val="20"/>
          <w:bdr w:val="none" w:sz="0" w:space="0" w:color="auto"/>
          <w:lang w:val="es-AR"/>
        </w:rPr>
        <w:t xml:space="preserve">las formas correspondientes de </w:t>
      </w:r>
      <w:r w:rsidR="005005B0">
        <w:rPr>
          <w:rFonts w:eastAsia="Times New Roman" w:cs="Tahoma"/>
          <w:sz w:val="20"/>
          <w:szCs w:val="20"/>
          <w:bdr w:val="none" w:sz="0" w:space="0" w:color="auto"/>
          <w:lang w:val="es-AR"/>
        </w:rPr>
        <w:t xml:space="preserve">sanción </w:t>
      </w:r>
      <w:r w:rsidR="00B053C8" w:rsidRPr="0033028D">
        <w:rPr>
          <w:rFonts w:eastAsia="Times New Roman" w:cs="Tahoma"/>
          <w:sz w:val="20"/>
          <w:szCs w:val="20"/>
          <w:bdr w:val="none" w:sz="0" w:space="0" w:color="auto"/>
          <w:lang w:val="es-AR"/>
        </w:rPr>
        <w:t xml:space="preserve">respecto de las violaciones de derechos humanos declaradas en el presente informe. </w:t>
      </w:r>
    </w:p>
    <w:p w:rsidR="005F0CCE" w:rsidRPr="005F0CCE" w:rsidRDefault="005F0CCE" w:rsidP="005F0CCE">
      <w:pPr>
        <w:pStyle w:val="ListParagraph"/>
        <w:rPr>
          <w:rFonts w:eastAsia="Times New Roman"/>
          <w:sz w:val="14"/>
          <w:szCs w:val="14"/>
          <w:bdr w:val="none" w:sz="0" w:space="0" w:color="auto"/>
          <w:lang w:val="es-ES"/>
        </w:rPr>
      </w:pPr>
    </w:p>
    <w:p w:rsidR="005F0CCE" w:rsidRPr="0033028D" w:rsidRDefault="005F0CCE" w:rsidP="005F0CC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sz w:val="14"/>
          <w:szCs w:val="14"/>
          <w:bdr w:val="none" w:sz="0" w:space="0" w:color="auto"/>
          <w:lang w:val="es-ES"/>
        </w:rPr>
      </w:pPr>
    </w:p>
    <w:p w:rsidR="005F0CCE" w:rsidRPr="005177AF" w:rsidRDefault="000E3CD4" w:rsidP="00E073CB">
      <w:pPr>
        <w:pStyle w:val="Heading1"/>
        <w:spacing w:before="0"/>
        <w:ind w:firstLine="0"/>
        <w:jc w:val="both"/>
        <w:rPr>
          <w:rFonts w:ascii="Cambria" w:hAnsi="Cambria"/>
          <w:color w:val="auto"/>
          <w:sz w:val="20"/>
          <w:lang w:val="es-ES_tradnl"/>
        </w:rPr>
      </w:pPr>
      <w:bookmarkStart w:id="53" w:name="_Toc525294058"/>
      <w:bookmarkEnd w:id="40"/>
      <w:r w:rsidRPr="005177AF">
        <w:rPr>
          <w:rFonts w:ascii="Cambria" w:hAnsi="Cambria"/>
          <w:color w:val="auto"/>
          <w:sz w:val="20"/>
          <w:lang w:val="es-VE"/>
        </w:rPr>
        <w:t>PUBLICACIÓN</w:t>
      </w:r>
      <w:bookmarkEnd w:id="53"/>
      <w:r w:rsidR="005F0CCE" w:rsidRPr="005177AF">
        <w:rPr>
          <w:rFonts w:ascii="Cambria" w:hAnsi="Cambria"/>
          <w:color w:val="auto"/>
          <w:sz w:val="20"/>
          <w:lang w:val="es-VE"/>
        </w:rPr>
        <w:t xml:space="preserve"> </w:t>
      </w:r>
    </w:p>
    <w:p w:rsidR="005F0CCE" w:rsidRPr="005177AF" w:rsidRDefault="005F0CCE" w:rsidP="005F0CCE">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lang w:val="es-ES_tradnl"/>
        </w:rPr>
      </w:pPr>
    </w:p>
    <w:p w:rsidR="000E3CD4" w:rsidRPr="005177AF" w:rsidRDefault="000E3CD4" w:rsidP="000E3CD4">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ES_tradnl"/>
        </w:rPr>
      </w:pPr>
      <w:r w:rsidRPr="005177AF">
        <w:rPr>
          <w:color w:val="auto"/>
          <w:sz w:val="20"/>
          <w:szCs w:val="20"/>
          <w:lang w:val="es-ES_tradnl"/>
        </w:rPr>
        <w:t>En virtud de las anteriores consideraciones y de conformidad con el artículo 47.3 de su Reglamento, la Comisión decide hacer público este informe e incluirlo en su Informe Anual a la Asamblea General de la OEA. La Comisión, en cumplimiento de su mandato, continuará evaluando el cumplimiento con las recomendaciones reiteradas en este informe hasta que las mismas sean implementadas en forma total.</w:t>
      </w:r>
    </w:p>
    <w:p w:rsidR="005177AF" w:rsidRPr="005177AF" w:rsidRDefault="005177AF" w:rsidP="005177AF">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highlight w:val="yellow"/>
          <w:lang w:val="es-ES_tradnl"/>
        </w:rPr>
      </w:pPr>
    </w:p>
    <w:p w:rsidR="000E3CD4" w:rsidRPr="009F09B7" w:rsidRDefault="009F09B7" w:rsidP="009F09B7">
      <w:pPr>
        <w:suppressAutoHyphens/>
        <w:ind w:firstLine="720"/>
        <w:jc w:val="both"/>
        <w:rPr>
          <w:sz w:val="20"/>
          <w:szCs w:val="20"/>
          <w:highlight w:val="yellow"/>
          <w:lang w:val="es-ES"/>
        </w:rPr>
      </w:pPr>
      <w:r w:rsidRPr="00705C83">
        <w:rPr>
          <w:rFonts w:ascii="Cambria" w:hAnsi="Cambria"/>
          <w:spacing w:val="-2"/>
          <w:sz w:val="20"/>
          <w:lang w:val="es-ES"/>
        </w:rPr>
        <w:t xml:space="preserve">Aprobado por la Comisión Interamericana de Derechos Humanos en la ciudad de </w:t>
      </w:r>
      <w:r>
        <w:rPr>
          <w:rFonts w:ascii="Cambria" w:hAnsi="Cambria"/>
          <w:spacing w:val="-2"/>
          <w:sz w:val="20"/>
          <w:lang w:val="es-ES"/>
        </w:rPr>
        <w:t>Boulder</w:t>
      </w:r>
      <w:r w:rsidRPr="00705C83">
        <w:rPr>
          <w:rFonts w:ascii="Cambria" w:hAnsi="Cambria"/>
          <w:spacing w:val="-2"/>
          <w:sz w:val="20"/>
          <w:lang w:val="es-ES"/>
        </w:rPr>
        <w:t xml:space="preserve">, </w:t>
      </w:r>
      <w:r>
        <w:rPr>
          <w:rFonts w:ascii="Cambria" w:hAnsi="Cambria"/>
          <w:spacing w:val="-2"/>
          <w:sz w:val="20"/>
          <w:lang w:val="es-ES"/>
        </w:rPr>
        <w:t>Colorado, Esta</w:t>
      </w:r>
      <w:r w:rsidR="00B11DAD">
        <w:rPr>
          <w:rFonts w:ascii="Cambria" w:hAnsi="Cambria"/>
          <w:spacing w:val="-2"/>
          <w:sz w:val="20"/>
          <w:lang w:val="es-ES"/>
        </w:rPr>
        <w:t>do</w:t>
      </w:r>
      <w:bookmarkStart w:id="54" w:name="_GoBack"/>
      <w:bookmarkEnd w:id="54"/>
      <w:r>
        <w:rPr>
          <w:rFonts w:ascii="Cambria" w:hAnsi="Cambria"/>
          <w:spacing w:val="-2"/>
          <w:sz w:val="20"/>
          <w:lang w:val="es-ES"/>
        </w:rPr>
        <w:t>s Unidos</w:t>
      </w:r>
      <w:r w:rsidRPr="00705C83">
        <w:rPr>
          <w:rFonts w:ascii="Cambria" w:hAnsi="Cambria"/>
          <w:spacing w:val="-2"/>
          <w:sz w:val="20"/>
          <w:lang w:val="es-ES"/>
        </w:rPr>
        <w:t xml:space="preserve">, </w:t>
      </w:r>
      <w:r>
        <w:rPr>
          <w:rFonts w:ascii="Cambria" w:hAnsi="Cambria"/>
          <w:spacing w:val="-2"/>
          <w:sz w:val="20"/>
          <w:lang w:val="es-ES"/>
        </w:rPr>
        <w:t>a los</w:t>
      </w:r>
      <w:r w:rsidRPr="00705C83">
        <w:rPr>
          <w:rFonts w:ascii="Cambria" w:hAnsi="Cambria"/>
          <w:spacing w:val="-2"/>
          <w:sz w:val="20"/>
          <w:lang w:val="es-ES"/>
        </w:rPr>
        <w:t xml:space="preserve"> </w:t>
      </w:r>
      <w:r>
        <w:rPr>
          <w:rFonts w:ascii="Cambria" w:hAnsi="Cambria"/>
          <w:spacing w:val="-2"/>
          <w:sz w:val="20"/>
          <w:lang w:val="es-ES"/>
        </w:rPr>
        <w:t>5</w:t>
      </w:r>
      <w:r w:rsidRPr="00705C83">
        <w:rPr>
          <w:rFonts w:ascii="Cambria" w:hAnsi="Cambria"/>
          <w:spacing w:val="-2"/>
          <w:sz w:val="20"/>
          <w:lang w:val="es-ES"/>
        </w:rPr>
        <w:t xml:space="preserve"> </w:t>
      </w:r>
      <w:r>
        <w:rPr>
          <w:rFonts w:ascii="Cambria" w:hAnsi="Cambria"/>
          <w:spacing w:val="-2"/>
          <w:sz w:val="20"/>
          <w:lang w:val="es-ES"/>
        </w:rPr>
        <w:t>días del mes de octubre de</w:t>
      </w:r>
      <w:r w:rsidRPr="00705C83">
        <w:rPr>
          <w:rFonts w:ascii="Cambria" w:hAnsi="Cambria"/>
          <w:spacing w:val="-2"/>
          <w:sz w:val="20"/>
          <w:lang w:val="es-ES"/>
        </w:rPr>
        <w:t xml:space="preserve"> 2018. (firmado):  </w:t>
      </w:r>
      <w:r w:rsidRPr="00705C83">
        <w:rPr>
          <w:rFonts w:asciiTheme="majorHAnsi" w:hAnsiTheme="majorHAnsi"/>
          <w:sz w:val="20"/>
          <w:szCs w:val="20"/>
          <w:lang w:val="es-ES"/>
        </w:rPr>
        <w:t xml:space="preserve">Margarette May Macaulay, Presidenta; Joel Hernández García, Antonia Urrejola, </w:t>
      </w:r>
      <w:r>
        <w:rPr>
          <w:rFonts w:asciiTheme="majorHAnsi" w:hAnsiTheme="majorHAnsi"/>
          <w:sz w:val="20"/>
          <w:szCs w:val="20"/>
          <w:lang w:val="es-ES"/>
        </w:rPr>
        <w:t>y</w:t>
      </w:r>
      <w:r w:rsidRPr="00705C83">
        <w:rPr>
          <w:rFonts w:asciiTheme="majorHAnsi" w:hAnsiTheme="majorHAnsi"/>
          <w:sz w:val="20"/>
          <w:szCs w:val="20"/>
          <w:lang w:val="es-ES"/>
        </w:rPr>
        <w:t xml:space="preserve"> Flávia Piovesan,</w:t>
      </w:r>
      <w:r w:rsidRPr="00705C83">
        <w:rPr>
          <w:rFonts w:ascii="Cambria" w:hAnsi="Cambria" w:cs="Arial"/>
          <w:noProof/>
          <w:spacing w:val="-2"/>
          <w:sz w:val="20"/>
          <w:lang w:val="es-ES"/>
        </w:rPr>
        <w:t xml:space="preserve"> </w:t>
      </w:r>
      <w:r>
        <w:rPr>
          <w:rFonts w:ascii="Cambria" w:hAnsi="Cambria"/>
          <w:spacing w:val="-2"/>
          <w:sz w:val="20"/>
          <w:lang w:val="es-ES"/>
        </w:rPr>
        <w:t>Miembros de la Comisi</w:t>
      </w:r>
      <w:r w:rsidRPr="00705C83">
        <w:rPr>
          <w:rFonts w:ascii="Cambria" w:hAnsi="Cambria"/>
          <w:spacing w:val="-2"/>
          <w:sz w:val="20"/>
          <w:lang w:val="es-ES"/>
        </w:rPr>
        <w:t>ón.</w:t>
      </w:r>
    </w:p>
    <w:sectPr w:rsidR="000E3CD4" w:rsidRPr="009F09B7" w:rsidSect="00D529F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BC9" w:rsidRDefault="00285BC9">
      <w:r>
        <w:separator/>
      </w:r>
    </w:p>
  </w:endnote>
  <w:endnote w:type="continuationSeparator" w:id="0">
    <w:p w:rsidR="00285BC9" w:rsidRDefault="0028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2BE" w:rsidRDefault="005512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740972"/>
      <w:docPartObj>
        <w:docPartGallery w:val="Page Numbers (Bottom of Page)"/>
        <w:docPartUnique/>
      </w:docPartObj>
    </w:sdtPr>
    <w:sdtEndPr>
      <w:rPr>
        <w:noProof/>
        <w:sz w:val="16"/>
        <w:szCs w:val="22"/>
      </w:rPr>
    </w:sdtEndPr>
    <w:sdtContent>
      <w:p w:rsidR="00C00F28" w:rsidRPr="00934A2C" w:rsidRDefault="00C00F2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11DAD">
          <w:rPr>
            <w:noProof/>
            <w:sz w:val="16"/>
            <w:szCs w:val="22"/>
          </w:rPr>
          <w:t>90</w:t>
        </w:r>
        <w:r w:rsidRPr="00934A2C">
          <w:rPr>
            <w:noProof/>
            <w:sz w:val="16"/>
            <w:szCs w:val="22"/>
          </w:rPr>
          <w:fldChar w:fldCharType="end"/>
        </w:r>
      </w:p>
    </w:sdtContent>
  </w:sdt>
  <w:p w:rsidR="00C00F28" w:rsidRDefault="00C00F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F28" w:rsidRPr="00934A2C" w:rsidRDefault="00C00F28">
    <w:pPr>
      <w:pStyle w:val="Footer"/>
      <w:jc w:val="center"/>
      <w:rPr>
        <w:sz w:val="16"/>
        <w:szCs w:val="22"/>
      </w:rPr>
    </w:pPr>
  </w:p>
  <w:p w:rsidR="00C00F28" w:rsidRDefault="00C00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BC9" w:rsidRPr="000F35ED" w:rsidRDefault="00285BC9">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85BC9" w:rsidRPr="000F35ED" w:rsidRDefault="00285BC9" w:rsidP="000F35ED">
      <w:pPr>
        <w:rPr>
          <w:rFonts w:asciiTheme="majorHAnsi" w:hAnsiTheme="majorHAnsi"/>
          <w:sz w:val="16"/>
          <w:szCs w:val="16"/>
        </w:rPr>
      </w:pPr>
      <w:r w:rsidRPr="000F35ED">
        <w:rPr>
          <w:rFonts w:asciiTheme="majorHAnsi" w:hAnsiTheme="majorHAnsi"/>
          <w:sz w:val="16"/>
          <w:szCs w:val="16"/>
        </w:rPr>
        <w:separator/>
      </w:r>
    </w:p>
    <w:p w:rsidR="00285BC9" w:rsidRPr="000F35ED" w:rsidRDefault="00285BC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285BC9" w:rsidRPr="000F35ED" w:rsidRDefault="00285BC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C00F28" w:rsidRPr="001A6CA9" w:rsidRDefault="00C00F28" w:rsidP="009D5581">
      <w:pPr>
        <w:pStyle w:val="FootnoteText"/>
        <w:jc w:val="both"/>
        <w:rPr>
          <w:rFonts w:ascii="Cambria" w:hAnsi="Cambria"/>
          <w:sz w:val="16"/>
          <w:szCs w:val="16"/>
          <w:lang w:val="es-US"/>
        </w:rPr>
      </w:pPr>
      <w:r w:rsidRPr="001A6CA9">
        <w:rPr>
          <w:rStyle w:val="FootnoteReference"/>
          <w:rFonts w:ascii="Cambria" w:hAnsi="Cambria"/>
          <w:sz w:val="16"/>
          <w:szCs w:val="16"/>
        </w:rPr>
        <w:footnoteRef/>
      </w:r>
      <w:r w:rsidRPr="001A6CA9">
        <w:rPr>
          <w:rFonts w:ascii="Cambria" w:hAnsi="Cambria"/>
          <w:sz w:val="16"/>
          <w:szCs w:val="16"/>
          <w:lang w:val="es-US"/>
        </w:rPr>
        <w:t xml:space="preserve"> L</w:t>
      </w:r>
      <w:r w:rsidRPr="001A6CA9">
        <w:rPr>
          <w:rFonts w:ascii="Cambria" w:hAnsi="Cambria" w:cs="Tahoma"/>
          <w:sz w:val="16"/>
          <w:szCs w:val="16"/>
          <w:lang w:val="es-PE"/>
        </w:rPr>
        <w:t>a Comisionada Esmeralda Arosemena de Troitiño, de nacionalidad panameña, consideró que –con base en el artículo 17.3 del Reglamento de la CIDH— debía excusarse de participar en el estudio y decisión del caso. La Comisión Interamericana aceptó su decisión de excusarse, por lo que no participó de la deliberación y voto de este informe.</w:t>
      </w:r>
    </w:p>
  </w:footnote>
  <w:footnote w:id="3">
    <w:p w:rsidR="00C00F28" w:rsidRPr="001A6CA9" w:rsidRDefault="00C00F28" w:rsidP="009D5581">
      <w:pPr>
        <w:pStyle w:val="FootnoteText"/>
        <w:jc w:val="both"/>
        <w:rPr>
          <w:rFonts w:ascii="Cambria" w:hAnsi="Cambria"/>
          <w:sz w:val="16"/>
          <w:szCs w:val="16"/>
          <w:lang w:val="es-US"/>
        </w:rPr>
      </w:pPr>
      <w:r w:rsidRPr="001A6CA9">
        <w:rPr>
          <w:rStyle w:val="FootnoteReference"/>
          <w:rFonts w:ascii="Cambria" w:hAnsi="Cambria"/>
          <w:sz w:val="16"/>
          <w:szCs w:val="16"/>
        </w:rPr>
        <w:footnoteRef/>
      </w:r>
      <w:r w:rsidRPr="001A6CA9">
        <w:rPr>
          <w:rFonts w:ascii="Cambria" w:hAnsi="Cambria"/>
          <w:sz w:val="16"/>
          <w:szCs w:val="16"/>
          <w:lang w:val="es-US"/>
        </w:rPr>
        <w:t xml:space="preserve"> La CIDH recibió el 5 de octubre de 1998 comunicación de Gilma Camargo mediante la cual notificó que el Centro por los Derechos Constitucionales había cesado su función como representantes de las víctimas y que ella asumiría la representación.</w:t>
      </w:r>
    </w:p>
  </w:footnote>
  <w:footnote w:id="4">
    <w:p w:rsidR="00C00F28" w:rsidRPr="001A6CA9" w:rsidRDefault="00C00F28" w:rsidP="009D5581">
      <w:pPr>
        <w:pStyle w:val="FootnoteText"/>
        <w:jc w:val="both"/>
        <w:rPr>
          <w:rFonts w:ascii="Cambria" w:hAnsi="Cambria"/>
          <w:color w:val="auto"/>
          <w:sz w:val="16"/>
          <w:szCs w:val="16"/>
          <w:lang w:val="es-US"/>
        </w:rPr>
      </w:pPr>
      <w:r w:rsidRPr="001A6CA9">
        <w:rPr>
          <w:rStyle w:val="FootnoteReference"/>
          <w:rFonts w:ascii="Cambria" w:hAnsi="Cambria"/>
          <w:color w:val="auto"/>
          <w:sz w:val="16"/>
          <w:szCs w:val="16"/>
        </w:rPr>
        <w:footnoteRef/>
      </w:r>
      <w:r w:rsidRPr="001A6CA9">
        <w:rPr>
          <w:rFonts w:ascii="Cambria" w:hAnsi="Cambria"/>
          <w:color w:val="auto"/>
          <w:sz w:val="16"/>
          <w:szCs w:val="16"/>
          <w:lang w:val="es-CO"/>
        </w:rPr>
        <w:t xml:space="preserve"> CIDH. Informe No. 31/93. </w:t>
      </w:r>
      <w:r w:rsidRPr="001A6CA9">
        <w:rPr>
          <w:rFonts w:ascii="Cambria" w:hAnsi="Cambria"/>
          <w:color w:val="auto"/>
          <w:sz w:val="16"/>
          <w:szCs w:val="16"/>
          <w:lang w:val="es-US"/>
        </w:rPr>
        <w:t xml:space="preserve">Caso 10.573. Salas y otros. </w:t>
      </w:r>
      <w:r w:rsidRPr="001A6CA9">
        <w:rPr>
          <w:rFonts w:ascii="Cambria" w:hAnsi="Cambria"/>
          <w:color w:val="auto"/>
          <w:sz w:val="16"/>
          <w:szCs w:val="16"/>
          <w:lang w:val="es-CO"/>
        </w:rPr>
        <w:t>14 de octubre de 1993</w:t>
      </w:r>
      <w:r w:rsidRPr="001A6CA9">
        <w:rPr>
          <w:rFonts w:ascii="Cambria" w:hAnsi="Cambria"/>
          <w:color w:val="auto"/>
          <w:sz w:val="16"/>
          <w:szCs w:val="16"/>
          <w:lang w:val="es-US"/>
        </w:rPr>
        <w:t xml:space="preserve">. </w:t>
      </w:r>
    </w:p>
  </w:footnote>
  <w:footnote w:id="5">
    <w:p w:rsidR="00C00F28" w:rsidRPr="009D5581" w:rsidRDefault="00C00F28" w:rsidP="009D5581">
      <w:pPr>
        <w:pStyle w:val="FootnoteText"/>
        <w:jc w:val="both"/>
        <w:rPr>
          <w:rFonts w:ascii="Cambria" w:hAnsi="Cambria"/>
          <w:sz w:val="16"/>
          <w:szCs w:val="16"/>
          <w:lang w:val="es-US"/>
        </w:rPr>
      </w:pPr>
      <w:r w:rsidRPr="001A6CA9">
        <w:rPr>
          <w:rStyle w:val="FootnoteReference"/>
          <w:rFonts w:ascii="Cambria" w:hAnsi="Cambria"/>
          <w:color w:val="auto"/>
          <w:sz w:val="16"/>
          <w:szCs w:val="16"/>
        </w:rPr>
        <w:footnoteRef/>
      </w:r>
      <w:r w:rsidRPr="001A6CA9">
        <w:rPr>
          <w:rFonts w:ascii="Cambria" w:hAnsi="Cambria"/>
          <w:color w:val="auto"/>
          <w:sz w:val="16"/>
          <w:szCs w:val="16"/>
          <w:lang w:val="es-US"/>
        </w:rPr>
        <w:t xml:space="preserve"> El Estado en su última comunicación presentada</w:t>
      </w:r>
      <w:r w:rsidRPr="009D5581">
        <w:rPr>
          <w:rFonts w:ascii="Cambria" w:hAnsi="Cambria"/>
          <w:color w:val="auto"/>
          <w:sz w:val="16"/>
          <w:szCs w:val="16"/>
          <w:lang w:val="es-US"/>
        </w:rPr>
        <w:t xml:space="preserve"> el 26 de marzo de 1996 </w:t>
      </w:r>
      <w:r>
        <w:rPr>
          <w:rFonts w:ascii="Cambria" w:hAnsi="Cambria"/>
          <w:color w:val="auto"/>
          <w:sz w:val="16"/>
          <w:szCs w:val="16"/>
          <w:lang w:val="es-US"/>
        </w:rPr>
        <w:t>confirm</w:t>
      </w:r>
      <w:r w:rsidRPr="009D5581">
        <w:rPr>
          <w:rFonts w:ascii="Cambria" w:hAnsi="Cambria"/>
          <w:color w:val="auto"/>
          <w:sz w:val="16"/>
          <w:szCs w:val="16"/>
          <w:lang w:val="es-US"/>
        </w:rPr>
        <w:t xml:space="preserve">ó que este caso no era objeto de un </w:t>
      </w:r>
      <w:r>
        <w:rPr>
          <w:rFonts w:ascii="Cambria" w:hAnsi="Cambria"/>
          <w:color w:val="auto"/>
          <w:sz w:val="16"/>
          <w:szCs w:val="16"/>
          <w:lang w:val="es-US"/>
        </w:rPr>
        <w:t xml:space="preserve">proceso </w:t>
      </w:r>
      <w:r w:rsidRPr="009D5581">
        <w:rPr>
          <w:rFonts w:ascii="Cambria" w:hAnsi="Cambria"/>
          <w:color w:val="auto"/>
          <w:sz w:val="16"/>
          <w:szCs w:val="16"/>
          <w:lang w:val="es-US"/>
        </w:rPr>
        <w:t xml:space="preserve">de solución amistosa. </w:t>
      </w:r>
    </w:p>
  </w:footnote>
  <w:footnote w:id="6">
    <w:p w:rsidR="00C00F28" w:rsidRPr="009D5581" w:rsidRDefault="00C00F28" w:rsidP="009D5581">
      <w:pPr>
        <w:pStyle w:val="FootnoteText"/>
        <w:jc w:val="both"/>
        <w:rPr>
          <w:rFonts w:ascii="Cambria" w:hAnsi="Cambria"/>
          <w:color w:val="auto"/>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La parte peticionaria presentó </w:t>
      </w:r>
      <w:r w:rsidRPr="009D5581">
        <w:rPr>
          <w:rFonts w:ascii="Cambria" w:hAnsi="Cambria"/>
          <w:color w:val="auto"/>
          <w:sz w:val="16"/>
          <w:szCs w:val="16"/>
          <w:lang w:val="es-CO"/>
        </w:rPr>
        <w:t>observaciones sobre el fondo en diversas oportunidades, en particular el 5 de agosto y 6 de octubre de 1994, el 27 de enero, 22 de junio y el 6 de noviembre de 1995. Por su parte el Estado presentó observaciones sobre el fondo el 1 de febrero y 27 de octubre de 1994, y el 29 de marzo de 1996.</w:t>
      </w:r>
    </w:p>
  </w:footnote>
  <w:footnote w:id="7">
    <w:p w:rsidR="00C00F28" w:rsidRPr="009D5581" w:rsidRDefault="00C00F28" w:rsidP="009D5581">
      <w:pPr>
        <w:pStyle w:val="FootnoteText"/>
        <w:jc w:val="both"/>
        <w:rPr>
          <w:rFonts w:ascii="Cambria" w:hAnsi="Cambria"/>
          <w:sz w:val="16"/>
          <w:szCs w:val="16"/>
          <w:lang w:val="es-US"/>
        </w:rPr>
      </w:pPr>
      <w:r w:rsidRPr="009D5581">
        <w:rPr>
          <w:rStyle w:val="FootnoteReference"/>
          <w:rFonts w:ascii="Cambria" w:hAnsi="Cambria"/>
          <w:color w:val="auto"/>
          <w:sz w:val="16"/>
          <w:szCs w:val="16"/>
        </w:rPr>
        <w:footnoteRef/>
      </w:r>
      <w:r w:rsidRPr="009D5581">
        <w:rPr>
          <w:rFonts w:ascii="Cambria" w:hAnsi="Cambria"/>
          <w:color w:val="auto"/>
          <w:sz w:val="16"/>
          <w:szCs w:val="16"/>
          <w:lang w:val="es-US"/>
        </w:rPr>
        <w:t xml:space="preserve"> La parte peticionaria solicitó medidas cautelares en beneficio de varias personas quienes estarían en situación de riesgo el 15 y 19 de septiembre de 1995, y el 1 de abril y 8 de mayo de 1996. La CIDH notificó el rechazo de dichas solicitudes el 21 de junio de 1996. </w:t>
      </w:r>
    </w:p>
  </w:footnote>
  <w:footnote w:id="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sobre la situación de los derechos humanos en Panamá. OEA/Ser.L/V/II.44 doc. 38, rev. 1 del 22 junio 1978.</w:t>
      </w:r>
    </w:p>
  </w:footnote>
  <w:footnote w:id="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sobre la situación de los derechos humanos en Panamá. OEA/Ser.L/V/II.44 doc. 38, rev. 1 del 22 junio 1978.</w:t>
      </w:r>
    </w:p>
  </w:footnote>
  <w:footnote w:id="1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sobre la situación de los derechos humanos en Panamá. OEA/Ser.L/V/II.76 doc. 16 rev. 2 del 9 noviembre 1989.</w:t>
      </w:r>
    </w:p>
  </w:footnote>
  <w:footnote w:id="1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sobre la situación de los derechos humanos en Panamá. OEA/Ser.L/V/II.76 doc. 16 rev. 2 del 9 noviembre 1989.</w:t>
      </w:r>
    </w:p>
  </w:footnote>
  <w:footnote w:id="1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sobre la situación de los derechos humanos en Panamá. OEA/Ser.L/V/II.76 doc. 16 rev. 2 del 9 noviembre 1989. </w:t>
      </w:r>
    </w:p>
  </w:footnote>
  <w:footnote w:id="1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sobre la situación de los derechos humanos en Panamá. OEA/Ser.L/V/II.76 doc. 16 rev. 2 del 9 noviembre 1989.</w:t>
      </w:r>
    </w:p>
  </w:footnote>
  <w:footnote w:id="1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Pr>
          <w:rFonts w:ascii="Cambria" w:hAnsi="Cambria"/>
          <w:sz w:val="16"/>
          <w:szCs w:val="16"/>
          <w:lang w:val="es-CO"/>
        </w:rPr>
        <w:t xml:space="preserve">Consejo de Gabinete de Panamá. </w:t>
      </w:r>
      <w:r w:rsidRPr="009D5581">
        <w:rPr>
          <w:rFonts w:ascii="Cambria" w:eastAsia="Cambria" w:hAnsi="Cambria" w:cs="Cambria"/>
          <w:sz w:val="16"/>
          <w:szCs w:val="16"/>
          <w:lang w:val="es-CO"/>
        </w:rPr>
        <w:t xml:space="preserve">Decreto Ejecutivo No. 56, por el cual se declara el estado de urgencia y se suspenden las garantías constitucionales. </w:t>
      </w:r>
      <w:r w:rsidRPr="009D5581">
        <w:rPr>
          <w:rFonts w:ascii="Cambria" w:hAnsi="Cambria"/>
          <w:sz w:val="16"/>
          <w:szCs w:val="16"/>
          <w:lang w:val="es-CO"/>
        </w:rPr>
        <w:t>Gaceta Oficial No. 20.820 del 11 de junio de 1987.</w:t>
      </w:r>
    </w:p>
  </w:footnote>
  <w:footnote w:id="15">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Pr>
          <w:rFonts w:ascii="Cambria" w:hAnsi="Cambria"/>
          <w:sz w:val="16"/>
          <w:szCs w:val="16"/>
          <w:lang w:val="es-CO"/>
        </w:rPr>
        <w:t xml:space="preserve">Consejo de Gabinete de Panamá. </w:t>
      </w:r>
      <w:r w:rsidRPr="009D5581">
        <w:rPr>
          <w:rFonts w:ascii="Cambria" w:eastAsia="Cambria" w:hAnsi="Cambria" w:cs="Cambria"/>
          <w:sz w:val="16"/>
          <w:szCs w:val="16"/>
          <w:lang w:val="es-CO"/>
        </w:rPr>
        <w:t xml:space="preserve">Decreto Ejecutivo No. 56, por el cual se declara el estado de urgencia y se suspenden las garantías constitucionales. </w:t>
      </w:r>
      <w:r w:rsidRPr="009D5581">
        <w:rPr>
          <w:rFonts w:ascii="Cambria" w:hAnsi="Cambria"/>
          <w:sz w:val="16"/>
          <w:szCs w:val="16"/>
          <w:lang w:val="es-CO"/>
        </w:rPr>
        <w:t>Gaceta Oficial No. 20.820 del 11 de junio de 1987.</w:t>
      </w:r>
    </w:p>
  </w:footnote>
  <w:footnote w:id="1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Consejo Permanente de la OEA. Resolución No. CP/RES 477 (702/87) “Reiteración de principios y obligaciones contenido en la Carta de la O.E.A”, aprobada el 1 de julio de 1987. </w:t>
      </w:r>
    </w:p>
  </w:footnote>
  <w:footnote w:id="1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Consejo Permanente de la OEA. Resolución No. CP/RES 477 (702/87) “Reiteración de principios y obligaciones contenido en la Carta de la O.E.A”, aprobada el 1 de julio de 1987.</w:t>
      </w:r>
    </w:p>
  </w:footnote>
  <w:footnote w:id="1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Consejo Permanente de la OEA. Resolución No. CP/RES 477 (702/87) “Reiteración de principios y obligaciones contenido en la Carta de la O.E.A”, aprobada el 1 de julio de 1987.</w:t>
      </w:r>
    </w:p>
  </w:footnote>
  <w:footnote w:id="1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Anual 1990-1991, Capítulo IV Situación de los derechos humanos en Panamá. OEA/Ser.L/V/II.79, rev.1</w:t>
      </w:r>
      <w:r>
        <w:rPr>
          <w:rFonts w:ascii="Cambria" w:hAnsi="Cambria"/>
          <w:sz w:val="16"/>
          <w:szCs w:val="16"/>
          <w:lang w:val="es-CO"/>
        </w:rPr>
        <w:t xml:space="preserve"> </w:t>
      </w:r>
      <w:r w:rsidRPr="009D5581">
        <w:rPr>
          <w:rFonts w:ascii="Cambria" w:hAnsi="Cambria"/>
          <w:sz w:val="16"/>
          <w:szCs w:val="16"/>
          <w:lang w:val="es-CO"/>
        </w:rPr>
        <w:t>doc. 12 del 22 febrero 1991.</w:t>
      </w:r>
    </w:p>
  </w:footnote>
  <w:footnote w:id="2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sobre la situación de los derechos humanos en Panamá. OEA/Ser.L/V/II.76 doc. 16 rev. 2 del 9 noviembre 1989. Capítulo VIII.</w:t>
      </w:r>
    </w:p>
  </w:footnote>
  <w:footnote w:id="2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sobre la situación de los derechos humanos en Panamá. OEA/Ser.L/V/II.76 doc. 16 rev. 2 del 9 noviembre 1989. Capítulo VIII.</w:t>
      </w:r>
    </w:p>
  </w:footnote>
  <w:footnote w:id="2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Tribunal Electoral. Decreto No. 58 del 10 de mayo de 1989 mediante el cual declara nulas las elecciones en ese país. </w:t>
      </w:r>
    </w:p>
  </w:footnote>
  <w:footnote w:id="23">
    <w:p w:rsidR="00C00F28" w:rsidRPr="009D5581" w:rsidRDefault="00C00F28" w:rsidP="009D5581">
      <w:pPr>
        <w:pStyle w:val="FootnoteText"/>
        <w:jc w:val="both"/>
        <w:rPr>
          <w:rFonts w:ascii="Cambria" w:hAnsi="Cambria"/>
          <w:b/>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sobre la situación de los derechos humanos en Panamá. OEA/Ser.L/V/II.76 doc. 16 rev. 2 del 9 noviembre 1989. Capítulo VIII.</w:t>
      </w:r>
    </w:p>
  </w:footnote>
  <w:footnote w:id="2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sobre la situación de los derechos humanos en Panamá. OEA/Ser.L/V/II.76 doc. 16 rev. 2 del 9 noviembre 1989. Capítulo VIII.</w:t>
      </w:r>
    </w:p>
  </w:footnote>
  <w:footnote w:id="25">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Consejo Permanente de la O.E.A. Resolución No. CP/RES 522 (776/89) “Convocación de la Vigesimoprimera reunión de consulta de ministros de relaciones exteriores”, aprobada el 12 de mayo de 1989.</w:t>
      </w:r>
    </w:p>
  </w:footnote>
  <w:footnote w:id="2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Vigesimoprimera Reunión de Consulta de Ministros de Relaciones Exteriores. Resolución No. I “La grave crisis panameña en su contexto internacional”, aprobada el 17 de mayo de 1989.</w:t>
      </w:r>
    </w:p>
  </w:footnote>
  <w:footnote w:id="2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sobre la situación de los derechos humanos en Panamá. OEA/Ser.L/V/II.76 doc. 16 rev. 2 del 9 noviembre 1989.</w:t>
      </w:r>
    </w:p>
  </w:footnote>
  <w:footnote w:id="28">
    <w:p w:rsidR="00C00F28" w:rsidRPr="007C2AA2" w:rsidRDefault="00C00F28" w:rsidP="007C2AA2">
      <w:pPr>
        <w:pStyle w:val="FootnoteText"/>
        <w:jc w:val="both"/>
        <w:rPr>
          <w:rFonts w:ascii="Cambria" w:hAnsi="Cambria"/>
          <w:sz w:val="16"/>
          <w:szCs w:val="16"/>
          <w:lang w:val="es-VE"/>
        </w:rPr>
      </w:pPr>
      <w:r w:rsidRPr="007C2AA2">
        <w:rPr>
          <w:rStyle w:val="FootnoteReference"/>
          <w:rFonts w:ascii="Cambria" w:hAnsi="Cambria"/>
          <w:sz w:val="16"/>
          <w:szCs w:val="16"/>
        </w:rPr>
        <w:footnoteRef/>
      </w:r>
      <w:r w:rsidRPr="007C2AA2">
        <w:rPr>
          <w:rFonts w:ascii="Cambria" w:hAnsi="Cambria"/>
          <w:sz w:val="16"/>
          <w:szCs w:val="16"/>
          <w:lang w:val="es-VE"/>
        </w:rPr>
        <w:t xml:space="preserve"> </w:t>
      </w:r>
      <w:bookmarkStart w:id="8" w:name="_Hlk499661169"/>
      <w:r w:rsidRPr="007C2AA2">
        <w:rPr>
          <w:rFonts w:ascii="Cambria" w:hAnsi="Cambria"/>
          <w:sz w:val="16"/>
          <w:szCs w:val="16"/>
          <w:lang w:val="es-VE"/>
        </w:rPr>
        <w:t>CIDH. Informe Anual 1989-1990. Capítulo II: Actividades de la CIDH. OEA/Ser.L/V/II.77rev.1 doc.7. 17 de mayo de 1990.</w:t>
      </w:r>
      <w:bookmarkEnd w:id="8"/>
      <w:r w:rsidRPr="007C2AA2">
        <w:rPr>
          <w:rFonts w:ascii="Cambria" w:hAnsi="Cambria"/>
          <w:sz w:val="16"/>
          <w:szCs w:val="16"/>
          <w:lang w:val="es-VE"/>
        </w:rPr>
        <w:t xml:space="preserve"> </w:t>
      </w:r>
    </w:p>
  </w:footnote>
  <w:footnote w:id="2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Asamblea General de la OEA. Resolución AG/Res 990 (XIX-O/89) “La crisis panameña en el contexto internacional”, aprobada el 18 de noviembre de 1989. </w:t>
      </w:r>
    </w:p>
  </w:footnote>
  <w:footnote w:id="3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Asamblea General de la OEA. Resolución AG/Res 990 (XIX-O/89) “La crisis panameña en el contexto internacional”, aprobada el 18 de noviembre de 1989.</w:t>
      </w:r>
    </w:p>
  </w:footnote>
  <w:footnote w:id="3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CIDH. Informe Anual 1990-1991, Capítulo IV Situación de los derechos humanos en Panamá. OEA/Ser.L/V/II.79, rev.1doc. 12 del 22 febrero 1991.</w:t>
      </w:r>
    </w:p>
  </w:footnote>
  <w:footnote w:id="3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Anual 1990-1991, Capítulo IV Situación de los derechos humanos en Panamá. OEA/Ser.L/V/II.79, rev.1</w:t>
      </w:r>
      <w:r>
        <w:rPr>
          <w:rFonts w:ascii="Cambria" w:hAnsi="Cambria"/>
          <w:sz w:val="16"/>
          <w:szCs w:val="16"/>
          <w:lang w:val="es-CO"/>
        </w:rPr>
        <w:t xml:space="preserve"> </w:t>
      </w:r>
      <w:r w:rsidRPr="009D5581">
        <w:rPr>
          <w:rFonts w:ascii="Cambria" w:hAnsi="Cambria"/>
          <w:sz w:val="16"/>
          <w:szCs w:val="16"/>
          <w:lang w:val="es-CO"/>
        </w:rPr>
        <w:t>doc. 12 del 22 febrero 1991.</w:t>
      </w:r>
    </w:p>
  </w:footnote>
  <w:footnote w:id="3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sobre la situación de los derechos humanos en Panamá. OEA/Ser.L/V/II.76 doc. 16 rev. 2 del 9 noviembre 1989.</w:t>
      </w:r>
    </w:p>
  </w:footnote>
  <w:footnote w:id="3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sobre la situación de los derechos humanos en Panamá. OEA/Ser.L/V/II.76 doc. 16 rev. 2 del 9 noviembre 1989.</w:t>
      </w:r>
    </w:p>
  </w:footnote>
  <w:footnote w:id="35">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sobre la situación de los derechos humanos en Panamá. OEA/Ser.L/V/II.76 doc. 16 rev. 2 del 9 noviembre 1989.</w:t>
      </w:r>
    </w:p>
  </w:footnote>
  <w:footnote w:id="3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Pr>
          <w:rFonts w:ascii="Cambria" w:hAnsi="Cambria"/>
          <w:sz w:val="16"/>
          <w:szCs w:val="16"/>
          <w:lang w:val="es-CO"/>
        </w:rPr>
        <w:t xml:space="preserve">Presidente de los Estados Unidos de América. </w:t>
      </w:r>
      <w:r w:rsidRPr="009D5581">
        <w:rPr>
          <w:rFonts w:ascii="Cambria" w:hAnsi="Cambria"/>
          <w:sz w:val="16"/>
          <w:szCs w:val="16"/>
          <w:lang w:val="es-CO"/>
        </w:rPr>
        <w:t>Declaración por el Asistente del Presidente para las Relaciones con la Prensa, Fitzwater, sobre la situación en Panamá. 26 de febrero de 1988.</w:t>
      </w:r>
    </w:p>
  </w:footnote>
  <w:footnote w:id="3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Presidente de los Estados Unidos de América. Declaración sobre las sanciones económicas en contra de Panamá. 11 de marzo de 1988. </w:t>
      </w:r>
    </w:p>
  </w:footnote>
  <w:footnote w:id="3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Presidencia de los Estados Unidos de América. Declaración sobre las sanciones económicas en contra de Panamá emitida el 11 de marzo de 1988.</w:t>
      </w:r>
    </w:p>
  </w:footnote>
  <w:footnote w:id="3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Consejo de Estado</w:t>
      </w:r>
      <w:r>
        <w:rPr>
          <w:rFonts w:ascii="Cambria" w:hAnsi="Cambria"/>
          <w:sz w:val="16"/>
          <w:szCs w:val="16"/>
          <w:lang w:val="es-CO"/>
        </w:rPr>
        <w:t xml:space="preserve"> de Panamá</w:t>
      </w:r>
      <w:r w:rsidRPr="009D5581">
        <w:rPr>
          <w:rFonts w:ascii="Cambria" w:hAnsi="Cambria"/>
          <w:sz w:val="16"/>
          <w:szCs w:val="16"/>
          <w:lang w:val="es-CO"/>
        </w:rPr>
        <w:t xml:space="preserve">. Decreto No. 11 por el cual declara estado de urgencia en toda la República. Gaceta Oficial No. 21,012 de 21 de marzo de 1988. </w:t>
      </w:r>
    </w:p>
  </w:footnote>
  <w:footnote w:id="4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Consejo de Estado</w:t>
      </w:r>
      <w:r>
        <w:rPr>
          <w:rFonts w:ascii="Cambria" w:hAnsi="Cambria"/>
          <w:sz w:val="16"/>
          <w:szCs w:val="16"/>
          <w:lang w:val="es-CO"/>
        </w:rPr>
        <w:t xml:space="preserve"> de Panamá</w:t>
      </w:r>
      <w:r w:rsidRPr="009D5581">
        <w:rPr>
          <w:rFonts w:ascii="Cambria" w:hAnsi="Cambria"/>
          <w:sz w:val="16"/>
          <w:szCs w:val="16"/>
          <w:lang w:val="es-CO"/>
        </w:rPr>
        <w:t>. Decreto No. 11 por el cual declara estado de urgencia en toda la República. Gaceta Oficial No. 21,012 de 21 de marzo de 1988.</w:t>
      </w:r>
    </w:p>
  </w:footnote>
  <w:footnote w:id="4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Presidencia de los Estados Unidos de América. Orden Ejecutiva No. 12.635 “prohibiendo ciertas transacciones con respecto a Panamá”, aprobada el 8 de abril de 1988. </w:t>
      </w:r>
    </w:p>
  </w:footnote>
  <w:footnote w:id="4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Presidencia de los Estados Unidos de América. Orden Ejecutiva No. 12.635 “prohibiendo ciertas transacciones con respecto a Panamá”, aprobada el 8 de abril de 1988.</w:t>
      </w:r>
    </w:p>
  </w:footnote>
  <w:footnote w:id="4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Presidencia de los Estados Unidos de América. Orden Ejecutiva No. 12.635 “prohibiendo ciertas transacciones con respecto a Panamá”, aprobada el 8 de abril de 1988.</w:t>
      </w:r>
    </w:p>
  </w:footnote>
  <w:footnote w:id="44">
    <w:p w:rsidR="00C00F28" w:rsidRPr="00713E68" w:rsidRDefault="00C00F28" w:rsidP="009D5581">
      <w:pPr>
        <w:pStyle w:val="FootnoteText"/>
        <w:jc w:val="both"/>
        <w:rPr>
          <w:rFonts w:ascii="Cambria" w:hAnsi="Cambria"/>
          <w:sz w:val="16"/>
          <w:szCs w:val="16"/>
          <w:lang w:val="es-ES"/>
        </w:rPr>
      </w:pPr>
      <w:r w:rsidRPr="009D5581">
        <w:rPr>
          <w:rStyle w:val="FootnoteReference"/>
          <w:rFonts w:ascii="Cambria" w:hAnsi="Cambria"/>
          <w:sz w:val="16"/>
          <w:szCs w:val="16"/>
        </w:rPr>
        <w:footnoteRef/>
      </w:r>
      <w:r w:rsidRPr="00713E68">
        <w:rPr>
          <w:rFonts w:ascii="Cambria" w:hAnsi="Cambria"/>
          <w:sz w:val="16"/>
          <w:szCs w:val="16"/>
          <w:lang w:val="es-ES"/>
        </w:rPr>
        <w:t xml:space="preserve"> Consejo de Seguridad de las Naciones Unidas. Repertorio de la práctica del Consejo de Seguridad. Capítulo VIII p. 391.</w:t>
      </w:r>
    </w:p>
  </w:footnote>
  <w:footnote w:id="45">
    <w:p w:rsidR="00C00F28" w:rsidRPr="00713E68" w:rsidRDefault="00C00F28" w:rsidP="009D5581">
      <w:pPr>
        <w:pStyle w:val="FootnoteText"/>
        <w:jc w:val="both"/>
        <w:rPr>
          <w:rFonts w:ascii="Cambria" w:hAnsi="Cambria"/>
          <w:sz w:val="16"/>
          <w:szCs w:val="16"/>
          <w:lang w:val="es-ES"/>
        </w:rPr>
      </w:pPr>
      <w:r w:rsidRPr="009D5581">
        <w:rPr>
          <w:rStyle w:val="FootnoteReference"/>
          <w:rFonts w:ascii="Cambria" w:hAnsi="Cambria"/>
          <w:sz w:val="16"/>
          <w:szCs w:val="16"/>
        </w:rPr>
        <w:footnoteRef/>
      </w:r>
      <w:r w:rsidRPr="00713E68">
        <w:rPr>
          <w:rFonts w:ascii="Cambria" w:hAnsi="Cambria"/>
          <w:sz w:val="16"/>
          <w:szCs w:val="16"/>
          <w:lang w:val="es-ES"/>
        </w:rPr>
        <w:t xml:space="preserve"> Consejo de Seguridad de las Naciones Unidas. Repertorio de la práctica del Consejo de Seguridad. Capítulo VIII p. 391.</w:t>
      </w:r>
    </w:p>
  </w:footnote>
  <w:footnote w:id="46">
    <w:p w:rsidR="00C00F28" w:rsidRPr="00713E68" w:rsidRDefault="00C00F28" w:rsidP="009D5581">
      <w:pPr>
        <w:pStyle w:val="FootnoteText"/>
        <w:jc w:val="both"/>
        <w:rPr>
          <w:rFonts w:ascii="Cambria" w:hAnsi="Cambria"/>
          <w:sz w:val="16"/>
          <w:szCs w:val="16"/>
          <w:lang w:val="es-ES"/>
        </w:rPr>
      </w:pPr>
      <w:r w:rsidRPr="009D5581">
        <w:rPr>
          <w:rStyle w:val="FootnoteReference"/>
          <w:rFonts w:ascii="Cambria" w:hAnsi="Cambria"/>
          <w:sz w:val="16"/>
          <w:szCs w:val="16"/>
        </w:rPr>
        <w:footnoteRef/>
      </w:r>
      <w:r w:rsidRPr="00713E68">
        <w:rPr>
          <w:rFonts w:ascii="Cambria" w:hAnsi="Cambria"/>
          <w:sz w:val="16"/>
          <w:szCs w:val="16"/>
          <w:lang w:val="es-ES"/>
        </w:rPr>
        <w:t xml:space="preserve"> Consejo de Seguridad de las Naciones Unidas. Repertorio de la práctica del Consejo de Seguridad. Capítulo VIII p. 391.</w:t>
      </w:r>
    </w:p>
  </w:footnote>
  <w:footnote w:id="47">
    <w:p w:rsidR="00C00F28" w:rsidRPr="00713E68" w:rsidRDefault="00C00F28" w:rsidP="009D5581">
      <w:pPr>
        <w:pStyle w:val="FootnoteText"/>
        <w:jc w:val="both"/>
        <w:rPr>
          <w:rFonts w:ascii="Cambria" w:hAnsi="Cambria"/>
          <w:sz w:val="16"/>
          <w:szCs w:val="16"/>
          <w:lang w:val="es-ES"/>
        </w:rPr>
      </w:pPr>
      <w:r w:rsidRPr="009D5581">
        <w:rPr>
          <w:rStyle w:val="FootnoteReference"/>
          <w:rFonts w:ascii="Cambria" w:hAnsi="Cambria"/>
          <w:sz w:val="16"/>
          <w:szCs w:val="16"/>
        </w:rPr>
        <w:footnoteRef/>
      </w:r>
      <w:r w:rsidRPr="00713E68">
        <w:rPr>
          <w:rFonts w:ascii="Cambria" w:hAnsi="Cambria"/>
          <w:sz w:val="16"/>
          <w:szCs w:val="16"/>
          <w:lang w:val="es-ES"/>
        </w:rPr>
        <w:t xml:space="preserve"> Consejo de Seguridad de las Naciones Unidas. Repertorio de la práctica del Consejo de Seguridad. Capítulo VIII p. 392.</w:t>
      </w:r>
    </w:p>
  </w:footnote>
  <w:footnote w:id="48">
    <w:p w:rsidR="00C00F28" w:rsidRPr="00713E68" w:rsidRDefault="00C00F28" w:rsidP="009D5581">
      <w:pPr>
        <w:pStyle w:val="FootnoteText"/>
        <w:jc w:val="both"/>
        <w:rPr>
          <w:rFonts w:ascii="Cambria" w:hAnsi="Cambria"/>
          <w:sz w:val="16"/>
          <w:szCs w:val="16"/>
          <w:lang w:val="es-ES"/>
        </w:rPr>
      </w:pPr>
      <w:r w:rsidRPr="009D5581">
        <w:rPr>
          <w:rStyle w:val="FootnoteReference"/>
          <w:rFonts w:ascii="Cambria" w:hAnsi="Cambria"/>
          <w:sz w:val="16"/>
          <w:szCs w:val="16"/>
        </w:rPr>
        <w:footnoteRef/>
      </w:r>
      <w:r w:rsidRPr="00713E68">
        <w:rPr>
          <w:rFonts w:ascii="Cambria" w:hAnsi="Cambria"/>
          <w:sz w:val="16"/>
          <w:szCs w:val="16"/>
          <w:lang w:val="es-ES"/>
        </w:rPr>
        <w:t xml:space="preserve"> Consejo de Seguridad de las Naciones Unidas. Repertorio de la práctica del Consejo de Seguridad. Capítulo VIII p. 392.</w:t>
      </w:r>
    </w:p>
  </w:footnote>
  <w:footnote w:id="49">
    <w:p w:rsidR="00C00F28" w:rsidRPr="00713E68" w:rsidRDefault="00C00F28" w:rsidP="009D5581">
      <w:pPr>
        <w:pStyle w:val="FootnoteText"/>
        <w:jc w:val="both"/>
        <w:rPr>
          <w:rFonts w:ascii="Cambria" w:hAnsi="Cambria"/>
          <w:sz w:val="16"/>
          <w:szCs w:val="16"/>
          <w:lang w:val="es-ES"/>
        </w:rPr>
      </w:pPr>
      <w:r w:rsidRPr="009D5581">
        <w:rPr>
          <w:rStyle w:val="FootnoteReference"/>
          <w:rFonts w:ascii="Cambria" w:hAnsi="Cambria"/>
          <w:sz w:val="16"/>
          <w:szCs w:val="16"/>
        </w:rPr>
        <w:footnoteRef/>
      </w:r>
      <w:r w:rsidRPr="00713E68">
        <w:rPr>
          <w:rFonts w:ascii="Cambria" w:hAnsi="Cambria"/>
          <w:sz w:val="16"/>
          <w:szCs w:val="16"/>
          <w:lang w:val="es-ES"/>
        </w:rPr>
        <w:t xml:space="preserve"> Consejo de Seguridad de las Naciones Unidas. Repertorio de la práctica del Consejo de Seguridad. Capítulo VIII p. 392-393.</w:t>
      </w:r>
    </w:p>
  </w:footnote>
  <w:footnote w:id="50">
    <w:p w:rsidR="00C00F28" w:rsidRPr="00713E68" w:rsidRDefault="00C00F28" w:rsidP="009D5581">
      <w:pPr>
        <w:pStyle w:val="FootnoteText"/>
        <w:jc w:val="both"/>
        <w:rPr>
          <w:rFonts w:ascii="Cambria" w:hAnsi="Cambria"/>
          <w:sz w:val="16"/>
          <w:szCs w:val="16"/>
          <w:lang w:val="es-ES"/>
        </w:rPr>
      </w:pPr>
      <w:r w:rsidRPr="009D5581">
        <w:rPr>
          <w:rStyle w:val="FootnoteReference"/>
          <w:rFonts w:ascii="Cambria" w:hAnsi="Cambria"/>
          <w:sz w:val="16"/>
          <w:szCs w:val="16"/>
        </w:rPr>
        <w:footnoteRef/>
      </w:r>
      <w:r w:rsidRPr="00713E68">
        <w:rPr>
          <w:rFonts w:ascii="Cambria" w:hAnsi="Cambria"/>
          <w:sz w:val="16"/>
          <w:szCs w:val="16"/>
          <w:lang w:val="es-ES"/>
        </w:rPr>
        <w:t xml:space="preserve"> Consejo de Seguridad de las Naciones Unidas. Repertorio de la práctica del Consejo de Seguridad. Capítulo VIII p. 392-393.</w:t>
      </w:r>
    </w:p>
  </w:footnote>
  <w:footnote w:id="51">
    <w:p w:rsidR="00C00F28" w:rsidRPr="00713E68" w:rsidRDefault="00C00F28" w:rsidP="009D5581">
      <w:pPr>
        <w:pStyle w:val="FootnoteText"/>
        <w:jc w:val="both"/>
        <w:rPr>
          <w:rFonts w:ascii="Cambria" w:hAnsi="Cambria"/>
          <w:sz w:val="16"/>
          <w:szCs w:val="16"/>
          <w:lang w:val="es-ES"/>
        </w:rPr>
      </w:pPr>
      <w:r w:rsidRPr="009D5581">
        <w:rPr>
          <w:rStyle w:val="FootnoteReference"/>
          <w:rFonts w:ascii="Cambria" w:hAnsi="Cambria"/>
          <w:sz w:val="16"/>
          <w:szCs w:val="16"/>
        </w:rPr>
        <w:footnoteRef/>
      </w:r>
      <w:r w:rsidRPr="00713E68">
        <w:rPr>
          <w:rFonts w:ascii="Cambria" w:hAnsi="Cambria"/>
          <w:sz w:val="16"/>
          <w:szCs w:val="16"/>
          <w:lang w:val="es-ES"/>
        </w:rPr>
        <w:t xml:space="preserve"> Consejo de Seguridad de las Naciones Unidas. Repertorio de la práctica del Consejo de Seguridad. Capítulo VIII p. 393-394.</w:t>
      </w:r>
    </w:p>
  </w:footnote>
  <w:footnote w:id="5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713E68">
        <w:rPr>
          <w:rFonts w:ascii="Cambria" w:hAnsi="Cambria"/>
          <w:sz w:val="16"/>
          <w:szCs w:val="16"/>
          <w:lang w:val="es-ES"/>
        </w:rPr>
        <w:t xml:space="preserve"> </w:t>
      </w:r>
      <w:r w:rsidRPr="00713E68">
        <w:rPr>
          <w:rFonts w:ascii="Cambria" w:eastAsia="Cambria" w:hAnsi="Cambria" w:cs="Cambria"/>
          <w:sz w:val="16"/>
          <w:szCs w:val="16"/>
          <w:lang w:val="es-ES"/>
        </w:rPr>
        <w:t xml:space="preserve">Asamblea General de Representantes de Corregimientos. </w:t>
      </w:r>
      <w:r w:rsidRPr="009D5581">
        <w:rPr>
          <w:rFonts w:ascii="Cambria" w:hAnsi="Cambria"/>
          <w:sz w:val="16"/>
          <w:szCs w:val="16"/>
          <w:lang w:val="es-CO"/>
        </w:rPr>
        <w:t xml:space="preserve">Resoluciones No. 10 por la cual se declara al país en estado de guerra y se adoptan medidas para hacer frente a la agresión extranjera. Gaceta Oficial No 21.435 del 15 de diciembre de 1989. </w:t>
      </w:r>
    </w:p>
  </w:footnote>
  <w:footnote w:id="5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eastAsia="Cambria" w:hAnsi="Cambria" w:cs="Cambria"/>
          <w:sz w:val="16"/>
          <w:szCs w:val="16"/>
          <w:lang w:val="es-ES_tradnl"/>
        </w:rPr>
        <w:t xml:space="preserve">Asamblea General de Representantes de Corregimientos. </w:t>
      </w:r>
      <w:r w:rsidRPr="009D5581">
        <w:rPr>
          <w:rFonts w:ascii="Cambria" w:hAnsi="Cambria"/>
          <w:sz w:val="16"/>
          <w:szCs w:val="16"/>
          <w:lang w:val="es-CO"/>
        </w:rPr>
        <w:t xml:space="preserve">Resoluciones No. 10 por la cual se declara al país en estado de guerra y se adoptan medidas para hacer frente a la agresión extranjera. Gaceta Oficial No 21.435 del 15 de diciembre de 1989. Ver también </w:t>
      </w:r>
      <w:r w:rsidRPr="009D5581">
        <w:rPr>
          <w:rFonts w:ascii="Cambria" w:eastAsia="Cambria" w:hAnsi="Cambria" w:cs="Cambria"/>
          <w:sz w:val="16"/>
          <w:szCs w:val="16"/>
          <w:lang w:val="es-ES_tradnl"/>
        </w:rPr>
        <w:t xml:space="preserve">Asamblea General de Representantes de Corregimientos. </w:t>
      </w:r>
      <w:r w:rsidRPr="009D5581">
        <w:rPr>
          <w:rFonts w:ascii="Cambria" w:hAnsi="Cambria"/>
          <w:sz w:val="16"/>
          <w:szCs w:val="16"/>
          <w:lang w:val="es-CO"/>
        </w:rPr>
        <w:t>Resoluciones No. 11 por la cual se otorgan poderes especiales al Jefe de Gobierno. Gaceta Oficial No 21.435 del 15 de diciembre de 1989.</w:t>
      </w:r>
    </w:p>
  </w:footnote>
  <w:footnote w:id="5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Escrito presentado por el Estado el 8 de enero de 1991. Ver también discurso televisado a nivel nacional del Presidente de los Estados Unidos de América, George Bush, el 20 de diciembre de 1989. Disponible en: </w:t>
      </w:r>
      <w:hyperlink r:id="rId1" w:history="1">
        <w:r w:rsidRPr="009D5581">
          <w:rPr>
            <w:rStyle w:val="Hyperlink"/>
            <w:rFonts w:ascii="Cambria" w:hAnsi="Cambria"/>
            <w:sz w:val="16"/>
            <w:szCs w:val="16"/>
            <w:lang w:val="es-CO"/>
          </w:rPr>
          <w:t>https://www.youtube.com/watch?v=MDZMseL6G10</w:t>
        </w:r>
      </w:hyperlink>
      <w:r w:rsidRPr="009D5581">
        <w:rPr>
          <w:rFonts w:ascii="Cambria" w:hAnsi="Cambria"/>
          <w:sz w:val="16"/>
          <w:szCs w:val="16"/>
          <w:lang w:val="es-CO"/>
        </w:rPr>
        <w:t xml:space="preserve">. </w:t>
      </w:r>
    </w:p>
  </w:footnote>
  <w:footnote w:id="55">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Escrito presentado por e</w:t>
      </w:r>
      <w:r>
        <w:rPr>
          <w:rFonts w:ascii="Cambria" w:hAnsi="Cambria"/>
          <w:sz w:val="16"/>
          <w:szCs w:val="16"/>
          <w:lang w:val="es-CO"/>
        </w:rPr>
        <w:t>l Estado el 8 de enero de 1991.</w:t>
      </w:r>
    </w:p>
  </w:footnote>
  <w:footnote w:id="5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Escrito presentado por el Estado el 8 de enero de 1991.</w:t>
      </w:r>
    </w:p>
  </w:footnote>
  <w:footnote w:id="57">
    <w:p w:rsidR="00C00F28" w:rsidRPr="009D5581" w:rsidRDefault="00C00F28" w:rsidP="009D5581">
      <w:pPr>
        <w:pStyle w:val="FootnoteText"/>
        <w:jc w:val="both"/>
        <w:rPr>
          <w:rFonts w:ascii="Cambria" w:hAnsi="Cambria"/>
          <w:b/>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Escrito presentado por el Estado el 8 de enero de 1991.</w:t>
      </w:r>
    </w:p>
  </w:footnote>
  <w:footnote w:id="5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Escrito presentado por el Estado el 8 de enero de 1991.</w:t>
      </w:r>
    </w:p>
  </w:footnote>
  <w:footnote w:id="5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Anual 1990-1991, Capítulo IV Situación de los derechos humanos en Panamá. OEA/Ser.L/V/II.79, rev.1</w:t>
      </w:r>
      <w:r>
        <w:rPr>
          <w:rFonts w:ascii="Cambria" w:hAnsi="Cambria"/>
          <w:sz w:val="16"/>
          <w:szCs w:val="16"/>
          <w:lang w:val="es-CO"/>
        </w:rPr>
        <w:t xml:space="preserve"> </w:t>
      </w:r>
      <w:r w:rsidRPr="009D5581">
        <w:rPr>
          <w:rFonts w:ascii="Cambria" w:hAnsi="Cambria"/>
          <w:sz w:val="16"/>
          <w:szCs w:val="16"/>
          <w:lang w:val="es-CO"/>
        </w:rPr>
        <w:t xml:space="preserve">doc. 12 del 22 febrero 1991. Ver también </w:t>
      </w:r>
      <w:r>
        <w:rPr>
          <w:rFonts w:ascii="Cambria" w:hAnsi="Cambria"/>
          <w:sz w:val="16"/>
          <w:szCs w:val="16"/>
          <w:lang w:val="es-CO"/>
        </w:rPr>
        <w:t>Anexo 1</w:t>
      </w:r>
      <w:r w:rsidRPr="009D5581">
        <w:rPr>
          <w:rFonts w:ascii="Cambria" w:hAnsi="Cambria"/>
          <w:sz w:val="16"/>
          <w:szCs w:val="16"/>
          <w:lang w:val="es-CO"/>
        </w:rPr>
        <w:t>. Escrito presentado por el Estado el 8 de enero de 1991; y</w:t>
      </w:r>
      <w:r>
        <w:rPr>
          <w:rFonts w:ascii="Cambria" w:hAnsi="Cambria"/>
          <w:sz w:val="16"/>
          <w:szCs w:val="16"/>
          <w:lang w:val="es-CO"/>
        </w:rPr>
        <w:t xml:space="preserve"> Anexo 3</w:t>
      </w:r>
      <w:r w:rsidRPr="009D5581">
        <w:rPr>
          <w:rFonts w:ascii="Cambria" w:hAnsi="Cambria"/>
          <w:sz w:val="16"/>
          <w:szCs w:val="16"/>
          <w:lang w:val="es-CO"/>
        </w:rPr>
        <w:t>. Escrito de petición inicial presentado por la parte peticionaria.</w:t>
      </w:r>
    </w:p>
  </w:footnote>
  <w:footnote w:id="6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Anual 1990-1991, Capítulo IV Situación de los derechos humanos en Panamá. OEA/Ser.L/V/II.79, rev.1</w:t>
      </w:r>
      <w:r>
        <w:rPr>
          <w:rFonts w:ascii="Cambria" w:hAnsi="Cambria"/>
          <w:sz w:val="16"/>
          <w:szCs w:val="16"/>
          <w:lang w:val="es-CO"/>
        </w:rPr>
        <w:t xml:space="preserve"> </w:t>
      </w:r>
      <w:r w:rsidRPr="009D5581">
        <w:rPr>
          <w:rFonts w:ascii="Cambria" w:hAnsi="Cambria"/>
          <w:sz w:val="16"/>
          <w:szCs w:val="16"/>
          <w:lang w:val="es-CO"/>
        </w:rPr>
        <w:t xml:space="preserve">doc. 12 del 22 febrero 1991. </w:t>
      </w:r>
    </w:p>
  </w:footnote>
  <w:footnote w:id="6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Anual 1990-1991, Capítulo IV Situación de los derechos humanos en Panamá. OEA/Ser.L/V/II.79, rev.1</w:t>
      </w:r>
      <w:r>
        <w:rPr>
          <w:rFonts w:ascii="Cambria" w:hAnsi="Cambria"/>
          <w:sz w:val="16"/>
          <w:szCs w:val="16"/>
          <w:lang w:val="es-CO"/>
        </w:rPr>
        <w:t xml:space="preserve"> </w:t>
      </w:r>
      <w:r w:rsidRPr="009D5581">
        <w:rPr>
          <w:rFonts w:ascii="Cambria" w:hAnsi="Cambria"/>
          <w:sz w:val="16"/>
          <w:szCs w:val="16"/>
          <w:lang w:val="es-CO"/>
        </w:rPr>
        <w:t xml:space="preserve">doc. 12 del 22 febrero 1991. </w:t>
      </w:r>
    </w:p>
  </w:footnote>
  <w:footnote w:id="6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Presidencia de Panamá. Estatuto de Retorno Inmediato a la Plenitud del Orden Constitucional. Gaceta Oficial No. 21.440 del 21 de diciembre de 1989. </w:t>
      </w:r>
    </w:p>
  </w:footnote>
  <w:footnote w:id="63">
    <w:p w:rsidR="00C00F28" w:rsidRPr="00B47EA8" w:rsidRDefault="00C00F28" w:rsidP="009D5581">
      <w:pPr>
        <w:pStyle w:val="FootnoteText"/>
        <w:jc w:val="both"/>
        <w:rPr>
          <w:rFonts w:ascii="Cambria" w:hAnsi="Cambria"/>
          <w:sz w:val="16"/>
          <w:szCs w:val="16"/>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Anual 1990-1991, Capítulo IV Situación de los derechos humanos en Panamá. </w:t>
      </w:r>
      <w:r w:rsidRPr="00B47EA8">
        <w:rPr>
          <w:rFonts w:ascii="Cambria" w:hAnsi="Cambria"/>
          <w:sz w:val="16"/>
          <w:szCs w:val="16"/>
        </w:rPr>
        <w:t>OEA/Ser.L/V/II.79, rev.1 doc. 12 del 22 febrero 1991.</w:t>
      </w:r>
    </w:p>
  </w:footnote>
  <w:footnote w:id="64">
    <w:p w:rsidR="00C00F28" w:rsidRPr="009D5581" w:rsidRDefault="00C00F28" w:rsidP="009D5581">
      <w:pPr>
        <w:pStyle w:val="FootnoteText"/>
        <w:jc w:val="both"/>
        <w:rPr>
          <w:rFonts w:ascii="Cambria" w:hAnsi="Cambria"/>
          <w:b/>
          <w:sz w:val="16"/>
          <w:szCs w:val="16"/>
          <w:lang w:val="es-CO"/>
        </w:rPr>
      </w:pPr>
      <w:r w:rsidRPr="009D5581">
        <w:rPr>
          <w:rStyle w:val="FootnoteReference"/>
          <w:rFonts w:ascii="Cambria" w:hAnsi="Cambria"/>
          <w:sz w:val="16"/>
          <w:szCs w:val="16"/>
        </w:rPr>
        <w:footnoteRef/>
      </w:r>
      <w:r w:rsidRPr="003A01AC">
        <w:rPr>
          <w:rFonts w:ascii="Cambria" w:hAnsi="Cambria"/>
          <w:sz w:val="16"/>
          <w:szCs w:val="16"/>
        </w:rPr>
        <w:t xml:space="preserve"> </w:t>
      </w:r>
      <w:r>
        <w:rPr>
          <w:rFonts w:ascii="Cambria" w:hAnsi="Cambria"/>
          <w:sz w:val="16"/>
          <w:szCs w:val="16"/>
        </w:rPr>
        <w:t xml:space="preserve">Joint Staff Historical </w:t>
      </w:r>
      <w:r w:rsidRPr="009D5581">
        <w:rPr>
          <w:rFonts w:ascii="Cambria" w:hAnsi="Cambria"/>
          <w:sz w:val="16"/>
          <w:szCs w:val="16"/>
        </w:rPr>
        <w:t xml:space="preserve">Study. Operation Just Cause, planning and execution (February 1988 – January 1990). </w:t>
      </w:r>
      <w:r w:rsidRPr="009D5581">
        <w:rPr>
          <w:rFonts w:ascii="Cambria" w:hAnsi="Cambria"/>
          <w:sz w:val="16"/>
          <w:szCs w:val="16"/>
          <w:lang w:val="es-CO"/>
        </w:rPr>
        <w:t>Anexo A de Escrito presentado por la parte peticionaria en febrero 1995.</w:t>
      </w:r>
    </w:p>
  </w:footnote>
  <w:footnote w:id="65">
    <w:p w:rsidR="00C00F28" w:rsidRPr="005177AF" w:rsidRDefault="00C00F28" w:rsidP="009D5581">
      <w:pPr>
        <w:pStyle w:val="FootnoteText"/>
        <w:jc w:val="both"/>
        <w:rPr>
          <w:rFonts w:ascii="Cambria" w:hAnsi="Cambria"/>
          <w:sz w:val="16"/>
          <w:szCs w:val="16"/>
          <w:lang w:val="es-US"/>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Escrito presentado por el Estad</w:t>
      </w:r>
      <w:r>
        <w:rPr>
          <w:rFonts w:ascii="Cambria" w:hAnsi="Cambria"/>
          <w:sz w:val="16"/>
          <w:szCs w:val="16"/>
          <w:lang w:val="es-CO"/>
        </w:rPr>
        <w:t>o el 8 de enero de 1991; y Anexo 3</w:t>
      </w:r>
      <w:r w:rsidRPr="009D5581">
        <w:rPr>
          <w:rFonts w:ascii="Cambria" w:hAnsi="Cambria"/>
          <w:sz w:val="16"/>
          <w:szCs w:val="16"/>
          <w:lang w:val="es-CO"/>
        </w:rPr>
        <w:t xml:space="preserve">. </w:t>
      </w:r>
      <w:r w:rsidRPr="005177AF">
        <w:rPr>
          <w:rFonts w:ascii="Cambria" w:hAnsi="Cambria"/>
          <w:sz w:val="16"/>
          <w:szCs w:val="16"/>
          <w:lang w:val="es-US"/>
        </w:rPr>
        <w:t>Escrito de petición inicial presentado por la parte peticionaria.</w:t>
      </w:r>
    </w:p>
  </w:footnote>
  <w:footnote w:id="6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5177AF">
        <w:rPr>
          <w:rFonts w:ascii="Cambria" w:hAnsi="Cambria"/>
          <w:sz w:val="16"/>
          <w:szCs w:val="16"/>
          <w:lang w:val="es-US"/>
        </w:rPr>
        <w:t xml:space="preserve"> Joint Staff Historical Study. </w:t>
      </w:r>
      <w:r w:rsidRPr="009D5581">
        <w:rPr>
          <w:rFonts w:ascii="Cambria" w:hAnsi="Cambria"/>
          <w:sz w:val="16"/>
          <w:szCs w:val="16"/>
        </w:rPr>
        <w:t xml:space="preserve">Operation Just Cause, planning and execution (February 1988 – January 1990). </w:t>
      </w:r>
      <w:r w:rsidRPr="009D5581">
        <w:rPr>
          <w:rFonts w:ascii="Cambria" w:hAnsi="Cambria"/>
          <w:sz w:val="16"/>
          <w:szCs w:val="16"/>
          <w:lang w:val="es-CO"/>
        </w:rPr>
        <w:t>Anexo A de Escrito presentado por la parte peticionaria en febrero 1995.</w:t>
      </w:r>
    </w:p>
  </w:footnote>
  <w:footnote w:id="67">
    <w:p w:rsidR="00C00F28" w:rsidRPr="009D5581" w:rsidRDefault="00C00F28" w:rsidP="009D5581">
      <w:pPr>
        <w:pStyle w:val="FootnoteText"/>
        <w:jc w:val="both"/>
        <w:rPr>
          <w:rFonts w:ascii="Cambria" w:hAnsi="Cambria"/>
          <w:sz w:val="16"/>
          <w:szCs w:val="16"/>
          <w:lang w:val="es-ES_tradnl"/>
        </w:rPr>
      </w:pPr>
      <w:r w:rsidRPr="009D5581">
        <w:rPr>
          <w:rStyle w:val="FootnoteReference"/>
          <w:rFonts w:ascii="Cambria" w:hAnsi="Cambria"/>
          <w:sz w:val="16"/>
          <w:szCs w:val="16"/>
          <w:lang w:val="es-ES_tradnl"/>
        </w:rPr>
        <w:footnoteRef/>
      </w:r>
      <w:r w:rsidRPr="009D5581">
        <w:rPr>
          <w:rFonts w:ascii="Cambria" w:hAnsi="Cambria"/>
          <w:sz w:val="16"/>
          <w:szCs w:val="16"/>
          <w:lang w:val="es-ES_tradnl"/>
        </w:rPr>
        <w:t xml:space="preserve"> CIDH. Informe Anual 1990-1991, Capítulo IV Situación de los derechos humanos en Panamá. OEA/Ser.L/V/II.79, rev.1</w:t>
      </w:r>
      <w:r>
        <w:rPr>
          <w:rFonts w:ascii="Cambria" w:hAnsi="Cambria"/>
          <w:sz w:val="16"/>
          <w:szCs w:val="16"/>
          <w:lang w:val="es-ES_tradnl"/>
        </w:rPr>
        <w:t xml:space="preserve"> </w:t>
      </w:r>
      <w:r w:rsidRPr="009D5581">
        <w:rPr>
          <w:rFonts w:ascii="Cambria" w:hAnsi="Cambria"/>
          <w:sz w:val="16"/>
          <w:szCs w:val="16"/>
          <w:lang w:val="es-ES_tradnl"/>
        </w:rPr>
        <w:t>doc. 12 del 22 febrero 1991.</w:t>
      </w:r>
    </w:p>
  </w:footnote>
  <w:footnote w:id="68">
    <w:p w:rsidR="00C00F28" w:rsidRPr="009D5581" w:rsidRDefault="00C00F28" w:rsidP="009D5581">
      <w:pPr>
        <w:pStyle w:val="FootnoteText"/>
        <w:jc w:val="both"/>
        <w:rPr>
          <w:rFonts w:ascii="Cambria" w:hAnsi="Cambria"/>
          <w:sz w:val="16"/>
          <w:szCs w:val="16"/>
          <w:lang w:val="es-ES_tradnl"/>
        </w:rPr>
      </w:pPr>
      <w:r w:rsidRPr="009D5581">
        <w:rPr>
          <w:rStyle w:val="FootnoteReference"/>
          <w:rFonts w:ascii="Cambria" w:hAnsi="Cambria"/>
          <w:sz w:val="16"/>
          <w:szCs w:val="16"/>
          <w:lang w:val="es-ES_tradnl"/>
        </w:rPr>
        <w:footnoteRef/>
      </w:r>
      <w:r w:rsidRPr="00B11DAD">
        <w:rPr>
          <w:rFonts w:ascii="Cambria" w:hAnsi="Cambria"/>
          <w:sz w:val="16"/>
          <w:szCs w:val="16"/>
          <w:lang w:val="es-US"/>
        </w:rPr>
        <w:t xml:space="preserve"> </w:t>
      </w:r>
      <w:bookmarkStart w:id="11" w:name="_Hlk499666481"/>
      <w:r w:rsidRPr="00B11DAD">
        <w:rPr>
          <w:rFonts w:ascii="Cambria" w:hAnsi="Cambria"/>
          <w:sz w:val="16"/>
          <w:szCs w:val="16"/>
          <w:lang w:val="es-US"/>
        </w:rPr>
        <w:t xml:space="preserve">Americas Watch. </w:t>
      </w:r>
      <w:r w:rsidRPr="009D5581">
        <w:rPr>
          <w:rFonts w:ascii="Cambria" w:hAnsi="Cambria"/>
          <w:sz w:val="16"/>
          <w:szCs w:val="16"/>
        </w:rPr>
        <w:t xml:space="preserve">The Laws of war and the conduct of the Panama invasion. </w:t>
      </w:r>
      <w:r w:rsidRPr="009D5581">
        <w:rPr>
          <w:rFonts w:ascii="Cambria" w:hAnsi="Cambria"/>
          <w:sz w:val="16"/>
          <w:szCs w:val="16"/>
          <w:lang w:val="es-VE"/>
        </w:rPr>
        <w:t>A</w:t>
      </w:r>
      <w:r w:rsidRPr="009D5581">
        <w:rPr>
          <w:rFonts w:ascii="Cambria" w:hAnsi="Cambria"/>
          <w:sz w:val="16"/>
          <w:szCs w:val="16"/>
          <w:lang w:val="es-ES_tradnl"/>
        </w:rPr>
        <w:t>.M. Papers, 10 de mayo de 1990, págs. 35 y ss.</w:t>
      </w:r>
      <w:bookmarkEnd w:id="11"/>
    </w:p>
  </w:footnote>
  <w:footnote w:id="69">
    <w:p w:rsidR="00C00F28" w:rsidRPr="009D5581" w:rsidRDefault="00C00F28" w:rsidP="009D5581">
      <w:pPr>
        <w:pStyle w:val="FootnoteText"/>
        <w:jc w:val="both"/>
        <w:rPr>
          <w:rFonts w:ascii="Cambria" w:hAnsi="Cambria"/>
          <w:sz w:val="16"/>
          <w:szCs w:val="16"/>
          <w:lang w:val="es-ES_tradnl"/>
        </w:rPr>
      </w:pPr>
      <w:r w:rsidRPr="009D5581">
        <w:rPr>
          <w:rStyle w:val="FootnoteReference"/>
          <w:rFonts w:ascii="Cambria" w:hAnsi="Cambria"/>
          <w:sz w:val="16"/>
          <w:szCs w:val="16"/>
          <w:lang w:val="es-ES_tradnl"/>
        </w:rPr>
        <w:footnoteRef/>
      </w:r>
      <w:r w:rsidRPr="009D5581">
        <w:rPr>
          <w:rFonts w:ascii="Cambria" w:hAnsi="Cambria"/>
          <w:sz w:val="16"/>
          <w:szCs w:val="16"/>
          <w:lang w:val="es-ES_tradnl"/>
        </w:rPr>
        <w:t xml:space="preserve"> CIDH. Informe Anual 1990-1991, Capítulo IV Situación de los derechos humanos en Panamá. OEA/Ser.L/V/II.79, rev.1</w:t>
      </w:r>
      <w:r>
        <w:rPr>
          <w:rFonts w:ascii="Cambria" w:hAnsi="Cambria"/>
          <w:sz w:val="16"/>
          <w:szCs w:val="16"/>
          <w:lang w:val="es-ES_tradnl"/>
        </w:rPr>
        <w:t xml:space="preserve"> </w:t>
      </w:r>
      <w:r w:rsidRPr="009D5581">
        <w:rPr>
          <w:rFonts w:ascii="Cambria" w:hAnsi="Cambria"/>
          <w:sz w:val="16"/>
          <w:szCs w:val="16"/>
          <w:lang w:val="es-ES_tradnl"/>
        </w:rPr>
        <w:t>doc. 12 del 22 febrero 1991.</w:t>
      </w:r>
    </w:p>
  </w:footnote>
  <w:footnote w:id="70">
    <w:p w:rsidR="00C00F28" w:rsidRPr="00713E68" w:rsidRDefault="00C00F28" w:rsidP="009D5581">
      <w:pPr>
        <w:pStyle w:val="FootnoteText"/>
        <w:jc w:val="both"/>
        <w:rPr>
          <w:rFonts w:ascii="Cambria" w:hAnsi="Cambria"/>
          <w:sz w:val="16"/>
          <w:szCs w:val="16"/>
          <w:lang w:val="es-ES"/>
        </w:rPr>
      </w:pPr>
      <w:r w:rsidRPr="009D5581">
        <w:rPr>
          <w:rStyle w:val="FootnoteReference"/>
          <w:rFonts w:ascii="Cambria" w:hAnsi="Cambria"/>
          <w:sz w:val="16"/>
          <w:szCs w:val="16"/>
          <w:lang w:val="es-ES_tradnl"/>
        </w:rPr>
        <w:footnoteRef/>
      </w:r>
      <w:r w:rsidRPr="009D5581">
        <w:rPr>
          <w:rFonts w:ascii="Cambria" w:hAnsi="Cambria"/>
          <w:sz w:val="16"/>
          <w:szCs w:val="16"/>
          <w:lang w:val="es-ES_tradnl"/>
        </w:rPr>
        <w:t xml:space="preserve"> CIDH. Informe Anual 1990-1991, Capítulo IV Situación de los derechos humanos en Panamá. OEA/Ser.L/V/II.79, rev.1</w:t>
      </w:r>
      <w:r>
        <w:rPr>
          <w:rFonts w:ascii="Cambria" w:hAnsi="Cambria"/>
          <w:sz w:val="16"/>
          <w:szCs w:val="16"/>
          <w:lang w:val="es-ES_tradnl"/>
        </w:rPr>
        <w:t xml:space="preserve"> </w:t>
      </w:r>
      <w:r w:rsidRPr="009D5581">
        <w:rPr>
          <w:rFonts w:ascii="Cambria" w:hAnsi="Cambria"/>
          <w:sz w:val="16"/>
          <w:szCs w:val="16"/>
          <w:lang w:val="es-ES_tradnl"/>
        </w:rPr>
        <w:t xml:space="preserve">doc. 12 del 22 febrero 1991. </w:t>
      </w:r>
      <w:r w:rsidRPr="00D717CE">
        <w:rPr>
          <w:rFonts w:ascii="Cambria" w:hAnsi="Cambria"/>
          <w:sz w:val="16"/>
          <w:szCs w:val="16"/>
          <w:lang w:val="es-VE"/>
        </w:rPr>
        <w:t xml:space="preserve">Ver también Americas Watch. </w:t>
      </w:r>
      <w:r w:rsidRPr="009D5581">
        <w:rPr>
          <w:rFonts w:ascii="Cambria" w:hAnsi="Cambria"/>
          <w:sz w:val="16"/>
          <w:szCs w:val="16"/>
        </w:rPr>
        <w:t xml:space="preserve">Human Rights in Post-Invasion Panama: Justice Delayed is Justice Denied. </w:t>
      </w:r>
      <w:r w:rsidRPr="00713E68">
        <w:rPr>
          <w:rFonts w:ascii="Cambria" w:hAnsi="Cambria"/>
          <w:sz w:val="16"/>
          <w:szCs w:val="16"/>
          <w:lang w:val="es-ES"/>
        </w:rPr>
        <w:t>7 de abril de 1991.</w:t>
      </w:r>
    </w:p>
  </w:footnote>
  <w:footnote w:id="71">
    <w:p w:rsidR="00C00F28" w:rsidRPr="00713E68" w:rsidRDefault="00C00F28" w:rsidP="009D5581">
      <w:pPr>
        <w:pStyle w:val="FootnoteText"/>
        <w:jc w:val="both"/>
        <w:rPr>
          <w:rFonts w:ascii="Cambria" w:hAnsi="Cambria" w:cs="Arial"/>
          <w:sz w:val="16"/>
          <w:szCs w:val="16"/>
          <w:lang w:val="es-ES"/>
        </w:rPr>
      </w:pPr>
      <w:r w:rsidRPr="009D5581">
        <w:rPr>
          <w:rStyle w:val="FootnoteReference"/>
          <w:rFonts w:ascii="Cambria" w:hAnsi="Cambria"/>
          <w:sz w:val="16"/>
          <w:szCs w:val="16"/>
          <w:lang w:val="es-ES_tradnl"/>
        </w:rPr>
        <w:footnoteRef/>
      </w:r>
      <w:r w:rsidRPr="00713E68">
        <w:rPr>
          <w:rFonts w:ascii="Cambria" w:hAnsi="Cambria"/>
          <w:sz w:val="16"/>
          <w:szCs w:val="16"/>
          <w:lang w:val="es-ES"/>
        </w:rPr>
        <w:t xml:space="preserve"> Consejo de Seguridad de las Naciones Unidas. Repertorio de la práctica del Consejo de Seguridad. Capítulo VIII </w:t>
      </w:r>
      <w:r w:rsidRPr="00713E68">
        <w:rPr>
          <w:rFonts w:ascii="Cambria" w:hAnsi="Cambria" w:cs="Arial"/>
          <w:sz w:val="16"/>
          <w:szCs w:val="16"/>
          <w:lang w:val="es-ES"/>
        </w:rPr>
        <w:t>p. 394-399.</w:t>
      </w:r>
    </w:p>
  </w:footnote>
  <w:footnote w:id="72">
    <w:p w:rsidR="00C00F28" w:rsidRPr="00713E68" w:rsidRDefault="00C00F28" w:rsidP="009D5581">
      <w:pPr>
        <w:pStyle w:val="FootnoteText"/>
        <w:jc w:val="both"/>
        <w:rPr>
          <w:rFonts w:ascii="Cambria" w:hAnsi="Cambria" w:cs="Arial"/>
          <w:sz w:val="16"/>
          <w:szCs w:val="16"/>
          <w:lang w:val="es-ES"/>
        </w:rPr>
      </w:pPr>
      <w:r w:rsidRPr="009D5581">
        <w:rPr>
          <w:rStyle w:val="FootnoteReference"/>
          <w:rFonts w:ascii="Cambria" w:hAnsi="Cambria" w:cs="Arial"/>
          <w:sz w:val="16"/>
          <w:szCs w:val="16"/>
          <w:lang w:val="es-ES_tradnl"/>
        </w:rPr>
        <w:footnoteRef/>
      </w:r>
      <w:r w:rsidRPr="00713E68">
        <w:rPr>
          <w:rFonts w:ascii="Cambria" w:hAnsi="Cambria" w:cs="Arial"/>
          <w:sz w:val="16"/>
          <w:szCs w:val="16"/>
          <w:lang w:val="es-ES"/>
        </w:rPr>
        <w:t xml:space="preserve"> </w:t>
      </w:r>
      <w:r w:rsidRPr="00713E68">
        <w:rPr>
          <w:rFonts w:ascii="Cambria" w:hAnsi="Cambria"/>
          <w:sz w:val="16"/>
          <w:szCs w:val="16"/>
          <w:lang w:val="es-ES"/>
        </w:rPr>
        <w:t xml:space="preserve">Consejo de Seguridad de las Naciones Unidas. Repertorio de la práctica del Consejo de Seguridad. Capítulo VIII </w:t>
      </w:r>
      <w:r w:rsidRPr="00713E68">
        <w:rPr>
          <w:rFonts w:ascii="Cambria" w:hAnsi="Cambria" w:cs="Arial"/>
          <w:sz w:val="16"/>
          <w:szCs w:val="16"/>
          <w:lang w:val="es-ES"/>
        </w:rPr>
        <w:t>p. 399.</w:t>
      </w:r>
    </w:p>
  </w:footnote>
  <w:footnote w:id="73">
    <w:p w:rsidR="00C00F28" w:rsidRPr="00713E68" w:rsidRDefault="00C00F28" w:rsidP="009D5581">
      <w:pPr>
        <w:pStyle w:val="FootnoteText"/>
        <w:jc w:val="both"/>
        <w:rPr>
          <w:rFonts w:ascii="Cambria" w:hAnsi="Cambria" w:cs="Arial"/>
          <w:sz w:val="16"/>
          <w:szCs w:val="16"/>
          <w:lang w:val="es-ES"/>
        </w:rPr>
      </w:pPr>
      <w:r w:rsidRPr="009D5581">
        <w:rPr>
          <w:rStyle w:val="FootnoteReference"/>
          <w:rFonts w:ascii="Cambria" w:hAnsi="Cambria" w:cs="Arial"/>
          <w:sz w:val="16"/>
          <w:szCs w:val="16"/>
          <w:lang w:val="es-ES_tradnl"/>
        </w:rPr>
        <w:footnoteRef/>
      </w:r>
      <w:r w:rsidRPr="00713E68">
        <w:rPr>
          <w:rFonts w:ascii="Cambria" w:hAnsi="Cambria" w:cs="Arial"/>
          <w:sz w:val="16"/>
          <w:szCs w:val="16"/>
          <w:lang w:val="es-ES"/>
        </w:rPr>
        <w:t xml:space="preserve"> </w:t>
      </w:r>
      <w:r w:rsidRPr="00713E68">
        <w:rPr>
          <w:rFonts w:ascii="Cambria" w:hAnsi="Cambria"/>
          <w:sz w:val="16"/>
          <w:szCs w:val="16"/>
          <w:lang w:val="es-ES"/>
        </w:rPr>
        <w:t>Consejo de Seguridad de las Naciones Unidas. Repertorio de la práctica del Consejo de Seguridad. Capítulo VIII</w:t>
      </w:r>
      <w:r w:rsidRPr="00713E68">
        <w:rPr>
          <w:rFonts w:ascii="Cambria" w:hAnsi="Cambria" w:cs="Arial"/>
          <w:sz w:val="16"/>
          <w:szCs w:val="16"/>
          <w:lang w:val="es-ES"/>
        </w:rPr>
        <w:t xml:space="preserve"> p. 400.</w:t>
      </w:r>
    </w:p>
  </w:footnote>
  <w:footnote w:id="74">
    <w:p w:rsidR="00C00F28" w:rsidRPr="00713E68" w:rsidRDefault="00C00F28" w:rsidP="009D5581">
      <w:pPr>
        <w:pStyle w:val="FootnoteText"/>
        <w:jc w:val="both"/>
        <w:rPr>
          <w:rFonts w:ascii="Cambria" w:hAnsi="Cambria"/>
          <w:sz w:val="16"/>
          <w:szCs w:val="16"/>
          <w:lang w:val="es-ES"/>
        </w:rPr>
      </w:pPr>
      <w:r w:rsidRPr="009D5581">
        <w:rPr>
          <w:rStyle w:val="FootnoteReference"/>
          <w:rFonts w:ascii="Cambria" w:hAnsi="Cambria" w:cs="Arial"/>
          <w:sz w:val="16"/>
          <w:szCs w:val="16"/>
          <w:lang w:val="es-ES_tradnl"/>
        </w:rPr>
        <w:footnoteRef/>
      </w:r>
      <w:r w:rsidRPr="00713E68">
        <w:rPr>
          <w:rFonts w:ascii="Cambria" w:hAnsi="Cambria" w:cs="Arial"/>
          <w:sz w:val="16"/>
          <w:szCs w:val="16"/>
          <w:lang w:val="es-ES"/>
        </w:rPr>
        <w:t xml:space="preserve"> </w:t>
      </w:r>
      <w:r w:rsidRPr="00713E68">
        <w:rPr>
          <w:rFonts w:ascii="Cambria" w:hAnsi="Cambria"/>
          <w:sz w:val="16"/>
          <w:szCs w:val="16"/>
          <w:lang w:val="es-ES"/>
        </w:rPr>
        <w:t xml:space="preserve">Consejo de Seguridad de las Naciones Unidas. Repertorio de la práctica del Consejo de Seguridad. Capítulo VIII </w:t>
      </w:r>
      <w:r w:rsidRPr="00713E68">
        <w:rPr>
          <w:rFonts w:ascii="Cambria" w:hAnsi="Cambria" w:cs="Arial"/>
          <w:sz w:val="16"/>
          <w:szCs w:val="16"/>
          <w:lang w:val="es-ES"/>
        </w:rPr>
        <w:t>p. 400.</w:t>
      </w:r>
    </w:p>
  </w:footnote>
  <w:footnote w:id="75">
    <w:p w:rsidR="00C00F28" w:rsidRPr="009D5581" w:rsidRDefault="00C00F28" w:rsidP="009D5581">
      <w:pPr>
        <w:pStyle w:val="FootnoteText"/>
        <w:jc w:val="both"/>
        <w:rPr>
          <w:rFonts w:ascii="Cambria" w:hAnsi="Cambria"/>
          <w:sz w:val="16"/>
          <w:szCs w:val="16"/>
          <w:lang w:val="es-ES_tradnl"/>
        </w:rPr>
      </w:pPr>
      <w:r w:rsidRPr="009D5581">
        <w:rPr>
          <w:rStyle w:val="FootnoteReference"/>
          <w:rFonts w:ascii="Cambria" w:hAnsi="Cambria"/>
          <w:sz w:val="16"/>
          <w:szCs w:val="16"/>
          <w:lang w:val="es-ES_tradnl"/>
        </w:rPr>
        <w:footnoteRef/>
      </w:r>
      <w:r w:rsidRPr="00713E68">
        <w:rPr>
          <w:rFonts w:ascii="Cambria" w:hAnsi="Cambria"/>
          <w:sz w:val="16"/>
          <w:szCs w:val="16"/>
          <w:lang w:val="es-ES"/>
        </w:rPr>
        <w:t xml:space="preserve"> Consejo de Seguridad de las Naciones Unidas. Repertorio de la práctica del Consejo de Seguridad. Capítulo VIII </w:t>
      </w:r>
      <w:r w:rsidRPr="009D5581">
        <w:rPr>
          <w:rFonts w:ascii="Cambria" w:hAnsi="Cambria"/>
          <w:sz w:val="16"/>
          <w:szCs w:val="16"/>
          <w:lang w:val="es-ES_tradnl"/>
        </w:rPr>
        <w:t>p. 401.</w:t>
      </w:r>
    </w:p>
  </w:footnote>
  <w:footnote w:id="76">
    <w:p w:rsidR="00C00F28" w:rsidRPr="009D5581" w:rsidRDefault="00C00F28" w:rsidP="009D5581">
      <w:pPr>
        <w:pStyle w:val="FootnoteText"/>
        <w:jc w:val="both"/>
        <w:rPr>
          <w:rFonts w:ascii="Cambria" w:hAnsi="Cambria"/>
          <w:sz w:val="16"/>
          <w:szCs w:val="16"/>
          <w:lang w:val="es-ES_tradnl"/>
        </w:rPr>
      </w:pPr>
      <w:r w:rsidRPr="009D5581">
        <w:rPr>
          <w:rStyle w:val="FootnoteReference"/>
          <w:rFonts w:ascii="Cambria" w:hAnsi="Cambria"/>
          <w:sz w:val="16"/>
          <w:szCs w:val="16"/>
          <w:lang w:val="es-ES_tradnl"/>
        </w:rPr>
        <w:footnoteRef/>
      </w:r>
      <w:r w:rsidRPr="009D5581">
        <w:rPr>
          <w:rFonts w:ascii="Cambria" w:hAnsi="Cambria"/>
          <w:sz w:val="16"/>
          <w:szCs w:val="16"/>
          <w:lang w:val="es-ES_tradnl"/>
        </w:rPr>
        <w:t xml:space="preserve"> Asamblea General de las Naciones Unidas. Resolución No. 44/240 “Efectos sobre la situación en Centroamérica de la intervención militar de los Estados Unidos de América en Panamá”, ap</w:t>
      </w:r>
      <w:r>
        <w:rPr>
          <w:rFonts w:ascii="Cambria" w:hAnsi="Cambria"/>
          <w:sz w:val="16"/>
          <w:szCs w:val="16"/>
          <w:lang w:val="es-ES_tradnl"/>
        </w:rPr>
        <w:t>robada 29 de diciembre de 1989.</w:t>
      </w:r>
      <w:r w:rsidRPr="009D5581">
        <w:rPr>
          <w:rFonts w:ascii="Cambria" w:hAnsi="Cambria"/>
          <w:sz w:val="16"/>
          <w:szCs w:val="16"/>
          <w:lang w:val="es-ES_tradnl"/>
        </w:rPr>
        <w:t xml:space="preserve"> </w:t>
      </w:r>
    </w:p>
  </w:footnote>
  <w:footnote w:id="77">
    <w:p w:rsidR="00C00F28" w:rsidRPr="009D5581" w:rsidRDefault="00C00F28" w:rsidP="009D5581">
      <w:pPr>
        <w:pStyle w:val="FootnoteText"/>
        <w:jc w:val="both"/>
        <w:rPr>
          <w:rFonts w:ascii="Cambria" w:hAnsi="Cambria"/>
          <w:sz w:val="16"/>
          <w:szCs w:val="16"/>
          <w:lang w:val="es-ES_tradnl"/>
        </w:rPr>
      </w:pPr>
      <w:r w:rsidRPr="009D5581">
        <w:rPr>
          <w:rStyle w:val="FootnoteReference"/>
          <w:rFonts w:ascii="Cambria" w:hAnsi="Cambria"/>
          <w:sz w:val="16"/>
          <w:szCs w:val="16"/>
          <w:lang w:val="es-ES_tradnl"/>
        </w:rPr>
        <w:footnoteRef/>
      </w:r>
      <w:r w:rsidRPr="009D5581">
        <w:rPr>
          <w:rFonts w:ascii="Cambria" w:hAnsi="Cambria"/>
          <w:sz w:val="16"/>
          <w:szCs w:val="16"/>
          <w:lang w:val="es-ES_tradnl"/>
        </w:rPr>
        <w:t xml:space="preserve"> Asamblea General de las Naciones Unidas. Resolución No. 44/240 “Efectos sobre la situación en Centroamérica de la intervención militar de los Estados Unidos de América en Panamá”, aprobada 29 de diciembre de 198</w:t>
      </w:r>
      <w:r>
        <w:rPr>
          <w:rFonts w:ascii="Cambria" w:hAnsi="Cambria"/>
          <w:sz w:val="16"/>
          <w:szCs w:val="16"/>
          <w:lang w:val="es-ES_tradnl"/>
        </w:rPr>
        <w:t>9.</w:t>
      </w:r>
      <w:r w:rsidRPr="009D5581">
        <w:rPr>
          <w:rFonts w:ascii="Cambria" w:hAnsi="Cambria"/>
          <w:sz w:val="16"/>
          <w:szCs w:val="16"/>
          <w:lang w:val="es-ES_tradnl"/>
        </w:rPr>
        <w:t xml:space="preserve"> </w:t>
      </w:r>
    </w:p>
  </w:footnote>
  <w:footnote w:id="7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lang w:val="es-ES_tradnl"/>
        </w:rPr>
        <w:footnoteRef/>
      </w:r>
      <w:r w:rsidRPr="009D5581">
        <w:rPr>
          <w:rFonts w:ascii="Cambria" w:hAnsi="Cambria"/>
          <w:sz w:val="16"/>
          <w:szCs w:val="16"/>
          <w:lang w:val="es-ES_tradnl"/>
        </w:rPr>
        <w:t xml:space="preserve"> Asamblea General de las Naciones Unidas. Resolución No. 44/240 “Efectos sobre la situación en Centroamérica de la intervención militar de los Estados Unidos de América en Panamá”, apr</w:t>
      </w:r>
      <w:r>
        <w:rPr>
          <w:rFonts w:ascii="Cambria" w:hAnsi="Cambria"/>
          <w:sz w:val="16"/>
          <w:szCs w:val="16"/>
          <w:lang w:val="es-ES_tradnl"/>
        </w:rPr>
        <w:t xml:space="preserve">obada 29 de diciembre de 1989. </w:t>
      </w:r>
    </w:p>
  </w:footnote>
  <w:footnote w:id="7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Consejo Permanente de la O.E.A. Resolución CP/RES 534 (800/89) “serios eventos en la República de Panamá”, aprobada el 22 de diciembre de 1989. </w:t>
      </w:r>
    </w:p>
  </w:footnote>
  <w:footnote w:id="8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Consejo Permanente de la O.E.A. Resolución CP/RES 534 (800/89) “serios eventos en la República de Panamá”, aproba</w:t>
      </w:r>
      <w:r>
        <w:rPr>
          <w:rFonts w:ascii="Cambria" w:hAnsi="Cambria"/>
          <w:sz w:val="16"/>
          <w:szCs w:val="16"/>
          <w:lang w:val="es-CO"/>
        </w:rPr>
        <w:t>da</w:t>
      </w:r>
      <w:r w:rsidRPr="009D5581">
        <w:rPr>
          <w:rFonts w:ascii="Cambria" w:hAnsi="Cambria"/>
          <w:sz w:val="16"/>
          <w:szCs w:val="16"/>
          <w:lang w:val="es-CO"/>
        </w:rPr>
        <w:t xml:space="preserve"> el 22 de diciembre de 1989.</w:t>
      </w:r>
    </w:p>
  </w:footnote>
  <w:footnote w:id="8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Anual 1989-1990. Capítulo IV sobre la situación de los derechos humanos en Panamá. OEA/Ser.L/V/II.77rev.1 Doc.7 del 17 mayo de 1990.</w:t>
      </w:r>
    </w:p>
  </w:footnote>
  <w:footnote w:id="8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Anual 1989-1990. Capítulo IV sobre la situación de los derechos humanos en Panamá. OEA/Ser.L/V/II.77rev.1 Doc.7 del 17 mayo de 1990. </w:t>
      </w:r>
    </w:p>
  </w:footnote>
  <w:footnote w:id="83">
    <w:p w:rsidR="00C00F28" w:rsidRPr="00D717CE" w:rsidRDefault="00C00F28" w:rsidP="009D5581">
      <w:pPr>
        <w:pStyle w:val="FootnoteText"/>
        <w:jc w:val="both"/>
        <w:rPr>
          <w:rFonts w:ascii="Cambria" w:hAnsi="Cambria"/>
          <w:sz w:val="16"/>
          <w:szCs w:val="16"/>
        </w:rPr>
      </w:pPr>
      <w:r w:rsidRPr="009D5581">
        <w:rPr>
          <w:rStyle w:val="FootnoteReference"/>
          <w:rFonts w:ascii="Cambria" w:hAnsi="Cambria"/>
          <w:sz w:val="16"/>
          <w:szCs w:val="16"/>
        </w:rPr>
        <w:footnoteRef/>
      </w:r>
      <w:r w:rsidRPr="009D5581">
        <w:rPr>
          <w:rFonts w:ascii="Cambria" w:hAnsi="Cambria"/>
          <w:sz w:val="16"/>
          <w:szCs w:val="16"/>
        </w:rPr>
        <w:t xml:space="preserve"> </w:t>
      </w:r>
      <w:bookmarkStart w:id="13" w:name="_Hlk499666614"/>
      <w:r w:rsidRPr="009D5581">
        <w:rPr>
          <w:rFonts w:ascii="Cambria" w:hAnsi="Cambria"/>
          <w:sz w:val="16"/>
          <w:szCs w:val="16"/>
        </w:rPr>
        <w:t>Americas Watch. The Laws of war and the conduct of the Panama invasion. A</w:t>
      </w:r>
      <w:r w:rsidRPr="00D717CE">
        <w:rPr>
          <w:rFonts w:ascii="Cambria" w:hAnsi="Cambria"/>
          <w:sz w:val="16"/>
          <w:szCs w:val="16"/>
        </w:rPr>
        <w:t xml:space="preserve">.M. Papers, 10 de mayo de 1990. </w:t>
      </w:r>
      <w:bookmarkEnd w:id="13"/>
    </w:p>
  </w:footnote>
  <w:footnote w:id="84">
    <w:p w:rsidR="00C00F28" w:rsidRPr="00D717CE" w:rsidRDefault="00C00F28" w:rsidP="009D5581">
      <w:pPr>
        <w:pStyle w:val="FootnoteText"/>
        <w:jc w:val="both"/>
        <w:rPr>
          <w:rFonts w:ascii="Cambria" w:hAnsi="Cambria"/>
          <w:sz w:val="16"/>
          <w:szCs w:val="16"/>
        </w:rPr>
      </w:pPr>
      <w:r w:rsidRPr="009D5581">
        <w:rPr>
          <w:rStyle w:val="FootnoteReference"/>
          <w:rFonts w:ascii="Cambria" w:hAnsi="Cambria"/>
          <w:sz w:val="16"/>
          <w:szCs w:val="16"/>
          <w:lang w:val="es-ES_tradnl"/>
        </w:rPr>
        <w:footnoteRef/>
      </w:r>
      <w:r w:rsidRPr="00D717CE">
        <w:rPr>
          <w:rFonts w:ascii="Cambria" w:hAnsi="Cambria"/>
          <w:sz w:val="16"/>
          <w:szCs w:val="16"/>
        </w:rPr>
        <w:t xml:space="preserve"> </w:t>
      </w:r>
      <w:bookmarkStart w:id="15" w:name="_Hlk499666623"/>
      <w:r w:rsidRPr="00D717CE">
        <w:rPr>
          <w:rFonts w:ascii="Cambria" w:hAnsi="Cambria"/>
          <w:sz w:val="16"/>
          <w:szCs w:val="16"/>
        </w:rPr>
        <w:t>Americas Watch. Human Rights in Post-Invasion Panama: Justice Delayed is Justice Denied. 7 de abril de 1991</w:t>
      </w:r>
      <w:bookmarkEnd w:id="15"/>
      <w:r w:rsidRPr="00D717CE">
        <w:rPr>
          <w:rFonts w:ascii="Cambria" w:hAnsi="Cambria"/>
          <w:sz w:val="16"/>
          <w:szCs w:val="16"/>
        </w:rPr>
        <w:t xml:space="preserve">. </w:t>
      </w:r>
    </w:p>
  </w:footnote>
  <w:footnote w:id="85">
    <w:p w:rsidR="00C00F28" w:rsidRPr="00D717CE" w:rsidRDefault="00C00F28" w:rsidP="009D5581">
      <w:pPr>
        <w:pStyle w:val="FootnoteText"/>
        <w:jc w:val="both"/>
        <w:rPr>
          <w:rFonts w:ascii="Cambria" w:hAnsi="Cambria"/>
          <w:sz w:val="16"/>
          <w:szCs w:val="16"/>
        </w:rPr>
      </w:pPr>
      <w:r w:rsidRPr="009D5581">
        <w:rPr>
          <w:rStyle w:val="FootnoteReference"/>
          <w:rFonts w:ascii="Cambria" w:hAnsi="Cambria"/>
          <w:sz w:val="16"/>
          <w:szCs w:val="16"/>
          <w:lang w:val="es-ES_tradnl"/>
        </w:rPr>
        <w:footnoteRef/>
      </w:r>
      <w:r w:rsidRPr="00D717CE">
        <w:rPr>
          <w:rFonts w:ascii="Cambria" w:hAnsi="Cambria"/>
          <w:sz w:val="16"/>
          <w:szCs w:val="16"/>
        </w:rPr>
        <w:t xml:space="preserve"> Americas Watch. The Laws of war and the conduct of the Panama invasion. A.M. Papers, 10 de mayo de 1990.</w:t>
      </w:r>
    </w:p>
  </w:footnote>
  <w:footnote w:id="86">
    <w:p w:rsidR="00C00F28" w:rsidRPr="00146E6F" w:rsidRDefault="00C00F28" w:rsidP="009D5581">
      <w:pPr>
        <w:pStyle w:val="FootnoteText"/>
        <w:jc w:val="both"/>
        <w:rPr>
          <w:rFonts w:ascii="Cambria" w:hAnsi="Cambria"/>
          <w:sz w:val="16"/>
          <w:szCs w:val="16"/>
        </w:rPr>
      </w:pPr>
      <w:r w:rsidRPr="00146E6F">
        <w:rPr>
          <w:rStyle w:val="FootnoteReference"/>
          <w:rFonts w:ascii="Cambria" w:hAnsi="Cambria"/>
          <w:sz w:val="16"/>
          <w:szCs w:val="16"/>
          <w:lang w:val="es-ES_tradnl"/>
        </w:rPr>
        <w:footnoteRef/>
      </w:r>
      <w:r w:rsidRPr="00146E6F">
        <w:rPr>
          <w:rFonts w:ascii="Cambria" w:hAnsi="Cambria"/>
          <w:sz w:val="16"/>
          <w:szCs w:val="16"/>
        </w:rPr>
        <w:t xml:space="preserve"> Americas Watch. The Laws of war and the conduct of the Panama invasion. A.M. Papers, 10 de mayo de 1990.</w:t>
      </w:r>
    </w:p>
  </w:footnote>
  <w:footnote w:id="87">
    <w:p w:rsidR="00C00F28" w:rsidRPr="00146E6F" w:rsidRDefault="00C00F28" w:rsidP="009D5581">
      <w:pPr>
        <w:pStyle w:val="FootnoteText"/>
        <w:jc w:val="both"/>
        <w:rPr>
          <w:rFonts w:ascii="Cambria" w:hAnsi="Cambria"/>
          <w:sz w:val="16"/>
          <w:szCs w:val="16"/>
        </w:rPr>
      </w:pPr>
      <w:r w:rsidRPr="00146E6F">
        <w:rPr>
          <w:rStyle w:val="FootnoteReference"/>
          <w:rFonts w:ascii="Cambria" w:hAnsi="Cambria"/>
          <w:sz w:val="16"/>
          <w:szCs w:val="16"/>
        </w:rPr>
        <w:footnoteRef/>
      </w:r>
      <w:r w:rsidRPr="00146E6F">
        <w:rPr>
          <w:rFonts w:ascii="Cambria" w:hAnsi="Cambria"/>
          <w:sz w:val="16"/>
          <w:szCs w:val="16"/>
        </w:rPr>
        <w:t xml:space="preserve"> Physicians for Human Rights. Operation Just Cause: the human cost of military action in Panama. Octubre 1991. </w:t>
      </w:r>
    </w:p>
  </w:footnote>
  <w:footnote w:id="88">
    <w:p w:rsidR="00C00F28" w:rsidRPr="00146E6F" w:rsidRDefault="00C00F28" w:rsidP="00046A69">
      <w:pPr>
        <w:pStyle w:val="FootnoteText"/>
        <w:jc w:val="both"/>
        <w:rPr>
          <w:rFonts w:ascii="Cambria" w:hAnsi="Cambria"/>
          <w:sz w:val="16"/>
          <w:szCs w:val="16"/>
          <w:lang w:val="es-VE"/>
        </w:rPr>
      </w:pPr>
      <w:r w:rsidRPr="00146E6F">
        <w:rPr>
          <w:rStyle w:val="FootnoteReference"/>
          <w:rFonts w:ascii="Cambria" w:hAnsi="Cambria"/>
          <w:sz w:val="16"/>
          <w:szCs w:val="16"/>
        </w:rPr>
        <w:footnoteRef/>
      </w:r>
      <w:r w:rsidRPr="00146E6F">
        <w:rPr>
          <w:rFonts w:ascii="Cambria" w:hAnsi="Cambria"/>
          <w:sz w:val="16"/>
          <w:szCs w:val="16"/>
        </w:rPr>
        <w:t xml:space="preserve"> </w:t>
      </w:r>
      <w:bookmarkStart w:id="16" w:name="_Hlk499666697"/>
      <w:r w:rsidRPr="00146E6F">
        <w:rPr>
          <w:rFonts w:ascii="Cambria" w:hAnsi="Cambria"/>
          <w:sz w:val="16"/>
          <w:szCs w:val="16"/>
        </w:rPr>
        <w:t xml:space="preserve">Physicians for Human Rights. Operation Just Cause: the human cost of military action in Panama. </w:t>
      </w:r>
      <w:r w:rsidRPr="00146E6F">
        <w:rPr>
          <w:rFonts w:ascii="Cambria" w:hAnsi="Cambria"/>
          <w:sz w:val="16"/>
          <w:szCs w:val="16"/>
          <w:lang w:val="es-VE"/>
        </w:rPr>
        <w:t xml:space="preserve">Octubre 1991. </w:t>
      </w:r>
      <w:bookmarkEnd w:id="16"/>
    </w:p>
  </w:footnote>
  <w:footnote w:id="89">
    <w:p w:rsidR="00C00F28" w:rsidRPr="009D5581" w:rsidRDefault="00C00F28" w:rsidP="009D5581">
      <w:pPr>
        <w:pStyle w:val="FootnoteText"/>
        <w:jc w:val="both"/>
        <w:rPr>
          <w:rFonts w:ascii="Cambria" w:hAnsi="Cambria"/>
          <w:sz w:val="16"/>
          <w:szCs w:val="16"/>
          <w:lang w:val="es-CO"/>
        </w:rPr>
      </w:pPr>
      <w:r w:rsidRPr="00146E6F">
        <w:rPr>
          <w:rStyle w:val="FootnoteReference"/>
          <w:rFonts w:ascii="Cambria" w:hAnsi="Cambria"/>
          <w:sz w:val="16"/>
          <w:szCs w:val="16"/>
        </w:rPr>
        <w:footnoteRef/>
      </w:r>
      <w:r w:rsidRPr="00146E6F">
        <w:rPr>
          <w:rFonts w:ascii="Cambria" w:hAnsi="Cambria"/>
          <w:sz w:val="16"/>
          <w:szCs w:val="16"/>
          <w:lang w:val="es-VE"/>
        </w:rPr>
        <w:t xml:space="preserve"> P</w:t>
      </w:r>
      <w:r w:rsidRPr="004A11F7">
        <w:rPr>
          <w:rFonts w:ascii="Cambria" w:hAnsi="Cambria"/>
          <w:sz w:val="16"/>
          <w:szCs w:val="16"/>
          <w:lang w:val="es-VE"/>
        </w:rPr>
        <w:t xml:space="preserve">residencia de Panamá. </w:t>
      </w:r>
      <w:r>
        <w:rPr>
          <w:rFonts w:ascii="Cambria" w:hAnsi="Cambria"/>
          <w:sz w:val="16"/>
          <w:szCs w:val="16"/>
          <w:lang w:val="es-CO"/>
        </w:rPr>
        <w:t>Resolución No. 1 mediante</w:t>
      </w:r>
      <w:r w:rsidRPr="009D5581">
        <w:rPr>
          <w:rFonts w:ascii="Cambria" w:hAnsi="Cambria"/>
          <w:sz w:val="16"/>
          <w:szCs w:val="16"/>
          <w:lang w:val="es-CO"/>
        </w:rPr>
        <w:t xml:space="preserve"> la cual se ordena el toque de queda en todo el territorio nacional. Gaceta Oficial No. 21.461 del 25 de enero de 1990.</w:t>
      </w:r>
    </w:p>
  </w:footnote>
  <w:footnote w:id="9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Presidencia</w:t>
      </w:r>
      <w:r>
        <w:rPr>
          <w:rFonts w:ascii="Cambria" w:hAnsi="Cambria"/>
          <w:sz w:val="16"/>
          <w:szCs w:val="16"/>
          <w:lang w:val="es-CO"/>
        </w:rPr>
        <w:t xml:space="preserve"> de Panamá. Resolución No. 1 mediante</w:t>
      </w:r>
      <w:r w:rsidRPr="009D5581">
        <w:rPr>
          <w:rFonts w:ascii="Cambria" w:hAnsi="Cambria"/>
          <w:sz w:val="16"/>
          <w:szCs w:val="16"/>
          <w:lang w:val="es-CO"/>
        </w:rPr>
        <w:t xml:space="preserve"> la cual se ordena el toque de queda en todo el territorio nacional. Gaceta Oficial No. 21.461 del 25 de enero de 1990.</w:t>
      </w:r>
    </w:p>
  </w:footnote>
  <w:footnote w:id="9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Anual 1989-1990. Capítulo IV sobre la situación de los derechos humanos en Panamá. OEA/Ser.L/V/II.77rev.1 Doc.7 del 17 mayo de 1990.</w:t>
      </w:r>
    </w:p>
  </w:footnote>
  <w:footnote w:id="9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Presidencia de Panamá. Estatuto de Retorno Inmediato a la Plenitud del Orden Constitucional. Gaceta Oficial No. 21.440 del 21 de diciembre de 1989. </w:t>
      </w:r>
    </w:p>
  </w:footnote>
  <w:footnote w:id="9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Anual 1989-1990. Capítulo IV sobre la situación de los derechos humanos en Panamá. OEA/Ser.L/V/II.77rev.1 Doc.7 del 17 mayo de 1990.</w:t>
      </w:r>
    </w:p>
  </w:footnote>
  <w:footnote w:id="9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713E68">
        <w:rPr>
          <w:rFonts w:ascii="Cambria" w:hAnsi="Cambria"/>
          <w:sz w:val="16"/>
          <w:szCs w:val="16"/>
          <w:lang w:val="es-ES"/>
        </w:rPr>
        <w:t xml:space="preserve"> Consejo de Gabinete de Panamá. </w:t>
      </w:r>
      <w:r w:rsidRPr="009D5581">
        <w:rPr>
          <w:rFonts w:ascii="Cambria" w:hAnsi="Cambria"/>
          <w:sz w:val="16"/>
          <w:szCs w:val="16"/>
          <w:lang w:val="es-CO"/>
        </w:rPr>
        <w:t xml:space="preserve">Decreto No. 2 por el cual se adoptan medidas de personal en la Fuerza Pública de Panamá. Gaceta Oficial No. 21.448 del 2 de enero de 1990. </w:t>
      </w:r>
    </w:p>
  </w:footnote>
  <w:footnote w:id="95">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Ministerio de Gobierno y Justicia. Decreto No. 46 por el cual se deroga la Resolución No. 10 de 15 de mayo de 1989 y se dictan otras disposiciones. Gaceta Oficial No. 21.465 del 31 de enero de 1990.</w:t>
      </w:r>
    </w:p>
  </w:footnote>
  <w:footnote w:id="9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Consejo de Gabinete</w:t>
      </w:r>
      <w:r>
        <w:rPr>
          <w:rFonts w:ascii="Cambria" w:hAnsi="Cambria"/>
          <w:sz w:val="16"/>
          <w:szCs w:val="16"/>
          <w:lang w:val="es-CO"/>
        </w:rPr>
        <w:t xml:space="preserve"> de Panamá</w:t>
      </w:r>
      <w:r w:rsidRPr="009D5581">
        <w:rPr>
          <w:rFonts w:ascii="Cambria" w:hAnsi="Cambria"/>
          <w:sz w:val="16"/>
          <w:szCs w:val="16"/>
          <w:lang w:val="es-CO"/>
        </w:rPr>
        <w:t>. Decreto de Gabinete No. 1 por el cual se estabiliza la organización de las dependencias estatales. Gaceta Oficial No. 21.442 del 26 de diciembre de 1989. Ver también Consejo de Gabinete. Decreto de Gabinete No. 20 por el cual se adoptan algunas medidas tendientes a estabilizar la organización de los entes estatales cuyos funcionarios se rigen por leyes especiales. Gaceta Oficial No. 21.470 del 7 de febrero de 1990.</w:t>
      </w:r>
    </w:p>
  </w:footnote>
  <w:footnote w:id="9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Consejo de Gabinete</w:t>
      </w:r>
      <w:r>
        <w:rPr>
          <w:rFonts w:ascii="Cambria" w:hAnsi="Cambria"/>
          <w:sz w:val="16"/>
          <w:szCs w:val="16"/>
          <w:lang w:val="es-CO"/>
        </w:rPr>
        <w:t xml:space="preserve"> de Panamá</w:t>
      </w:r>
      <w:r w:rsidRPr="009D5581">
        <w:rPr>
          <w:rFonts w:ascii="Cambria" w:hAnsi="Cambria"/>
          <w:sz w:val="16"/>
          <w:szCs w:val="16"/>
          <w:lang w:val="es-CO"/>
        </w:rPr>
        <w:t>. Decreto de Gabinete No. 38 por el cual se organiza la fuerza pública. Gaceta Oficial No. 21.479 del 20 de febrero de 1990.</w:t>
      </w:r>
    </w:p>
  </w:footnote>
  <w:footnote w:id="9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Consejo de Gabinete</w:t>
      </w:r>
      <w:r>
        <w:rPr>
          <w:rFonts w:ascii="Cambria" w:hAnsi="Cambria"/>
          <w:sz w:val="16"/>
          <w:szCs w:val="16"/>
          <w:lang w:val="es-CO"/>
        </w:rPr>
        <w:t xml:space="preserve"> de Panamá</w:t>
      </w:r>
      <w:r w:rsidRPr="009D5581">
        <w:rPr>
          <w:rFonts w:ascii="Cambria" w:hAnsi="Cambria"/>
          <w:sz w:val="16"/>
          <w:szCs w:val="16"/>
          <w:lang w:val="es-CO"/>
        </w:rPr>
        <w:t>. Decreto de Gabinete No. 38 por el cual se organiza la fuerza pública. Gaceta Oficial No. 21.479 del 20 de febrero de 1990.</w:t>
      </w:r>
    </w:p>
  </w:footnote>
  <w:footnote w:id="9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Escrito presentado por el Estado el 8 de enero de 1991.</w:t>
      </w:r>
    </w:p>
  </w:footnote>
  <w:footnote w:id="10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Oficina General de Contabilidad. Informe al Presidente, Subcomité de Operaciones Extranjeras, Comité de Apropiaciones, Senado de EE. UU: AID a Panamá “Mejorando el Sistema de Justicia Penal”. GAO/NSIAD-92-147 Mayo 1992.</w:t>
      </w:r>
    </w:p>
  </w:footnote>
  <w:footnote w:id="10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Oficina General de Contabilidad. Informe al Presidente, Subcomité de Operaciones Extranjeras, Comité de Apropiaciones, Senado de EE. UU: AID a Panamá “Mejorando el Sistema de Justicia Penal”. GAO/NSIAD-92-147 Mayo 1992.</w:t>
      </w:r>
    </w:p>
  </w:footnote>
  <w:footnote w:id="10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Anual 1991. Capítulo IV sobre la situación de los derechos humanos en Panamá. OEA/Ser.L/V/II.81Doc. 6 rev. 1 del 14 febrero 1992.</w:t>
      </w:r>
    </w:p>
  </w:footnote>
  <w:footnote w:id="10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Anual 1991. Capítulo IV sobre la situación de los derechos humanos en Panamá. OEA/Ser.L/V/II.81Doc. 6 rev. 1 del 14 febrero 1992.</w:t>
      </w:r>
    </w:p>
  </w:footnote>
  <w:footnote w:id="104">
    <w:p w:rsidR="00C00F28" w:rsidRPr="00453F69" w:rsidRDefault="00C00F28" w:rsidP="00453F69">
      <w:pPr>
        <w:pStyle w:val="FootnoteText"/>
        <w:jc w:val="both"/>
        <w:rPr>
          <w:rFonts w:ascii="Cambria" w:hAnsi="Cambria"/>
          <w:sz w:val="16"/>
          <w:szCs w:val="16"/>
          <w:lang w:val="es-VE"/>
        </w:rPr>
      </w:pPr>
      <w:r w:rsidRPr="00453F69">
        <w:rPr>
          <w:rStyle w:val="FootnoteReference"/>
          <w:rFonts w:ascii="Cambria" w:hAnsi="Cambria"/>
          <w:sz w:val="16"/>
          <w:szCs w:val="16"/>
        </w:rPr>
        <w:footnoteRef/>
      </w:r>
      <w:r>
        <w:rPr>
          <w:rFonts w:ascii="Cambria" w:hAnsi="Cambria"/>
          <w:sz w:val="16"/>
          <w:szCs w:val="16"/>
          <w:lang w:val="es-VE"/>
        </w:rPr>
        <w:t xml:space="preserve"> </w:t>
      </w:r>
      <w:r w:rsidRPr="00453F69">
        <w:rPr>
          <w:rFonts w:ascii="Cambria" w:hAnsi="Cambria"/>
          <w:sz w:val="16"/>
          <w:szCs w:val="16"/>
          <w:lang w:val="es-VE"/>
        </w:rPr>
        <w:t>EAAF. Informe para la Comisión Interamericana de derechos humanos de la OEA. Anexo 1 del escrito post-audiencia de la parte peticionaria r</w:t>
      </w:r>
      <w:r w:rsidRPr="00146E6F">
        <w:rPr>
          <w:rFonts w:ascii="Cambria" w:hAnsi="Cambria"/>
          <w:sz w:val="16"/>
          <w:szCs w:val="16"/>
          <w:lang w:val="es-VE"/>
        </w:rPr>
        <w:t>ecibido e</w:t>
      </w:r>
      <w:r w:rsidRPr="00CD5676">
        <w:rPr>
          <w:rFonts w:ascii="Cambria" w:hAnsi="Cambria"/>
          <w:sz w:val="16"/>
          <w:szCs w:val="16"/>
          <w:lang w:val="es-VE"/>
        </w:rPr>
        <w:t>l 6 de novie</w:t>
      </w:r>
      <w:r w:rsidRPr="005A6D84">
        <w:rPr>
          <w:rFonts w:ascii="Cambria" w:hAnsi="Cambria"/>
          <w:sz w:val="16"/>
          <w:szCs w:val="16"/>
          <w:lang w:val="es-VE"/>
        </w:rPr>
        <w:t>mbre de 1995</w:t>
      </w:r>
      <w:r>
        <w:rPr>
          <w:rFonts w:ascii="Cambria" w:hAnsi="Cambria"/>
          <w:sz w:val="16"/>
          <w:szCs w:val="16"/>
          <w:lang w:val="es-VE"/>
        </w:rPr>
        <w:t>, pág. 1</w:t>
      </w:r>
      <w:r w:rsidRPr="00453F69">
        <w:rPr>
          <w:rFonts w:ascii="Cambria" w:hAnsi="Cambria"/>
          <w:sz w:val="16"/>
          <w:szCs w:val="16"/>
          <w:lang w:val="es-VE"/>
        </w:rPr>
        <w:t xml:space="preserve">. </w:t>
      </w:r>
    </w:p>
  </w:footnote>
  <w:footnote w:id="105">
    <w:p w:rsidR="00C00F28" w:rsidRPr="00453F69" w:rsidRDefault="00C00F28" w:rsidP="00453F69">
      <w:pPr>
        <w:pStyle w:val="FootnoteText"/>
        <w:jc w:val="both"/>
        <w:rPr>
          <w:rFonts w:ascii="Cambria" w:hAnsi="Cambria"/>
          <w:sz w:val="16"/>
          <w:szCs w:val="16"/>
          <w:lang w:val="es-VE"/>
        </w:rPr>
      </w:pPr>
      <w:r w:rsidRPr="00453F69">
        <w:rPr>
          <w:rStyle w:val="FootnoteReference"/>
          <w:rFonts w:ascii="Cambria" w:hAnsi="Cambria"/>
          <w:sz w:val="16"/>
          <w:szCs w:val="16"/>
        </w:rPr>
        <w:footnoteRef/>
      </w:r>
      <w:r>
        <w:rPr>
          <w:rFonts w:ascii="Cambria" w:hAnsi="Cambria"/>
          <w:sz w:val="16"/>
          <w:szCs w:val="16"/>
          <w:lang w:val="es-VE"/>
        </w:rPr>
        <w:t xml:space="preserve"> </w:t>
      </w:r>
      <w:r w:rsidRPr="00453F69">
        <w:rPr>
          <w:rFonts w:ascii="Cambria" w:hAnsi="Cambria"/>
          <w:sz w:val="16"/>
          <w:szCs w:val="16"/>
          <w:lang w:val="es-VE"/>
        </w:rPr>
        <w:t>EAAF. Informe para la Comisión Interamericana de derechos humanos de la OEA. Anexo 1 del escrito post-audiencia de la parte peticionaria r</w:t>
      </w:r>
      <w:r w:rsidRPr="00146E6F">
        <w:rPr>
          <w:rFonts w:ascii="Cambria" w:hAnsi="Cambria"/>
          <w:sz w:val="16"/>
          <w:szCs w:val="16"/>
          <w:lang w:val="es-VE"/>
        </w:rPr>
        <w:t>ecibido e</w:t>
      </w:r>
      <w:r w:rsidRPr="00CD5676">
        <w:rPr>
          <w:rFonts w:ascii="Cambria" w:hAnsi="Cambria"/>
          <w:sz w:val="16"/>
          <w:szCs w:val="16"/>
          <w:lang w:val="es-VE"/>
        </w:rPr>
        <w:t>l 6 de novie</w:t>
      </w:r>
      <w:r w:rsidRPr="005A6D84">
        <w:rPr>
          <w:rFonts w:ascii="Cambria" w:hAnsi="Cambria"/>
          <w:sz w:val="16"/>
          <w:szCs w:val="16"/>
          <w:lang w:val="es-VE"/>
        </w:rPr>
        <w:t>mbre de 1995</w:t>
      </w:r>
      <w:r>
        <w:rPr>
          <w:rFonts w:ascii="Cambria" w:hAnsi="Cambria"/>
          <w:sz w:val="16"/>
          <w:szCs w:val="16"/>
          <w:lang w:val="es-VE"/>
        </w:rPr>
        <w:t>, pág. 1</w:t>
      </w:r>
      <w:r w:rsidRPr="00453F69">
        <w:rPr>
          <w:rFonts w:ascii="Cambria" w:hAnsi="Cambria"/>
          <w:sz w:val="16"/>
          <w:szCs w:val="16"/>
          <w:lang w:val="es-VE"/>
        </w:rPr>
        <w:t>.</w:t>
      </w:r>
    </w:p>
  </w:footnote>
  <w:footnote w:id="106">
    <w:p w:rsidR="00C00F28" w:rsidRPr="00453F69" w:rsidRDefault="00C00F28" w:rsidP="00453F69">
      <w:pPr>
        <w:pStyle w:val="FootnoteText"/>
        <w:jc w:val="both"/>
        <w:rPr>
          <w:rFonts w:ascii="Cambria" w:hAnsi="Cambria"/>
          <w:sz w:val="16"/>
          <w:szCs w:val="16"/>
          <w:lang w:val="es-VE"/>
        </w:rPr>
      </w:pPr>
      <w:r w:rsidRPr="00453F69">
        <w:rPr>
          <w:rStyle w:val="FootnoteReference"/>
          <w:rFonts w:ascii="Cambria" w:hAnsi="Cambria"/>
          <w:sz w:val="16"/>
          <w:szCs w:val="16"/>
        </w:rPr>
        <w:footnoteRef/>
      </w:r>
      <w:r>
        <w:rPr>
          <w:rFonts w:ascii="Cambria" w:hAnsi="Cambria"/>
          <w:sz w:val="16"/>
          <w:szCs w:val="16"/>
          <w:lang w:val="es-VE"/>
        </w:rPr>
        <w:t xml:space="preserve"> </w:t>
      </w:r>
      <w:r w:rsidRPr="00453F69">
        <w:rPr>
          <w:rFonts w:ascii="Cambria" w:hAnsi="Cambria"/>
          <w:sz w:val="16"/>
          <w:szCs w:val="16"/>
          <w:lang w:val="es-VE"/>
        </w:rPr>
        <w:t>EAAF. Informe para la Comisión Interamericana de derechos humanos de la OEA. Anexo 1 del escrito post-audiencia de la parte peticionaria r</w:t>
      </w:r>
      <w:r w:rsidRPr="00146E6F">
        <w:rPr>
          <w:rFonts w:ascii="Cambria" w:hAnsi="Cambria"/>
          <w:sz w:val="16"/>
          <w:szCs w:val="16"/>
          <w:lang w:val="es-VE"/>
        </w:rPr>
        <w:t>ecibido e</w:t>
      </w:r>
      <w:r w:rsidRPr="00CD5676">
        <w:rPr>
          <w:rFonts w:ascii="Cambria" w:hAnsi="Cambria"/>
          <w:sz w:val="16"/>
          <w:szCs w:val="16"/>
          <w:lang w:val="es-VE"/>
        </w:rPr>
        <w:t>l 6 de novie</w:t>
      </w:r>
      <w:r w:rsidRPr="005A6D84">
        <w:rPr>
          <w:rFonts w:ascii="Cambria" w:hAnsi="Cambria"/>
          <w:sz w:val="16"/>
          <w:szCs w:val="16"/>
          <w:lang w:val="es-VE"/>
        </w:rPr>
        <w:t>mbre de 1995</w:t>
      </w:r>
      <w:r>
        <w:rPr>
          <w:rFonts w:ascii="Cambria" w:hAnsi="Cambria"/>
          <w:sz w:val="16"/>
          <w:szCs w:val="16"/>
          <w:lang w:val="es-VE"/>
        </w:rPr>
        <w:t>, pág. 16</w:t>
      </w:r>
      <w:r w:rsidRPr="00453F69">
        <w:rPr>
          <w:rFonts w:ascii="Cambria" w:hAnsi="Cambria"/>
          <w:sz w:val="16"/>
          <w:szCs w:val="16"/>
          <w:lang w:val="es-VE"/>
        </w:rPr>
        <w:t>.</w:t>
      </w:r>
    </w:p>
  </w:footnote>
  <w:footnote w:id="107">
    <w:p w:rsidR="00C00F28" w:rsidRPr="00453F69" w:rsidRDefault="00C00F28" w:rsidP="00453F69">
      <w:pPr>
        <w:pStyle w:val="FootnoteText"/>
        <w:jc w:val="both"/>
        <w:rPr>
          <w:lang w:val="es-VE"/>
        </w:rPr>
      </w:pPr>
      <w:r w:rsidRPr="00453F69">
        <w:rPr>
          <w:rStyle w:val="FootnoteReference"/>
          <w:rFonts w:ascii="Cambria" w:hAnsi="Cambria"/>
          <w:sz w:val="16"/>
          <w:szCs w:val="16"/>
        </w:rPr>
        <w:footnoteRef/>
      </w:r>
      <w:r w:rsidRPr="00453F69">
        <w:rPr>
          <w:rFonts w:ascii="Cambria" w:hAnsi="Cambria"/>
          <w:sz w:val="16"/>
          <w:szCs w:val="16"/>
          <w:lang w:val="es-VE"/>
        </w:rPr>
        <w:t xml:space="preserve"> EAAF. Informe para la Comisión Interamericana de derechos humanos de la OEA. Anexo 1 del escrito post-audiencia de la parte peticionaria r</w:t>
      </w:r>
      <w:r w:rsidRPr="00146E6F">
        <w:rPr>
          <w:rFonts w:ascii="Cambria" w:hAnsi="Cambria"/>
          <w:sz w:val="16"/>
          <w:szCs w:val="16"/>
          <w:lang w:val="es-VE"/>
        </w:rPr>
        <w:t>ecibido e</w:t>
      </w:r>
      <w:r w:rsidRPr="00CD5676">
        <w:rPr>
          <w:rFonts w:ascii="Cambria" w:hAnsi="Cambria"/>
          <w:sz w:val="16"/>
          <w:szCs w:val="16"/>
          <w:lang w:val="es-VE"/>
        </w:rPr>
        <w:t>l 6 de novie</w:t>
      </w:r>
      <w:r w:rsidRPr="005A6D84">
        <w:rPr>
          <w:rFonts w:ascii="Cambria" w:hAnsi="Cambria"/>
          <w:sz w:val="16"/>
          <w:szCs w:val="16"/>
          <w:lang w:val="es-VE"/>
        </w:rPr>
        <w:t>mbre de 1995</w:t>
      </w:r>
      <w:r>
        <w:rPr>
          <w:rFonts w:ascii="Cambria" w:hAnsi="Cambria"/>
          <w:sz w:val="16"/>
          <w:szCs w:val="16"/>
          <w:lang w:val="es-VE"/>
        </w:rPr>
        <w:t>, pág. 16</w:t>
      </w:r>
      <w:r w:rsidRPr="00453F69">
        <w:rPr>
          <w:rFonts w:ascii="Cambria" w:hAnsi="Cambria"/>
          <w:sz w:val="16"/>
          <w:szCs w:val="16"/>
          <w:lang w:val="es-VE"/>
        </w:rPr>
        <w:t>.</w:t>
      </w:r>
    </w:p>
  </w:footnote>
  <w:footnote w:id="10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Ministerio de Relaciones Exteriores. Decreto Ejecutivo No. 121 mediante el cual se crea la Comisión 20 de diciembre de 1989. Gaceta Oficial No. 28.078-A del 20 de julio de 2016. </w:t>
      </w:r>
    </w:p>
  </w:footnote>
  <w:footnote w:id="10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Ministerio de Relaciones Exteriores. Decreto Ejecutivo No. 121 mediante el cual se crea la Comisión 20 de diciembre de 1989. Gaceta Oficial No. 28.078-A del 20 de julio de 2016.</w:t>
      </w:r>
    </w:p>
  </w:footnote>
  <w:footnote w:id="11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Carta de la parte peticionaria presentada el 17 de febrero de 2016. </w:t>
      </w:r>
      <w:r>
        <w:rPr>
          <w:rFonts w:ascii="Cambria" w:hAnsi="Cambria"/>
          <w:sz w:val="16"/>
          <w:szCs w:val="16"/>
          <w:lang w:val="es-CO"/>
        </w:rPr>
        <w:t xml:space="preserve">En audiencia pública celebrada el 9 de diciembre de 2016 durante el 160 periodo de sesiones ante la CIDH, la representación del Estado indicó que han sostenido reuniones con los miembros de la Comisión 20 de diciembre, en las cuales han colaborado con el plan de trabajo de dicha comisión. </w:t>
      </w:r>
    </w:p>
  </w:footnote>
  <w:footnote w:id="111">
    <w:p w:rsidR="00C00F28" w:rsidRPr="009D5581" w:rsidRDefault="00C00F28" w:rsidP="009D5581">
      <w:pPr>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Las víctimas del presente caso son aquellas</w:t>
      </w:r>
      <w:r>
        <w:rPr>
          <w:rFonts w:ascii="Cambria" w:hAnsi="Cambria"/>
          <w:sz w:val="16"/>
          <w:szCs w:val="16"/>
          <w:lang w:val="es-CO"/>
        </w:rPr>
        <w:t xml:space="preserve"> personas</w:t>
      </w:r>
      <w:r w:rsidRPr="009D5581">
        <w:rPr>
          <w:rFonts w:ascii="Cambria" w:hAnsi="Cambria"/>
          <w:sz w:val="16"/>
          <w:szCs w:val="16"/>
          <w:lang w:val="es-CO"/>
        </w:rPr>
        <w:t xml:space="preserve"> identificadas en las 272 peticiones enviadas por la parte peticionaria en el transcurso del año 1990 e incluidas en el Informe de Admisibilidad No. 31/93. La presente determinación se realiza </w:t>
      </w:r>
      <w:r>
        <w:rPr>
          <w:rFonts w:ascii="Cambria" w:hAnsi="Cambria"/>
          <w:sz w:val="16"/>
          <w:szCs w:val="16"/>
          <w:lang w:val="es-CO"/>
        </w:rPr>
        <w:t xml:space="preserve">para efecto de la individualización del universo de la presuntas víctimas en el proceso ante la CIDH - </w:t>
      </w:r>
      <w:r w:rsidRPr="009D5581">
        <w:rPr>
          <w:rFonts w:ascii="Cambria" w:hAnsi="Cambria"/>
          <w:sz w:val="16"/>
          <w:szCs w:val="16"/>
          <w:lang w:val="es-CO"/>
        </w:rPr>
        <w:t>sin perjuicio del posterior reconocimiento por órganos estatales de otros individuos como víctimas de vulneraciones a sus derechos humanos en el marco de la invasión de Estados Unidos de América a Panamá que tuvo lugar a partir del 20 de diciembre de 1989</w:t>
      </w:r>
      <w:r>
        <w:rPr>
          <w:rFonts w:ascii="Cambria" w:hAnsi="Cambria"/>
          <w:sz w:val="16"/>
          <w:szCs w:val="16"/>
          <w:lang w:val="es-CO"/>
        </w:rPr>
        <w:t>-</w:t>
      </w:r>
      <w:r w:rsidRPr="009D5581">
        <w:rPr>
          <w:rFonts w:ascii="Cambria" w:hAnsi="Cambria"/>
          <w:sz w:val="16"/>
          <w:szCs w:val="16"/>
          <w:lang w:val="es-CO"/>
        </w:rPr>
        <w:t xml:space="preserve">, en particular aquellas identificadas por la parte peticionaria en los testimonios presentados como anexos de la comunicación </w:t>
      </w:r>
      <w:r>
        <w:rPr>
          <w:rFonts w:ascii="Cambria" w:hAnsi="Cambria"/>
          <w:sz w:val="16"/>
          <w:szCs w:val="16"/>
          <w:lang w:val="es-CO"/>
        </w:rPr>
        <w:t xml:space="preserve">realizada </w:t>
      </w:r>
      <w:r w:rsidRPr="009D5581">
        <w:rPr>
          <w:rFonts w:ascii="Cambria" w:hAnsi="Cambria"/>
          <w:sz w:val="16"/>
          <w:szCs w:val="16"/>
          <w:lang w:val="es-CO"/>
        </w:rPr>
        <w:t xml:space="preserve">por </w:t>
      </w:r>
      <w:r>
        <w:rPr>
          <w:rFonts w:ascii="Cambria" w:hAnsi="Cambria"/>
          <w:sz w:val="16"/>
          <w:szCs w:val="16"/>
          <w:lang w:val="es-CO"/>
        </w:rPr>
        <w:t>e</w:t>
      </w:r>
      <w:r w:rsidRPr="009D5581">
        <w:rPr>
          <w:rFonts w:ascii="Cambria" w:hAnsi="Cambria"/>
          <w:sz w:val="16"/>
          <w:szCs w:val="16"/>
          <w:lang w:val="es-CO"/>
        </w:rPr>
        <w:t>l Centro por los Derechos Constitucionales el 8 de febrero de 1995.</w:t>
      </w:r>
    </w:p>
  </w:footnote>
  <w:footnote w:id="112">
    <w:p w:rsidR="00C00F28" w:rsidRPr="00B47EA8" w:rsidRDefault="00C00F28" w:rsidP="00AE304B">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B47EA8">
        <w:rPr>
          <w:rFonts w:ascii="Cambria" w:hAnsi="Cambria"/>
          <w:sz w:val="16"/>
          <w:szCs w:val="16"/>
          <w:lang w:val="es-CO"/>
        </w:rPr>
        <w:t xml:space="preserve"> Escrito de informaci</w:t>
      </w:r>
      <w:r>
        <w:rPr>
          <w:rFonts w:ascii="Cambria" w:hAnsi="Cambria"/>
          <w:sz w:val="16"/>
          <w:szCs w:val="16"/>
          <w:lang w:val="es-CO"/>
        </w:rPr>
        <w:t xml:space="preserve">ón adicional presentada por la parte peticionaria el </w:t>
      </w:r>
      <w:r w:rsidRPr="00B47EA8">
        <w:rPr>
          <w:rFonts w:ascii="Cambria" w:hAnsi="Cambria"/>
          <w:sz w:val="16"/>
          <w:szCs w:val="16"/>
          <w:lang w:val="es-CO"/>
        </w:rPr>
        <w:t>29 de junio d</w:t>
      </w:r>
      <w:r>
        <w:rPr>
          <w:rFonts w:ascii="Cambria" w:hAnsi="Cambria"/>
          <w:sz w:val="16"/>
          <w:szCs w:val="16"/>
          <w:lang w:val="es-CO"/>
        </w:rPr>
        <w:t>e 1990; Anexo 7</w:t>
      </w:r>
      <w:r w:rsidRPr="00B47EA8">
        <w:rPr>
          <w:rFonts w:ascii="Cambria" w:hAnsi="Cambria"/>
          <w:sz w:val="16"/>
          <w:szCs w:val="16"/>
          <w:lang w:val="es-CO"/>
        </w:rPr>
        <w:t xml:space="preserve">. Escrito de información adicional </w:t>
      </w:r>
      <w:r>
        <w:rPr>
          <w:rFonts w:ascii="Cambria" w:hAnsi="Cambria"/>
          <w:sz w:val="16"/>
          <w:szCs w:val="16"/>
          <w:lang w:val="es-CO"/>
        </w:rPr>
        <w:t>presentado por la parte peticionaria el</w:t>
      </w:r>
      <w:r w:rsidRPr="00B47EA8">
        <w:rPr>
          <w:rFonts w:ascii="Cambria" w:hAnsi="Cambria"/>
          <w:sz w:val="16"/>
          <w:szCs w:val="16"/>
          <w:lang w:val="es-CO"/>
        </w:rPr>
        <w:t xml:space="preserve"> 19 de septiembre de 1991; y Anexo </w:t>
      </w:r>
      <w:r>
        <w:rPr>
          <w:rFonts w:ascii="Cambria" w:hAnsi="Cambria"/>
          <w:sz w:val="16"/>
          <w:szCs w:val="16"/>
          <w:lang w:val="es-CO"/>
        </w:rPr>
        <w:t>2</w:t>
      </w:r>
      <w:r w:rsidRPr="00B47EA8">
        <w:rPr>
          <w:rFonts w:ascii="Cambria" w:hAnsi="Cambria"/>
          <w:sz w:val="16"/>
          <w:szCs w:val="16"/>
          <w:lang w:val="es-CO"/>
        </w:rPr>
        <w:t xml:space="preserve">. </w:t>
      </w:r>
      <w:r w:rsidRPr="003A01AC">
        <w:rPr>
          <w:rFonts w:ascii="Cambria" w:hAnsi="Cambria"/>
          <w:sz w:val="16"/>
          <w:szCs w:val="16"/>
        </w:rPr>
        <w:t xml:space="preserve">Joint Staff Historical Study. Operation Just Cause, planning and execution (February 1988 – January 1990). </w:t>
      </w:r>
      <w:r w:rsidRPr="009D5581">
        <w:rPr>
          <w:rFonts w:ascii="Cambria" w:hAnsi="Cambria"/>
          <w:sz w:val="16"/>
          <w:szCs w:val="16"/>
          <w:lang w:val="es-CO"/>
        </w:rPr>
        <w:t>Anexo A de Escrito presentado por la parte peticionaria en febrero 1995.</w:t>
      </w:r>
    </w:p>
  </w:footnote>
  <w:footnote w:id="113">
    <w:p w:rsidR="00C00F28" w:rsidRPr="00122D3E" w:rsidRDefault="00C00F28" w:rsidP="00122D3E">
      <w:pPr>
        <w:pStyle w:val="FootnoteText"/>
        <w:jc w:val="both"/>
        <w:rPr>
          <w:lang w:val="es-ES"/>
        </w:rPr>
      </w:pPr>
      <w:r w:rsidRPr="00122D3E">
        <w:rPr>
          <w:rStyle w:val="FootnoteReference"/>
          <w:rFonts w:ascii="Cambria" w:hAnsi="Cambria"/>
          <w:sz w:val="16"/>
          <w:szCs w:val="16"/>
        </w:rPr>
        <w:footnoteRef/>
      </w:r>
      <w:r w:rsidRPr="00122D3E">
        <w:rPr>
          <w:rFonts w:ascii="Cambria" w:hAnsi="Cambria"/>
          <w:sz w:val="16"/>
          <w:szCs w:val="16"/>
          <w:lang w:val="es-ES"/>
        </w:rPr>
        <w:t xml:space="preserve"> </w:t>
      </w:r>
      <w:r w:rsidRPr="00122D3E">
        <w:rPr>
          <w:rFonts w:ascii="Cambria" w:hAnsi="Cambria"/>
          <w:sz w:val="16"/>
          <w:szCs w:val="16"/>
          <w:lang w:val="es-CO"/>
        </w:rPr>
        <w:t>Lista</w:t>
      </w:r>
      <w:r>
        <w:rPr>
          <w:rFonts w:ascii="Cambria" w:hAnsi="Cambria"/>
          <w:sz w:val="16"/>
          <w:szCs w:val="16"/>
          <w:lang w:val="es-CO"/>
        </w:rPr>
        <w:t>do</w:t>
      </w:r>
      <w:r w:rsidRPr="00122D3E">
        <w:rPr>
          <w:rFonts w:ascii="Cambria" w:hAnsi="Cambria"/>
          <w:sz w:val="16"/>
          <w:szCs w:val="16"/>
          <w:lang w:val="es-CO"/>
        </w:rPr>
        <w:t xml:space="preserve"> de miembros de la familia identificados en el presente caso como aquellos que perdieron la vida o resultaron heridos.</w:t>
      </w:r>
    </w:p>
  </w:footnote>
  <w:footnote w:id="114">
    <w:p w:rsidR="00C00F28" w:rsidRPr="009D5581" w:rsidRDefault="00C00F28" w:rsidP="009D5581">
      <w:pPr>
        <w:pStyle w:val="FootnoteText"/>
        <w:jc w:val="both"/>
        <w:rPr>
          <w:rFonts w:ascii="Cambria" w:hAnsi="Cambria"/>
          <w:sz w:val="16"/>
          <w:szCs w:val="16"/>
          <w:lang w:val="es-CO"/>
        </w:rPr>
      </w:pPr>
      <w:r w:rsidRPr="00B053C8">
        <w:rPr>
          <w:rStyle w:val="FootnoteReference"/>
          <w:rFonts w:ascii="Cambria" w:hAnsi="Cambria"/>
          <w:sz w:val="16"/>
          <w:szCs w:val="16"/>
        </w:rPr>
        <w:footnoteRef/>
      </w:r>
      <w:r w:rsidRPr="00B053C8">
        <w:rPr>
          <w:rFonts w:ascii="Cambria" w:hAnsi="Cambria"/>
          <w:sz w:val="16"/>
          <w:szCs w:val="16"/>
          <w:lang w:val="es-CO"/>
        </w:rPr>
        <w:t xml:space="preserve"> </w:t>
      </w:r>
      <w:r w:rsidRPr="00122D3E">
        <w:rPr>
          <w:rFonts w:ascii="Cambria" w:hAnsi="Cambria"/>
          <w:sz w:val="16"/>
          <w:szCs w:val="16"/>
          <w:lang w:val="es-CO"/>
        </w:rPr>
        <w:t>Lista</w:t>
      </w:r>
      <w:r>
        <w:rPr>
          <w:rFonts w:ascii="Cambria" w:hAnsi="Cambria"/>
          <w:sz w:val="16"/>
          <w:szCs w:val="16"/>
          <w:lang w:val="es-CO"/>
        </w:rPr>
        <w:t>do</w:t>
      </w:r>
      <w:r w:rsidRPr="00122D3E">
        <w:rPr>
          <w:rFonts w:ascii="Cambria" w:hAnsi="Cambria"/>
          <w:sz w:val="16"/>
          <w:szCs w:val="16"/>
          <w:lang w:val="es-CO"/>
        </w:rPr>
        <w:t xml:space="preserve"> de miembros de la familia identificados en el presente caso como aquellos que perdieron la vida o resultaron heridos.</w:t>
      </w:r>
    </w:p>
  </w:footnote>
  <w:footnote w:id="115">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Anual 1990-1991, Capítulo IV Situación de los derechos humanos en Panamá. OEA/Ser.L/V/II.79, rev.1.</w:t>
      </w:r>
    </w:p>
  </w:footnote>
  <w:footnote w:id="11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Ver anexos de los casos identificados bajo el No. 11, No. 73, No. 74, </w:t>
      </w:r>
      <w:r>
        <w:rPr>
          <w:rFonts w:ascii="Cambria" w:hAnsi="Cambria"/>
          <w:sz w:val="16"/>
          <w:szCs w:val="16"/>
          <w:lang w:val="es-CO"/>
        </w:rPr>
        <w:t>No. 77, y No. 98, entre otras.</w:t>
      </w:r>
    </w:p>
  </w:footnote>
  <w:footnote w:id="11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VE"/>
        </w:rPr>
        <w:t xml:space="preserve"> Ver anexos de los casos identificados bajo el No. 11, No. 73, No. 74, </w:t>
      </w:r>
      <w:r>
        <w:rPr>
          <w:rFonts w:ascii="Cambria" w:hAnsi="Cambria"/>
          <w:sz w:val="16"/>
          <w:szCs w:val="16"/>
          <w:lang w:val="es-CO"/>
        </w:rPr>
        <w:t>No. 77, y No. 98, entre otras.</w:t>
      </w:r>
    </w:p>
  </w:footnote>
  <w:footnote w:id="11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Informe del Equipo Argentino de Antropología Forense al Fiscal Auxiliar de la República de Panamá emitido el 22 de septiembre de 1995. Anexo al escrito de información adicional presentado por la parte peticionaria el 6 de noviembre de 1995. </w:t>
      </w:r>
    </w:p>
  </w:footnote>
  <w:footnote w:id="119">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bookmarkStart w:id="20" w:name="_Hlk496885027"/>
      <w:r w:rsidRPr="009D5581">
        <w:rPr>
          <w:rFonts w:ascii="Cambria" w:hAnsi="Cambria"/>
          <w:sz w:val="16"/>
          <w:szCs w:val="16"/>
          <w:lang w:val="es-VE"/>
        </w:rPr>
        <w:t xml:space="preserve">Declaración referente al caso No. 1.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bookmarkEnd w:id="20"/>
    </w:p>
  </w:footnote>
  <w:footnote w:id="120">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Declaración adicional de José Salas Galindo del 31 de enero de 1990 referente al caso No. 1. Anexo a comunicación de la parte peticionaria recibida el 5 agosto de 1994.</w:t>
      </w:r>
    </w:p>
  </w:footnote>
  <w:footnote w:id="121">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adicional de José Isabel Salas del 9 de febrero de 1990 referente al caso No.1. Anexo a comunicación de la parte peticionaria recibida el 5 de agosto de 1994. </w:t>
      </w:r>
    </w:p>
  </w:footnote>
  <w:footnote w:id="12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Certificado de defunción referente al caso No. 1. </w:t>
      </w:r>
      <w:r w:rsidRPr="009D5581">
        <w:rPr>
          <w:rFonts w:ascii="Cambria" w:hAnsi="Cambria"/>
          <w:sz w:val="16"/>
          <w:szCs w:val="16"/>
          <w:lang w:val="es-VE"/>
        </w:rPr>
        <w:t>Anexo a comunicación de la parte peticionaria recibida el 5 de agosto de 1994.</w:t>
      </w:r>
    </w:p>
  </w:footnote>
  <w:footnote w:id="12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1.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12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125">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Carta de José Isabel Salas del 14 de febrero de 1990 dirigida al U.S Army South Claims Department referente al caso No.1. Anexo a comunicación de la parte peticionaria recibida el 5 de agosto de 1994.</w:t>
      </w:r>
    </w:p>
  </w:footnote>
  <w:footnote w:id="12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Comunicación de USARSO Command Claims Service del 25 de marzo de 1990 dirigida a José Isabel Salas referente al caso No. 1.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12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Comunicación de USARSO Command Claims Service del 25 de marzo de 1990 dirigida a José Isabel Salas referente al caso No. 1.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128">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64.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29">
    <w:p w:rsidR="00C00F28" w:rsidRPr="009D5581" w:rsidRDefault="00C00F28" w:rsidP="009D5581">
      <w:pPr>
        <w:pStyle w:val="FootnoteText"/>
        <w:tabs>
          <w:tab w:val="right" w:pos="9360"/>
        </w:tabs>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64.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30">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64.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w:t>
      </w:r>
    </w:p>
  </w:footnote>
  <w:footnote w:id="131">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bookmarkStart w:id="21" w:name="_Hlk496885036"/>
      <w:r w:rsidRPr="009D5581">
        <w:rPr>
          <w:rFonts w:ascii="Cambria" w:hAnsi="Cambria"/>
          <w:sz w:val="16"/>
          <w:szCs w:val="16"/>
          <w:lang w:val="es-VE"/>
        </w:rPr>
        <w:t xml:space="preserve">Declaración referente al caso No. 71.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bookmarkEnd w:id="21"/>
    </w:p>
  </w:footnote>
  <w:footnote w:id="132">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71.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3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71. </w:t>
      </w:r>
      <w:r>
        <w:rPr>
          <w:rFonts w:ascii="Cambria" w:hAnsi="Cambria"/>
          <w:sz w:val="16"/>
          <w:szCs w:val="16"/>
          <w:lang w:val="es-VE"/>
        </w:rPr>
        <w:t xml:space="preserve">Anexo del escrito de información adicional presentado por la parte peticionaria el 19 de septiembre de 1991. Ver también </w:t>
      </w:r>
      <w:r w:rsidRPr="009D5581">
        <w:rPr>
          <w:rFonts w:ascii="Cambria" w:hAnsi="Cambria"/>
          <w:sz w:val="16"/>
          <w:szCs w:val="16"/>
          <w:lang w:val="es-VE"/>
        </w:rPr>
        <w:t xml:space="preserve">Certificado de defunción referente al caso No. 71.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34">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65.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35">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65.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36">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81.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37">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Declaración referente al caso No. 81.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38">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81.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39">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92.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40">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92.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41">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270.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42">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270.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4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270.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44">
    <w:p w:rsidR="00C00F28" w:rsidRPr="009D5581" w:rsidRDefault="00C00F28" w:rsidP="009D5581">
      <w:pPr>
        <w:pStyle w:val="FootnoteText"/>
        <w:jc w:val="both"/>
        <w:rPr>
          <w:rFonts w:ascii="Cambria" w:hAnsi="Cambria"/>
          <w:sz w:val="16"/>
          <w:szCs w:val="16"/>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Tabla sobre puntos de recolección y registro de nombres del Gobierno de los Estados Unidos de América. </w:t>
      </w:r>
      <w:r w:rsidRPr="009D5581">
        <w:rPr>
          <w:rFonts w:ascii="Cambria" w:hAnsi="Cambria"/>
          <w:sz w:val="16"/>
          <w:szCs w:val="16"/>
        </w:rPr>
        <w:t>Anexo 5 del Commissioner’s Notebook of Petitioner’s Evidence on the Merits.</w:t>
      </w:r>
    </w:p>
  </w:footnote>
  <w:footnote w:id="145">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10. </w:t>
      </w:r>
      <w:r>
        <w:rPr>
          <w:rFonts w:ascii="Cambria" w:hAnsi="Cambria"/>
          <w:sz w:val="16"/>
          <w:szCs w:val="16"/>
          <w:lang w:val="es-VE"/>
        </w:rPr>
        <w:t xml:space="preserve">Anexo del escrito de información adicional presentado por la parte peticionaria el 29 de junio de 1990; </w:t>
      </w:r>
      <w:r w:rsidRPr="009D5581">
        <w:rPr>
          <w:rFonts w:ascii="Cambria" w:hAnsi="Cambria"/>
          <w:sz w:val="16"/>
          <w:szCs w:val="16"/>
          <w:lang w:val="es-VE"/>
        </w:rPr>
        <w:t xml:space="preserve">Declaración referente al caso No. 20.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146">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10.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 xml:space="preserve"> Declaración referente al caso No. 78.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w:t>
      </w:r>
    </w:p>
  </w:footnote>
  <w:footnote w:id="147">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10.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 xml:space="preserve">; Declaración referente al caso No. 20. </w:t>
      </w:r>
      <w:r>
        <w:rPr>
          <w:rFonts w:ascii="Cambria" w:hAnsi="Cambria"/>
          <w:sz w:val="16"/>
          <w:szCs w:val="16"/>
          <w:lang w:val="es-VE"/>
        </w:rPr>
        <w:t xml:space="preserve">Anexo del escrito de información adicional presentado por la parte peticionaria el 29 de junio de 1990; </w:t>
      </w:r>
      <w:r w:rsidRPr="009D5581">
        <w:rPr>
          <w:rFonts w:ascii="Cambria" w:hAnsi="Cambria"/>
          <w:sz w:val="16"/>
          <w:szCs w:val="16"/>
          <w:lang w:val="es-VE"/>
        </w:rPr>
        <w:t xml:space="preserve">Declaración referente al caso No. 78. </w:t>
      </w:r>
      <w:r>
        <w:rPr>
          <w:rFonts w:ascii="Cambria" w:hAnsi="Cambria"/>
          <w:sz w:val="16"/>
          <w:szCs w:val="16"/>
          <w:lang w:val="es-VE"/>
        </w:rPr>
        <w:t xml:space="preserve">Anexo del escrito de información adicional presentado por la parte peticionaria el 19 de septiembre de 1991; </w:t>
      </w:r>
      <w:r w:rsidRPr="009D5581">
        <w:rPr>
          <w:rFonts w:ascii="Cambria" w:hAnsi="Cambria"/>
          <w:sz w:val="16"/>
          <w:szCs w:val="16"/>
          <w:lang w:val="es-VE"/>
        </w:rPr>
        <w:t xml:space="preserve">Declaración referente al caso No. 93.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w:t>
      </w:r>
    </w:p>
  </w:footnote>
  <w:footnote w:id="148">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10.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 xml:space="preserve">; Declaración referente al caso No. 93.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49">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10.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 xml:space="preserve">; Certificado de defunción referente al caso No. 78.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50">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86.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51">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93.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52">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10.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15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10. </w:t>
      </w:r>
      <w:r>
        <w:rPr>
          <w:rFonts w:ascii="Cambria" w:hAnsi="Cambria"/>
          <w:sz w:val="16"/>
          <w:szCs w:val="16"/>
          <w:lang w:val="es-VE"/>
        </w:rPr>
        <w:t xml:space="preserve">Anexo del escrito de información adicional presentado por la parte peticionaria el 29 de junio de 1990; </w:t>
      </w:r>
      <w:r w:rsidRPr="009D5581">
        <w:rPr>
          <w:rFonts w:ascii="Cambria" w:hAnsi="Cambria"/>
          <w:sz w:val="16"/>
          <w:szCs w:val="16"/>
          <w:lang w:val="es-VE"/>
        </w:rPr>
        <w:t xml:space="preserve">Certificado de defunción referente al caso No. 78. </w:t>
      </w:r>
      <w:r>
        <w:rPr>
          <w:rFonts w:ascii="Cambria" w:hAnsi="Cambria"/>
          <w:sz w:val="16"/>
          <w:szCs w:val="16"/>
          <w:lang w:val="es-VE"/>
        </w:rPr>
        <w:t xml:space="preserve">Anexo del escrito de información adicional presentado por la parte peticionaria el 19 de septiembre de 1991; </w:t>
      </w:r>
      <w:r w:rsidRPr="009D5581">
        <w:rPr>
          <w:rFonts w:ascii="Cambria" w:hAnsi="Cambria"/>
          <w:sz w:val="16"/>
          <w:szCs w:val="16"/>
          <w:lang w:val="es-VE"/>
        </w:rPr>
        <w:t xml:space="preserve">Certificado de defunción referente al caso No. 86.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y Certificado de defunción referente al caso No. 93.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54">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93.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w:t>
      </w:r>
    </w:p>
  </w:footnote>
  <w:footnote w:id="155">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Anual 1990-1991, Capítulo IV Situación de los derechos humanos en Panamá. OEA/Ser.L/V/II.79, rev.1.</w:t>
      </w:r>
    </w:p>
  </w:footnote>
  <w:footnote w:id="15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CIDH. Informe Anual 1990-1991, Capítulo IV Situación de los derechos humanos en Panamá. OEA/Ser.L/V/II.79, rev.1.</w:t>
      </w:r>
    </w:p>
  </w:footnote>
  <w:footnote w:id="157">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69.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58">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69.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59">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69.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60">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69.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61">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75.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62">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75.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6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No.75.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6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Certificado de defunción referente al caso No. 75. </w:t>
      </w:r>
      <w:r w:rsidRPr="009D5581">
        <w:rPr>
          <w:rFonts w:ascii="Cambria" w:hAnsi="Cambria"/>
          <w:sz w:val="16"/>
          <w:szCs w:val="16"/>
          <w:lang w:val="es-VE"/>
        </w:rPr>
        <w:t>Anexo a comunicación de la parte peticionaria recibida el 5 agosto de 1994.</w:t>
      </w:r>
    </w:p>
  </w:footnote>
  <w:footnote w:id="165">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76.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66">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76.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67">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Certificado de defunción referente al caso No. 76.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w:t>
      </w:r>
    </w:p>
  </w:footnote>
  <w:footnote w:id="168">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100.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69">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100.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70">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100.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71">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101.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72">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101.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73">
    <w:p w:rsidR="00C00F28" w:rsidRPr="00612DD3" w:rsidRDefault="00C00F28" w:rsidP="009D5581">
      <w:pPr>
        <w:pStyle w:val="FootnoteText"/>
        <w:jc w:val="both"/>
        <w:rPr>
          <w:rFonts w:ascii="Cambria" w:hAnsi="Cambria"/>
          <w:sz w:val="16"/>
          <w:szCs w:val="16"/>
          <w:lang w:val="es-VE"/>
        </w:rPr>
      </w:pPr>
      <w:r w:rsidRPr="00612DD3">
        <w:rPr>
          <w:rStyle w:val="FootnoteReference"/>
          <w:rFonts w:ascii="Cambria" w:hAnsi="Cambria"/>
          <w:sz w:val="16"/>
          <w:szCs w:val="16"/>
        </w:rPr>
        <w:footnoteRef/>
      </w:r>
      <w:r>
        <w:rPr>
          <w:rFonts w:ascii="Cambria" w:hAnsi="Cambria"/>
          <w:sz w:val="16"/>
          <w:szCs w:val="16"/>
          <w:lang w:val="es-VE"/>
        </w:rPr>
        <w:t xml:space="preserve"> </w:t>
      </w:r>
      <w:r w:rsidRPr="00612DD3">
        <w:rPr>
          <w:rFonts w:ascii="Cambria" w:hAnsi="Cambria"/>
          <w:sz w:val="16"/>
          <w:szCs w:val="16"/>
          <w:lang w:val="es-VE"/>
        </w:rPr>
        <w:t xml:space="preserve">Declaración referente al caso No. 101. </w:t>
      </w:r>
      <w:r>
        <w:rPr>
          <w:rFonts w:ascii="Cambria" w:hAnsi="Cambria"/>
          <w:sz w:val="16"/>
          <w:szCs w:val="16"/>
          <w:lang w:val="es-VE"/>
        </w:rPr>
        <w:t>Anexo del escrito de información adicional presentado por la parte peticionaria el 19 de septiembre de 1991</w:t>
      </w:r>
      <w:r w:rsidRPr="00612DD3">
        <w:rPr>
          <w:rFonts w:ascii="Cambria" w:hAnsi="Cambria"/>
          <w:sz w:val="16"/>
          <w:szCs w:val="16"/>
          <w:lang w:val="es-VE"/>
        </w:rPr>
        <w:t>.</w:t>
      </w:r>
    </w:p>
  </w:footnote>
  <w:footnote w:id="174">
    <w:p w:rsidR="00C00F28" w:rsidRPr="00612DD3" w:rsidRDefault="00C00F28">
      <w:pPr>
        <w:pStyle w:val="FootnoteText"/>
        <w:rPr>
          <w:rFonts w:ascii="Cambria" w:hAnsi="Cambria"/>
          <w:sz w:val="16"/>
          <w:szCs w:val="16"/>
          <w:lang w:val="es-VE"/>
        </w:rPr>
      </w:pPr>
      <w:r w:rsidRPr="00612DD3">
        <w:rPr>
          <w:rStyle w:val="FootnoteReference"/>
          <w:rFonts w:ascii="Cambria" w:hAnsi="Cambria"/>
          <w:sz w:val="16"/>
          <w:szCs w:val="16"/>
        </w:rPr>
        <w:footnoteRef/>
      </w:r>
      <w:r>
        <w:rPr>
          <w:rFonts w:ascii="Cambria" w:hAnsi="Cambria"/>
          <w:sz w:val="16"/>
          <w:szCs w:val="16"/>
          <w:lang w:val="es-VE"/>
        </w:rPr>
        <w:t xml:space="preserve"> </w:t>
      </w:r>
      <w:r w:rsidRPr="00612DD3">
        <w:rPr>
          <w:rFonts w:ascii="Cambria" w:hAnsi="Cambria"/>
          <w:sz w:val="16"/>
          <w:szCs w:val="16"/>
          <w:lang w:val="es-VE"/>
        </w:rPr>
        <w:t xml:space="preserve">Certificado de defunción referente al caso No. 101. </w:t>
      </w:r>
      <w:r>
        <w:rPr>
          <w:rFonts w:ascii="Cambria" w:hAnsi="Cambria"/>
          <w:sz w:val="16"/>
          <w:szCs w:val="16"/>
          <w:lang w:val="es-VE"/>
        </w:rPr>
        <w:t>Anexo del escrito de información adicional presentado por la parte peticionaria el 19 de septiembre de 1991</w:t>
      </w:r>
      <w:r w:rsidRPr="00612DD3">
        <w:rPr>
          <w:rFonts w:ascii="Cambria" w:hAnsi="Cambria"/>
          <w:sz w:val="16"/>
          <w:szCs w:val="16"/>
          <w:lang w:val="es-VE"/>
        </w:rPr>
        <w:t>.</w:t>
      </w:r>
    </w:p>
  </w:footnote>
  <w:footnote w:id="175">
    <w:p w:rsidR="00C00F28" w:rsidRPr="00612DD3" w:rsidRDefault="00C00F28" w:rsidP="009D5581">
      <w:pPr>
        <w:pStyle w:val="FootnoteText"/>
        <w:jc w:val="both"/>
        <w:rPr>
          <w:rFonts w:ascii="Cambria" w:hAnsi="Cambria"/>
          <w:sz w:val="16"/>
          <w:szCs w:val="16"/>
          <w:lang w:val="es-VE"/>
        </w:rPr>
      </w:pPr>
      <w:r w:rsidRPr="00612DD3">
        <w:rPr>
          <w:rStyle w:val="FootnoteReference"/>
          <w:rFonts w:ascii="Cambria" w:hAnsi="Cambria"/>
          <w:sz w:val="16"/>
          <w:szCs w:val="16"/>
        </w:rPr>
        <w:footnoteRef/>
      </w:r>
      <w:r>
        <w:rPr>
          <w:rFonts w:ascii="Cambria" w:hAnsi="Cambria"/>
          <w:sz w:val="16"/>
          <w:szCs w:val="16"/>
          <w:lang w:val="es-VE"/>
        </w:rPr>
        <w:t xml:space="preserve"> </w:t>
      </w:r>
      <w:r w:rsidRPr="00612DD3">
        <w:rPr>
          <w:rFonts w:ascii="Cambria" w:hAnsi="Cambria"/>
          <w:sz w:val="16"/>
          <w:szCs w:val="16"/>
          <w:lang w:val="es-VE"/>
        </w:rPr>
        <w:t xml:space="preserve">Declaración referente al caso No. 89. </w:t>
      </w:r>
      <w:r>
        <w:rPr>
          <w:rFonts w:ascii="Cambria" w:hAnsi="Cambria"/>
          <w:sz w:val="16"/>
          <w:szCs w:val="16"/>
          <w:lang w:val="es-VE"/>
        </w:rPr>
        <w:t xml:space="preserve">Anexo del escrito de información adicional presentado por la parte peticionaria el 19 de septiembre de 1991; </w:t>
      </w:r>
      <w:r w:rsidRPr="00612DD3">
        <w:rPr>
          <w:rFonts w:ascii="Cambria" w:hAnsi="Cambria"/>
          <w:sz w:val="16"/>
          <w:szCs w:val="16"/>
          <w:lang w:val="es-VE"/>
        </w:rPr>
        <w:t xml:space="preserve">Declaración referente al caso No. 112. </w:t>
      </w:r>
      <w:r>
        <w:rPr>
          <w:rFonts w:ascii="Cambria" w:hAnsi="Cambria"/>
          <w:sz w:val="16"/>
          <w:szCs w:val="16"/>
          <w:lang w:val="es-VE"/>
        </w:rPr>
        <w:t xml:space="preserve">Anexo del escrito de información adicional presentado por la parte peticionaria el 19 de septiembre de 1991; </w:t>
      </w:r>
      <w:r w:rsidRPr="00612DD3">
        <w:rPr>
          <w:rFonts w:ascii="Cambria" w:hAnsi="Cambria"/>
          <w:sz w:val="16"/>
          <w:szCs w:val="16"/>
          <w:lang w:val="es-VE"/>
        </w:rPr>
        <w:t xml:space="preserve">Declaración referente al caso No. 113. </w:t>
      </w:r>
      <w:r>
        <w:rPr>
          <w:rFonts w:ascii="Cambria" w:hAnsi="Cambria"/>
          <w:sz w:val="16"/>
          <w:szCs w:val="16"/>
          <w:lang w:val="es-VE"/>
        </w:rPr>
        <w:t>Anexo del escrito de información adicional presentado por la parte peticionaria el 19 de septiembre de 1991;</w:t>
      </w:r>
      <w:r w:rsidRPr="00612DD3">
        <w:rPr>
          <w:rFonts w:ascii="Cambria" w:hAnsi="Cambria"/>
          <w:sz w:val="16"/>
          <w:szCs w:val="16"/>
          <w:lang w:val="es-VE"/>
        </w:rPr>
        <w:t xml:space="preserve"> Declaración referente al caso No. 114. </w:t>
      </w:r>
      <w:r>
        <w:rPr>
          <w:rFonts w:ascii="Cambria" w:hAnsi="Cambria"/>
          <w:sz w:val="16"/>
          <w:szCs w:val="16"/>
          <w:lang w:val="es-VE"/>
        </w:rPr>
        <w:t xml:space="preserve">Anexo del escrito de información adicional presentado por la parte peticionaria el 19 de septiembre de 1991; y </w:t>
      </w:r>
      <w:r w:rsidRPr="00612DD3">
        <w:rPr>
          <w:rFonts w:ascii="Cambria" w:hAnsi="Cambria"/>
          <w:sz w:val="16"/>
          <w:szCs w:val="16"/>
          <w:lang w:val="es-VE"/>
        </w:rPr>
        <w:t xml:space="preserve">Declaración referente al caso No. 219. </w:t>
      </w:r>
      <w:r>
        <w:rPr>
          <w:rFonts w:ascii="Cambria" w:hAnsi="Cambria"/>
          <w:sz w:val="16"/>
          <w:szCs w:val="16"/>
          <w:lang w:val="es-VE"/>
        </w:rPr>
        <w:t>Anexo del escrito de información adicional presentado por la parte peticionaria el 19 de septiembre de 1991</w:t>
      </w:r>
      <w:r w:rsidRPr="00612DD3">
        <w:rPr>
          <w:rFonts w:ascii="Cambria" w:hAnsi="Cambria"/>
          <w:sz w:val="16"/>
          <w:szCs w:val="16"/>
          <w:lang w:val="es-VE"/>
        </w:rPr>
        <w:t>.</w:t>
      </w:r>
    </w:p>
  </w:footnote>
  <w:footnote w:id="176">
    <w:p w:rsidR="00C00F28" w:rsidRPr="00612DD3" w:rsidRDefault="00C00F28" w:rsidP="009D5581">
      <w:pPr>
        <w:pStyle w:val="FootnoteText"/>
        <w:jc w:val="both"/>
        <w:rPr>
          <w:rFonts w:ascii="Cambria" w:hAnsi="Cambria"/>
          <w:sz w:val="16"/>
          <w:szCs w:val="16"/>
          <w:lang w:val="es-VE"/>
        </w:rPr>
      </w:pPr>
      <w:r w:rsidRPr="00612DD3">
        <w:rPr>
          <w:rStyle w:val="FootnoteReference"/>
          <w:rFonts w:ascii="Cambria" w:hAnsi="Cambria"/>
          <w:sz w:val="16"/>
          <w:szCs w:val="16"/>
        </w:rPr>
        <w:footnoteRef/>
      </w:r>
      <w:r>
        <w:rPr>
          <w:rFonts w:ascii="Cambria" w:hAnsi="Cambria"/>
          <w:sz w:val="16"/>
          <w:szCs w:val="16"/>
          <w:lang w:val="es-VE"/>
        </w:rPr>
        <w:t xml:space="preserve"> </w:t>
      </w:r>
      <w:r w:rsidRPr="00612DD3">
        <w:rPr>
          <w:rFonts w:ascii="Cambria" w:hAnsi="Cambria"/>
          <w:sz w:val="16"/>
          <w:szCs w:val="16"/>
          <w:lang w:val="es-VE"/>
        </w:rPr>
        <w:t xml:space="preserve">Declaración referente al caso No. 112. </w:t>
      </w:r>
      <w:r>
        <w:rPr>
          <w:rFonts w:ascii="Cambria" w:hAnsi="Cambria"/>
          <w:sz w:val="16"/>
          <w:szCs w:val="16"/>
          <w:lang w:val="es-VE"/>
        </w:rPr>
        <w:t>Anexo del escrito de información adicional presentado por la parte peticionaria el 19 de septiembre de 1991</w:t>
      </w:r>
      <w:r w:rsidRPr="00612DD3">
        <w:rPr>
          <w:rFonts w:ascii="Cambria" w:hAnsi="Cambria"/>
          <w:sz w:val="16"/>
          <w:szCs w:val="16"/>
          <w:lang w:val="es-VE"/>
        </w:rPr>
        <w:t xml:space="preserve">; Declaración referente al caso No. 114. </w:t>
      </w:r>
      <w:r>
        <w:rPr>
          <w:rFonts w:ascii="Cambria" w:hAnsi="Cambria"/>
          <w:sz w:val="16"/>
          <w:szCs w:val="16"/>
          <w:lang w:val="es-VE"/>
        </w:rPr>
        <w:t>Anexo del escrito de información adicional presentado por la parte peticionaria el 19 de septiembre de 1991</w:t>
      </w:r>
      <w:r w:rsidRPr="00612DD3">
        <w:rPr>
          <w:rFonts w:ascii="Cambria" w:hAnsi="Cambria"/>
          <w:sz w:val="16"/>
          <w:szCs w:val="16"/>
          <w:lang w:val="es-VE"/>
        </w:rPr>
        <w:t xml:space="preserve">; y Declaración referente al caso No. 219. </w:t>
      </w:r>
      <w:r>
        <w:rPr>
          <w:rFonts w:ascii="Cambria" w:hAnsi="Cambria"/>
          <w:sz w:val="16"/>
          <w:szCs w:val="16"/>
          <w:lang w:val="es-VE"/>
        </w:rPr>
        <w:t>Anexo del escrito de información adicional presentado por la parte peticionaria el 19 de septiembre de 1991</w:t>
      </w:r>
      <w:r w:rsidRPr="00612DD3">
        <w:rPr>
          <w:rFonts w:ascii="Cambria" w:hAnsi="Cambria"/>
          <w:sz w:val="16"/>
          <w:szCs w:val="16"/>
          <w:lang w:val="es-VE"/>
        </w:rPr>
        <w:t>.</w:t>
      </w:r>
    </w:p>
  </w:footnote>
  <w:footnote w:id="177">
    <w:p w:rsidR="00C00F28" w:rsidRPr="00612DD3" w:rsidRDefault="00C00F28" w:rsidP="009D5581">
      <w:pPr>
        <w:pStyle w:val="FootnoteText"/>
        <w:jc w:val="both"/>
        <w:rPr>
          <w:rFonts w:ascii="Cambria" w:hAnsi="Cambria"/>
          <w:sz w:val="16"/>
          <w:szCs w:val="16"/>
          <w:lang w:val="es-VE"/>
        </w:rPr>
      </w:pPr>
      <w:r w:rsidRPr="00612DD3">
        <w:rPr>
          <w:rStyle w:val="FootnoteReference"/>
          <w:rFonts w:ascii="Cambria" w:hAnsi="Cambria"/>
          <w:sz w:val="16"/>
          <w:szCs w:val="16"/>
        </w:rPr>
        <w:footnoteRef/>
      </w:r>
      <w:r w:rsidRPr="00612DD3">
        <w:rPr>
          <w:rFonts w:ascii="Cambria" w:hAnsi="Cambria"/>
          <w:sz w:val="16"/>
          <w:szCs w:val="16"/>
          <w:lang w:val="es-VE"/>
        </w:rPr>
        <w:t xml:space="preserve"> Declaración referente al caso No. 89. </w:t>
      </w:r>
      <w:r>
        <w:rPr>
          <w:rFonts w:ascii="Cambria" w:hAnsi="Cambria"/>
          <w:sz w:val="16"/>
          <w:szCs w:val="16"/>
          <w:lang w:val="es-VE"/>
        </w:rPr>
        <w:t>Anexo del escrito de información adicional presentado por la parte peticionaria el 19 de septiembre de 1991</w:t>
      </w:r>
      <w:r w:rsidRPr="00612DD3">
        <w:rPr>
          <w:rFonts w:ascii="Cambria" w:hAnsi="Cambria"/>
          <w:sz w:val="16"/>
          <w:szCs w:val="16"/>
          <w:lang w:val="es-VE"/>
        </w:rPr>
        <w:t xml:space="preserve">; y Declaración referente al caso No. 113. </w:t>
      </w:r>
      <w:r>
        <w:rPr>
          <w:rFonts w:ascii="Cambria" w:hAnsi="Cambria"/>
          <w:sz w:val="16"/>
          <w:szCs w:val="16"/>
          <w:lang w:val="es-VE"/>
        </w:rPr>
        <w:t>Anexo del escrito de información adicional presentado por la parte peticionaria el 19 de septiembre de 1991</w:t>
      </w:r>
      <w:r w:rsidRPr="00612DD3">
        <w:rPr>
          <w:rFonts w:ascii="Cambria" w:hAnsi="Cambria"/>
          <w:sz w:val="16"/>
          <w:szCs w:val="16"/>
          <w:lang w:val="es-VE"/>
        </w:rPr>
        <w:t>.</w:t>
      </w:r>
    </w:p>
  </w:footnote>
  <w:footnote w:id="178">
    <w:p w:rsidR="00C00F28" w:rsidRPr="009D5581" w:rsidRDefault="00C00F28" w:rsidP="009D5581">
      <w:pPr>
        <w:pStyle w:val="FootnoteText"/>
        <w:jc w:val="both"/>
        <w:rPr>
          <w:rFonts w:ascii="Cambria" w:hAnsi="Cambria"/>
          <w:sz w:val="16"/>
          <w:szCs w:val="16"/>
          <w:lang w:val="es-VE"/>
        </w:rPr>
      </w:pPr>
      <w:r w:rsidRPr="00612DD3">
        <w:rPr>
          <w:rStyle w:val="FootnoteReference"/>
          <w:rFonts w:ascii="Cambria" w:hAnsi="Cambria"/>
          <w:sz w:val="16"/>
          <w:szCs w:val="16"/>
        </w:rPr>
        <w:footnoteRef/>
      </w:r>
      <w:r w:rsidRPr="00612DD3">
        <w:rPr>
          <w:rFonts w:ascii="Cambria" w:hAnsi="Cambria"/>
          <w:sz w:val="16"/>
          <w:szCs w:val="16"/>
          <w:lang w:val="es-VE"/>
        </w:rPr>
        <w:t xml:space="preserve"> Declaración referente al caso No. 113. </w:t>
      </w:r>
      <w:r>
        <w:rPr>
          <w:rFonts w:ascii="Cambria" w:hAnsi="Cambria"/>
          <w:sz w:val="16"/>
          <w:szCs w:val="16"/>
          <w:lang w:val="es-VE"/>
        </w:rPr>
        <w:t>Anexo del escrito de información adicional presentado por la parte peticionaria el 19 de septiembre de 1991</w:t>
      </w:r>
      <w:r w:rsidRPr="00612DD3">
        <w:rPr>
          <w:rFonts w:ascii="Cambria" w:hAnsi="Cambria"/>
          <w:sz w:val="16"/>
          <w:szCs w:val="16"/>
          <w:lang w:val="es-VE"/>
        </w:rPr>
        <w:t xml:space="preserve">. Ver también </w:t>
      </w:r>
      <w:r w:rsidRPr="009D5581">
        <w:rPr>
          <w:rFonts w:ascii="Cambria" w:hAnsi="Cambria"/>
          <w:sz w:val="16"/>
          <w:szCs w:val="16"/>
          <w:lang w:val="es-VE"/>
        </w:rPr>
        <w:t xml:space="preserve">Declaración referente al caso No. 89.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Declaración referente al caso No. 112.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Declaración referente al caso No. 114. </w:t>
      </w:r>
      <w:r>
        <w:rPr>
          <w:rFonts w:ascii="Cambria" w:hAnsi="Cambria"/>
          <w:sz w:val="16"/>
          <w:szCs w:val="16"/>
          <w:lang w:val="es-VE"/>
        </w:rPr>
        <w:t xml:space="preserve">Anexo del escrito de información adicional presentado por la parte peticionaria el 19 de septiembre de 1991; y </w:t>
      </w:r>
      <w:r w:rsidRPr="009D5581">
        <w:rPr>
          <w:rFonts w:ascii="Cambria" w:hAnsi="Cambria"/>
          <w:sz w:val="16"/>
          <w:szCs w:val="16"/>
          <w:lang w:val="es-VE"/>
        </w:rPr>
        <w:t xml:space="preserve">Declaración referente al caso No. 219.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79">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Testimonio de Griselda Gallardo anexo a la Declaración referente al caso No. 113.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80">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89.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w:t>
      </w:r>
    </w:p>
  </w:footnote>
  <w:footnote w:id="181">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jurada rendida por Griselda María Gallardo Cedeño ante el Despacho de la Personería Tercera Municipal del Distrito de Colón el 21 de febrero de 1990, referente al caso No. 113.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Declaración jurada rendida por Candida Mela Pimentel el 21 de febrero de 1990, referente al caso No. 113.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82">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jurada rendida por Griselda María Gallardo Cedeño ante el Despacho de la Personería Tercera Municipal del Distrito de Colón el 21 de febrero de 1990, referente al caso No. 113. </w:t>
      </w:r>
      <w:r>
        <w:rPr>
          <w:rFonts w:ascii="Cambria" w:hAnsi="Cambria"/>
          <w:sz w:val="16"/>
          <w:szCs w:val="16"/>
          <w:lang w:val="es-VE"/>
        </w:rPr>
        <w:t xml:space="preserve">Anexo del escrito de información adicional presentado por la parte peticionaria el 19 de septiembre de 1991; y </w:t>
      </w:r>
      <w:r w:rsidRPr="009D5581">
        <w:rPr>
          <w:rFonts w:ascii="Cambria" w:hAnsi="Cambria"/>
          <w:sz w:val="16"/>
          <w:szCs w:val="16"/>
          <w:lang w:val="es-VE"/>
        </w:rPr>
        <w:t xml:space="preserve">Declaración jurada rendida por Candida Mela Pimentel el 21 de febrero de 1990, referente al caso No. 113.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8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Diligencia de Entrega emanada del Despacho de la Personería Tercera Municipal del Distrito de Colón referente al caso No. 113. </w:t>
      </w:r>
      <w:r>
        <w:rPr>
          <w:rFonts w:ascii="Cambria" w:hAnsi="Cambria"/>
          <w:sz w:val="16"/>
          <w:szCs w:val="16"/>
          <w:lang w:val="es-VE"/>
        </w:rPr>
        <w:t xml:space="preserve">Anexo del escrito de información adicional presentado por la parte peticionaria el 19 de septiembre de 1991; y </w:t>
      </w:r>
      <w:r w:rsidRPr="009D5581">
        <w:rPr>
          <w:rFonts w:ascii="Cambria" w:hAnsi="Cambria"/>
          <w:sz w:val="16"/>
          <w:szCs w:val="16"/>
          <w:lang w:val="es-VE"/>
        </w:rPr>
        <w:t xml:space="preserve">Testimonio de Griselda </w:t>
      </w:r>
      <w:r>
        <w:rPr>
          <w:rFonts w:ascii="Cambria" w:hAnsi="Cambria"/>
          <w:sz w:val="16"/>
          <w:szCs w:val="16"/>
          <w:lang w:val="es-VE"/>
        </w:rPr>
        <w:t xml:space="preserve">María </w:t>
      </w:r>
      <w:r w:rsidRPr="009D5581">
        <w:rPr>
          <w:rFonts w:ascii="Cambria" w:hAnsi="Cambria"/>
          <w:sz w:val="16"/>
          <w:szCs w:val="16"/>
          <w:lang w:val="es-VE"/>
        </w:rPr>
        <w:t xml:space="preserve">Gallardo </w:t>
      </w:r>
      <w:r>
        <w:rPr>
          <w:rFonts w:ascii="Cambria" w:hAnsi="Cambria"/>
          <w:sz w:val="16"/>
          <w:szCs w:val="16"/>
          <w:lang w:val="es-VE"/>
        </w:rPr>
        <w:t xml:space="preserve">Cedeño </w:t>
      </w:r>
      <w:r w:rsidRPr="009D5581">
        <w:rPr>
          <w:rFonts w:ascii="Cambria" w:hAnsi="Cambria"/>
          <w:sz w:val="16"/>
          <w:szCs w:val="16"/>
          <w:lang w:val="es-VE"/>
        </w:rPr>
        <w:t xml:space="preserve">anexo a la Declaración referente al caso No. 113.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w:t>
      </w:r>
    </w:p>
  </w:footnote>
  <w:footnote w:id="184">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Diligencia de Exhumación y Reconocimiento de cadáveres realizada el 23 de febrero de 1990 referente al caso No. 113. </w:t>
      </w:r>
      <w:r>
        <w:rPr>
          <w:rFonts w:ascii="Cambria" w:hAnsi="Cambria"/>
          <w:sz w:val="16"/>
          <w:szCs w:val="16"/>
          <w:lang w:val="es-VE"/>
        </w:rPr>
        <w:t xml:space="preserve">Anexo del escrito de información adicional presentado por la parte peticionaria el 19 de septiembre de 1991; </w:t>
      </w:r>
      <w:r w:rsidRPr="009D5581">
        <w:rPr>
          <w:rFonts w:ascii="Cambria" w:hAnsi="Cambria"/>
          <w:sz w:val="16"/>
          <w:szCs w:val="16"/>
          <w:lang w:val="es-VE"/>
        </w:rPr>
        <w:t xml:space="preserve">Declaración jurada rendida por Griselda María Gallardo Cedeño ante el Despacho de la Personería Tercera Municipal del Distrito de Colón el 21 de febrero de 1990, referente al caso No. 113.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85">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Oficio No. 74 y No. 75 del Personero Tercero Municipal de Colón dirigidos al Dr. Carlos Bernard del Institu</w:t>
      </w:r>
      <w:r>
        <w:rPr>
          <w:rFonts w:ascii="Cambria" w:hAnsi="Cambria"/>
          <w:sz w:val="16"/>
          <w:szCs w:val="16"/>
          <w:lang w:val="es-VE"/>
        </w:rPr>
        <w:t>to de Medicina Legal y al Sr. T</w:t>
      </w:r>
      <w:r w:rsidRPr="009D5581">
        <w:rPr>
          <w:rFonts w:ascii="Cambria" w:hAnsi="Cambria"/>
          <w:sz w:val="16"/>
          <w:szCs w:val="16"/>
          <w:lang w:val="es-VE"/>
        </w:rPr>
        <w:t xml:space="preserve">eodore Alvin Hutchinson, respectivamente, del 22 de febrero de 1990 referente al caso No. 113.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y. Oficio No. 04-301 del Dr. Carlos de Bernard del Instituto de Medicina Legal del 9 de abril de 1990 en referencia a los resultados de la exhumación realizada los días 23 y 26 de febrero de 1990, referente al caso No. 113.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w:t>
      </w:r>
    </w:p>
  </w:footnote>
  <w:footnote w:id="186">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Certificado de defunción referente al caso No. 113.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87">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112.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88">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114.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89">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Certificado de defunción referente al caso No. 219.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90">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89.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w:t>
      </w:r>
    </w:p>
  </w:footnote>
  <w:footnote w:id="191">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113.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192">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Notas de prensa anexos a la Declaración referente al caso No. 113.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Ver igualmente Anex</w:t>
      </w:r>
      <w:r>
        <w:rPr>
          <w:rFonts w:ascii="Cambria" w:hAnsi="Cambria"/>
          <w:sz w:val="16"/>
          <w:szCs w:val="16"/>
          <w:lang w:val="es-VE"/>
        </w:rPr>
        <w:t>o 60</w:t>
      </w:r>
      <w:r w:rsidRPr="009D5581">
        <w:rPr>
          <w:rFonts w:ascii="Cambria" w:hAnsi="Cambria"/>
          <w:sz w:val="16"/>
          <w:szCs w:val="16"/>
          <w:lang w:val="es-VE"/>
        </w:rPr>
        <w:t xml:space="preserve">. Escrito de observaciones finales del Estado recibido el 29 de marzo de 1996. </w:t>
      </w:r>
    </w:p>
  </w:footnote>
  <w:footnote w:id="193">
    <w:p w:rsidR="00C00F28" w:rsidRPr="009D5581" w:rsidRDefault="00C00F28" w:rsidP="009D5581">
      <w:pPr>
        <w:pStyle w:val="FootnoteText"/>
        <w:jc w:val="both"/>
        <w:rPr>
          <w:rFonts w:ascii="Cambria" w:hAnsi="Cambria"/>
          <w:color w:val="auto"/>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Notas de prensa anexas a la Declaración referente al caso No. 113. </w:t>
      </w:r>
      <w:r>
        <w:rPr>
          <w:rFonts w:ascii="Cambria" w:hAnsi="Cambria"/>
          <w:sz w:val="16"/>
          <w:szCs w:val="16"/>
          <w:lang w:val="es-VE"/>
        </w:rPr>
        <w:t>Anexo del escrito de información adicional presentado por la parte peticionaria el 19 de septiembre de 1991</w:t>
      </w:r>
      <w:r w:rsidRPr="009D5581">
        <w:rPr>
          <w:rFonts w:ascii="Cambria" w:hAnsi="Cambria"/>
          <w:color w:val="auto"/>
          <w:sz w:val="16"/>
          <w:szCs w:val="16"/>
          <w:lang w:val="es-VE"/>
        </w:rPr>
        <w:t>.</w:t>
      </w:r>
    </w:p>
  </w:footnote>
  <w:footnote w:id="194">
    <w:p w:rsidR="00C00F28" w:rsidRPr="009D5581" w:rsidRDefault="00C00F28" w:rsidP="009D5581">
      <w:pPr>
        <w:pStyle w:val="FootnoteText"/>
        <w:jc w:val="both"/>
        <w:rPr>
          <w:rFonts w:ascii="Cambria" w:hAnsi="Cambria"/>
          <w:color w:val="auto"/>
          <w:sz w:val="16"/>
          <w:szCs w:val="16"/>
          <w:lang w:val="es-VE"/>
        </w:rPr>
      </w:pPr>
      <w:r w:rsidRPr="009D5581">
        <w:rPr>
          <w:rStyle w:val="FootnoteReference"/>
          <w:rFonts w:ascii="Cambria" w:hAnsi="Cambria"/>
          <w:color w:val="auto"/>
          <w:sz w:val="16"/>
          <w:szCs w:val="16"/>
        </w:rPr>
        <w:footnoteRef/>
      </w:r>
      <w:r>
        <w:rPr>
          <w:rFonts w:ascii="Cambria" w:hAnsi="Cambria"/>
          <w:color w:val="auto"/>
          <w:sz w:val="16"/>
          <w:szCs w:val="16"/>
          <w:lang w:val="es-VE"/>
        </w:rPr>
        <w:t xml:space="preserve"> </w:t>
      </w:r>
      <w:r w:rsidRPr="009D5581">
        <w:rPr>
          <w:rFonts w:ascii="Cambria" w:hAnsi="Cambria"/>
          <w:sz w:val="16"/>
          <w:szCs w:val="16"/>
          <w:lang w:val="es-VE"/>
        </w:rPr>
        <w:t>Escrito de observaciones finales del Estado recibido el 29 de marzo de 1996</w:t>
      </w:r>
      <w:r w:rsidRPr="009D5581">
        <w:rPr>
          <w:rFonts w:ascii="Cambria" w:hAnsi="Cambria"/>
          <w:color w:val="auto"/>
          <w:sz w:val="16"/>
          <w:szCs w:val="16"/>
          <w:lang w:val="es-VE"/>
        </w:rPr>
        <w:t>, pág. 14.</w:t>
      </w:r>
    </w:p>
  </w:footnote>
  <w:footnote w:id="195">
    <w:p w:rsidR="00C00F28" w:rsidRPr="009D5581" w:rsidRDefault="00C00F28" w:rsidP="009D5581">
      <w:pPr>
        <w:pStyle w:val="FootnoteText"/>
        <w:jc w:val="both"/>
        <w:rPr>
          <w:rFonts w:ascii="Cambria" w:hAnsi="Cambria"/>
          <w:color w:val="auto"/>
          <w:sz w:val="16"/>
          <w:szCs w:val="16"/>
          <w:lang w:val="es-VE"/>
        </w:rPr>
      </w:pPr>
      <w:r w:rsidRPr="009D5581">
        <w:rPr>
          <w:rStyle w:val="FootnoteReference"/>
          <w:rFonts w:ascii="Cambria" w:hAnsi="Cambria"/>
          <w:color w:val="auto"/>
          <w:sz w:val="16"/>
          <w:szCs w:val="16"/>
        </w:rPr>
        <w:footnoteRef/>
      </w:r>
      <w:r>
        <w:rPr>
          <w:rFonts w:ascii="Cambria" w:hAnsi="Cambria"/>
          <w:color w:val="auto"/>
          <w:sz w:val="16"/>
          <w:szCs w:val="16"/>
          <w:lang w:val="es-VE"/>
        </w:rPr>
        <w:t xml:space="preserve"> </w:t>
      </w:r>
      <w:r w:rsidRPr="009D5581">
        <w:rPr>
          <w:rFonts w:ascii="Cambria" w:hAnsi="Cambria"/>
          <w:sz w:val="16"/>
          <w:szCs w:val="16"/>
          <w:lang w:val="es-VE"/>
        </w:rPr>
        <w:t>Escrito de observaciones finales del Estado recibido el 29 de marzo de 1996</w:t>
      </w:r>
      <w:r w:rsidRPr="009D5581">
        <w:rPr>
          <w:rFonts w:ascii="Cambria" w:hAnsi="Cambria"/>
          <w:color w:val="auto"/>
          <w:sz w:val="16"/>
          <w:szCs w:val="16"/>
          <w:lang w:val="es-VE"/>
        </w:rPr>
        <w:t>, pág. 14.</w:t>
      </w:r>
    </w:p>
  </w:footnote>
  <w:footnote w:id="196">
    <w:p w:rsidR="00C00F28" w:rsidRPr="009D5581" w:rsidRDefault="00C00F28" w:rsidP="009D5581">
      <w:pPr>
        <w:pStyle w:val="FootnoteText"/>
        <w:jc w:val="both"/>
        <w:rPr>
          <w:rFonts w:ascii="Cambria" w:hAnsi="Cambria"/>
          <w:color w:val="auto"/>
          <w:sz w:val="16"/>
          <w:szCs w:val="16"/>
          <w:lang w:val="es-VE"/>
        </w:rPr>
      </w:pPr>
      <w:r w:rsidRPr="009D5581">
        <w:rPr>
          <w:rStyle w:val="FootnoteReference"/>
          <w:rFonts w:ascii="Cambria" w:hAnsi="Cambria"/>
          <w:color w:val="auto"/>
          <w:sz w:val="16"/>
          <w:szCs w:val="16"/>
        </w:rPr>
        <w:footnoteRef/>
      </w:r>
      <w:r w:rsidRPr="009D5581">
        <w:rPr>
          <w:rFonts w:ascii="Cambria" w:hAnsi="Cambria"/>
          <w:color w:val="auto"/>
          <w:sz w:val="16"/>
          <w:szCs w:val="16"/>
          <w:lang w:val="es-VE"/>
        </w:rPr>
        <w:t xml:space="preserve"> </w:t>
      </w:r>
      <w:r w:rsidRPr="009D5581">
        <w:rPr>
          <w:rFonts w:ascii="Cambria" w:hAnsi="Cambria"/>
          <w:sz w:val="16"/>
          <w:szCs w:val="16"/>
          <w:lang w:val="es-VE"/>
        </w:rPr>
        <w:t>Escrito de observaciones finales del Estado recibido el 29 de marzo de 1996</w:t>
      </w:r>
      <w:r w:rsidRPr="009D5581">
        <w:rPr>
          <w:rFonts w:ascii="Cambria" w:hAnsi="Cambria"/>
          <w:color w:val="auto"/>
          <w:sz w:val="16"/>
          <w:szCs w:val="16"/>
          <w:lang w:val="es-VE"/>
        </w:rPr>
        <w:t>, pág. 14.</w:t>
      </w:r>
    </w:p>
  </w:footnote>
  <w:footnote w:id="197">
    <w:p w:rsidR="00C00F28" w:rsidRPr="009D5581" w:rsidRDefault="00C00F28" w:rsidP="00B0187A">
      <w:pPr>
        <w:pStyle w:val="FootnoteText"/>
        <w:tabs>
          <w:tab w:val="left" w:pos="7217"/>
        </w:tabs>
        <w:jc w:val="both"/>
        <w:rPr>
          <w:rFonts w:ascii="Cambria" w:hAnsi="Cambria"/>
          <w:sz w:val="16"/>
          <w:szCs w:val="16"/>
          <w:lang w:val="es-VE"/>
        </w:rPr>
      </w:pPr>
      <w:r w:rsidRPr="009D5581">
        <w:rPr>
          <w:rStyle w:val="FootnoteReference"/>
          <w:rFonts w:ascii="Cambria" w:hAnsi="Cambria"/>
          <w:color w:val="auto"/>
          <w:sz w:val="16"/>
          <w:szCs w:val="16"/>
        </w:rPr>
        <w:footnoteRef/>
      </w:r>
      <w:r w:rsidRPr="009D5581">
        <w:rPr>
          <w:rFonts w:ascii="Cambria" w:hAnsi="Cambria"/>
          <w:color w:val="auto"/>
          <w:sz w:val="16"/>
          <w:szCs w:val="16"/>
          <w:lang w:val="es-VE"/>
        </w:rPr>
        <w:t xml:space="preserve"> </w:t>
      </w:r>
      <w:r w:rsidRPr="009D5581">
        <w:rPr>
          <w:rFonts w:ascii="Cambria" w:hAnsi="Cambria"/>
          <w:sz w:val="16"/>
          <w:szCs w:val="16"/>
          <w:lang w:val="es-VE"/>
        </w:rPr>
        <w:t>Escrito de observaciones finales del Estado recibido el 29 de marzo de 1996</w:t>
      </w:r>
      <w:r w:rsidRPr="009D5581">
        <w:rPr>
          <w:rFonts w:ascii="Cambria" w:hAnsi="Cambria"/>
          <w:color w:val="auto"/>
          <w:sz w:val="16"/>
          <w:szCs w:val="16"/>
          <w:lang w:val="es-VE"/>
        </w:rPr>
        <w:t>, pág. 14.</w:t>
      </w:r>
      <w:r>
        <w:rPr>
          <w:rFonts w:ascii="Cambria" w:hAnsi="Cambria"/>
          <w:color w:val="auto"/>
          <w:sz w:val="16"/>
          <w:szCs w:val="16"/>
          <w:lang w:val="es-VE"/>
        </w:rPr>
        <w:tab/>
      </w:r>
    </w:p>
  </w:footnote>
  <w:footnote w:id="198">
    <w:p w:rsidR="00C00F28" w:rsidRPr="009D5581" w:rsidRDefault="00C00F28" w:rsidP="009D5581">
      <w:pPr>
        <w:tabs>
          <w:tab w:val="left" w:pos="1245"/>
        </w:tabs>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3.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199">
    <w:p w:rsidR="00C00F28" w:rsidRPr="009D5581" w:rsidRDefault="00C00F28" w:rsidP="009D5581">
      <w:pPr>
        <w:tabs>
          <w:tab w:val="left" w:pos="1245"/>
        </w:tabs>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3.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200">
    <w:p w:rsidR="00C00F28" w:rsidRPr="009D5581" w:rsidRDefault="00C00F28" w:rsidP="009D5581">
      <w:pPr>
        <w:tabs>
          <w:tab w:val="left" w:pos="1245"/>
        </w:tabs>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3.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201">
    <w:p w:rsidR="00C00F28" w:rsidRPr="009D5581" w:rsidRDefault="00C00F28" w:rsidP="009D5581">
      <w:pPr>
        <w:tabs>
          <w:tab w:val="left" w:pos="1245"/>
        </w:tabs>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3.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202">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Anexo 68</w:t>
      </w:r>
      <w:r w:rsidRPr="009D5581">
        <w:rPr>
          <w:rFonts w:ascii="Cambria" w:hAnsi="Cambria"/>
          <w:sz w:val="16"/>
          <w:szCs w:val="16"/>
          <w:lang w:val="es-VE"/>
        </w:rPr>
        <w:t xml:space="preserve">. Declaración referente al caso No. 61.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03">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Anexo 68</w:t>
      </w:r>
      <w:r w:rsidRPr="009D5581">
        <w:rPr>
          <w:rFonts w:ascii="Cambria" w:hAnsi="Cambria"/>
          <w:sz w:val="16"/>
          <w:szCs w:val="16"/>
          <w:lang w:val="es-VE"/>
        </w:rPr>
        <w:t xml:space="preserve">. Declaración referente al caso No. 61.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04">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61.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05">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61.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06">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61.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07">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63.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08">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63.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09">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63.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10">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63.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11">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66.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12">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66.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1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66.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14">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67.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15">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Registro de urgencia del Hospital Santo Tomás referente al caso No. 67.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w:t>
      </w:r>
    </w:p>
  </w:footnote>
  <w:footnote w:id="216">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67.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17">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68.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18">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68.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19">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68.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20">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68.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21">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70.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2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70.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2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70.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24">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70.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25">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70.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26">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Declaración referente al caso No. 73.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27">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73.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28">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73.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29">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73.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30">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y fotografía referente al caso No. 73.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31">
    <w:p w:rsidR="00C00F28" w:rsidRPr="009D5581" w:rsidRDefault="00C00F28" w:rsidP="00612DD3">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Reconocimiento del Instituto de Medicina Legal del Ministerio Público emitido el 8 de enero de 1990. </w:t>
      </w:r>
      <w:r w:rsidRPr="009D5581">
        <w:rPr>
          <w:rFonts w:ascii="Cambria" w:hAnsi="Cambria"/>
          <w:sz w:val="16"/>
          <w:szCs w:val="16"/>
          <w:lang w:val="es-VE"/>
        </w:rPr>
        <w:t>Anexo a comunicación de la parte peticionaria recibida el 5 agosto de 1994.</w:t>
      </w:r>
    </w:p>
  </w:footnote>
  <w:footnote w:id="232">
    <w:p w:rsidR="00C00F28" w:rsidRPr="009D5581" w:rsidRDefault="00C00F28" w:rsidP="00612DD3">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Certificado de defunción referente al caso No. 73. </w:t>
      </w:r>
      <w:r w:rsidRPr="009D5581">
        <w:rPr>
          <w:rFonts w:ascii="Cambria" w:hAnsi="Cambria"/>
          <w:sz w:val="16"/>
          <w:szCs w:val="16"/>
          <w:lang w:val="es-VE"/>
        </w:rPr>
        <w:t>Anexo a comunicación de la parte peticionaria recibida el 5 agosto de 1994.</w:t>
      </w:r>
    </w:p>
  </w:footnote>
  <w:footnote w:id="233">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Denuncia presentada por Sebastián Vergara Pino ante la Fiscalía Tercera Superior del Primer Distrito Judicial el 26 de febrero de 1990 referente al caso No. 221.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34">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Denuncia presentada por Sebastián Vergara Pino ante la Fiscalía Tercera Superior del Primer Distrito Judicial el 26 de febrero de 1990 referente al caso No. 221.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35">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74.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36">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Demanda interpuesta por Fabio Martínez ante </w:t>
      </w:r>
      <w:r w:rsidRPr="009D5581">
        <w:rPr>
          <w:rFonts w:ascii="Cambria" w:hAnsi="Cambria"/>
          <w:sz w:val="16"/>
          <w:szCs w:val="16"/>
          <w:lang w:val="es-CO"/>
        </w:rPr>
        <w:t>la Fiscalía Cuarta Superior del Primer Distrito Judicial de Panamá por el homicidio de Ariel Martínez</w:t>
      </w:r>
      <w:r w:rsidRPr="009D5581">
        <w:rPr>
          <w:rFonts w:ascii="Cambria" w:hAnsi="Cambria"/>
          <w:sz w:val="16"/>
          <w:szCs w:val="16"/>
          <w:lang w:val="es-VE"/>
        </w:rPr>
        <w:t xml:space="preserve"> referente al caso No. 74.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37">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Demanda interpuesta por Fabio Martínez ante </w:t>
      </w:r>
      <w:r w:rsidRPr="009D5581">
        <w:rPr>
          <w:rFonts w:ascii="Cambria" w:hAnsi="Cambria"/>
          <w:sz w:val="16"/>
          <w:szCs w:val="16"/>
          <w:lang w:val="es-CO"/>
        </w:rPr>
        <w:t>la Fiscalía Cuarta Superior del Primer Distrito Judicial de Panamá por el homicidio de Ariel Martínez</w:t>
      </w:r>
      <w:r w:rsidRPr="009D5581">
        <w:rPr>
          <w:rFonts w:ascii="Cambria" w:hAnsi="Cambria"/>
          <w:sz w:val="16"/>
          <w:szCs w:val="16"/>
          <w:lang w:val="es-VE"/>
        </w:rPr>
        <w:t xml:space="preserve"> referente al caso No. 74.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38">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Demanda interpuesta por Fabio Martínez ante </w:t>
      </w:r>
      <w:r w:rsidRPr="009D5581">
        <w:rPr>
          <w:rFonts w:ascii="Cambria" w:hAnsi="Cambria"/>
          <w:sz w:val="16"/>
          <w:szCs w:val="16"/>
          <w:lang w:val="es-CO"/>
        </w:rPr>
        <w:t>la Fiscalía Cuarta Superior del Primer Distrito Judicial de Panamá por el homicidio de Ariel Martínez</w:t>
      </w:r>
      <w:r w:rsidRPr="009D5581">
        <w:rPr>
          <w:rFonts w:ascii="Cambria" w:hAnsi="Cambria"/>
          <w:sz w:val="16"/>
          <w:szCs w:val="16"/>
          <w:lang w:val="es-VE"/>
        </w:rPr>
        <w:t xml:space="preserve"> referente al caso No. 74.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39">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Demanda interpuesta por Fabio Martínez ante </w:t>
      </w:r>
      <w:r w:rsidRPr="009D5581">
        <w:rPr>
          <w:rFonts w:ascii="Cambria" w:hAnsi="Cambria"/>
          <w:sz w:val="16"/>
          <w:szCs w:val="16"/>
          <w:lang w:val="es-CO"/>
        </w:rPr>
        <w:t>la Fiscalía Cuarta Superior del Primer Distrito Judicial de Panamá por el homicidio de Ariel Martínez</w:t>
      </w:r>
      <w:r w:rsidRPr="009D5581">
        <w:rPr>
          <w:rFonts w:ascii="Cambria" w:hAnsi="Cambria"/>
          <w:sz w:val="16"/>
          <w:szCs w:val="16"/>
          <w:lang w:val="es-VE"/>
        </w:rPr>
        <w:t xml:space="preserve"> referente al caso No. 74.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40">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Demanda interpuesta por Fabio Martínez ante </w:t>
      </w:r>
      <w:r w:rsidRPr="009D5581">
        <w:rPr>
          <w:rFonts w:ascii="Cambria" w:hAnsi="Cambria"/>
          <w:sz w:val="16"/>
          <w:szCs w:val="16"/>
          <w:lang w:val="es-CO"/>
        </w:rPr>
        <w:t>la Fiscalía Cuarta Superior del Primer Distrito Judicial de Panamá por el homicidio de Ariel Martínez</w:t>
      </w:r>
      <w:r w:rsidRPr="009D5581">
        <w:rPr>
          <w:rFonts w:ascii="Cambria" w:hAnsi="Cambria"/>
          <w:sz w:val="16"/>
          <w:szCs w:val="16"/>
          <w:lang w:val="es-VE"/>
        </w:rPr>
        <w:t xml:space="preserve"> referente al caso No. 74.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41">
    <w:p w:rsidR="00C00F28" w:rsidRPr="009D5581" w:rsidRDefault="00C00F28" w:rsidP="00612DD3">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Demanda interpuesta por Fabio Martínez ante </w:t>
      </w:r>
      <w:r w:rsidRPr="009D5581">
        <w:rPr>
          <w:rFonts w:ascii="Cambria" w:hAnsi="Cambria"/>
          <w:sz w:val="16"/>
          <w:szCs w:val="16"/>
          <w:lang w:val="es-CO"/>
        </w:rPr>
        <w:t>la Fiscalía Cuarta Superior del Primer Distrito Judicial de Panamá por el homicidio de Ariel Martínez</w:t>
      </w:r>
      <w:r w:rsidRPr="009D5581">
        <w:rPr>
          <w:rFonts w:ascii="Cambria" w:hAnsi="Cambria"/>
          <w:sz w:val="16"/>
          <w:szCs w:val="16"/>
          <w:lang w:val="es-VE"/>
        </w:rPr>
        <w:t xml:space="preserve"> referente al caso No. 74.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42">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Conocido al momento de los hechos como el Gorgas Army Community Hospital, bajo la protección del Gobierno de los Estados Unidos. </w:t>
      </w:r>
    </w:p>
  </w:footnote>
  <w:footnote w:id="243">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Demanda interpuesta por Fabio Martínez ante </w:t>
      </w:r>
      <w:r w:rsidRPr="009D5581">
        <w:rPr>
          <w:rFonts w:ascii="Cambria" w:hAnsi="Cambria"/>
          <w:sz w:val="16"/>
          <w:szCs w:val="16"/>
          <w:lang w:val="es-CO"/>
        </w:rPr>
        <w:t>la Fiscalía Cuarta Superior del Primer Distrito Judicial de Panamá por el homicidio de Ariel Martínez</w:t>
      </w:r>
      <w:r w:rsidRPr="009D5581">
        <w:rPr>
          <w:rFonts w:ascii="Cambria" w:hAnsi="Cambria"/>
          <w:sz w:val="16"/>
          <w:szCs w:val="16"/>
          <w:lang w:val="es-VE"/>
        </w:rPr>
        <w:t xml:space="preserve"> referente al caso No. 74.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44">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Demanda interpuesta por Fabio Martínez ante </w:t>
      </w:r>
      <w:r w:rsidRPr="009D5581">
        <w:rPr>
          <w:rFonts w:ascii="Cambria" w:hAnsi="Cambria"/>
          <w:sz w:val="16"/>
          <w:szCs w:val="16"/>
          <w:lang w:val="es-CO"/>
        </w:rPr>
        <w:t>la Fiscalía Cuarta Superior del Primer Distrito Judicial de Panamá por el homicidio de Ariel Martínez</w:t>
      </w:r>
      <w:r w:rsidRPr="009D5581">
        <w:rPr>
          <w:rFonts w:ascii="Cambria" w:hAnsi="Cambria"/>
          <w:sz w:val="16"/>
          <w:szCs w:val="16"/>
          <w:lang w:val="es-VE"/>
        </w:rPr>
        <w:t xml:space="preserve"> referente al caso No. 74.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45">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Demanda interpuesta por Fabio Martínez ante </w:t>
      </w:r>
      <w:r w:rsidRPr="009D5581">
        <w:rPr>
          <w:rFonts w:ascii="Cambria" w:hAnsi="Cambria"/>
          <w:sz w:val="16"/>
          <w:szCs w:val="16"/>
          <w:lang w:val="es-CO"/>
        </w:rPr>
        <w:t>la Fiscalía Cuarta Superior del Primer Distrito Judicial de Panamá por el homicidio de Ariel Martínez</w:t>
      </w:r>
      <w:r w:rsidRPr="009D5581">
        <w:rPr>
          <w:rFonts w:ascii="Cambria" w:hAnsi="Cambria"/>
          <w:sz w:val="16"/>
          <w:szCs w:val="16"/>
          <w:lang w:val="es-VE"/>
        </w:rPr>
        <w:t xml:space="preserve"> referente al caso No. 74.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46">
    <w:p w:rsidR="00C00F28" w:rsidRPr="009D5581" w:rsidRDefault="00C00F28" w:rsidP="00612DD3">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77. </w:t>
      </w:r>
      <w:r>
        <w:rPr>
          <w:rFonts w:ascii="Cambria" w:hAnsi="Cambria"/>
          <w:sz w:val="16"/>
          <w:szCs w:val="16"/>
          <w:lang w:val="es-VE"/>
        </w:rPr>
        <w:t xml:space="preserve">Anexo del escrito de información adicional presentado por la parte peticionaria el 19 de septiembre de 1991; y </w:t>
      </w:r>
      <w:r w:rsidRPr="009D5581">
        <w:rPr>
          <w:rFonts w:ascii="Cambria" w:hAnsi="Cambria"/>
          <w:sz w:val="16"/>
          <w:szCs w:val="16"/>
          <w:lang w:val="es-VE"/>
        </w:rPr>
        <w:t xml:space="preserve">Declaración referente al caso No. 98.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47">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77. </w:t>
      </w:r>
      <w:r>
        <w:rPr>
          <w:rFonts w:ascii="Cambria" w:hAnsi="Cambria"/>
          <w:sz w:val="16"/>
          <w:szCs w:val="16"/>
          <w:lang w:val="es-VE"/>
        </w:rPr>
        <w:t xml:space="preserve">Anexo del escrito de información adicional presentado por la parte peticionaria el 19 de septiembre de 1991; y </w:t>
      </w:r>
      <w:r w:rsidRPr="009D5581">
        <w:rPr>
          <w:rFonts w:ascii="Cambria" w:hAnsi="Cambria"/>
          <w:sz w:val="16"/>
          <w:szCs w:val="16"/>
          <w:lang w:val="es-VE"/>
        </w:rPr>
        <w:t xml:space="preserve">Declaración referente al caso No. 98.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48">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77. </w:t>
      </w:r>
      <w:r>
        <w:rPr>
          <w:rFonts w:ascii="Cambria" w:hAnsi="Cambria"/>
          <w:sz w:val="16"/>
          <w:szCs w:val="16"/>
          <w:lang w:val="es-VE"/>
        </w:rPr>
        <w:t xml:space="preserve">Anexo del escrito de información adicional presentado por la parte peticionaria el 19 de septiembre de 1991; y </w:t>
      </w:r>
      <w:r w:rsidRPr="009D5581">
        <w:rPr>
          <w:rFonts w:ascii="Cambria" w:hAnsi="Cambria"/>
          <w:sz w:val="16"/>
          <w:szCs w:val="16"/>
          <w:lang w:val="es-VE"/>
        </w:rPr>
        <w:t xml:space="preserve">Declaración referente al caso No. 98.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49">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Expediente ante Segundo Tribunal Superior de Justicia, referente al caso No. 77.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w:t>
      </w:r>
    </w:p>
  </w:footnote>
  <w:footnote w:id="250">
    <w:p w:rsidR="00C00F28" w:rsidRPr="009D5581" w:rsidRDefault="00C00F28" w:rsidP="00612DD3">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Permiso de Exhumación del Ministerio de Salud emitido el 27 de abril de 1990, referente al caso No. 77. </w:t>
      </w:r>
      <w:r w:rsidRPr="009D5581">
        <w:rPr>
          <w:rFonts w:ascii="Cambria" w:hAnsi="Cambria"/>
          <w:sz w:val="16"/>
          <w:szCs w:val="16"/>
          <w:lang w:val="es-VE"/>
        </w:rPr>
        <w:t xml:space="preserve">Anexo a comunicación de la parte peticionaria recibida el 5 agosto de 1994; y </w:t>
      </w:r>
      <w:r w:rsidRPr="009D5581">
        <w:rPr>
          <w:rFonts w:ascii="Cambria" w:hAnsi="Cambria"/>
          <w:sz w:val="16"/>
          <w:szCs w:val="16"/>
          <w:lang w:val="es-CO"/>
        </w:rPr>
        <w:t xml:space="preserve">Permiso de Exhumación del Ministerio de Salud emitido el 27 de abril de 1990, referente al caso No. 98. </w:t>
      </w:r>
      <w:r w:rsidRPr="009D5581">
        <w:rPr>
          <w:rFonts w:ascii="Cambria" w:hAnsi="Cambria"/>
          <w:sz w:val="16"/>
          <w:szCs w:val="16"/>
          <w:lang w:val="es-VE"/>
        </w:rPr>
        <w:t>Anexo a comunicación de la parte peticionaria recibida el 5 agosto de 1994.</w:t>
      </w:r>
    </w:p>
  </w:footnote>
  <w:footnote w:id="251">
    <w:p w:rsidR="00C00F28" w:rsidRPr="009D5581" w:rsidRDefault="00C00F28" w:rsidP="00612DD3">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Permiso de Exhumación del Ministerio de Salud emitido el 27 de abril de 1990, referente al caso No. 77. </w:t>
      </w:r>
      <w:r w:rsidRPr="009D5581">
        <w:rPr>
          <w:rFonts w:ascii="Cambria" w:hAnsi="Cambria"/>
          <w:sz w:val="16"/>
          <w:szCs w:val="16"/>
          <w:lang w:val="es-VE"/>
        </w:rPr>
        <w:t>Anexo a comunicación de la parte peticionaria recibida el 5 agosto de 1994; y</w:t>
      </w:r>
      <w:r w:rsidRPr="009D5581">
        <w:rPr>
          <w:rFonts w:ascii="Cambria" w:hAnsi="Cambria"/>
          <w:sz w:val="16"/>
          <w:szCs w:val="16"/>
          <w:lang w:val="es-CO"/>
        </w:rPr>
        <w:t xml:space="preserve"> Permiso de Exhumación del Ministerio de Salud emitido el 27 de abril de 1990, referente al caso No. 98. </w:t>
      </w:r>
      <w:r w:rsidRPr="009D5581">
        <w:rPr>
          <w:rFonts w:ascii="Cambria" w:hAnsi="Cambria"/>
          <w:sz w:val="16"/>
          <w:szCs w:val="16"/>
          <w:lang w:val="es-VE"/>
        </w:rPr>
        <w:t>Anexo a comunicación de la parte peticionaria recibida el 5 agosto de 1994</w:t>
      </w:r>
      <w:r>
        <w:rPr>
          <w:rFonts w:ascii="Cambria" w:hAnsi="Cambria"/>
          <w:sz w:val="16"/>
          <w:szCs w:val="16"/>
          <w:lang w:val="es-VE"/>
        </w:rPr>
        <w:t>.</w:t>
      </w:r>
    </w:p>
  </w:footnote>
  <w:footnote w:id="252">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79.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5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79.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54">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79.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55">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80.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56">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80.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57">
    <w:p w:rsidR="00C00F28" w:rsidRPr="009D5581" w:rsidRDefault="00C00F28" w:rsidP="00612DD3">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Declaración adicional referente al caso No. 80. </w:t>
      </w:r>
      <w:r w:rsidRPr="009D5581">
        <w:rPr>
          <w:rFonts w:ascii="Cambria" w:hAnsi="Cambria"/>
          <w:sz w:val="16"/>
          <w:szCs w:val="16"/>
          <w:lang w:val="es-VE"/>
        </w:rPr>
        <w:t>Anexo a comunicación de la parte peticionaria recibida el 5 agosto de 1994.</w:t>
      </w:r>
    </w:p>
  </w:footnote>
  <w:footnote w:id="258">
    <w:p w:rsidR="00C00F28" w:rsidRPr="009D5581" w:rsidRDefault="00C00F28" w:rsidP="00612DD3">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Declaración adicional referente al caso No. 80. </w:t>
      </w:r>
      <w:r w:rsidRPr="009D5581">
        <w:rPr>
          <w:rFonts w:ascii="Cambria" w:hAnsi="Cambria"/>
          <w:sz w:val="16"/>
          <w:szCs w:val="16"/>
          <w:lang w:val="es-VE"/>
        </w:rPr>
        <w:t>Anexo a comunicación de la parte peticionaria recibida el 5 agosto de 1994.</w:t>
      </w:r>
    </w:p>
  </w:footnote>
  <w:footnote w:id="259">
    <w:p w:rsidR="00C00F28" w:rsidRPr="009D5581" w:rsidRDefault="00C00F28" w:rsidP="00612DD3">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Declaración adicional referente al caso No. 80. </w:t>
      </w:r>
      <w:r w:rsidRPr="009D5581">
        <w:rPr>
          <w:rFonts w:ascii="Cambria" w:hAnsi="Cambria"/>
          <w:sz w:val="16"/>
          <w:szCs w:val="16"/>
          <w:lang w:val="es-VE"/>
        </w:rPr>
        <w:t>Anexo a comunicación de la parte peticionaria recibida el 5 agosto de 1994.</w:t>
      </w:r>
    </w:p>
  </w:footnote>
  <w:footnote w:id="260">
    <w:p w:rsidR="00C00F28" w:rsidRPr="009D5581" w:rsidRDefault="00C00F28" w:rsidP="00612DD3">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Declaración adicional referente al caso No. 80. </w:t>
      </w:r>
      <w:r w:rsidRPr="009D5581">
        <w:rPr>
          <w:rFonts w:ascii="Cambria" w:hAnsi="Cambria"/>
          <w:sz w:val="16"/>
          <w:szCs w:val="16"/>
          <w:lang w:val="es-VE"/>
        </w:rPr>
        <w:t>Anexo a comunicación de la parte peticionaria recibida el 5 agosto de 1994.</w:t>
      </w:r>
    </w:p>
  </w:footnote>
  <w:footnote w:id="261">
    <w:p w:rsidR="00C00F28" w:rsidRPr="009D5581" w:rsidRDefault="00C00F28" w:rsidP="00612DD3">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Declaración adicional referente al caso No. 80. </w:t>
      </w:r>
      <w:r w:rsidRPr="009D5581">
        <w:rPr>
          <w:rFonts w:ascii="Cambria" w:hAnsi="Cambria"/>
          <w:sz w:val="16"/>
          <w:szCs w:val="16"/>
          <w:lang w:val="es-VE"/>
        </w:rPr>
        <w:t>Anexo a comunicación de la parte peticionaria recibida el 5 agosto de 1994.</w:t>
      </w:r>
    </w:p>
  </w:footnote>
  <w:footnote w:id="262">
    <w:p w:rsidR="00C00F28" w:rsidRPr="009D5581" w:rsidRDefault="00C00F28" w:rsidP="00612DD3">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Declaración adicional referente al caso No. 80. </w:t>
      </w:r>
      <w:r w:rsidRPr="009D5581">
        <w:rPr>
          <w:rFonts w:ascii="Cambria" w:hAnsi="Cambria"/>
          <w:sz w:val="16"/>
          <w:szCs w:val="16"/>
          <w:lang w:val="es-VE"/>
        </w:rPr>
        <w:t>Anexo a comunicación de la parte peticionaria recibida el 5 agosto de 1994.</w:t>
      </w:r>
    </w:p>
  </w:footnote>
  <w:footnote w:id="26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82.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64">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82.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65">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Certificado de defunción referente al caso No. 82.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66">
    <w:p w:rsidR="00C00F28" w:rsidRPr="009D5581" w:rsidRDefault="00C00F28" w:rsidP="009D5581">
      <w:pPr>
        <w:pStyle w:val="FootnoteText"/>
        <w:jc w:val="both"/>
        <w:rPr>
          <w:rFonts w:ascii="Cambria" w:hAnsi="Cambria"/>
          <w:sz w:val="16"/>
          <w:szCs w:val="16"/>
        </w:rPr>
      </w:pPr>
      <w:r w:rsidRPr="009D5581">
        <w:rPr>
          <w:rStyle w:val="FootnoteReference"/>
          <w:rFonts w:ascii="Cambria" w:hAnsi="Cambria"/>
          <w:sz w:val="16"/>
          <w:szCs w:val="16"/>
        </w:rPr>
        <w:footnoteRef/>
      </w:r>
      <w:r w:rsidRPr="009D5581">
        <w:rPr>
          <w:rFonts w:ascii="Cambria" w:hAnsi="Cambria"/>
          <w:sz w:val="16"/>
          <w:szCs w:val="16"/>
          <w:lang w:val="es-CO"/>
        </w:rPr>
        <w:t xml:space="preserve"> </w:t>
      </w:r>
      <w:bookmarkStart w:id="22" w:name="_Hlk497214955"/>
      <w:r w:rsidRPr="009D5581">
        <w:rPr>
          <w:rFonts w:ascii="Cambria" w:hAnsi="Cambria"/>
          <w:sz w:val="16"/>
          <w:szCs w:val="16"/>
          <w:lang w:val="es-VE"/>
        </w:rPr>
        <w:t xml:space="preserve">Tabla sobre puntos de recolección y registro de nombres del Gobierno de los Estados Unidos de América. </w:t>
      </w:r>
      <w:r w:rsidRPr="009D5581">
        <w:rPr>
          <w:rFonts w:ascii="Cambria" w:hAnsi="Cambria"/>
          <w:sz w:val="16"/>
          <w:szCs w:val="16"/>
        </w:rPr>
        <w:t xml:space="preserve">Anexo 5 del Commissioner’s Notebook of Petitioner’s Evidence on the Merits. </w:t>
      </w:r>
      <w:bookmarkEnd w:id="22"/>
    </w:p>
  </w:footnote>
  <w:footnote w:id="267">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85.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68">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85.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69">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85.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70">
    <w:p w:rsidR="00C00F28" w:rsidRPr="009D5581" w:rsidRDefault="00C00F28" w:rsidP="00612DD3">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Sumaria en averiguación de las causas de la muerte en Fiscalía Segunda Superior del Primer Distrito Judicial del 9 de abril de 1990, referente al caso No. 85. </w:t>
      </w:r>
      <w:r w:rsidRPr="009D5581">
        <w:rPr>
          <w:rFonts w:ascii="Cambria" w:hAnsi="Cambria"/>
          <w:sz w:val="16"/>
          <w:szCs w:val="16"/>
          <w:lang w:val="es-VE"/>
        </w:rPr>
        <w:t>Anexo a comunicación de la parte peticionaria recibida el 5 agosto de 1994.</w:t>
      </w:r>
    </w:p>
  </w:footnote>
  <w:footnote w:id="271">
    <w:p w:rsidR="00C00F28" w:rsidRPr="009D5581" w:rsidRDefault="00C00F28" w:rsidP="00612DD3">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Sumaria en averiguación de las causas de la muerte en Fiscalía Segunda Superior del Primer Distrito Judicial referente al caso No. 85. </w:t>
      </w:r>
      <w:r w:rsidRPr="009D5581">
        <w:rPr>
          <w:rFonts w:ascii="Cambria" w:hAnsi="Cambria"/>
          <w:sz w:val="16"/>
          <w:szCs w:val="16"/>
          <w:lang w:val="es-VE"/>
        </w:rPr>
        <w:t>Anexo a comunicación de la parte peticionaria recibida el 5 agosto de 1994.</w:t>
      </w:r>
    </w:p>
  </w:footnote>
  <w:footnote w:id="272">
    <w:p w:rsidR="00C00F28" w:rsidRPr="009D5581" w:rsidRDefault="00C00F28" w:rsidP="00612DD3">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Vistos del Segundo Tribunal Superior de Justicia del 9 de octubre de 1990, referente al caso No. 85. </w:t>
      </w:r>
      <w:r w:rsidRPr="009D5581">
        <w:rPr>
          <w:rFonts w:ascii="Cambria" w:hAnsi="Cambria"/>
          <w:sz w:val="16"/>
          <w:szCs w:val="16"/>
          <w:lang w:val="es-VE"/>
        </w:rPr>
        <w:t>Anexo a comunicación de la parte peticionaria recibida el 5 agosto de 1994.</w:t>
      </w:r>
    </w:p>
  </w:footnote>
  <w:footnote w:id="273">
    <w:p w:rsidR="00C00F28" w:rsidRPr="009D5581" w:rsidRDefault="00C00F28" w:rsidP="00612DD3">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Sumaria en averiguación de las causas de la muerte en Fiscalía Segunda Superior del Primer Distrito Judicial referente al caso No. 85. </w:t>
      </w:r>
      <w:r w:rsidRPr="009D5581">
        <w:rPr>
          <w:rFonts w:ascii="Cambria" w:hAnsi="Cambria"/>
          <w:sz w:val="16"/>
          <w:szCs w:val="16"/>
          <w:lang w:val="es-VE"/>
        </w:rPr>
        <w:t>Anexo a comunicación de la parte peticionaria recibida el 5 agosto de 1994.</w:t>
      </w:r>
    </w:p>
  </w:footnote>
  <w:footnote w:id="274">
    <w:p w:rsidR="00C00F28" w:rsidRPr="009D5581" w:rsidRDefault="00C00F28" w:rsidP="00612DD3">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Sumaria en averiguación de las causas de la muerte en Fiscalía Segunda Superior del Primer Distrito Judicial referente al caso No. 85. </w:t>
      </w:r>
      <w:r w:rsidRPr="009D5581">
        <w:rPr>
          <w:rFonts w:ascii="Cambria" w:hAnsi="Cambria"/>
          <w:sz w:val="16"/>
          <w:szCs w:val="16"/>
          <w:lang w:val="es-VE"/>
        </w:rPr>
        <w:t>Anexo a comunicación de la parte peticionaria recibida el 5 agosto de 1994.</w:t>
      </w:r>
    </w:p>
  </w:footnote>
  <w:footnote w:id="275">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87.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76">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87.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77">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88.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78">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88.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79">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88.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80">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88.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81">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Certificado de defunción referente al caso No. 88.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82">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90.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83">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90.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84">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Certificado de defunción referente al caso No. 90.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w:t>
      </w:r>
    </w:p>
  </w:footnote>
  <w:footnote w:id="285">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94.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8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94.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87">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94.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88">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94.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89">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95.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90">
    <w:p w:rsidR="00C00F28" w:rsidRPr="009D5581" w:rsidRDefault="00C00F28" w:rsidP="00612DD3">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95.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91">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95.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92">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Certificado de defunción referente al caso No. 95.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9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96.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94">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96.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95">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96.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96">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96.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97">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97.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98">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97.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299">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97.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00">
    <w:p w:rsidR="00C00F28" w:rsidRPr="009D5581" w:rsidRDefault="00C00F28" w:rsidP="001120B3">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11. </w:t>
      </w:r>
      <w:r>
        <w:rPr>
          <w:rFonts w:ascii="Cambria" w:hAnsi="Cambria"/>
          <w:sz w:val="16"/>
          <w:szCs w:val="16"/>
          <w:lang w:val="es-VE"/>
        </w:rPr>
        <w:t>Anexo del escrito de información adicional presentado por la parte peticionaria el 29 de junio de 1990; y D</w:t>
      </w:r>
      <w:r w:rsidRPr="009D5581">
        <w:rPr>
          <w:rFonts w:ascii="Cambria" w:hAnsi="Cambria"/>
          <w:sz w:val="16"/>
          <w:szCs w:val="16"/>
          <w:lang w:val="es-VE"/>
        </w:rPr>
        <w:t xml:space="preserve">eclaración referente al caso No. 99.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01">
    <w:p w:rsidR="00C00F28" w:rsidRPr="009D5581" w:rsidRDefault="00C00F28" w:rsidP="001120B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99.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02">
    <w:p w:rsidR="00C00F28" w:rsidRPr="009D5581" w:rsidRDefault="00C00F28" w:rsidP="001120B3">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99.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03">
    <w:p w:rsidR="00C00F28" w:rsidRPr="009D5581" w:rsidRDefault="00C00F28" w:rsidP="001120B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99.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04">
    <w:p w:rsidR="00C00F28" w:rsidRPr="009D5581" w:rsidRDefault="00C00F28" w:rsidP="001120B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11.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05">
    <w:p w:rsidR="00C00F28" w:rsidRPr="009D5581" w:rsidRDefault="00C00F28" w:rsidP="001120B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99.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w:t>
      </w:r>
    </w:p>
  </w:footnote>
  <w:footnote w:id="306">
    <w:p w:rsidR="00C00F28" w:rsidRPr="009D5581" w:rsidRDefault="00C00F28" w:rsidP="001120B3">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Denuncia sobre desaparición ante la Comisión Nacional de Derechos Humanos en Panamá del 20 de febrero de 1990, referente al caso 11. Anexo a comunicación de la parte peticionaria recibida el 5 agosto de 1994.</w:t>
      </w:r>
    </w:p>
  </w:footnote>
  <w:footnote w:id="307">
    <w:p w:rsidR="00C00F28" w:rsidRPr="009D5581" w:rsidRDefault="00C00F28" w:rsidP="001120B3">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Denuncia sobre desaparición ante la Fiscalía Cuarta Superior del Primer Distrito Judicial del 4 de abril de 1990, referente al caso 11. Anexo a comunicación de la parte peticionaria recibida el 5 agosto de 1994.</w:t>
      </w:r>
    </w:p>
  </w:footnote>
  <w:footnote w:id="308">
    <w:p w:rsidR="00C00F28" w:rsidRPr="009D5581" w:rsidRDefault="00C00F28" w:rsidP="001120B3">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Denuncia sobre desaparición ante la Fiscalía Cuarta Superior del Primer Distrito Judicial del 4 de abril de 1990, referente al caso 11. Anexo a comunicación de la parte peticionaria recibida el 5 agosto de 1994.</w:t>
      </w:r>
    </w:p>
  </w:footnote>
  <w:footnote w:id="309">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102.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10">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102.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11">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102.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12">
    <w:p w:rsidR="00C00F28" w:rsidRPr="009D5581" w:rsidRDefault="00C00F28" w:rsidP="00612DD3">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102.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1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107.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14">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107.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15">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107.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16">
    <w:p w:rsidR="00C00F28" w:rsidRPr="009D5581" w:rsidRDefault="00C00F28" w:rsidP="004A5E83">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Pr>
          <w:rFonts w:ascii="Cambria" w:hAnsi="Cambria"/>
          <w:sz w:val="16"/>
          <w:szCs w:val="16"/>
          <w:lang w:val="es-VE"/>
        </w:rPr>
        <w:t>Declaración</w:t>
      </w:r>
      <w:r w:rsidRPr="009D5581">
        <w:rPr>
          <w:rFonts w:ascii="Cambria" w:hAnsi="Cambria"/>
          <w:sz w:val="16"/>
          <w:szCs w:val="16"/>
          <w:lang w:val="es-VE"/>
        </w:rPr>
        <w:t xml:space="preserve"> referente al caso No. 218.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17">
    <w:p w:rsidR="00C00F28" w:rsidRPr="009D5581" w:rsidRDefault="00C00F28" w:rsidP="004A5E83">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Certificado de defunción referente al caso No. 218.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18">
    <w:p w:rsidR="00C00F28" w:rsidRPr="009D5581" w:rsidRDefault="00C00F28" w:rsidP="004A5E83">
      <w:pPr>
        <w:pStyle w:val="FootnoteText"/>
        <w:jc w:val="both"/>
        <w:rPr>
          <w:rFonts w:ascii="Cambria" w:hAnsi="Cambria"/>
          <w:b/>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Certificado de defunción referente al caso No. 218.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19">
    <w:p w:rsidR="00C00F28" w:rsidRPr="009D5581" w:rsidRDefault="00C00F28" w:rsidP="004A5E83">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218.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20">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221.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21">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221.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2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221.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2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Certificado de defunción referente al caso No. 221.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24">
    <w:p w:rsidR="00C00F28" w:rsidRPr="009D5581" w:rsidRDefault="00C00F28" w:rsidP="00046A69">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268.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25">
    <w:p w:rsidR="00C00F28" w:rsidRPr="009D5581" w:rsidRDefault="00C00F28" w:rsidP="00046A69">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268.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26">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72.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27">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testimonial rendida ante la Fiscalía Tercera Superior del Primer Distrito Judicial referente al caso No. 72.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28">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testimonial rendida ante la Fiscalía Tercera Superior del Primer Distrito Judicial referente al caso No. 72.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29">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72.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30">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72.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3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testimonial rendida ante la Fiscalía Tercera Superior del Primer Distrito Judicial referente al caso No. 72.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32">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testimonial rendida ante la Fiscalía Tercera Superior del Primer Distrito Judicial referente al caso No. 72.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3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84.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34">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84.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35">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84.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36">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84.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37">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127.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38">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127.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39">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127.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40">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127.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341">
    <w:p w:rsidR="00C00F28" w:rsidRPr="009D5581" w:rsidRDefault="00C00F28" w:rsidP="009D5581">
      <w:pPr>
        <w:pStyle w:val="FootnoteText"/>
        <w:jc w:val="both"/>
        <w:rPr>
          <w:rFonts w:ascii="Cambria" w:hAnsi="Cambria"/>
          <w:sz w:val="16"/>
          <w:szCs w:val="16"/>
          <w:lang w:val="es-CO"/>
        </w:rPr>
      </w:pPr>
      <w:r w:rsidRPr="00C540F7">
        <w:rPr>
          <w:rStyle w:val="FootnoteReference"/>
          <w:rFonts w:ascii="Cambria" w:hAnsi="Cambria"/>
          <w:sz w:val="16"/>
          <w:szCs w:val="16"/>
        </w:rPr>
        <w:footnoteRef/>
      </w:r>
      <w:r w:rsidRPr="00C540F7">
        <w:rPr>
          <w:rFonts w:ascii="Cambria" w:hAnsi="Cambria"/>
          <w:sz w:val="16"/>
          <w:szCs w:val="16"/>
          <w:lang w:val="es-CO"/>
        </w:rPr>
        <w:t xml:space="preserve"> Listado</w:t>
      </w:r>
      <w:r w:rsidRPr="00122D3E">
        <w:rPr>
          <w:rFonts w:ascii="Cambria" w:hAnsi="Cambria"/>
          <w:sz w:val="16"/>
          <w:szCs w:val="16"/>
          <w:lang w:val="es-CO"/>
        </w:rPr>
        <w:t xml:space="preserve"> de miembros de la familia identificados en el presente caso como aquellos que perdieron la vida o resultaron heridos.</w:t>
      </w:r>
    </w:p>
  </w:footnote>
  <w:footnote w:id="34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4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Declaración adicional de José Salas Galindo del 31 de enero de 1990 referente al caso No. 1. Anexo a comunicación de la parte peticionaria recibida el 5 agosto de 1994.</w:t>
      </w:r>
    </w:p>
  </w:footnote>
  <w:footnote w:id="34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Declaración adicional de Edilsa Alarcón Meneses del 14 de febrero de 1990 referente al caso No. 1. Anexo a comunicación de la parte peticionaria recibida el 5 agosto de 1994.</w:t>
      </w:r>
    </w:p>
  </w:footnote>
  <w:footnote w:id="345">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 </w:t>
      </w:r>
      <w:r>
        <w:rPr>
          <w:rFonts w:ascii="Cambria" w:hAnsi="Cambria"/>
          <w:sz w:val="16"/>
          <w:szCs w:val="16"/>
          <w:lang w:val="es-VE"/>
        </w:rPr>
        <w:t xml:space="preserve">Anexo del escrito de información adicional presentado por la parte peticionaria el 29 de junio de 1990; </w:t>
      </w:r>
      <w:r w:rsidRPr="009D5581">
        <w:rPr>
          <w:rFonts w:ascii="Cambria" w:hAnsi="Cambria"/>
          <w:sz w:val="16"/>
          <w:szCs w:val="16"/>
          <w:lang w:val="es-VE"/>
        </w:rPr>
        <w:t>Constancia de hospitalización de Claudio Salas Meneses emitida el 26 de junio de 1990 por el Complejo Hospitalario Manuel Amador. Anexo a comunicación de la parte peticionaria recibida el 5 agosto de 1994.</w:t>
      </w:r>
    </w:p>
  </w:footnote>
  <w:footnote w:id="346">
    <w:p w:rsidR="00C00F28" w:rsidRPr="009D5581" w:rsidRDefault="00C00F28" w:rsidP="009D5581">
      <w:pPr>
        <w:pStyle w:val="FootnoteText"/>
        <w:jc w:val="both"/>
        <w:rPr>
          <w:rFonts w:ascii="Cambria" w:hAnsi="Cambria"/>
          <w:b/>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Declaración adicional de Claudio Salas Meneses del 14 de febrero de 1990 referente al caso No. 1. Anexo a comunicación de la parte peticionaria recibida el 5 agosto de 1994.</w:t>
      </w:r>
    </w:p>
  </w:footnote>
  <w:footnote w:id="34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Declaración adicional de José Salas Galindo del 31 de enero de 1990 referente al caso No. 1. Anexo a comunicación de la parte peticionaria recibida el 5 agosto de 1994.</w:t>
      </w:r>
    </w:p>
  </w:footnote>
  <w:footnote w:id="348">
    <w:p w:rsidR="00C00F28" w:rsidRPr="009D5581" w:rsidRDefault="00C00F28" w:rsidP="009D5581">
      <w:pPr>
        <w:pStyle w:val="FootnoteText"/>
        <w:jc w:val="both"/>
        <w:rPr>
          <w:rFonts w:ascii="Cambria" w:hAnsi="Cambria"/>
          <w:b/>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Declaración adicional de Rufino Meneses del 14 de febrero de 1990 referente al caso No. 1. Anexo a comunicación de la parte peticionaria recibida el 5 agosto de 1994.</w:t>
      </w:r>
    </w:p>
  </w:footnote>
  <w:footnote w:id="34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2.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5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2.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5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2.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5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2.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5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Historial Médico de Luisa A. Lee expedido por el Hospital Gorgas el 13 de marzo de 1990, referente al caso No. 2. </w:t>
      </w:r>
      <w:r w:rsidRPr="009D5581">
        <w:rPr>
          <w:rFonts w:ascii="Cambria" w:hAnsi="Cambria"/>
          <w:sz w:val="16"/>
          <w:szCs w:val="16"/>
          <w:lang w:val="es-VE"/>
        </w:rPr>
        <w:t>Anexo a comunicación de la parte peticionaria recibida el 5 agosto de 1994.</w:t>
      </w:r>
    </w:p>
  </w:footnote>
  <w:footnote w:id="35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Historial Médico de Luisa A. Lee expedido por el Hospital Gorgas el 13 de marzo de 1990, referente al caso No. 2. </w:t>
      </w:r>
      <w:r w:rsidRPr="009D5581">
        <w:rPr>
          <w:rFonts w:ascii="Cambria" w:hAnsi="Cambria"/>
          <w:sz w:val="16"/>
          <w:szCs w:val="16"/>
          <w:lang w:val="es-VE"/>
        </w:rPr>
        <w:t>Anexo a comunicación de la parte peticionaria recibida el 5 agosto de 1994.</w:t>
      </w:r>
    </w:p>
  </w:footnote>
  <w:footnote w:id="355">
    <w:p w:rsidR="00C00F28" w:rsidRPr="00DF46E5"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Exámenes </w:t>
      </w:r>
      <w:r>
        <w:rPr>
          <w:rFonts w:ascii="Cambria" w:hAnsi="Cambria"/>
          <w:sz w:val="16"/>
          <w:szCs w:val="16"/>
          <w:lang w:val="es-VE"/>
        </w:rPr>
        <w:t>médicos referentes al caso No. 2</w:t>
      </w:r>
      <w:r w:rsidRPr="009D5581">
        <w:rPr>
          <w:rFonts w:ascii="Cambria" w:hAnsi="Cambria"/>
          <w:sz w:val="16"/>
          <w:szCs w:val="16"/>
          <w:lang w:val="es-VE"/>
        </w:rPr>
        <w:t xml:space="preserve">.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 Informe de Urgencia de Yuvisol</w:t>
      </w:r>
      <w:r>
        <w:rPr>
          <w:rFonts w:ascii="Cambria" w:hAnsi="Cambria"/>
          <w:sz w:val="16"/>
          <w:szCs w:val="16"/>
          <w:lang w:val="es-VE"/>
        </w:rPr>
        <w:t xml:space="preserve"> Lee</w:t>
      </w:r>
      <w:r w:rsidRPr="009D5581">
        <w:rPr>
          <w:rFonts w:ascii="Cambria" w:hAnsi="Cambria"/>
          <w:sz w:val="16"/>
          <w:szCs w:val="16"/>
          <w:lang w:val="es-VE"/>
        </w:rPr>
        <w:t xml:space="preserve"> expedido por la Caja del Seguro Social en diciembre 1989 y Resumen Clínico del Programa de Adulto y Materno Infantil expedido por el Centro de Salud de panamá en mayo de 1990. Anexo a comunicación de la parte peticionaria recibida el 5 agosto de 1994.</w:t>
      </w:r>
    </w:p>
  </w:footnote>
  <w:footnote w:id="35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Informe médico </w:t>
      </w:r>
      <w:r w:rsidRPr="009D5581">
        <w:rPr>
          <w:rFonts w:ascii="Cambria" w:hAnsi="Cambria"/>
          <w:sz w:val="16"/>
          <w:szCs w:val="16"/>
          <w:lang w:val="es-VE"/>
        </w:rPr>
        <w:t xml:space="preserve">referente al caso No. </w:t>
      </w:r>
      <w:r>
        <w:rPr>
          <w:rFonts w:ascii="Cambria" w:hAnsi="Cambria"/>
          <w:sz w:val="16"/>
          <w:szCs w:val="16"/>
          <w:lang w:val="es-VE"/>
        </w:rPr>
        <w:t>2</w:t>
      </w:r>
      <w:r w:rsidRPr="009D5581">
        <w:rPr>
          <w:rFonts w:ascii="Cambria" w:hAnsi="Cambria"/>
          <w:sz w:val="16"/>
          <w:szCs w:val="16"/>
          <w:lang w:val="es-VE"/>
        </w:rPr>
        <w:t xml:space="preserve">.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5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Informe médico </w:t>
      </w:r>
      <w:r w:rsidRPr="009D5581">
        <w:rPr>
          <w:rFonts w:ascii="Cambria" w:hAnsi="Cambria"/>
          <w:sz w:val="16"/>
          <w:szCs w:val="16"/>
          <w:lang w:val="es-VE"/>
        </w:rPr>
        <w:t xml:space="preserve">referente al caso No. </w:t>
      </w:r>
      <w:r>
        <w:rPr>
          <w:rFonts w:ascii="Cambria" w:hAnsi="Cambria"/>
          <w:sz w:val="16"/>
          <w:szCs w:val="16"/>
          <w:lang w:val="es-VE"/>
        </w:rPr>
        <w:t>2</w:t>
      </w:r>
      <w:r w:rsidRPr="009D5581">
        <w:rPr>
          <w:rFonts w:ascii="Cambria" w:hAnsi="Cambria"/>
          <w:sz w:val="16"/>
          <w:szCs w:val="16"/>
          <w:lang w:val="es-VE"/>
        </w:rPr>
        <w:t xml:space="preserve">.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5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w:t>
      </w:r>
      <w:r>
        <w:rPr>
          <w:rFonts w:ascii="Cambria" w:hAnsi="Cambria"/>
          <w:sz w:val="16"/>
          <w:szCs w:val="16"/>
          <w:lang w:val="es-VE"/>
        </w:rPr>
        <w:t>2</w:t>
      </w:r>
      <w:r w:rsidRPr="009D5581">
        <w:rPr>
          <w:rFonts w:ascii="Cambria" w:hAnsi="Cambria"/>
          <w:sz w:val="16"/>
          <w:szCs w:val="16"/>
          <w:lang w:val="es-VE"/>
        </w:rPr>
        <w:t xml:space="preserve">. </w:t>
      </w:r>
      <w:r>
        <w:rPr>
          <w:rFonts w:ascii="Cambria" w:hAnsi="Cambria"/>
          <w:sz w:val="16"/>
          <w:szCs w:val="16"/>
          <w:lang w:val="es-VE"/>
        </w:rPr>
        <w:t>Anexo del escrito de información adicional presentado por la parte peticionaria el 29 de junio de 1990</w:t>
      </w:r>
    </w:p>
  </w:footnote>
  <w:footnote w:id="35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Dec</w:t>
      </w:r>
      <w:r>
        <w:rPr>
          <w:rFonts w:ascii="Cambria" w:hAnsi="Cambria"/>
          <w:sz w:val="16"/>
          <w:szCs w:val="16"/>
          <w:lang w:val="es-VE"/>
        </w:rPr>
        <w:t>laración referente al caso No. 2</w:t>
      </w:r>
      <w:r w:rsidRPr="009D5581">
        <w:rPr>
          <w:rFonts w:ascii="Cambria" w:hAnsi="Cambria"/>
          <w:sz w:val="16"/>
          <w:szCs w:val="16"/>
          <w:lang w:val="es-VE"/>
        </w:rPr>
        <w:t xml:space="preserve">. </w:t>
      </w:r>
      <w:r>
        <w:rPr>
          <w:rFonts w:ascii="Cambria" w:hAnsi="Cambria"/>
          <w:sz w:val="16"/>
          <w:szCs w:val="16"/>
          <w:lang w:val="es-VE"/>
        </w:rPr>
        <w:t>Anexo del escrito de información adicional presentado por la parte peticionaria el 29 de junio de 1990</w:t>
      </w:r>
    </w:p>
  </w:footnote>
  <w:footnote w:id="36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Historial Médico de Luisa A. Lee expedido por el Hospital Gorgas el 13 de marzo de 1990, referente al caso No. 2. </w:t>
      </w:r>
      <w:r w:rsidRPr="009D5581">
        <w:rPr>
          <w:rFonts w:ascii="Cambria" w:hAnsi="Cambria"/>
          <w:sz w:val="16"/>
          <w:szCs w:val="16"/>
          <w:lang w:val="es-VE"/>
        </w:rPr>
        <w:t>Anexo a comunicación de la parte peticionaria recibida el 5 agosto de 1994.</w:t>
      </w:r>
    </w:p>
  </w:footnote>
  <w:footnote w:id="36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Historial Médico de Luisa A. Lee expedido por el Hospital Gorgas el 13 de marzo de 1990, referente al caso No. 2. </w:t>
      </w:r>
      <w:r w:rsidRPr="009D5581">
        <w:rPr>
          <w:rFonts w:ascii="Cambria" w:hAnsi="Cambria"/>
          <w:sz w:val="16"/>
          <w:szCs w:val="16"/>
          <w:lang w:val="es-VE"/>
        </w:rPr>
        <w:t>Anexo a comunicación de la parte peticionaria recibida el 5 agosto de 1994.</w:t>
      </w:r>
    </w:p>
  </w:footnote>
  <w:footnote w:id="36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Nota del Centro para los Derechos Constitucionales protestando decisión del Hospital de cesar servicios médicos del 14 de enero de 1994 referente al caso No. 2. Anexo a comunicación de la parte peticionaria recibida el 5 agosto de 1994.</w:t>
      </w:r>
    </w:p>
  </w:footnote>
  <w:footnote w:id="36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Nota del Centro para los Derechos Constitucionales protestando decisión del Hospital de cesar servicios médicos del 14 de enero de 1994 referente al caso No. 2. Anexo a comunicación de la parte peticionaria recibida el 5 agosto de 1994.</w:t>
      </w:r>
    </w:p>
  </w:footnote>
  <w:footnote w:id="36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Nota del Centro para los Derechos Constitucionales protestando decisión del Hospital de cesar servicios médicos del 14 de enero de 1994 referente al caso No. 2. Anexo a comunicación de la parte peticionaria recibida el 5 agosto de 1994.</w:t>
      </w:r>
    </w:p>
  </w:footnote>
  <w:footnote w:id="365">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Carta del Mayor Crocker dirigida al USA MEDDAC Panama sobre el Tratamiento Médico Humanitario de 4 de mayo de 1994 referente al caso No. 2. Anexo a comunicación de la parte peticionaria recibida el 5 agosto de 1994.</w:t>
      </w:r>
    </w:p>
  </w:footnote>
  <w:footnote w:id="36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w:t>
      </w:r>
      <w:r>
        <w:rPr>
          <w:rFonts w:ascii="Cambria" w:hAnsi="Cambria"/>
          <w:sz w:val="16"/>
          <w:szCs w:val="16"/>
          <w:lang w:val="es-VE"/>
        </w:rPr>
        <w:t>4</w:t>
      </w:r>
      <w:r w:rsidRPr="009D5581">
        <w:rPr>
          <w:rFonts w:ascii="Cambria" w:hAnsi="Cambria"/>
          <w:sz w:val="16"/>
          <w:szCs w:val="16"/>
          <w:lang w:val="es-VE"/>
        </w:rPr>
        <w:t xml:space="preserve">.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6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4.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6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5.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6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5.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7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5.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7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7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7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Informe médico emitido por el Complejo Hospitalario Manuel Amador el 13 de febrero de 1990 referente al caso No. 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 xml:space="preserve">; y Reporte interconsulta emitido 29 de diciembre de 1989 en el </w:t>
      </w:r>
      <w:r w:rsidRPr="009D5581">
        <w:rPr>
          <w:rFonts w:ascii="Cambria" w:hAnsi="Cambria"/>
          <w:sz w:val="16"/>
          <w:szCs w:val="16"/>
          <w:lang w:val="es-CO"/>
        </w:rPr>
        <w:t>Hospital Aulino Tejeira</w:t>
      </w:r>
      <w:r w:rsidRPr="009D5581">
        <w:rPr>
          <w:rFonts w:ascii="Cambria" w:hAnsi="Cambria"/>
          <w:sz w:val="16"/>
          <w:szCs w:val="16"/>
          <w:lang w:val="es-VE"/>
        </w:rPr>
        <w:t xml:space="preserve">, referente al caso No. 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7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Informe médico emitido por el Complejo Hospitalario Manuel Amador el 13 de febrero de 1990 referente al caso No. 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75">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7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de daños físicos y morales por Luis Adolfo Guevara de la Torre referente al caso No. 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7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de daños físicos y morales por Luis Adolfo Guevara de la Torre referente al caso No. 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7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de daños físicos y morales por Luis Adolfo Guevara de la Torre referente al caso No. 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7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de daños físicos y morales por Luis Adolfo Guevara de la Torre referente al caso No. 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8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de daños físicos y morales por Luis Adolfo Guevara de la Torre referente al caso No. 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8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de daños físicos y morales por Luis Adolfo Guevara de la Torre referente al caso No. 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8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de daños físicos y morales por Luis Adolfo Guevara de la Torre referente al caso No. 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8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de daños físicos y morales por Luis Adolfo Guevara de la Torre referente al caso No. 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8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12.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CO"/>
        </w:rPr>
        <w:t>.</w:t>
      </w:r>
    </w:p>
  </w:footnote>
  <w:footnote w:id="385">
    <w:p w:rsidR="00C00F28" w:rsidRPr="009D5581" w:rsidRDefault="00C00F28" w:rsidP="009D5581">
      <w:pPr>
        <w:pStyle w:val="FootnoteText"/>
        <w:jc w:val="both"/>
        <w:rPr>
          <w:rFonts w:ascii="Cambria" w:hAnsi="Cambria"/>
          <w:b/>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12.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CO"/>
        </w:rPr>
        <w:t>.</w:t>
      </w:r>
    </w:p>
  </w:footnote>
  <w:footnote w:id="38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12.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CO"/>
        </w:rPr>
        <w:t>.</w:t>
      </w:r>
    </w:p>
  </w:footnote>
  <w:footnote w:id="38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Informe de Examen Radiológico Craneal realizado por el Dr. Alberto de Senas del Instituto Oncológico Nacional de la Caja del Seguro Social en enero de 1994 referente al caso No. 12. </w:t>
      </w:r>
      <w:r w:rsidRPr="009D5581">
        <w:rPr>
          <w:rFonts w:ascii="Cambria" w:hAnsi="Cambria"/>
          <w:sz w:val="16"/>
          <w:szCs w:val="16"/>
          <w:lang w:val="es-VE"/>
        </w:rPr>
        <w:t>Anexo a comunicación de la parte peticionaria recibida el 5 agosto de 1994.</w:t>
      </w:r>
    </w:p>
  </w:footnote>
  <w:footnote w:id="38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Carta de la señora Bonilla de enero de 1994 referente al caso No. 12. </w:t>
      </w:r>
      <w:r w:rsidRPr="009D5581">
        <w:rPr>
          <w:rFonts w:ascii="Cambria" w:hAnsi="Cambria"/>
          <w:sz w:val="16"/>
          <w:szCs w:val="16"/>
          <w:lang w:val="es-VE"/>
        </w:rPr>
        <w:t>Anexo a comunicación de la parte peticionaria recibida el 5 agosto de 1994.</w:t>
      </w:r>
    </w:p>
  </w:footnote>
  <w:footnote w:id="38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15.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CO"/>
        </w:rPr>
        <w:t>.</w:t>
      </w:r>
    </w:p>
  </w:footnote>
  <w:footnote w:id="39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15.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CO"/>
        </w:rPr>
        <w:t>.</w:t>
      </w:r>
    </w:p>
  </w:footnote>
  <w:footnote w:id="39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15.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CO"/>
        </w:rPr>
        <w:t>.</w:t>
      </w:r>
    </w:p>
  </w:footnote>
  <w:footnote w:id="39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15.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CO"/>
        </w:rPr>
        <w:t>.</w:t>
      </w:r>
    </w:p>
  </w:footnote>
  <w:footnote w:id="39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15.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CO"/>
        </w:rPr>
        <w:t>.</w:t>
      </w:r>
    </w:p>
  </w:footnote>
  <w:footnote w:id="39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15.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95">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16.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 y Declaración adicional de Marlene Wanjura Alvio del 26 de enero de 1994 referente al caso No. 16. Anexo a comunicación de la parte peticionaria recibida el 5 agosto de 1994.</w:t>
      </w:r>
    </w:p>
  </w:footnote>
  <w:footnote w:id="39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16.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9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16.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39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Declaración adicional de Marlene Wanjura Alvio del 26 de enero de 1994 referente al caso No. 16. Anexo a comunicación de la parte peticionaria recibida el 5 agosto de 1994; y Reporte en Memorándum de la Caja de Seguro Social de diciembre de 1990 referente al caso No. 16. Anexo a comunicación de la parte peticionaria recibida el 5 agosto de 1994.</w:t>
      </w:r>
    </w:p>
  </w:footnote>
  <w:footnote w:id="39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Declaración adicional de Marlene Wanjura Alvio del 26 de enero de 1994 referente al caso No. 16. Anexo a comunicación de la parte peticionaria recibida el 5 agosto de 1994.</w:t>
      </w:r>
    </w:p>
  </w:footnote>
  <w:footnote w:id="40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Declaración adicional de Marlene Wanjura Alvio del 26 de enero de 1994 referente al caso No. 16. Anexo a comunicación de la parte peticionaria recibid</w:t>
      </w:r>
      <w:r>
        <w:rPr>
          <w:rFonts w:ascii="Cambria" w:hAnsi="Cambria"/>
          <w:sz w:val="16"/>
          <w:szCs w:val="16"/>
          <w:lang w:val="es-VE"/>
        </w:rPr>
        <w:t xml:space="preserve">a el 5 agosto de 1994; y </w:t>
      </w:r>
      <w:r w:rsidRPr="009D5581">
        <w:rPr>
          <w:rFonts w:ascii="Cambria" w:hAnsi="Cambria"/>
          <w:sz w:val="16"/>
          <w:szCs w:val="16"/>
          <w:lang w:val="es-VE"/>
        </w:rPr>
        <w:t>Memorándum Caja del Seguro Social del 28 de mayo de 1991 referente al caso No. 16. Anexo a comunicación de la parte peticionaria recibida el 5 agosto de 1994.</w:t>
      </w:r>
    </w:p>
  </w:footnote>
  <w:footnote w:id="40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16.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40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Carta de nombramiento de la Sra. Wanjura Alveo como trabajadora manual al Instituto América del 27 de julio de 1989, referente al caso No. 16. </w:t>
      </w:r>
      <w:r w:rsidRPr="009D5581">
        <w:rPr>
          <w:rFonts w:ascii="Cambria" w:hAnsi="Cambria"/>
          <w:sz w:val="16"/>
          <w:szCs w:val="16"/>
          <w:lang w:val="es-VE"/>
        </w:rPr>
        <w:t>Anexo a comunicación de la parte peticionaria recibida el 5 agosto de 1994.</w:t>
      </w:r>
    </w:p>
  </w:footnote>
  <w:footnote w:id="40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Declaración adicional de Marlene Wanjura Alvio del 26 de enero de 1994 referente al caso No. 16. Anexo a comunicación de la parte peticionaria recibida el 5 agosto de 1994.</w:t>
      </w:r>
    </w:p>
  </w:footnote>
  <w:footnote w:id="40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Declaración adicional de Marlene Wanjura Alvio del 26 de enero de 1994 referente al caso No. 16. Anexo a comunicación de la parte peticionaria recibida el 5 agosto de 1994.</w:t>
      </w:r>
    </w:p>
  </w:footnote>
  <w:footnote w:id="405">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40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40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40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17. </w:t>
      </w:r>
      <w:r>
        <w:rPr>
          <w:rFonts w:ascii="Cambria" w:hAnsi="Cambria"/>
          <w:sz w:val="16"/>
          <w:szCs w:val="16"/>
          <w:lang w:val="es-VE"/>
        </w:rPr>
        <w:t>Anexo del escrito de información adicional presentado por la parte peticionaria el 29 de junio de 1990</w:t>
      </w:r>
    </w:p>
  </w:footnote>
  <w:footnote w:id="40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19.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41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19.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41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19.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41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VE"/>
        </w:rPr>
        <w:t xml:space="preserve">Declaración referente al caso No. 19.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41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VE"/>
        </w:rPr>
        <w:t xml:space="preserve">Declaración referente al caso No. 19.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414">
    <w:p w:rsidR="00C00F28" w:rsidRPr="009D5581" w:rsidRDefault="00C00F28" w:rsidP="009D5581">
      <w:pPr>
        <w:pStyle w:val="FootnoteText"/>
        <w:jc w:val="both"/>
        <w:rPr>
          <w:rFonts w:ascii="Cambria" w:hAnsi="Cambria"/>
          <w:sz w:val="16"/>
          <w:szCs w:val="16"/>
          <w:lang w:val="es-CO" w:eastAsia="ja-JP"/>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83. </w:t>
      </w:r>
      <w:r>
        <w:rPr>
          <w:rFonts w:ascii="Cambria" w:hAnsi="Cambria"/>
          <w:sz w:val="16"/>
          <w:szCs w:val="16"/>
          <w:lang w:val="es-VE"/>
        </w:rPr>
        <w:t xml:space="preserve">Anexo del escrito de información adicional presentado por la parte peticionaria el 19 de septiembre de 1991; e </w:t>
      </w:r>
      <w:r w:rsidRPr="009D5581">
        <w:rPr>
          <w:rFonts w:ascii="Cambria" w:hAnsi="Cambria"/>
          <w:sz w:val="16"/>
          <w:szCs w:val="16"/>
          <w:lang w:val="es-VE"/>
        </w:rPr>
        <w:t xml:space="preserve">Informe de atención médica del 10 de diciembre de 1990 emitida por el Dr. Eduardo Cotes del Complejo Hospitalario Metropolitano “Dr. Arnuldo Arias Madrid”, referente al caso No. 83.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15">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83.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1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83.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1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Informe de atención médica en el servicio de ortopedia del 11 de diciembre de 1990 del Complejo Hospitalario Metropolitano Dr. Arnulfo Arias Madrid, referente al caso 83.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1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91.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1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91.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2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91.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2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91.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2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Informe de atención médica del 20 de diciembre de 1989 emitida por el Hospital Gorgas, referente al caso No. 91.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2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Declaración referente al caso No. 103.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2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Declaración referente al caso No. 103.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25">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Declaración referente al caso No. 103.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2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Carta de Marieta de Castillo dirigida al gerente general de “Ricardo Pérez .A y Compañías Afiliadas” el 26 de diciembre de 1989, referente al caso No. 103.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2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Estudio médico realizado el 4 de enero de 1990 por Dr. Ezequiel Jethmal, Gabinete de Neurofisiología clínica, referente al caso No. 103.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2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Declaración referente al caso No. 104.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2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Declaración referente al caso No. 104.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y </w:t>
      </w:r>
      <w:r w:rsidRPr="009D5581">
        <w:rPr>
          <w:rFonts w:ascii="Cambria" w:hAnsi="Cambria"/>
          <w:sz w:val="16"/>
          <w:szCs w:val="16"/>
          <w:lang w:val="es-CO"/>
        </w:rPr>
        <w:t xml:space="preserve">Anexo </w:t>
      </w:r>
      <w:r>
        <w:rPr>
          <w:rFonts w:ascii="Cambria" w:hAnsi="Cambria"/>
          <w:sz w:val="16"/>
          <w:szCs w:val="16"/>
          <w:lang w:val="es-CO"/>
        </w:rPr>
        <w:t>161</w:t>
      </w:r>
      <w:r w:rsidRPr="009D5581">
        <w:rPr>
          <w:rFonts w:ascii="Cambria" w:hAnsi="Cambria"/>
          <w:sz w:val="16"/>
          <w:szCs w:val="16"/>
          <w:lang w:val="es-CO"/>
        </w:rPr>
        <w:t xml:space="preserve">. Declaración referente al caso No. 106.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3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Declaración referente al caso No. 105.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31">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sz w:val="16"/>
          <w:szCs w:val="16"/>
          <w:lang w:val="es-CO"/>
        </w:rPr>
        <w:t xml:space="preserve">Declaración referente al caso No. 104.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y </w:t>
      </w:r>
      <w:r w:rsidRPr="009D5581">
        <w:rPr>
          <w:rFonts w:ascii="Cambria" w:hAnsi="Cambria"/>
          <w:sz w:val="16"/>
          <w:szCs w:val="16"/>
          <w:lang w:val="es-CO"/>
        </w:rPr>
        <w:t xml:space="preserve">Declaración referente al caso No. 106.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32">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sz w:val="16"/>
          <w:szCs w:val="16"/>
          <w:lang w:val="es-CO"/>
        </w:rPr>
        <w:t xml:space="preserve">Declaración referente al caso No. 104.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3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sz w:val="16"/>
          <w:szCs w:val="16"/>
          <w:lang w:val="es-CO"/>
        </w:rPr>
        <w:t xml:space="preserve">Declaración referente al caso No. 106.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34">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sz w:val="16"/>
          <w:szCs w:val="16"/>
          <w:lang w:val="es-CO"/>
        </w:rPr>
        <w:t xml:space="preserve">Declaración referente al caso No. 106.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35">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sz w:val="16"/>
          <w:szCs w:val="16"/>
          <w:lang w:val="es-CO"/>
        </w:rPr>
        <w:t xml:space="preserve">Declaración referente al caso No. 106.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3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Declaración referente al caso No. 104.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3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Registro</w:t>
      </w:r>
      <w:r w:rsidRPr="009D5581">
        <w:rPr>
          <w:rFonts w:ascii="Cambria" w:hAnsi="Cambria"/>
          <w:color w:val="212121"/>
          <w:sz w:val="16"/>
          <w:szCs w:val="16"/>
          <w:lang w:val="es-ES"/>
        </w:rPr>
        <w:t xml:space="preserve"> de Tratamiento Hospitalario de Hospital Gorgas el 20 de diciembre de 1989, referente al caso No. 104.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38">
    <w:p w:rsidR="00C00F28" w:rsidRPr="009D5581" w:rsidRDefault="00C00F28" w:rsidP="009D5581">
      <w:pPr>
        <w:pStyle w:val="HTMLPreformatted"/>
        <w:shd w:val="clear" w:color="auto" w:fill="FFFFFF"/>
        <w:rPr>
          <w:rFonts w:ascii="Cambria" w:hAnsi="Cambria"/>
          <w:color w:val="212121"/>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Declaración referente al caso No. 104.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w:t>
      </w:r>
    </w:p>
  </w:footnote>
  <w:footnote w:id="43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Registro</w:t>
      </w:r>
      <w:r w:rsidRPr="009D5581">
        <w:rPr>
          <w:rFonts w:ascii="Cambria" w:hAnsi="Cambria"/>
          <w:color w:val="212121"/>
          <w:sz w:val="16"/>
          <w:szCs w:val="16"/>
          <w:lang w:val="es-ES"/>
        </w:rPr>
        <w:t xml:space="preserve"> de Tratamiento Hospitalario de Hospital Gorgas el 20 de diciembre de 1989, referente al caso No. 105.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r w:rsidRPr="009D5581">
        <w:rPr>
          <w:rFonts w:ascii="Cambria" w:hAnsi="Cambria"/>
          <w:sz w:val="16"/>
          <w:szCs w:val="16"/>
          <w:lang w:val="es-CO"/>
        </w:rPr>
        <w:t xml:space="preserve"> </w:t>
      </w:r>
    </w:p>
  </w:footnote>
  <w:footnote w:id="440">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sz w:val="16"/>
          <w:szCs w:val="16"/>
          <w:lang w:val="es-CO"/>
        </w:rPr>
        <w:t>Registro</w:t>
      </w:r>
      <w:r w:rsidRPr="009D5581">
        <w:rPr>
          <w:rFonts w:ascii="Cambria" w:hAnsi="Cambria"/>
          <w:color w:val="212121"/>
          <w:sz w:val="16"/>
          <w:szCs w:val="16"/>
          <w:lang w:val="es-ES"/>
        </w:rPr>
        <w:t xml:space="preserve"> de Tratamiento Hospitalario de Hospital Gorgas el 20 de diciembre de 1989, referente al caso No. 105.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41">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sz w:val="16"/>
          <w:szCs w:val="16"/>
          <w:lang w:val="es-CO"/>
        </w:rPr>
        <w:t xml:space="preserve">Declaración referente al caso No. 106.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y </w:t>
      </w:r>
      <w:r w:rsidRPr="009D5581">
        <w:rPr>
          <w:rFonts w:ascii="Cambria" w:hAnsi="Cambria"/>
          <w:sz w:val="16"/>
          <w:szCs w:val="16"/>
          <w:lang w:val="es-CO"/>
        </w:rPr>
        <w:t>Registro</w:t>
      </w:r>
      <w:r w:rsidRPr="009D5581">
        <w:rPr>
          <w:rFonts w:ascii="Cambria" w:hAnsi="Cambria"/>
          <w:color w:val="212121"/>
          <w:sz w:val="16"/>
          <w:szCs w:val="16"/>
          <w:lang w:val="es-ES"/>
        </w:rPr>
        <w:t xml:space="preserve"> de Tratamiento Hospitalario de Hospital Gorgas el 20 de diciembre de 1989, referente al caso No. 106.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42">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sz w:val="16"/>
          <w:szCs w:val="16"/>
          <w:lang w:val="es-CO"/>
        </w:rPr>
        <w:t xml:space="preserve">Declaración referente al caso No. 215.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4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sz w:val="16"/>
          <w:szCs w:val="16"/>
          <w:lang w:val="es-CO"/>
        </w:rPr>
        <w:t xml:space="preserve">Declaración referente al caso No. 215.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44">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sz w:val="16"/>
          <w:szCs w:val="16"/>
          <w:lang w:val="es-CO"/>
        </w:rPr>
        <w:t xml:space="preserve">Declaración referente al caso No. 215.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45">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sz w:val="16"/>
          <w:szCs w:val="16"/>
          <w:lang w:val="es-CO"/>
        </w:rPr>
        <w:t xml:space="preserve">Declaración referente al caso No. 215.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4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Declaración referente al caso No. 215.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4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Declaración referente al caso No. 225.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4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Declaración referente al caso No. 225.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4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Expediente Clínico emitido por la Caja de Seguro Social del 20 de diciembre de 1989, referente al caso No. 225.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5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Expediente Clínico emitido por la Caja de Seguro Social del 20 de diciembre de 1989, referente al caso No. 225.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5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Expediente Clínico emitido por la Caja de Seguro Social del 20 de diciembre de 1989, referente al caso No. 225.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5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Declaración referente al caso No. 271.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5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Declaración referente al caso No. 271.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5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Declaración referente al caso No. 271.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55">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Constancia Médica del Servicio de ortopedia emitida el 21 de diciembre de 1990 por el Complejo Hospitalario Metropolitano, referente al caso No. 271.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5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Constancia Médica emitida el 19 de diciembre de 1990 por el Complejo Hospitalario Dr. Arnulfo Arias.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57">
    <w:p w:rsidR="00C00F28" w:rsidRPr="009D5581" w:rsidRDefault="00C00F28" w:rsidP="00F540DD">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62.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58">
    <w:p w:rsidR="00C00F28" w:rsidRPr="009D5581" w:rsidRDefault="00C00F28" w:rsidP="00F540DD">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62.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59">
    <w:p w:rsidR="00C00F28" w:rsidRPr="009D5581" w:rsidRDefault="00C00F28" w:rsidP="00F540DD">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62.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60">
    <w:p w:rsidR="00C00F28" w:rsidRPr="009D5581" w:rsidRDefault="00C00F28" w:rsidP="00F540DD">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referente al caso No. 62.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61">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sz w:val="16"/>
          <w:szCs w:val="16"/>
          <w:lang w:val="es-CO"/>
        </w:rPr>
        <w:t xml:space="preserve">Declaración referente al caso No. 186.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62">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sz w:val="16"/>
          <w:szCs w:val="16"/>
          <w:lang w:val="es-CO"/>
        </w:rPr>
        <w:t xml:space="preserve">Declaración referente al caso No. 186.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La señora Lidia Willis es reconocida como la peticionaria en el caso No. 80 referente a </w:t>
      </w:r>
      <w:r w:rsidRPr="009D5581">
        <w:rPr>
          <w:rFonts w:ascii="Cambria" w:hAnsi="Cambria"/>
          <w:sz w:val="16"/>
          <w:szCs w:val="16"/>
          <w:lang w:val="es-CO"/>
        </w:rPr>
        <w:t xml:space="preserve">Augustus Arturo Willis Baker. </w:t>
      </w:r>
    </w:p>
  </w:footnote>
  <w:footnote w:id="46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CO"/>
        </w:rPr>
        <w:t xml:space="preserve"> Declaración referente al caso No. 186. </w:t>
      </w:r>
      <w:r>
        <w:rPr>
          <w:rFonts w:ascii="Cambria" w:hAnsi="Cambria"/>
          <w:sz w:val="16"/>
          <w:szCs w:val="16"/>
          <w:lang w:val="es-VE"/>
        </w:rPr>
        <w:t>Anexo del escrito de información adicional presentado por la parte peticionaria el 19 de septiembre de 1991</w:t>
      </w:r>
    </w:p>
  </w:footnote>
  <w:footnote w:id="46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Declaración referente al caso No. 186.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65">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CO"/>
        </w:rPr>
        <w:t xml:space="preserve">Declaración referente al caso No. 210.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66">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CO"/>
        </w:rPr>
        <w:t xml:space="preserve"> Declaración referente al caso No. 210.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67">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CO"/>
        </w:rPr>
        <w:t xml:space="preserve">Declaración referente al caso No. 210.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6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Declaración referente al caso No. 235.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6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Declaración referente al caso No. 235.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7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Constancia de 15 de diciembre de 1993 emitida por el Dr. Augusto A. Alvarado Ortopedia y traumatología, referente al caso No. 235.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7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Constancia de 15 de diciembre de 1993 emitida por el Dr. Augusto A. Alvarado Ortopedia y traumatología, referente al caso No. 235.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7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Constancia de 15 de diciembre de 1993 emitida por el Dr. Augusto A. Alvarado Ortopedia y traumatología, referente al caso No. 235.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7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Declaración referente al caso No. 235.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74">
    <w:p w:rsidR="00C00F28" w:rsidRPr="009D5581" w:rsidRDefault="00C00F28" w:rsidP="009D5581">
      <w:pPr>
        <w:pStyle w:val="FootnoteText"/>
        <w:jc w:val="both"/>
        <w:rPr>
          <w:rFonts w:ascii="Cambria" w:hAnsi="Cambria"/>
          <w:sz w:val="16"/>
          <w:szCs w:val="16"/>
        </w:rPr>
      </w:pPr>
      <w:r w:rsidRPr="009D5581">
        <w:rPr>
          <w:rStyle w:val="FootnoteReference"/>
          <w:rFonts w:ascii="Cambria" w:hAnsi="Cambria"/>
          <w:sz w:val="16"/>
          <w:szCs w:val="16"/>
        </w:rPr>
        <w:footnoteRef/>
      </w:r>
      <w:r w:rsidRPr="009D5581">
        <w:rPr>
          <w:rFonts w:ascii="Cambria" w:hAnsi="Cambria"/>
          <w:sz w:val="16"/>
          <w:szCs w:val="16"/>
        </w:rPr>
        <w:t xml:space="preserve"> </w:t>
      </w:r>
      <w:bookmarkStart w:id="27" w:name="_Hlk499725605"/>
      <w:r w:rsidRPr="009D5581">
        <w:rPr>
          <w:rFonts w:ascii="Cambria" w:hAnsi="Cambria"/>
          <w:sz w:val="16"/>
          <w:szCs w:val="16"/>
        </w:rPr>
        <w:t xml:space="preserve">Physicians for Human Rights. Operation Just Cause: The Human Cost of Military Action in Panama. October 1991. </w:t>
      </w:r>
      <w:bookmarkEnd w:id="27"/>
    </w:p>
  </w:footnote>
  <w:footnote w:id="475">
    <w:p w:rsidR="00C00F28" w:rsidRPr="009D5581" w:rsidRDefault="00C00F28" w:rsidP="009D5581">
      <w:pPr>
        <w:pStyle w:val="FootnoteText"/>
        <w:jc w:val="both"/>
        <w:rPr>
          <w:rFonts w:ascii="Cambria" w:hAnsi="Cambria"/>
          <w:sz w:val="16"/>
          <w:szCs w:val="16"/>
        </w:rPr>
      </w:pPr>
      <w:r w:rsidRPr="009D5581">
        <w:rPr>
          <w:rStyle w:val="FootnoteReference"/>
          <w:rFonts w:ascii="Cambria" w:hAnsi="Cambria"/>
          <w:sz w:val="16"/>
          <w:szCs w:val="16"/>
        </w:rPr>
        <w:footnoteRef/>
      </w:r>
      <w:r>
        <w:rPr>
          <w:rFonts w:ascii="Cambria" w:hAnsi="Cambria"/>
          <w:sz w:val="16"/>
          <w:szCs w:val="16"/>
        </w:rPr>
        <w:t xml:space="preserve"> </w:t>
      </w:r>
      <w:r w:rsidRPr="009D5581">
        <w:rPr>
          <w:rFonts w:ascii="Cambria" w:hAnsi="Cambria"/>
          <w:sz w:val="16"/>
          <w:szCs w:val="16"/>
        </w:rPr>
        <w:t>Physicians for Human Rights. Operation Just Cause: The Human Cost of Military Action in Panama. October 1991, p 4.</w:t>
      </w:r>
    </w:p>
  </w:footnote>
  <w:footnote w:id="476">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rPr>
        <w:t xml:space="preserve"> Physicians for Human Rights. Operation Just Cause: The Human Cost of Military Action in Panama. </w:t>
      </w:r>
      <w:r w:rsidRPr="009D5581">
        <w:rPr>
          <w:rFonts w:ascii="Cambria" w:hAnsi="Cambria"/>
          <w:sz w:val="16"/>
          <w:szCs w:val="16"/>
          <w:lang w:val="es-VE"/>
        </w:rPr>
        <w:t>October 1991, p. 37.</w:t>
      </w:r>
    </w:p>
  </w:footnote>
  <w:footnote w:id="47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Elida Betezan de Pacheco identificada en el caso No. 4, describe nerviosismo de sus hijos; Ana Mercedes de Cuéllar e hijos identificados en el caso No. 147; Madre de </w:t>
      </w:r>
      <w:r w:rsidRPr="009D5581">
        <w:rPr>
          <w:rFonts w:ascii="Cambria" w:hAnsi="Cambria"/>
          <w:sz w:val="16"/>
          <w:szCs w:val="16"/>
          <w:lang w:val="es-VE"/>
        </w:rPr>
        <w:t xml:space="preserve">Yadira A. Lezcano identificada en el caso No. 170; </w:t>
      </w:r>
      <w:r w:rsidRPr="009D5581">
        <w:rPr>
          <w:rFonts w:ascii="Cambria" w:hAnsi="Cambria"/>
          <w:sz w:val="16"/>
          <w:szCs w:val="16"/>
          <w:lang w:val="es-CO"/>
        </w:rPr>
        <w:t>Familiares de Raúl Elías Acevedo identificados en el caso No. 174; Vicente Gordones, Dolores Torres de Obando y sus hijos identificados en el caso No. 176; Esposa de Jacinto Centella identificado en el caso No. 182; Tres hijos de Domingo Romero Aranda identificados en el caso No 183; Lidia Willis Bucknall identificada en el caso No. 186; Ana de Freitas e hijos identificados en el caso No. 191; Hijos de Aurora Victoria Villareal identificados en el caso No. 192; Carlos Navas Ospino identificado en el caso No. 193;  Hernán H. Martínez S. identificado en el caso No. 194; Esposa de César Vargas Melo identificada en el caso No. 199;  Clorinda E. González y familia identificados en el caso No. 207; Raiza Arosemena identificada en el caso No. 209, quien especifica que a causa de la crisis nerviosa que sufrió perdió su embarazo; Federico Armien y su familia identificados en el caso No. 220; Funicia E. Anderson D. identificada en el caso No. 244; y el hijo de Dennis Alexis Navarro identificado en el caso No. 248.</w:t>
      </w:r>
    </w:p>
  </w:footnote>
  <w:footnote w:id="47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Hijas de Luzmila Harding de Castillo identificadas en el caso No. 210; y Familiares de Raúl Elías Acevedo identificados en el caso No. 174</w:t>
      </w:r>
    </w:p>
  </w:footnote>
  <w:footnote w:id="47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Adolfo Arturo Tello Bravo identificado en el caso No. 42; Moises Erasmo Torreglosa identificado en caso No. 141, quien sufrió un deterioro en su salud emocional; Esposa de Gonzalo Castro Domínguez identificada en el caso No. 178; René A. Cerrud identificada en el caso No 190; Hermelinda de Almanzar identificada en el caso No. 195; y Pablo Emilio Pérez Fajardo identificado en el caso No. 212.</w:t>
      </w:r>
    </w:p>
  </w:footnote>
  <w:footnote w:id="48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Yazmira de Crespo identificada en el caso No. 148; Luis Carlos Montes y sus familiares, en especial sus hijos identificados en el caso No. 187; Ernesto Rodríguez y esposa identificados en el caso No. 196;  y Pablo Emilio Pérez Fajardo identificado en el caso No. 212.</w:t>
      </w:r>
    </w:p>
  </w:footnote>
  <w:footnote w:id="48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Jovima Pacheco de Edwards identificada en el caso No. 118; Xiomara S. de Allonca identificada en el caso No. 119; Vidal Coronado identificada en el caso No. 120; Zoraida Arosemena de González identificada en el caso No. 121; Fabio Ernesto Crosthwaite identificada en el caso No. 122; Elisa de Flórez identificada en el caso No. 123; Arecelly García identificada en el caso No. 124; Justo Pastor Acuña identificada en el caso No. 125; Emelina Martínez y su familia identificados en el caso No. 126; Jiri, Patricia y Jorge Hess Rodríguez, hijos de Victoria Rodríguez identificados en el caso No. 133; hijo de M.C.G identificada en el caso No. 134; hijas de Eva Inés Castilla identificadas en el caso No. 135; familiares que residían con Víctor Inés Castilla mencionados en el caso No. 136; Hijo de Magdalena de Morales quien tenía16 años al momento de los hechos, mencionado en el caso No. 142; Hijos de Elena Yaneth de Silvera mencionados en el caso No. 143; Esposa y nieto de Luis Anel Durán Vásquez mencionados en el caso No. 150; Urcinnio Rivera Bodera identificado en caso No. 151; Lorenzo Bethancourth y familia identificados en el caso No. 152, en especial los niños que para el momento tenían 4 y 2 años de edad y su hija quien tuvo complicaciones con su embarazo y perdió el bebé; Rebeca Esilda Meléndez y familia identificados en el caso No. 154; Teresa M. de Navarro y su familia identificados en caso No. 155; Eneida Elvira Palma Sánchez y familia identificados en caso No. 156; Fernando Vergara identificado en el caso No. 157; Dos hijos de Fulvia Elena Castro Cupas identificados en el caso No 158; Lucía García Bell identificada en el caso No. 159; Virgilio Sánchez y María de la Cruz Polanco identificados en el caso No. 160; Sandra Mudarra identificada en el caso No. 161; Sara Judith Batista de Herrera identificada en el caso No. 162; Georgina Yearwood Smith identificada en el caso No. 163; </w:t>
      </w:r>
      <w:r w:rsidRPr="009D5581">
        <w:rPr>
          <w:rFonts w:ascii="Cambria" w:hAnsi="Cambria"/>
          <w:sz w:val="16"/>
          <w:szCs w:val="16"/>
          <w:lang w:val="es-VE"/>
        </w:rPr>
        <w:t xml:space="preserve">Gloria S. Jaén V. identificada en el caso No. 164; Alcides Bernal López identificado en el caso No. 165; Gilma Sánchez de De la Cruz identificada en el caso No. 166;  Olmedo Oliveros identificado en el caso No. 167; Arsenio Pérez de León y familiares identificados en el caso No. 168; Adelaida Hernández identificada en el caso No. 169; Yadira A. Lezcano y familiares identificados en el caso No. 170; Antonia G. de Crespo identificada en el caso No. 171; Jorge A. Cobos Morán identificado en el caso No. 172; Franklin Loo de Gracia identificado en el caso No. 173; Betsy Guevara de Martínez y Ana Martínez identificadas en el caso No. 177; Neira Estela Bethancourt, sus dos hijas, y sus dos nietos identificados en el caso No. 180; Hijos de Casimiro Bultrón Alba identificados en el caso No. 181; Julio César González, Raúl Iván González y Josué González identificados en el caso No. 185; Esposa, tres hijos y nieta de Gilberto Moreno Ponce identificado en el caso No. 188; </w:t>
      </w:r>
      <w:r w:rsidRPr="009D5581">
        <w:rPr>
          <w:rFonts w:ascii="Cambria" w:hAnsi="Cambria"/>
          <w:sz w:val="16"/>
          <w:szCs w:val="16"/>
          <w:lang w:val="es-CO"/>
        </w:rPr>
        <w:t>Rita Isabel Donayres W. y familia identificados en el caso No. 204; Andrea L. de Arosemena identificada en el caso No. 205; Manuel Martínez Gutiérrez y familia identificados en el caso No 206; así como Estaban Martínez U. y familia identificados en el caso No. 214; Germán Avila Morón, esposa y 8 hijos identificados en el caso No. 216.</w:t>
      </w:r>
    </w:p>
  </w:footnote>
  <w:footnote w:id="48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Didimo Batista identificado en el caso No. 198. </w:t>
      </w:r>
    </w:p>
  </w:footnote>
  <w:footnote w:id="48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Aida Castillo de Cianca y sus hijos identificados en el caso No. 146. </w:t>
      </w:r>
    </w:p>
  </w:footnote>
  <w:footnote w:id="48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Lorenzo A. Atencio identificado en el caso No. 179; Ismaelina Lucía Pérez identificada en el caso No. 213 quien sufrió de un “derrame facial”; Elena Zambrano de Pérez identificada en el caso No. 189; René A. Cerrud identificada en el caso No. 190; Ana de Freitas e hijo identificados en el caso No. 191; Funicia E. Anderson D. identificada en el caso No. 244; así como Yamileth y José René Noriega Bellido identificados en el caso No. 218; quienes recibían tratamientos psiquiátricos. </w:t>
      </w:r>
    </w:p>
  </w:footnote>
  <w:footnote w:id="485">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Constancia médica expedida en enero 1994 por el Dr. Miguel Cedeño, referente al caso No. 77. </w:t>
      </w:r>
      <w:r w:rsidRPr="009D5581">
        <w:rPr>
          <w:rFonts w:ascii="Cambria" w:hAnsi="Cambria"/>
          <w:sz w:val="16"/>
          <w:szCs w:val="16"/>
          <w:lang w:val="es-VE"/>
        </w:rPr>
        <w:t>Anexo a comunicación de la parte peticionaria recibida el 5 agosto de 1994.</w:t>
      </w:r>
    </w:p>
  </w:footnote>
  <w:footnote w:id="48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Declaración referente al caso No. 136.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48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Declaración referente al caso No. 6. </w:t>
      </w:r>
      <w:r>
        <w:rPr>
          <w:rFonts w:ascii="Cambria" w:hAnsi="Cambria"/>
          <w:sz w:val="16"/>
          <w:szCs w:val="16"/>
          <w:lang w:val="es-CO"/>
        </w:rPr>
        <w:t>Anexo del escrito de información adicional presentado por la parte peticionaria el 29 de junio de 1990</w:t>
      </w:r>
      <w:r w:rsidRPr="009D5581">
        <w:rPr>
          <w:rFonts w:ascii="Cambria" w:hAnsi="Cambria"/>
          <w:sz w:val="16"/>
          <w:szCs w:val="16"/>
          <w:lang w:val="es-CO"/>
        </w:rPr>
        <w:t xml:space="preserve">. </w:t>
      </w:r>
    </w:p>
  </w:footnote>
  <w:footnote w:id="48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Declaración referente al caso No. 6. </w:t>
      </w:r>
      <w:r>
        <w:rPr>
          <w:rFonts w:ascii="Cambria" w:hAnsi="Cambria"/>
          <w:sz w:val="16"/>
          <w:szCs w:val="16"/>
          <w:lang w:val="es-CO"/>
        </w:rPr>
        <w:t>Anexo del escrito de información adicional presentado por la parte peticionaria el 29 de junio de 1990</w:t>
      </w:r>
      <w:r w:rsidRPr="009D5581">
        <w:rPr>
          <w:rFonts w:ascii="Cambria" w:hAnsi="Cambria"/>
          <w:sz w:val="16"/>
          <w:szCs w:val="16"/>
          <w:lang w:val="es-CO"/>
        </w:rPr>
        <w:t>.</w:t>
      </w:r>
    </w:p>
  </w:footnote>
  <w:footnote w:id="489">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Pr>
          <w:rFonts w:ascii="Cambria" w:hAnsi="Cambria"/>
          <w:sz w:val="16"/>
          <w:szCs w:val="16"/>
          <w:lang w:val="es-VE"/>
        </w:rPr>
        <w:t>Declaración referente al caso No. 6</w:t>
      </w:r>
      <w:r w:rsidRPr="009D5581">
        <w:rPr>
          <w:rFonts w:ascii="Cambria" w:hAnsi="Cambria"/>
          <w:sz w:val="16"/>
          <w:szCs w:val="16"/>
          <w:lang w:val="es-VE"/>
        </w:rPr>
        <w:t xml:space="preserve">.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49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w:t>
      </w:r>
      <w:r>
        <w:rPr>
          <w:rFonts w:ascii="Cambria" w:hAnsi="Cambria"/>
          <w:sz w:val="16"/>
          <w:szCs w:val="16"/>
          <w:lang w:val="es-VE"/>
        </w:rPr>
        <w:t xml:space="preserve">referente al caso No. </w:t>
      </w:r>
      <w:r w:rsidRPr="009D5581">
        <w:rPr>
          <w:rFonts w:ascii="Cambria" w:hAnsi="Cambria"/>
          <w:sz w:val="16"/>
          <w:szCs w:val="16"/>
          <w:lang w:val="es-VE"/>
        </w:rPr>
        <w:t>18</w:t>
      </w:r>
      <w:r>
        <w:rPr>
          <w:rFonts w:ascii="Cambria" w:hAnsi="Cambria"/>
          <w:sz w:val="16"/>
          <w:szCs w:val="16"/>
          <w:lang w:val="es-VE"/>
        </w:rPr>
        <w:t>.</w:t>
      </w:r>
      <w:r w:rsidRPr="009D5581">
        <w:rPr>
          <w:rFonts w:ascii="Cambria" w:hAnsi="Cambria"/>
          <w:sz w:val="16"/>
          <w:szCs w:val="16"/>
          <w:lang w:val="es-VE"/>
        </w:rPr>
        <w:t xml:space="preserve">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49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w:t>
      </w:r>
      <w:r>
        <w:rPr>
          <w:rFonts w:ascii="Cambria" w:hAnsi="Cambria"/>
          <w:sz w:val="16"/>
          <w:szCs w:val="16"/>
          <w:lang w:val="es-VE"/>
        </w:rPr>
        <w:t xml:space="preserve">referente al caso No. </w:t>
      </w:r>
      <w:r w:rsidRPr="009D5581">
        <w:rPr>
          <w:rFonts w:ascii="Cambria" w:hAnsi="Cambria"/>
          <w:sz w:val="16"/>
          <w:szCs w:val="16"/>
          <w:lang w:val="es-VE"/>
        </w:rPr>
        <w:t>18</w:t>
      </w:r>
      <w:r>
        <w:rPr>
          <w:rFonts w:ascii="Cambria" w:hAnsi="Cambria"/>
          <w:sz w:val="16"/>
          <w:szCs w:val="16"/>
          <w:lang w:val="es-VE"/>
        </w:rPr>
        <w:t>.</w:t>
      </w:r>
      <w:r w:rsidRPr="009D5581">
        <w:rPr>
          <w:rFonts w:ascii="Cambria" w:hAnsi="Cambria"/>
          <w:sz w:val="16"/>
          <w:szCs w:val="16"/>
          <w:lang w:val="es-VE"/>
        </w:rPr>
        <w:t xml:space="preserve">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49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w:t>
      </w:r>
      <w:r>
        <w:rPr>
          <w:rFonts w:ascii="Cambria" w:hAnsi="Cambria"/>
          <w:sz w:val="16"/>
          <w:szCs w:val="16"/>
          <w:lang w:val="es-VE"/>
        </w:rPr>
        <w:t xml:space="preserve">referente al caso No. </w:t>
      </w:r>
      <w:r w:rsidRPr="009D5581">
        <w:rPr>
          <w:rFonts w:ascii="Cambria" w:hAnsi="Cambria"/>
          <w:sz w:val="16"/>
          <w:szCs w:val="16"/>
          <w:lang w:val="es-VE"/>
        </w:rPr>
        <w:t xml:space="preserve">18.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49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w:t>
      </w:r>
      <w:r>
        <w:rPr>
          <w:rFonts w:ascii="Cambria" w:hAnsi="Cambria"/>
          <w:sz w:val="16"/>
          <w:szCs w:val="16"/>
          <w:lang w:val="es-VE"/>
        </w:rPr>
        <w:t xml:space="preserve">referente al caso No. </w:t>
      </w:r>
      <w:r w:rsidRPr="009D5581">
        <w:rPr>
          <w:rFonts w:ascii="Cambria" w:hAnsi="Cambria"/>
          <w:sz w:val="16"/>
          <w:szCs w:val="16"/>
          <w:lang w:val="es-VE"/>
        </w:rPr>
        <w:t xml:space="preserve">18.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49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w:t>
      </w:r>
      <w:r>
        <w:rPr>
          <w:rFonts w:ascii="Cambria" w:hAnsi="Cambria"/>
          <w:sz w:val="16"/>
          <w:szCs w:val="16"/>
          <w:lang w:val="es-VE"/>
        </w:rPr>
        <w:t xml:space="preserve">referente al caso No. </w:t>
      </w:r>
      <w:r w:rsidRPr="009D5581">
        <w:rPr>
          <w:rFonts w:ascii="Cambria" w:hAnsi="Cambria"/>
          <w:sz w:val="16"/>
          <w:szCs w:val="16"/>
          <w:lang w:val="es-VE"/>
        </w:rPr>
        <w:t xml:space="preserve">18.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495">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w:t>
      </w:r>
      <w:r>
        <w:rPr>
          <w:rFonts w:ascii="Cambria" w:hAnsi="Cambria"/>
          <w:sz w:val="16"/>
          <w:szCs w:val="16"/>
          <w:lang w:val="es-VE"/>
        </w:rPr>
        <w:t xml:space="preserve">referente al caso No. </w:t>
      </w:r>
      <w:r w:rsidRPr="009D5581">
        <w:rPr>
          <w:rFonts w:ascii="Cambria" w:hAnsi="Cambria"/>
          <w:sz w:val="16"/>
          <w:szCs w:val="16"/>
          <w:lang w:val="es-VE"/>
        </w:rPr>
        <w:t xml:space="preserve">27.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496">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w:t>
      </w:r>
      <w:r>
        <w:rPr>
          <w:rFonts w:ascii="Cambria" w:hAnsi="Cambria"/>
          <w:sz w:val="16"/>
          <w:szCs w:val="16"/>
          <w:lang w:val="es-VE"/>
        </w:rPr>
        <w:t xml:space="preserve">referente al caso No. </w:t>
      </w:r>
      <w:r w:rsidRPr="009D5581">
        <w:rPr>
          <w:rFonts w:ascii="Cambria" w:hAnsi="Cambria"/>
          <w:sz w:val="16"/>
          <w:szCs w:val="16"/>
          <w:lang w:val="es-VE"/>
        </w:rPr>
        <w:t xml:space="preserve">27.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497">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w:t>
      </w:r>
      <w:r>
        <w:rPr>
          <w:rFonts w:ascii="Cambria" w:hAnsi="Cambria"/>
          <w:sz w:val="16"/>
          <w:szCs w:val="16"/>
          <w:lang w:val="es-VE"/>
        </w:rPr>
        <w:t xml:space="preserve">referente al caso No. </w:t>
      </w:r>
      <w:r w:rsidRPr="009D5581">
        <w:rPr>
          <w:rFonts w:ascii="Cambria" w:hAnsi="Cambria"/>
          <w:sz w:val="16"/>
          <w:szCs w:val="16"/>
          <w:lang w:val="es-VE"/>
        </w:rPr>
        <w:t xml:space="preserve">27.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498">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w:t>
      </w:r>
      <w:r>
        <w:rPr>
          <w:rFonts w:ascii="Cambria" w:hAnsi="Cambria"/>
          <w:sz w:val="16"/>
          <w:szCs w:val="16"/>
          <w:lang w:val="es-VE"/>
        </w:rPr>
        <w:t xml:space="preserve">referente al caso No. </w:t>
      </w:r>
      <w:r w:rsidRPr="009D5581">
        <w:rPr>
          <w:rFonts w:ascii="Cambria" w:hAnsi="Cambria"/>
          <w:sz w:val="16"/>
          <w:szCs w:val="16"/>
          <w:lang w:val="es-VE"/>
        </w:rPr>
        <w:t xml:space="preserve">30.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499">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w:t>
      </w:r>
      <w:r>
        <w:rPr>
          <w:rFonts w:ascii="Cambria" w:hAnsi="Cambria"/>
          <w:sz w:val="16"/>
          <w:szCs w:val="16"/>
          <w:lang w:val="es-VE"/>
        </w:rPr>
        <w:t xml:space="preserve">referente al caso No. </w:t>
      </w:r>
      <w:r w:rsidRPr="009D5581">
        <w:rPr>
          <w:rFonts w:ascii="Cambria" w:hAnsi="Cambria"/>
          <w:sz w:val="16"/>
          <w:szCs w:val="16"/>
          <w:lang w:val="es-VE"/>
        </w:rPr>
        <w:t xml:space="preserve">30.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500">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w:t>
      </w:r>
      <w:r>
        <w:rPr>
          <w:rFonts w:ascii="Cambria" w:hAnsi="Cambria"/>
          <w:sz w:val="16"/>
          <w:szCs w:val="16"/>
          <w:lang w:val="es-VE"/>
        </w:rPr>
        <w:t xml:space="preserve">referente al caso No. </w:t>
      </w:r>
      <w:r w:rsidRPr="009D5581">
        <w:rPr>
          <w:rFonts w:ascii="Cambria" w:hAnsi="Cambria"/>
          <w:sz w:val="16"/>
          <w:szCs w:val="16"/>
          <w:lang w:val="es-VE"/>
        </w:rPr>
        <w:t xml:space="preserve">30.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50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w:t>
      </w:r>
      <w:r>
        <w:rPr>
          <w:rFonts w:ascii="Cambria" w:hAnsi="Cambria"/>
          <w:sz w:val="16"/>
          <w:szCs w:val="16"/>
          <w:lang w:val="es-VE"/>
        </w:rPr>
        <w:t xml:space="preserve">referente al caso No. </w:t>
      </w:r>
      <w:r w:rsidRPr="009D5581">
        <w:rPr>
          <w:rFonts w:ascii="Cambria" w:hAnsi="Cambria"/>
          <w:sz w:val="16"/>
          <w:szCs w:val="16"/>
          <w:lang w:val="es-VE"/>
        </w:rPr>
        <w:t xml:space="preserve">33.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50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sz w:val="16"/>
          <w:szCs w:val="16"/>
          <w:lang w:val="es-VE"/>
        </w:rPr>
        <w:t xml:space="preserve">Declaración </w:t>
      </w:r>
      <w:r>
        <w:rPr>
          <w:rFonts w:ascii="Cambria" w:hAnsi="Cambria"/>
          <w:sz w:val="16"/>
          <w:szCs w:val="16"/>
          <w:lang w:val="es-VE"/>
        </w:rPr>
        <w:t xml:space="preserve">referente al caso No. </w:t>
      </w:r>
      <w:r w:rsidRPr="009D5581">
        <w:rPr>
          <w:rFonts w:ascii="Cambria" w:hAnsi="Cambria"/>
          <w:sz w:val="16"/>
          <w:szCs w:val="16"/>
          <w:lang w:val="es-VE"/>
        </w:rPr>
        <w:t xml:space="preserve">33.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50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w:t>
      </w:r>
      <w:r>
        <w:rPr>
          <w:rFonts w:ascii="Cambria" w:hAnsi="Cambria"/>
          <w:sz w:val="16"/>
          <w:szCs w:val="16"/>
          <w:lang w:val="es-VE"/>
        </w:rPr>
        <w:t xml:space="preserve">referente al caso No. </w:t>
      </w:r>
      <w:r w:rsidRPr="009D5581">
        <w:rPr>
          <w:rFonts w:ascii="Cambria" w:hAnsi="Cambria"/>
          <w:sz w:val="16"/>
          <w:szCs w:val="16"/>
          <w:lang w:val="es-VE"/>
        </w:rPr>
        <w:t xml:space="preserve">33.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504">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w:t>
      </w:r>
      <w:r>
        <w:rPr>
          <w:rFonts w:ascii="Cambria" w:hAnsi="Cambria"/>
          <w:sz w:val="16"/>
          <w:szCs w:val="16"/>
          <w:lang w:val="es-VE"/>
        </w:rPr>
        <w:t xml:space="preserve">referente al caso No. </w:t>
      </w:r>
      <w:r w:rsidRPr="009D5581">
        <w:rPr>
          <w:rFonts w:ascii="Cambria" w:hAnsi="Cambria"/>
          <w:sz w:val="16"/>
          <w:szCs w:val="16"/>
          <w:lang w:val="es-VE"/>
        </w:rPr>
        <w:t xml:space="preserve">33.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505">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w:t>
      </w:r>
      <w:r>
        <w:rPr>
          <w:rFonts w:ascii="Cambria" w:hAnsi="Cambria"/>
          <w:sz w:val="16"/>
          <w:szCs w:val="16"/>
          <w:lang w:val="es-VE"/>
        </w:rPr>
        <w:t xml:space="preserve">referente al caso No. </w:t>
      </w:r>
      <w:r w:rsidRPr="009D5581">
        <w:rPr>
          <w:rFonts w:ascii="Cambria" w:hAnsi="Cambria"/>
          <w:sz w:val="16"/>
          <w:szCs w:val="16"/>
          <w:lang w:val="es-VE"/>
        </w:rPr>
        <w:t xml:space="preserve">47.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506">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w:t>
      </w:r>
      <w:r>
        <w:rPr>
          <w:rFonts w:ascii="Cambria" w:hAnsi="Cambria"/>
          <w:sz w:val="16"/>
          <w:szCs w:val="16"/>
          <w:lang w:val="es-VE"/>
        </w:rPr>
        <w:t xml:space="preserve">referente al caso No. </w:t>
      </w:r>
      <w:r w:rsidRPr="009D5581">
        <w:rPr>
          <w:rFonts w:ascii="Cambria" w:hAnsi="Cambria"/>
          <w:sz w:val="16"/>
          <w:szCs w:val="16"/>
          <w:lang w:val="es-VE"/>
        </w:rPr>
        <w:t xml:space="preserve">47.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507">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w:t>
      </w:r>
      <w:r>
        <w:rPr>
          <w:rFonts w:ascii="Cambria" w:hAnsi="Cambria"/>
          <w:sz w:val="16"/>
          <w:szCs w:val="16"/>
          <w:lang w:val="es-VE"/>
        </w:rPr>
        <w:t xml:space="preserve">referente al caso No. </w:t>
      </w:r>
      <w:r w:rsidRPr="009D5581">
        <w:rPr>
          <w:rFonts w:ascii="Cambria" w:hAnsi="Cambria"/>
          <w:sz w:val="16"/>
          <w:szCs w:val="16"/>
          <w:lang w:val="es-VE"/>
        </w:rPr>
        <w:t xml:space="preserve">48.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508">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w:t>
      </w:r>
      <w:r>
        <w:rPr>
          <w:rFonts w:ascii="Cambria" w:hAnsi="Cambria"/>
          <w:sz w:val="16"/>
          <w:szCs w:val="16"/>
          <w:lang w:val="es-VE"/>
        </w:rPr>
        <w:t xml:space="preserve">referente al caso No. </w:t>
      </w:r>
      <w:r w:rsidRPr="009D5581">
        <w:rPr>
          <w:rFonts w:ascii="Cambria" w:hAnsi="Cambria"/>
          <w:sz w:val="16"/>
          <w:szCs w:val="16"/>
          <w:lang w:val="es-VE"/>
        </w:rPr>
        <w:t xml:space="preserve">48.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509">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w:t>
      </w:r>
      <w:r>
        <w:rPr>
          <w:rFonts w:ascii="Cambria" w:hAnsi="Cambria"/>
          <w:sz w:val="16"/>
          <w:szCs w:val="16"/>
          <w:lang w:val="es-VE"/>
        </w:rPr>
        <w:t xml:space="preserve">referente al caso No. </w:t>
      </w:r>
      <w:r w:rsidRPr="009D5581">
        <w:rPr>
          <w:rFonts w:ascii="Cambria" w:hAnsi="Cambria"/>
          <w:sz w:val="16"/>
          <w:szCs w:val="16"/>
          <w:lang w:val="es-VE"/>
        </w:rPr>
        <w:t xml:space="preserve">48. </w:t>
      </w:r>
      <w:r>
        <w:rPr>
          <w:rFonts w:ascii="Cambria" w:hAnsi="Cambria"/>
          <w:sz w:val="16"/>
          <w:szCs w:val="16"/>
          <w:lang w:val="es-VE"/>
        </w:rPr>
        <w:t>Anexo del escrito de información adicional presentado por la parte peticionaria el 29 de junio de 1990</w:t>
      </w:r>
      <w:r w:rsidRPr="009D5581">
        <w:rPr>
          <w:rFonts w:ascii="Cambria" w:hAnsi="Cambria"/>
          <w:sz w:val="16"/>
          <w:szCs w:val="16"/>
          <w:lang w:val="es-VE"/>
        </w:rPr>
        <w:t>.</w:t>
      </w:r>
    </w:p>
  </w:footnote>
  <w:footnote w:id="51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Declaración referente al caso No. 269.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511">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Declaración referente al caso No. 269.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51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Declaración referente al caso No. 269.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51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Declaración referente al caso No. 269.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514">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Declaración referente al caso No. 269.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515">
    <w:p w:rsidR="00C00F28" w:rsidRPr="009D5581" w:rsidRDefault="00C00F28" w:rsidP="009D5581">
      <w:pPr>
        <w:pStyle w:val="FootnoteText"/>
        <w:jc w:val="both"/>
        <w:rPr>
          <w:rFonts w:ascii="Cambria" w:hAnsi="Cambria"/>
          <w:sz w:val="16"/>
          <w:szCs w:val="16"/>
          <w:lang w:val="es-CO"/>
        </w:rPr>
      </w:pPr>
      <w:r w:rsidRPr="00BF412E">
        <w:rPr>
          <w:rStyle w:val="FootnoteReference"/>
          <w:rFonts w:ascii="Cambria" w:hAnsi="Cambria"/>
          <w:sz w:val="16"/>
          <w:szCs w:val="16"/>
        </w:rPr>
        <w:footnoteRef/>
      </w:r>
      <w:r w:rsidRPr="00BF412E">
        <w:rPr>
          <w:rFonts w:ascii="Cambria" w:hAnsi="Cambria"/>
          <w:sz w:val="16"/>
          <w:szCs w:val="16"/>
          <w:lang w:val="es-CO"/>
        </w:rPr>
        <w:t xml:space="preserve"> Listado de personas individualizadas que alegan afectaciones a su propiedad.</w:t>
      </w:r>
    </w:p>
  </w:footnote>
  <w:footnote w:id="516">
    <w:p w:rsidR="00C00F28" w:rsidRPr="009D5581" w:rsidRDefault="00C00F28" w:rsidP="009D5581">
      <w:pPr>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Comité de Derechos Económicos, Sociales y Culturales. Informe sobre la misión de asistencia técnica a Panamá (16 a 22 de abril de 1995). E/C.12/1995/8 del 20 de junio de 1995, párr. 21.</w:t>
      </w:r>
    </w:p>
  </w:footnote>
  <w:footnote w:id="517">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Comité de Derechos Económicos, Sociales y Culturales. Informe sobre la misión de asistencia técnica a Panamá (16 a 22 de abril de 1995). E/C.12/1995/8 del 20 de junio de 1995, párr. 58.</w:t>
      </w:r>
    </w:p>
  </w:footnote>
  <w:footnote w:id="518">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CIDH. Informe Anual 1990-1991. Capítulo IV sobre la situación de derechos humanos en Panamá. OEA/Ser.L/V/II.79.rev.1 Doc. 12 del 22 febrero 1991.</w:t>
      </w:r>
    </w:p>
  </w:footnote>
  <w:footnote w:id="519">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CIDH. Informe Anual 1990-1991. Capítulo IV sobre la situación de derechos humanos en Panamá. OEA/Ser.L/V/II.79.rev.1 Doc. 12 del 22 febrero 1991.</w:t>
      </w:r>
    </w:p>
  </w:footnote>
  <w:footnote w:id="520">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CIDH. Informe Anual 1990-1991. Capítulo IV sobre la situación de derechos humanos en Panamá. OEA/Ser.L/V/II.79.rev.1 Doc. 12 del 22 febrero 1991.</w:t>
      </w:r>
    </w:p>
  </w:footnote>
  <w:footnote w:id="521">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Comité de Derechos Económicos, Sociales y Culturales. Informe sobre la misión de asistencia técnica a Panamá (16 a 22 de abril de 1995). E/C.12/1995/8 del 20 de junio de 1995, párr. 61 y 62.</w:t>
      </w:r>
    </w:p>
  </w:footnote>
  <w:footnote w:id="522">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Comité de Derechos Económicos, Sociales y Culturales. Informe sobre la misión de asistencia técnica a Panamá (16 a 22 de abril de 1995). E/C.12/1995/8 del 20 de junio de 1995, párr. 61 y 62</w:t>
      </w:r>
    </w:p>
  </w:footnote>
  <w:footnote w:id="52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Comité de Derechos Económicos, Sociales y Culturales. Informe sobre la misión de asistencia técnica a Panamá (16 a 22 de abril de 1995). E/C.12/1995/8 del 20 de junio de 1995, párr. 65.</w:t>
      </w:r>
    </w:p>
  </w:footnote>
  <w:footnote w:id="524">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En particular víctimas identificadas en los casos No. 1, 2, 5, 6, 7, 10, 16, 19, 21, 26, 33, 37, 47, 51, 59, 115, 224, dicen haber acudido a la Unidad de reclamos del Comando Sur ubicado en Panamá. Asimismo víctimas identificadas en los casos No. 28, 29, 30, 34, 35, 40, 46, 48 dicen haber acudido ante autoridades locales, nacionales y al Comando Sur en búsqueda de asistencia e indemnización. </w:t>
      </w:r>
      <w:r>
        <w:rPr>
          <w:rFonts w:ascii="Cambria" w:hAnsi="Cambria"/>
          <w:sz w:val="16"/>
          <w:szCs w:val="16"/>
          <w:lang w:val="es-VE"/>
        </w:rPr>
        <w:t>A</w:t>
      </w:r>
      <w:r w:rsidRPr="009D5581">
        <w:rPr>
          <w:rFonts w:ascii="Cambria" w:hAnsi="Cambria"/>
          <w:sz w:val="16"/>
          <w:szCs w:val="16"/>
          <w:lang w:val="es-VE"/>
        </w:rPr>
        <w:t xml:space="preserve">lgunas </w:t>
      </w:r>
      <w:r>
        <w:rPr>
          <w:rFonts w:ascii="Cambria" w:hAnsi="Cambria"/>
          <w:sz w:val="16"/>
          <w:szCs w:val="16"/>
          <w:lang w:val="es-VE"/>
        </w:rPr>
        <w:t xml:space="preserve">personas </w:t>
      </w:r>
      <w:r w:rsidRPr="009D5581">
        <w:rPr>
          <w:rFonts w:ascii="Cambria" w:hAnsi="Cambria"/>
          <w:sz w:val="16"/>
          <w:szCs w:val="16"/>
          <w:lang w:val="es-VE"/>
        </w:rPr>
        <w:t>identificadas en los casos No. 11, 18, 27 acudieron solamente a autoridades panameñas.</w:t>
      </w:r>
    </w:p>
  </w:footnote>
  <w:footnote w:id="525">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i/>
          <w:sz w:val="16"/>
          <w:szCs w:val="16"/>
          <w:lang w:val="es-VE"/>
        </w:rPr>
        <w:t xml:space="preserve">Mariano Cianca Sánchez </w:t>
      </w:r>
      <w:r w:rsidRPr="009D5581">
        <w:rPr>
          <w:rFonts w:ascii="Cambria" w:hAnsi="Cambria"/>
          <w:sz w:val="16"/>
          <w:szCs w:val="16"/>
          <w:lang w:val="es-VE"/>
        </w:rPr>
        <w:t xml:space="preserve">identificado en el caso No. 245. </w:t>
      </w:r>
      <w:r>
        <w:rPr>
          <w:rFonts w:ascii="Cambria" w:hAnsi="Cambria"/>
          <w:sz w:val="16"/>
          <w:szCs w:val="16"/>
          <w:lang w:val="es-VE"/>
        </w:rPr>
        <w:t xml:space="preserve">Ver </w:t>
      </w:r>
      <w:r w:rsidRPr="00AA22EA">
        <w:rPr>
          <w:rFonts w:ascii="Cambria" w:hAnsi="Cambria"/>
          <w:sz w:val="16"/>
          <w:szCs w:val="16"/>
          <w:lang w:val="es-VE"/>
        </w:rPr>
        <w:t>Declaración referente al</w:t>
      </w:r>
      <w:r w:rsidRPr="009D5581">
        <w:rPr>
          <w:rFonts w:ascii="Cambria" w:hAnsi="Cambria"/>
          <w:sz w:val="16"/>
          <w:szCs w:val="16"/>
          <w:lang w:val="es-VE"/>
        </w:rPr>
        <w:t xml:space="preserve"> caso No. 245.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526">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i/>
          <w:sz w:val="16"/>
          <w:szCs w:val="16"/>
          <w:lang w:val="es-VE"/>
        </w:rPr>
        <w:t xml:space="preserve">María Tomasa Bonilla y Carolina Ruiz Bonilla </w:t>
      </w:r>
      <w:r w:rsidRPr="009D5581">
        <w:rPr>
          <w:rFonts w:ascii="Cambria" w:hAnsi="Cambria"/>
          <w:sz w:val="16"/>
          <w:szCs w:val="16"/>
          <w:lang w:val="es-VE"/>
        </w:rPr>
        <w:t xml:space="preserve">identificadas en el caso No. 12; </w:t>
      </w:r>
      <w:r w:rsidRPr="009D5581">
        <w:rPr>
          <w:rFonts w:ascii="Cambria" w:hAnsi="Cambria"/>
          <w:i/>
          <w:sz w:val="16"/>
          <w:szCs w:val="16"/>
          <w:lang w:val="es-CO"/>
        </w:rPr>
        <w:t>Camilo Zamora Hidalgo</w:t>
      </w:r>
      <w:r w:rsidRPr="009D5581">
        <w:rPr>
          <w:rFonts w:ascii="Cambria" w:hAnsi="Cambria"/>
          <w:sz w:val="16"/>
          <w:szCs w:val="16"/>
          <w:lang w:val="es-CO"/>
        </w:rPr>
        <w:t xml:space="preserve"> identificado en el caso No. 13; y </w:t>
      </w:r>
      <w:r w:rsidRPr="009D5581">
        <w:rPr>
          <w:rFonts w:ascii="Cambria" w:hAnsi="Cambria"/>
          <w:i/>
          <w:sz w:val="16"/>
          <w:szCs w:val="16"/>
          <w:lang w:val="es-CO"/>
        </w:rPr>
        <w:t>Andreita Núñez</w:t>
      </w:r>
      <w:r w:rsidRPr="009D5581">
        <w:rPr>
          <w:rFonts w:ascii="Cambria" w:hAnsi="Cambria"/>
          <w:sz w:val="16"/>
          <w:szCs w:val="16"/>
          <w:lang w:val="es-CO"/>
        </w:rPr>
        <w:t xml:space="preserve"> identificada en el caso No. 17.</w:t>
      </w:r>
    </w:p>
  </w:footnote>
  <w:footnote w:id="527">
    <w:p w:rsidR="00C00F28" w:rsidRPr="009D5581" w:rsidRDefault="00C00F28" w:rsidP="009D5581">
      <w:pPr>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i/>
          <w:sz w:val="16"/>
          <w:szCs w:val="16"/>
          <w:lang w:val="es-CO"/>
        </w:rPr>
        <w:t>Ángel Antonio Alonso Cubilla y su familia, Dalys Corro, Ángel Antonio Alonso Corro, y Albis Abdiel Alonso Corro</w:t>
      </w:r>
      <w:r w:rsidRPr="009D5581">
        <w:rPr>
          <w:rFonts w:ascii="Cambria" w:hAnsi="Cambria"/>
          <w:sz w:val="16"/>
          <w:szCs w:val="16"/>
          <w:lang w:val="es-CO"/>
        </w:rPr>
        <w:t xml:space="preserve"> identificados en el caso No. 19; y</w:t>
      </w:r>
      <w:r w:rsidRPr="009D5581">
        <w:rPr>
          <w:rFonts w:ascii="Cambria" w:hAnsi="Cambria"/>
          <w:i/>
          <w:sz w:val="16"/>
          <w:szCs w:val="16"/>
          <w:lang w:val="es-CO"/>
        </w:rPr>
        <w:t xml:space="preserve"> Carlos Elías rosas Pitti </w:t>
      </w:r>
      <w:r w:rsidRPr="009D5581">
        <w:rPr>
          <w:rFonts w:ascii="Cambria" w:hAnsi="Cambria"/>
          <w:sz w:val="16"/>
          <w:szCs w:val="16"/>
          <w:lang w:val="es-CO"/>
        </w:rPr>
        <w:t>identificado en el caso No 21.</w:t>
      </w:r>
    </w:p>
  </w:footnote>
  <w:footnote w:id="528">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i/>
          <w:sz w:val="16"/>
          <w:szCs w:val="16"/>
          <w:lang w:val="es-VE"/>
        </w:rPr>
        <w:t xml:space="preserve">Iris M. Pineda H. y familia </w:t>
      </w:r>
      <w:r w:rsidRPr="009D5581">
        <w:rPr>
          <w:rFonts w:ascii="Cambria" w:hAnsi="Cambria"/>
          <w:sz w:val="16"/>
          <w:szCs w:val="16"/>
          <w:lang w:val="es-VE"/>
        </w:rPr>
        <w:t>identificados en el caso No. 225.</w:t>
      </w:r>
    </w:p>
  </w:footnote>
  <w:footnote w:id="529">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CIDH. Informe Anual 1990-1991. Capítulo IV sobre la situación de derechos humanos en Panamá. OEA/Ser.L/V/II.79.rev.1 Doc. 12 del 22 febrero 1991.</w:t>
      </w:r>
    </w:p>
  </w:footnote>
  <w:footnote w:id="530">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Comité de Derechos Económicos, Sociales y Culturales. Informe sobre la misión de asistencia técnica a Panamá (16 a 22 de abril de 1995). E/C.12/1995/8 del 20 de junio de 1995, párr. 58.</w:t>
      </w:r>
    </w:p>
  </w:footnote>
  <w:footnote w:id="531">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Comité de Derechos Económicos, Sociales y Culturales. Informe sobre la misión de asistencia técnica a Panamá (16 a 22 de abril de 1995). E/C.12/1995/8 del 20 de junio de 1995, párr. 58.</w:t>
      </w:r>
    </w:p>
  </w:footnote>
  <w:footnote w:id="532">
    <w:p w:rsidR="00C00F28" w:rsidRPr="00537BDB" w:rsidRDefault="00C00F28" w:rsidP="00537BDB">
      <w:pPr>
        <w:pStyle w:val="FootnoteText"/>
        <w:jc w:val="both"/>
        <w:rPr>
          <w:rFonts w:ascii="Cambria" w:hAnsi="Cambria"/>
          <w:lang w:val="es-VE"/>
        </w:rPr>
      </w:pPr>
      <w:r w:rsidRPr="00537BDB">
        <w:rPr>
          <w:rStyle w:val="FootnoteReference"/>
          <w:rFonts w:ascii="Cambria" w:hAnsi="Cambria"/>
          <w:sz w:val="16"/>
        </w:rPr>
        <w:footnoteRef/>
      </w:r>
      <w:r w:rsidRPr="00537BDB">
        <w:rPr>
          <w:rFonts w:ascii="Cambria" w:hAnsi="Cambria"/>
          <w:sz w:val="16"/>
          <w:lang w:val="es-VE"/>
        </w:rPr>
        <w:t xml:space="preserve"> </w:t>
      </w:r>
      <w:r w:rsidRPr="00DD125A">
        <w:rPr>
          <w:rFonts w:ascii="Cambria" w:hAnsi="Cambria"/>
          <w:sz w:val="16"/>
          <w:szCs w:val="16"/>
          <w:lang w:val="es-VE"/>
        </w:rPr>
        <w:t>Tribunal Permanente de los Pueblos, Aspectos Arquitectónicos sobre los efectos de la invasión en el Barrio El Chorillo, 8 de enero de 1991.</w:t>
      </w:r>
      <w:r>
        <w:rPr>
          <w:rFonts w:ascii="Cambria" w:hAnsi="Cambria"/>
          <w:sz w:val="16"/>
          <w:szCs w:val="16"/>
          <w:lang w:val="es-VE"/>
        </w:rPr>
        <w:t xml:space="preserve"> Anexo al Commissioner’s Notebook presentado por la parte peticionaria.</w:t>
      </w:r>
    </w:p>
  </w:footnote>
  <w:footnote w:id="53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141.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534">
    <w:p w:rsidR="00C00F28" w:rsidRPr="009D5581" w:rsidRDefault="00C00F28" w:rsidP="009D5581">
      <w:pPr>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i/>
          <w:sz w:val="16"/>
          <w:szCs w:val="16"/>
          <w:lang w:val="es-VE"/>
        </w:rPr>
        <w:t xml:space="preserve">Eliécer Díaz Castillo </w:t>
      </w:r>
      <w:r w:rsidRPr="009D5581">
        <w:rPr>
          <w:rFonts w:ascii="Cambria" w:hAnsi="Cambria"/>
          <w:sz w:val="16"/>
          <w:szCs w:val="16"/>
          <w:lang w:val="es-VE"/>
        </w:rPr>
        <w:t xml:space="preserve">identificado en el caso No. 129; </w:t>
      </w:r>
      <w:r w:rsidRPr="009D5581">
        <w:rPr>
          <w:rFonts w:ascii="Cambria" w:hAnsi="Cambria"/>
          <w:i/>
          <w:sz w:val="16"/>
          <w:szCs w:val="16"/>
          <w:lang w:val="es-VE"/>
        </w:rPr>
        <w:t xml:space="preserve">María del Carmen Guzmán </w:t>
      </w:r>
      <w:r w:rsidRPr="009D5581">
        <w:rPr>
          <w:rFonts w:ascii="Cambria" w:hAnsi="Cambria"/>
          <w:sz w:val="16"/>
          <w:szCs w:val="16"/>
          <w:lang w:val="es-VE"/>
        </w:rPr>
        <w:t xml:space="preserve">identificada en el caso No. 134; </w:t>
      </w:r>
      <w:r w:rsidRPr="009D5581">
        <w:rPr>
          <w:rFonts w:ascii="Cambria" w:hAnsi="Cambria"/>
          <w:i/>
          <w:sz w:val="16"/>
          <w:szCs w:val="16"/>
          <w:lang w:val="es-VE"/>
        </w:rPr>
        <w:t xml:space="preserve">Elena V. de Escobar </w:t>
      </w:r>
      <w:r w:rsidRPr="009D5581">
        <w:rPr>
          <w:rFonts w:ascii="Cambria" w:hAnsi="Cambria"/>
          <w:sz w:val="16"/>
          <w:szCs w:val="16"/>
          <w:lang w:val="es-VE"/>
        </w:rPr>
        <w:t xml:space="preserve">identificada en el caso No. 140; </w:t>
      </w:r>
      <w:r w:rsidRPr="009D5581">
        <w:rPr>
          <w:rFonts w:ascii="Cambria" w:hAnsi="Cambria"/>
          <w:i/>
          <w:sz w:val="16"/>
          <w:szCs w:val="16"/>
          <w:lang w:val="es-VE"/>
        </w:rPr>
        <w:t xml:space="preserve">Magdalena E. de Morales </w:t>
      </w:r>
      <w:r w:rsidRPr="009D5581">
        <w:rPr>
          <w:rFonts w:ascii="Cambria" w:hAnsi="Cambria"/>
          <w:sz w:val="16"/>
          <w:szCs w:val="16"/>
          <w:lang w:val="es-VE"/>
        </w:rPr>
        <w:t xml:space="preserve">identificada en el caso No. 142; </w:t>
      </w:r>
      <w:r w:rsidRPr="009D5581">
        <w:rPr>
          <w:rFonts w:ascii="Cambria" w:hAnsi="Cambria"/>
          <w:i/>
          <w:sz w:val="16"/>
          <w:szCs w:val="16"/>
          <w:lang w:val="es-VE"/>
        </w:rPr>
        <w:t xml:space="preserve">Elena Yaneth de Silvera </w:t>
      </w:r>
      <w:r w:rsidRPr="009D5581">
        <w:rPr>
          <w:rFonts w:ascii="Cambria" w:hAnsi="Cambria"/>
          <w:sz w:val="16"/>
          <w:szCs w:val="16"/>
          <w:lang w:val="es-VE"/>
        </w:rPr>
        <w:t xml:space="preserve">identificada en el caso No. 143; </w:t>
      </w:r>
      <w:r w:rsidRPr="009D5581">
        <w:rPr>
          <w:rFonts w:ascii="Cambria" w:hAnsi="Cambria"/>
          <w:i/>
          <w:sz w:val="16"/>
          <w:szCs w:val="16"/>
          <w:lang w:val="es-VE"/>
        </w:rPr>
        <w:t>Urcinnio Rivera Bodera</w:t>
      </w:r>
      <w:r w:rsidRPr="009D5581">
        <w:rPr>
          <w:rFonts w:ascii="Cambria" w:hAnsi="Cambria"/>
          <w:sz w:val="16"/>
          <w:szCs w:val="16"/>
          <w:lang w:val="es-VE"/>
        </w:rPr>
        <w:t xml:space="preserve"> identificado en caso No. 151; </w:t>
      </w:r>
      <w:r w:rsidRPr="009D5581">
        <w:rPr>
          <w:rFonts w:ascii="Cambria" w:hAnsi="Cambria"/>
          <w:i/>
          <w:sz w:val="16"/>
          <w:szCs w:val="16"/>
          <w:lang w:val="es-VE"/>
        </w:rPr>
        <w:t xml:space="preserve">Yolanda Vega de Arosemena </w:t>
      </w:r>
      <w:r w:rsidRPr="009D5581">
        <w:rPr>
          <w:rFonts w:ascii="Cambria" w:hAnsi="Cambria"/>
          <w:sz w:val="16"/>
          <w:szCs w:val="16"/>
          <w:lang w:val="es-VE"/>
        </w:rPr>
        <w:t>identificada en el caso No. 153.</w:t>
      </w:r>
    </w:p>
  </w:footnote>
  <w:footnote w:id="535">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Anexo 187</w:t>
      </w:r>
      <w:r w:rsidRPr="009D5581">
        <w:rPr>
          <w:rFonts w:ascii="Cambria" w:hAnsi="Cambria"/>
          <w:sz w:val="16"/>
          <w:szCs w:val="16"/>
          <w:lang w:val="es-VE"/>
        </w:rPr>
        <w:t xml:space="preserve">. Declaración referente al caso No. 242. </w:t>
      </w:r>
      <w:r>
        <w:rPr>
          <w:rFonts w:ascii="Cambria" w:hAnsi="Cambria"/>
          <w:sz w:val="16"/>
          <w:szCs w:val="16"/>
          <w:lang w:val="es-VE"/>
        </w:rPr>
        <w:t>Anexo del escrito de información adicional presentado por la parte peticionaria el 19 de septiembre de 1991.</w:t>
      </w:r>
    </w:p>
  </w:footnote>
  <w:footnote w:id="536">
    <w:p w:rsidR="00C00F28" w:rsidRPr="009D5581" w:rsidRDefault="00C00F28" w:rsidP="009D5581">
      <w:pPr>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i/>
          <w:sz w:val="16"/>
          <w:szCs w:val="16"/>
          <w:lang w:val="es-VE"/>
        </w:rPr>
        <w:t>Enrique E. Guerrero</w:t>
      </w:r>
      <w:r w:rsidRPr="009D5581">
        <w:rPr>
          <w:rFonts w:ascii="Cambria" w:hAnsi="Cambria"/>
          <w:sz w:val="16"/>
          <w:szCs w:val="16"/>
          <w:lang w:val="es-VE"/>
        </w:rPr>
        <w:t xml:space="preserve"> identificado en el caso No. 108 y No. 223</w:t>
      </w:r>
      <w:r w:rsidRPr="009D5581">
        <w:rPr>
          <w:rFonts w:ascii="Cambria" w:hAnsi="Cambria"/>
          <w:sz w:val="16"/>
          <w:szCs w:val="16"/>
          <w:lang w:val="es-CO"/>
        </w:rPr>
        <w:t xml:space="preserve">; </w:t>
      </w:r>
      <w:r w:rsidRPr="009D5581">
        <w:rPr>
          <w:rFonts w:ascii="Cambria" w:hAnsi="Cambria"/>
          <w:i/>
          <w:sz w:val="16"/>
          <w:szCs w:val="16"/>
          <w:lang w:val="es-VE"/>
        </w:rPr>
        <w:t xml:space="preserve">Victoria Rodríguez Montalbo </w:t>
      </w:r>
      <w:r w:rsidRPr="009D5581">
        <w:rPr>
          <w:rFonts w:ascii="Cambria" w:hAnsi="Cambria"/>
          <w:sz w:val="16"/>
          <w:szCs w:val="16"/>
          <w:lang w:val="es-VE"/>
        </w:rPr>
        <w:t xml:space="preserve">identificada en el caso No. 133; Mariano Cianca Sánchez identificado en el caso No. 245.  </w:t>
      </w:r>
    </w:p>
  </w:footnote>
  <w:footnote w:id="537">
    <w:p w:rsidR="00C00F28" w:rsidRPr="004C4A1D" w:rsidRDefault="00C00F28" w:rsidP="009D5581">
      <w:pPr>
        <w:pStyle w:val="FootnoteText"/>
        <w:jc w:val="both"/>
        <w:rPr>
          <w:rFonts w:ascii="Cambria" w:hAnsi="Cambria"/>
          <w:color w:val="auto"/>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i/>
          <w:sz w:val="16"/>
          <w:szCs w:val="16"/>
          <w:lang w:val="es-VE"/>
        </w:rPr>
        <w:t>Yolanda Vega de Arosemena</w:t>
      </w:r>
      <w:r w:rsidRPr="009D5581">
        <w:rPr>
          <w:rFonts w:ascii="Cambria" w:hAnsi="Cambria"/>
          <w:sz w:val="16"/>
          <w:szCs w:val="16"/>
          <w:lang w:val="es-VE"/>
        </w:rPr>
        <w:t xml:space="preserve"> identificada en el </w:t>
      </w:r>
      <w:r w:rsidRPr="004C4A1D">
        <w:rPr>
          <w:rFonts w:ascii="Cambria" w:hAnsi="Cambria"/>
          <w:color w:val="auto"/>
          <w:sz w:val="16"/>
          <w:szCs w:val="16"/>
          <w:lang w:val="es-VE"/>
        </w:rPr>
        <w:t>caso No. 153.</w:t>
      </w:r>
    </w:p>
  </w:footnote>
  <w:footnote w:id="538">
    <w:p w:rsidR="00C00F28" w:rsidRPr="004C4A1D" w:rsidRDefault="00C00F28" w:rsidP="009D5581">
      <w:pPr>
        <w:jc w:val="both"/>
        <w:rPr>
          <w:rFonts w:ascii="Cambria" w:hAnsi="Cambria"/>
          <w:sz w:val="16"/>
          <w:szCs w:val="16"/>
          <w:lang w:val="es-VE"/>
        </w:rPr>
      </w:pPr>
      <w:r w:rsidRPr="004C4A1D">
        <w:rPr>
          <w:rStyle w:val="FootnoteReference"/>
          <w:rFonts w:ascii="Cambria" w:hAnsi="Cambria"/>
          <w:sz w:val="16"/>
          <w:szCs w:val="16"/>
        </w:rPr>
        <w:footnoteRef/>
      </w:r>
      <w:r w:rsidRPr="004C4A1D">
        <w:rPr>
          <w:rFonts w:ascii="Cambria" w:hAnsi="Cambria"/>
          <w:sz w:val="16"/>
          <w:szCs w:val="16"/>
          <w:lang w:val="es-VE"/>
        </w:rPr>
        <w:t xml:space="preserve"> </w:t>
      </w:r>
      <w:r w:rsidRPr="004C4A1D">
        <w:rPr>
          <w:rFonts w:ascii="Cambria" w:hAnsi="Cambria"/>
          <w:i/>
          <w:sz w:val="16"/>
          <w:szCs w:val="16"/>
          <w:lang w:val="es-VE"/>
        </w:rPr>
        <w:t xml:space="preserve">Demetrio López González </w:t>
      </w:r>
      <w:r w:rsidRPr="004C4A1D">
        <w:rPr>
          <w:rFonts w:ascii="Cambria" w:hAnsi="Cambria"/>
          <w:sz w:val="16"/>
          <w:szCs w:val="16"/>
          <w:lang w:val="es-VE"/>
        </w:rPr>
        <w:t>identificado en el caso No. 64.</w:t>
      </w:r>
    </w:p>
  </w:footnote>
  <w:footnote w:id="539">
    <w:p w:rsidR="00C00F28" w:rsidRPr="009D5581" w:rsidRDefault="00C00F28" w:rsidP="009D5581">
      <w:pPr>
        <w:pStyle w:val="FootnoteText"/>
        <w:jc w:val="both"/>
        <w:rPr>
          <w:rFonts w:ascii="Cambria" w:hAnsi="Cambria"/>
          <w:sz w:val="16"/>
          <w:szCs w:val="16"/>
          <w:lang w:val="es-VE"/>
        </w:rPr>
      </w:pPr>
      <w:r w:rsidRPr="004C4A1D">
        <w:rPr>
          <w:rStyle w:val="FootnoteReference"/>
          <w:rFonts w:ascii="Cambria" w:hAnsi="Cambria"/>
          <w:color w:val="auto"/>
          <w:sz w:val="16"/>
          <w:szCs w:val="16"/>
        </w:rPr>
        <w:footnoteRef/>
      </w:r>
      <w:r w:rsidRPr="004C4A1D">
        <w:rPr>
          <w:rFonts w:ascii="Cambria" w:hAnsi="Cambria"/>
          <w:color w:val="auto"/>
          <w:sz w:val="16"/>
          <w:szCs w:val="16"/>
          <w:lang w:val="es-VE"/>
        </w:rPr>
        <w:t xml:space="preserve"> </w:t>
      </w:r>
      <w:r w:rsidRPr="004C4A1D">
        <w:rPr>
          <w:rFonts w:ascii="Cambria" w:hAnsi="Cambria"/>
          <w:i/>
          <w:color w:val="auto"/>
          <w:sz w:val="16"/>
          <w:szCs w:val="16"/>
          <w:lang w:val="es-VE"/>
        </w:rPr>
        <w:t>Esteban M. Martínez U</w:t>
      </w:r>
      <w:r w:rsidRPr="004C4A1D">
        <w:rPr>
          <w:rFonts w:ascii="Cambria" w:hAnsi="Cambria"/>
          <w:color w:val="auto"/>
          <w:sz w:val="16"/>
          <w:szCs w:val="16"/>
          <w:lang w:val="es-VE"/>
        </w:rPr>
        <w:t xml:space="preserve">. identificado en el caso No. 214; </w:t>
      </w:r>
      <w:r w:rsidRPr="004C4A1D">
        <w:rPr>
          <w:rFonts w:ascii="Cambria" w:hAnsi="Cambria"/>
          <w:i/>
          <w:color w:val="auto"/>
          <w:sz w:val="16"/>
          <w:szCs w:val="16"/>
          <w:lang w:val="es-VE"/>
        </w:rPr>
        <w:t>Funicia E. Anderson</w:t>
      </w:r>
      <w:r w:rsidRPr="004C4A1D">
        <w:rPr>
          <w:rFonts w:ascii="Cambria" w:hAnsi="Cambria"/>
          <w:color w:val="auto"/>
          <w:sz w:val="16"/>
          <w:szCs w:val="16"/>
          <w:lang w:val="es-VE"/>
        </w:rPr>
        <w:t xml:space="preserve"> identificada en el caso No. 244; y </w:t>
      </w:r>
      <w:r w:rsidRPr="004C4A1D">
        <w:rPr>
          <w:rFonts w:ascii="Cambria" w:hAnsi="Cambria"/>
          <w:i/>
          <w:color w:val="auto"/>
          <w:sz w:val="16"/>
          <w:szCs w:val="16"/>
          <w:lang w:val="es-VE"/>
        </w:rPr>
        <w:t>Hugo Varcasía Adames y Yolanda de Varcasía</w:t>
      </w:r>
      <w:r w:rsidRPr="004C4A1D">
        <w:rPr>
          <w:rFonts w:ascii="Cambria" w:hAnsi="Cambria"/>
          <w:color w:val="auto"/>
          <w:sz w:val="16"/>
          <w:szCs w:val="16"/>
          <w:lang w:val="es-VE"/>
        </w:rPr>
        <w:t xml:space="preserve"> identificados en el caso No. 246.</w:t>
      </w:r>
    </w:p>
  </w:footnote>
  <w:footnote w:id="540">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207.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 xml:space="preserve">; </w:t>
      </w:r>
      <w:bookmarkStart w:id="30" w:name="_Hlk498302236"/>
      <w:r>
        <w:rPr>
          <w:rFonts w:ascii="Cambria" w:hAnsi="Cambria"/>
          <w:sz w:val="16"/>
          <w:szCs w:val="16"/>
          <w:lang w:val="es-VE"/>
        </w:rPr>
        <w:t xml:space="preserve">y </w:t>
      </w:r>
      <w:r w:rsidRPr="009D5581">
        <w:rPr>
          <w:rFonts w:ascii="Cambria" w:hAnsi="Cambria"/>
          <w:sz w:val="16"/>
          <w:szCs w:val="16"/>
          <w:lang w:val="es-VE"/>
        </w:rPr>
        <w:t xml:space="preserve">Declaración referente al caso No. 209.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bookmarkEnd w:id="30"/>
    </w:p>
  </w:footnote>
  <w:footnote w:id="541">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207.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542">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209.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54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Declaración referente al caso No. 178.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544">
    <w:p w:rsidR="00C00F28" w:rsidRPr="009D5581" w:rsidRDefault="00C00F28" w:rsidP="009D5581">
      <w:pPr>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i/>
          <w:sz w:val="16"/>
          <w:szCs w:val="16"/>
          <w:lang w:val="es-VE"/>
        </w:rPr>
        <w:t xml:space="preserve">Lucía García Bell </w:t>
      </w:r>
      <w:r w:rsidRPr="009D5581">
        <w:rPr>
          <w:rFonts w:ascii="Cambria" w:hAnsi="Cambria"/>
          <w:sz w:val="16"/>
          <w:szCs w:val="16"/>
          <w:lang w:val="es-VE"/>
        </w:rPr>
        <w:t xml:space="preserve">identificada en el caso No. 159; </w:t>
      </w:r>
      <w:r w:rsidRPr="009D5581">
        <w:rPr>
          <w:rFonts w:ascii="Cambria" w:hAnsi="Cambria"/>
          <w:i/>
          <w:sz w:val="16"/>
          <w:szCs w:val="16"/>
          <w:lang w:val="es-VE"/>
        </w:rPr>
        <w:t>Virgilio Sánchez Sánchez y María de la Cruz Polanco</w:t>
      </w:r>
      <w:r w:rsidRPr="009D5581">
        <w:rPr>
          <w:rFonts w:ascii="Cambria" w:hAnsi="Cambria"/>
          <w:sz w:val="16"/>
          <w:szCs w:val="16"/>
          <w:lang w:val="es-VE"/>
        </w:rPr>
        <w:t xml:space="preserve"> identificados en el caso No. 160; </w:t>
      </w:r>
      <w:r w:rsidRPr="009D5581">
        <w:rPr>
          <w:rFonts w:ascii="Cambria" w:hAnsi="Cambria"/>
          <w:i/>
          <w:sz w:val="16"/>
          <w:szCs w:val="16"/>
          <w:lang w:val="es-VE"/>
        </w:rPr>
        <w:t xml:space="preserve">Sandra Mudarra de Ledezma </w:t>
      </w:r>
      <w:r w:rsidRPr="009D5581">
        <w:rPr>
          <w:rFonts w:ascii="Cambria" w:hAnsi="Cambria"/>
          <w:sz w:val="16"/>
          <w:szCs w:val="16"/>
          <w:lang w:val="es-VE"/>
        </w:rPr>
        <w:t xml:space="preserve">identificada en el caso No. 161; </w:t>
      </w:r>
      <w:r w:rsidRPr="009D5581">
        <w:rPr>
          <w:rFonts w:ascii="Cambria" w:hAnsi="Cambria"/>
          <w:i/>
          <w:sz w:val="16"/>
          <w:szCs w:val="16"/>
          <w:lang w:val="es-VE"/>
        </w:rPr>
        <w:t xml:space="preserve">Sara Judith Batista de Herrera </w:t>
      </w:r>
      <w:r w:rsidRPr="009D5581">
        <w:rPr>
          <w:rFonts w:ascii="Cambria" w:hAnsi="Cambria"/>
          <w:sz w:val="16"/>
          <w:szCs w:val="16"/>
          <w:lang w:val="es-VE"/>
        </w:rPr>
        <w:t xml:space="preserve">identificada en el caso No. 162; </w:t>
      </w:r>
      <w:r w:rsidRPr="009D5581">
        <w:rPr>
          <w:rFonts w:ascii="Cambria" w:hAnsi="Cambria"/>
          <w:i/>
          <w:sz w:val="16"/>
          <w:szCs w:val="16"/>
          <w:lang w:val="es-VE"/>
        </w:rPr>
        <w:t xml:space="preserve">Georgina Yearwood Smith </w:t>
      </w:r>
      <w:r w:rsidRPr="009D5581">
        <w:rPr>
          <w:rFonts w:ascii="Cambria" w:hAnsi="Cambria"/>
          <w:sz w:val="16"/>
          <w:szCs w:val="16"/>
          <w:lang w:val="es-VE"/>
        </w:rPr>
        <w:t xml:space="preserve">identificada en el caso No. 163; </w:t>
      </w:r>
      <w:r w:rsidRPr="009D5581">
        <w:rPr>
          <w:rFonts w:ascii="Cambria" w:hAnsi="Cambria"/>
          <w:i/>
          <w:sz w:val="16"/>
          <w:szCs w:val="16"/>
          <w:lang w:val="es-VE"/>
        </w:rPr>
        <w:t xml:space="preserve">Gloria S. Jaén V. </w:t>
      </w:r>
      <w:r w:rsidRPr="009D5581">
        <w:rPr>
          <w:rFonts w:ascii="Cambria" w:hAnsi="Cambria"/>
          <w:sz w:val="16"/>
          <w:szCs w:val="16"/>
          <w:lang w:val="es-VE"/>
        </w:rPr>
        <w:t xml:space="preserve">identificada en el caso No. 164; </w:t>
      </w:r>
      <w:r w:rsidRPr="009D5581">
        <w:rPr>
          <w:rFonts w:ascii="Cambria" w:hAnsi="Cambria"/>
          <w:i/>
          <w:sz w:val="16"/>
          <w:szCs w:val="16"/>
          <w:lang w:val="es-VE"/>
        </w:rPr>
        <w:t xml:space="preserve">Alcides Bernal López </w:t>
      </w:r>
      <w:r w:rsidRPr="009D5581">
        <w:rPr>
          <w:rFonts w:ascii="Cambria" w:hAnsi="Cambria"/>
          <w:sz w:val="16"/>
          <w:szCs w:val="16"/>
          <w:lang w:val="es-VE"/>
        </w:rPr>
        <w:t>identificado en el caso No. 165;</w:t>
      </w:r>
      <w:r w:rsidRPr="009D5581">
        <w:rPr>
          <w:rFonts w:ascii="Cambria" w:hAnsi="Cambria"/>
          <w:i/>
          <w:sz w:val="16"/>
          <w:szCs w:val="16"/>
          <w:lang w:val="es-VE"/>
        </w:rPr>
        <w:t xml:space="preserve"> Gilma Sánchez de De la Cruz </w:t>
      </w:r>
      <w:r w:rsidRPr="009D5581">
        <w:rPr>
          <w:rFonts w:ascii="Cambria" w:hAnsi="Cambria"/>
          <w:sz w:val="16"/>
          <w:szCs w:val="16"/>
          <w:lang w:val="es-VE"/>
        </w:rPr>
        <w:t xml:space="preserve">identificada en el caso No. 166; </w:t>
      </w:r>
      <w:r w:rsidRPr="009D5581">
        <w:rPr>
          <w:rFonts w:ascii="Cambria" w:hAnsi="Cambria"/>
          <w:i/>
          <w:sz w:val="16"/>
          <w:szCs w:val="16"/>
          <w:lang w:val="es-VE"/>
        </w:rPr>
        <w:t xml:space="preserve">Olmedo Oliveros </w:t>
      </w:r>
      <w:r w:rsidRPr="009D5581">
        <w:rPr>
          <w:rFonts w:ascii="Cambria" w:hAnsi="Cambria"/>
          <w:sz w:val="16"/>
          <w:szCs w:val="16"/>
          <w:lang w:val="es-VE"/>
        </w:rPr>
        <w:t xml:space="preserve">identificado en el caso No. 167; </w:t>
      </w:r>
      <w:r w:rsidRPr="009D5581">
        <w:rPr>
          <w:rFonts w:ascii="Cambria" w:hAnsi="Cambria"/>
          <w:i/>
          <w:sz w:val="16"/>
          <w:szCs w:val="16"/>
          <w:lang w:val="es-VE"/>
        </w:rPr>
        <w:t xml:space="preserve">Arsenio Pérez de León </w:t>
      </w:r>
      <w:r w:rsidRPr="009D5581">
        <w:rPr>
          <w:rFonts w:ascii="Cambria" w:hAnsi="Cambria"/>
          <w:sz w:val="16"/>
          <w:szCs w:val="16"/>
          <w:lang w:val="es-VE"/>
        </w:rPr>
        <w:t xml:space="preserve">identificado en el caso No. 168; </w:t>
      </w:r>
      <w:r w:rsidRPr="009D5581">
        <w:rPr>
          <w:rFonts w:ascii="Cambria" w:hAnsi="Cambria"/>
          <w:i/>
          <w:sz w:val="16"/>
          <w:szCs w:val="16"/>
          <w:lang w:val="es-VE"/>
        </w:rPr>
        <w:t xml:space="preserve">Adelaida Hernández </w:t>
      </w:r>
      <w:r w:rsidRPr="009D5581">
        <w:rPr>
          <w:rFonts w:ascii="Cambria" w:hAnsi="Cambria"/>
          <w:sz w:val="16"/>
          <w:szCs w:val="16"/>
          <w:lang w:val="es-VE"/>
        </w:rPr>
        <w:t xml:space="preserve">identificada en el caso No. 169; </w:t>
      </w:r>
      <w:r w:rsidRPr="009D5581">
        <w:rPr>
          <w:rFonts w:ascii="Cambria" w:hAnsi="Cambria"/>
          <w:i/>
          <w:sz w:val="16"/>
          <w:szCs w:val="16"/>
          <w:lang w:val="es-VE"/>
        </w:rPr>
        <w:t xml:space="preserve">Yadira A. Lezcano </w:t>
      </w:r>
      <w:r w:rsidRPr="009D5581">
        <w:rPr>
          <w:rFonts w:ascii="Cambria" w:hAnsi="Cambria"/>
          <w:sz w:val="16"/>
          <w:szCs w:val="16"/>
          <w:lang w:val="es-VE"/>
        </w:rPr>
        <w:t xml:space="preserve">identificada en el caso No. 170; </w:t>
      </w:r>
      <w:r w:rsidRPr="009D5581">
        <w:rPr>
          <w:rFonts w:ascii="Cambria" w:hAnsi="Cambria"/>
          <w:i/>
          <w:sz w:val="16"/>
          <w:szCs w:val="16"/>
          <w:lang w:val="es-VE"/>
        </w:rPr>
        <w:t xml:space="preserve">Antonia G. de Crespo </w:t>
      </w:r>
      <w:r w:rsidRPr="009D5581">
        <w:rPr>
          <w:rFonts w:ascii="Cambria" w:hAnsi="Cambria"/>
          <w:sz w:val="16"/>
          <w:szCs w:val="16"/>
          <w:lang w:val="es-VE"/>
        </w:rPr>
        <w:t xml:space="preserve">identificada en el caso No. 171; </w:t>
      </w:r>
      <w:r w:rsidRPr="009D5581">
        <w:rPr>
          <w:rFonts w:ascii="Cambria" w:hAnsi="Cambria"/>
          <w:i/>
          <w:sz w:val="16"/>
          <w:szCs w:val="16"/>
          <w:lang w:val="es-VE"/>
        </w:rPr>
        <w:t xml:space="preserve">Franklin Loo de Gracia </w:t>
      </w:r>
      <w:r w:rsidRPr="009D5581">
        <w:rPr>
          <w:rFonts w:ascii="Cambria" w:hAnsi="Cambria"/>
          <w:sz w:val="16"/>
          <w:szCs w:val="16"/>
          <w:lang w:val="es-VE"/>
        </w:rPr>
        <w:t xml:space="preserve">identificado en el caso No. 173; </w:t>
      </w:r>
      <w:r w:rsidRPr="009D5581">
        <w:rPr>
          <w:rFonts w:ascii="Cambria" w:hAnsi="Cambria"/>
          <w:i/>
          <w:sz w:val="16"/>
          <w:szCs w:val="16"/>
          <w:lang w:val="es-VE"/>
        </w:rPr>
        <w:t xml:space="preserve">Raúl Elías Acevedo C. </w:t>
      </w:r>
      <w:r w:rsidRPr="009D5581">
        <w:rPr>
          <w:rFonts w:ascii="Cambria" w:hAnsi="Cambria"/>
          <w:sz w:val="16"/>
          <w:szCs w:val="16"/>
          <w:lang w:val="es-VE"/>
        </w:rPr>
        <w:t xml:space="preserve">identificado en el caso No. 174; </w:t>
      </w:r>
      <w:r w:rsidRPr="009D5581">
        <w:rPr>
          <w:rFonts w:ascii="Cambria" w:hAnsi="Cambria"/>
          <w:i/>
          <w:sz w:val="16"/>
          <w:szCs w:val="16"/>
          <w:lang w:val="es-VE"/>
        </w:rPr>
        <w:t xml:space="preserve">Betsy Guevara de Márquez y Ana Martínez </w:t>
      </w:r>
      <w:r w:rsidRPr="009D5581">
        <w:rPr>
          <w:rFonts w:ascii="Cambria" w:hAnsi="Cambria"/>
          <w:sz w:val="16"/>
          <w:szCs w:val="16"/>
          <w:lang w:val="es-VE"/>
        </w:rPr>
        <w:t xml:space="preserve">identificadas en el caso No. 175; </w:t>
      </w:r>
      <w:r w:rsidRPr="009D5581">
        <w:rPr>
          <w:rFonts w:ascii="Cambria" w:hAnsi="Cambria"/>
          <w:i/>
          <w:sz w:val="16"/>
          <w:szCs w:val="16"/>
          <w:lang w:val="es-VE"/>
        </w:rPr>
        <w:t xml:space="preserve">Betsy Guevara de Martínez y Ana Martínez </w:t>
      </w:r>
      <w:r w:rsidRPr="009D5581">
        <w:rPr>
          <w:rFonts w:ascii="Cambria" w:hAnsi="Cambria"/>
          <w:sz w:val="16"/>
          <w:szCs w:val="16"/>
          <w:lang w:val="es-VE"/>
        </w:rPr>
        <w:t>identificadas en el caso No. 177; Neira</w:t>
      </w:r>
      <w:r w:rsidRPr="009D5581">
        <w:rPr>
          <w:rFonts w:ascii="Cambria" w:hAnsi="Cambria"/>
          <w:i/>
          <w:sz w:val="16"/>
          <w:szCs w:val="16"/>
          <w:lang w:val="es-VE"/>
        </w:rPr>
        <w:t xml:space="preserve"> Estela Bethancourt </w:t>
      </w:r>
      <w:r w:rsidRPr="009D5581">
        <w:rPr>
          <w:rFonts w:ascii="Cambria" w:hAnsi="Cambria"/>
          <w:sz w:val="16"/>
          <w:szCs w:val="16"/>
          <w:lang w:val="es-VE"/>
        </w:rPr>
        <w:t xml:space="preserve">identificada en el caso No. 180; </w:t>
      </w:r>
      <w:r w:rsidRPr="009D5581">
        <w:rPr>
          <w:rFonts w:ascii="Cambria" w:hAnsi="Cambria"/>
          <w:i/>
          <w:sz w:val="16"/>
          <w:szCs w:val="16"/>
          <w:lang w:val="es-VE"/>
        </w:rPr>
        <w:t xml:space="preserve">Casimiro Bultrón Alba </w:t>
      </w:r>
      <w:r w:rsidRPr="009D5581">
        <w:rPr>
          <w:rFonts w:ascii="Cambria" w:hAnsi="Cambria"/>
          <w:sz w:val="16"/>
          <w:szCs w:val="16"/>
          <w:lang w:val="es-VE"/>
        </w:rPr>
        <w:t xml:space="preserve">identificado en el caso No. 181; </w:t>
      </w:r>
      <w:r w:rsidRPr="009D5581">
        <w:rPr>
          <w:rFonts w:ascii="Cambria" w:hAnsi="Cambria"/>
          <w:i/>
          <w:sz w:val="16"/>
          <w:szCs w:val="16"/>
          <w:lang w:val="es-VE"/>
        </w:rPr>
        <w:t xml:space="preserve">Julio César González P. </w:t>
      </w:r>
      <w:r w:rsidRPr="009D5581">
        <w:rPr>
          <w:rFonts w:ascii="Cambria" w:hAnsi="Cambria"/>
          <w:sz w:val="16"/>
          <w:szCs w:val="16"/>
          <w:lang w:val="es-VE"/>
        </w:rPr>
        <w:t xml:space="preserve">identificado en el caso No. 185; </w:t>
      </w:r>
      <w:r w:rsidRPr="009D5581">
        <w:rPr>
          <w:rFonts w:ascii="Cambria" w:hAnsi="Cambria"/>
          <w:i/>
          <w:sz w:val="16"/>
          <w:szCs w:val="16"/>
          <w:lang w:val="es-VE"/>
        </w:rPr>
        <w:t xml:space="preserve">Ana de Freitas </w:t>
      </w:r>
      <w:r w:rsidRPr="009D5581">
        <w:rPr>
          <w:rFonts w:ascii="Cambria" w:hAnsi="Cambria"/>
          <w:sz w:val="16"/>
          <w:szCs w:val="16"/>
          <w:lang w:val="es-VE"/>
        </w:rPr>
        <w:t xml:space="preserve">identificada en el caso No. 191; </w:t>
      </w:r>
      <w:r w:rsidRPr="009D5581">
        <w:rPr>
          <w:rFonts w:ascii="Cambria" w:hAnsi="Cambria"/>
          <w:i/>
          <w:sz w:val="16"/>
          <w:szCs w:val="16"/>
          <w:lang w:val="es-VE"/>
        </w:rPr>
        <w:t>Carlos Navas Ospino</w:t>
      </w:r>
      <w:r w:rsidRPr="009D5581">
        <w:rPr>
          <w:rFonts w:ascii="Cambria" w:hAnsi="Cambria"/>
          <w:sz w:val="16"/>
          <w:szCs w:val="16"/>
          <w:lang w:val="es-VE"/>
        </w:rPr>
        <w:t xml:space="preserve"> identificado en el caso No. 193;  </w:t>
      </w:r>
      <w:r w:rsidRPr="009D5581">
        <w:rPr>
          <w:rFonts w:ascii="Cambria" w:hAnsi="Cambria"/>
          <w:i/>
          <w:sz w:val="16"/>
          <w:szCs w:val="16"/>
          <w:lang w:val="es-VE"/>
        </w:rPr>
        <w:t xml:space="preserve">César Vargas Melo </w:t>
      </w:r>
      <w:r w:rsidRPr="009D5581">
        <w:rPr>
          <w:rFonts w:ascii="Cambria" w:hAnsi="Cambria"/>
          <w:sz w:val="16"/>
          <w:szCs w:val="16"/>
          <w:lang w:val="es-VE"/>
        </w:rPr>
        <w:t xml:space="preserve">identificado en el caso No. 199; </w:t>
      </w:r>
      <w:r w:rsidRPr="009D5581">
        <w:rPr>
          <w:rFonts w:ascii="Cambria" w:hAnsi="Cambria"/>
          <w:i/>
          <w:sz w:val="16"/>
          <w:szCs w:val="16"/>
          <w:lang w:val="es-VE"/>
        </w:rPr>
        <w:t xml:space="preserve">Rufina Rodríguez G. </w:t>
      </w:r>
      <w:r w:rsidRPr="009D5581">
        <w:rPr>
          <w:rFonts w:ascii="Cambria" w:hAnsi="Cambria"/>
          <w:sz w:val="16"/>
          <w:szCs w:val="16"/>
          <w:lang w:val="es-VE"/>
        </w:rPr>
        <w:t xml:space="preserve">identificada en el caso No. 200; </w:t>
      </w:r>
      <w:r w:rsidRPr="009D5581">
        <w:rPr>
          <w:rFonts w:ascii="Cambria" w:hAnsi="Cambria"/>
          <w:i/>
          <w:sz w:val="16"/>
          <w:szCs w:val="16"/>
          <w:lang w:val="es-VE"/>
        </w:rPr>
        <w:t xml:space="preserve">Rita Isabel Donayres W. </w:t>
      </w:r>
      <w:r w:rsidRPr="009D5581">
        <w:rPr>
          <w:rFonts w:ascii="Cambria" w:hAnsi="Cambria"/>
          <w:sz w:val="16"/>
          <w:szCs w:val="16"/>
          <w:lang w:val="es-VE"/>
        </w:rPr>
        <w:t xml:space="preserve">identificada en el caso No. 204; </w:t>
      </w:r>
      <w:r w:rsidRPr="009D5581">
        <w:rPr>
          <w:rFonts w:ascii="Cambria" w:hAnsi="Cambria"/>
          <w:i/>
          <w:sz w:val="16"/>
          <w:szCs w:val="16"/>
          <w:lang w:val="es-VE"/>
        </w:rPr>
        <w:t xml:space="preserve">Andrea L. de Arosemena </w:t>
      </w:r>
      <w:r w:rsidRPr="009D5581">
        <w:rPr>
          <w:rFonts w:ascii="Cambria" w:hAnsi="Cambria"/>
          <w:sz w:val="16"/>
          <w:szCs w:val="16"/>
          <w:lang w:val="es-VE"/>
        </w:rPr>
        <w:t xml:space="preserve">identificada en el caso No. 205; </w:t>
      </w:r>
      <w:r w:rsidRPr="009D5581">
        <w:rPr>
          <w:rFonts w:ascii="Cambria" w:hAnsi="Cambria"/>
          <w:i/>
          <w:sz w:val="16"/>
          <w:szCs w:val="16"/>
          <w:lang w:val="es-VE"/>
        </w:rPr>
        <w:t xml:space="preserve">Clorinda E. González </w:t>
      </w:r>
      <w:r w:rsidRPr="009D5581">
        <w:rPr>
          <w:rFonts w:ascii="Cambria" w:hAnsi="Cambria"/>
          <w:sz w:val="16"/>
          <w:szCs w:val="16"/>
          <w:lang w:val="es-VE"/>
        </w:rPr>
        <w:t xml:space="preserve">identificada en el caso No. 207; </w:t>
      </w:r>
      <w:r w:rsidRPr="009D5581">
        <w:rPr>
          <w:rFonts w:ascii="Cambria" w:hAnsi="Cambria"/>
          <w:i/>
          <w:sz w:val="16"/>
          <w:szCs w:val="16"/>
          <w:lang w:val="es-VE"/>
        </w:rPr>
        <w:t xml:space="preserve">Máximo Henríquez L. </w:t>
      </w:r>
      <w:r w:rsidRPr="009D5581">
        <w:rPr>
          <w:rFonts w:ascii="Cambria" w:hAnsi="Cambria"/>
          <w:sz w:val="16"/>
          <w:szCs w:val="16"/>
          <w:lang w:val="es-VE"/>
        </w:rPr>
        <w:t xml:space="preserve">identificado en el caso No. 211; </w:t>
      </w:r>
      <w:r w:rsidRPr="009D5581">
        <w:rPr>
          <w:rFonts w:ascii="Cambria" w:hAnsi="Cambria"/>
          <w:i/>
          <w:sz w:val="16"/>
          <w:szCs w:val="16"/>
          <w:lang w:val="es-VE"/>
        </w:rPr>
        <w:t xml:space="preserve">Federico Armien </w:t>
      </w:r>
      <w:r w:rsidRPr="009D5581">
        <w:rPr>
          <w:rFonts w:ascii="Cambria" w:hAnsi="Cambria"/>
          <w:sz w:val="16"/>
          <w:szCs w:val="16"/>
          <w:lang w:val="es-VE"/>
        </w:rPr>
        <w:t xml:space="preserve">identificado en el caso No. 220; </w:t>
      </w:r>
      <w:r w:rsidRPr="009D5581">
        <w:rPr>
          <w:rFonts w:ascii="Cambria" w:hAnsi="Cambria"/>
          <w:i/>
          <w:sz w:val="16"/>
          <w:szCs w:val="16"/>
          <w:lang w:val="es-VE"/>
        </w:rPr>
        <w:t xml:space="preserve">Cándido Barbo Moreno </w:t>
      </w:r>
      <w:r w:rsidRPr="009D5581">
        <w:rPr>
          <w:rFonts w:ascii="Cambria" w:hAnsi="Cambria"/>
          <w:sz w:val="16"/>
          <w:szCs w:val="16"/>
          <w:lang w:val="es-VE"/>
        </w:rPr>
        <w:t xml:space="preserve">identificado en el caso No. 265. </w:t>
      </w:r>
    </w:p>
  </w:footnote>
  <w:footnote w:id="545">
    <w:p w:rsidR="00C00F28" w:rsidRPr="009D5581" w:rsidRDefault="00C00F28" w:rsidP="009D5581">
      <w:pPr>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CO"/>
        </w:rPr>
        <w:t xml:space="preserve"> Jorge E. Oliveros L. identificado en el caso No. 117; </w:t>
      </w:r>
      <w:r w:rsidRPr="009D5581">
        <w:rPr>
          <w:rFonts w:ascii="Cambria" w:hAnsi="Cambria"/>
          <w:i/>
          <w:sz w:val="16"/>
          <w:szCs w:val="16"/>
          <w:lang w:val="es-VE"/>
        </w:rPr>
        <w:t xml:space="preserve">Luis Anel Durán Vásquez </w:t>
      </w:r>
      <w:r w:rsidRPr="009D5581">
        <w:rPr>
          <w:rFonts w:ascii="Cambria" w:hAnsi="Cambria"/>
          <w:sz w:val="16"/>
          <w:szCs w:val="16"/>
          <w:lang w:val="es-VE"/>
        </w:rPr>
        <w:t xml:space="preserve">identificado en el caso No. 150; </w:t>
      </w:r>
      <w:r w:rsidRPr="009D5581">
        <w:rPr>
          <w:rFonts w:ascii="Cambria" w:hAnsi="Cambria"/>
          <w:i/>
          <w:sz w:val="16"/>
          <w:szCs w:val="16"/>
          <w:lang w:val="es-VE"/>
        </w:rPr>
        <w:t>Rebeca Esilda Meléndez</w:t>
      </w:r>
      <w:r w:rsidRPr="009D5581">
        <w:rPr>
          <w:rFonts w:ascii="Cambria" w:hAnsi="Cambria"/>
          <w:sz w:val="16"/>
          <w:szCs w:val="16"/>
          <w:lang w:val="es-VE"/>
        </w:rPr>
        <w:t xml:space="preserve"> identificada en el caso No. 154; </w:t>
      </w:r>
      <w:r w:rsidRPr="009D5581">
        <w:rPr>
          <w:rFonts w:ascii="Cambria" w:hAnsi="Cambria"/>
          <w:i/>
          <w:sz w:val="16"/>
          <w:szCs w:val="16"/>
          <w:lang w:val="es-VE"/>
        </w:rPr>
        <w:t xml:space="preserve">Adelaida Hernández </w:t>
      </w:r>
      <w:r w:rsidRPr="009D5581">
        <w:rPr>
          <w:rFonts w:ascii="Cambria" w:hAnsi="Cambria"/>
          <w:sz w:val="16"/>
          <w:szCs w:val="16"/>
          <w:lang w:val="es-VE"/>
        </w:rPr>
        <w:t xml:space="preserve">identificada en el caso No. 169; </w:t>
      </w:r>
      <w:r w:rsidRPr="009D5581">
        <w:rPr>
          <w:rFonts w:ascii="Cambria" w:hAnsi="Cambria"/>
          <w:i/>
          <w:sz w:val="16"/>
          <w:szCs w:val="16"/>
          <w:lang w:val="es-VE"/>
        </w:rPr>
        <w:t xml:space="preserve">Jorge A Cobos Morán </w:t>
      </w:r>
      <w:r w:rsidRPr="009D5581">
        <w:rPr>
          <w:rFonts w:ascii="Cambria" w:hAnsi="Cambria"/>
          <w:sz w:val="16"/>
          <w:szCs w:val="16"/>
          <w:lang w:val="es-VE"/>
        </w:rPr>
        <w:t xml:space="preserve">identificado en el caso No. 172; </w:t>
      </w:r>
      <w:r w:rsidRPr="009D5581">
        <w:rPr>
          <w:rFonts w:ascii="Cambria" w:hAnsi="Cambria"/>
          <w:i/>
          <w:sz w:val="16"/>
          <w:szCs w:val="16"/>
          <w:lang w:val="es-VE"/>
        </w:rPr>
        <w:t xml:space="preserve">Jacinto Centella </w:t>
      </w:r>
      <w:r w:rsidRPr="009D5581">
        <w:rPr>
          <w:rFonts w:ascii="Cambria" w:hAnsi="Cambria"/>
          <w:sz w:val="16"/>
          <w:szCs w:val="16"/>
          <w:lang w:val="es-VE"/>
        </w:rPr>
        <w:t xml:space="preserve">identificado en el caso No. 182; </w:t>
      </w:r>
      <w:r w:rsidRPr="009D5581">
        <w:rPr>
          <w:rFonts w:ascii="Cambria" w:hAnsi="Cambria"/>
          <w:i/>
          <w:sz w:val="16"/>
          <w:szCs w:val="16"/>
          <w:lang w:val="es-VE"/>
        </w:rPr>
        <w:t>Gilberto Moreno Ponce</w:t>
      </w:r>
      <w:r w:rsidRPr="009D5581">
        <w:rPr>
          <w:rFonts w:ascii="Cambria" w:hAnsi="Cambria"/>
          <w:sz w:val="16"/>
          <w:szCs w:val="16"/>
          <w:lang w:val="es-VE"/>
        </w:rPr>
        <w:t xml:space="preserve"> identificado en el caso No. 188; </w:t>
      </w:r>
      <w:r w:rsidRPr="009D5581">
        <w:rPr>
          <w:rFonts w:ascii="Cambria" w:hAnsi="Cambria"/>
          <w:i/>
          <w:sz w:val="16"/>
          <w:szCs w:val="16"/>
          <w:lang w:val="es-VE"/>
        </w:rPr>
        <w:t>René A. Cerrud</w:t>
      </w:r>
      <w:r w:rsidRPr="009D5581">
        <w:rPr>
          <w:rFonts w:ascii="Cambria" w:hAnsi="Cambria"/>
          <w:sz w:val="16"/>
          <w:szCs w:val="16"/>
          <w:lang w:val="es-VE"/>
        </w:rPr>
        <w:t xml:space="preserve"> identificada en el caso No. 190; </w:t>
      </w:r>
      <w:r w:rsidRPr="009D5581">
        <w:rPr>
          <w:rFonts w:ascii="Cambria" w:hAnsi="Cambria"/>
          <w:i/>
          <w:sz w:val="16"/>
          <w:szCs w:val="16"/>
          <w:lang w:val="es-VE"/>
        </w:rPr>
        <w:t xml:space="preserve">Ernesto Rodríguez </w:t>
      </w:r>
      <w:r w:rsidRPr="009D5581">
        <w:rPr>
          <w:rFonts w:ascii="Cambria" w:hAnsi="Cambria"/>
          <w:sz w:val="16"/>
          <w:szCs w:val="16"/>
          <w:lang w:val="es-VE"/>
        </w:rPr>
        <w:t>identificado en el caso No. 196</w:t>
      </w:r>
      <w:r w:rsidRPr="009D5581">
        <w:rPr>
          <w:rFonts w:ascii="Cambria" w:hAnsi="Cambria"/>
          <w:i/>
          <w:color w:val="FF0000"/>
          <w:sz w:val="16"/>
          <w:szCs w:val="16"/>
          <w:lang w:val="es-VE"/>
        </w:rPr>
        <w:t xml:space="preserve"> </w:t>
      </w:r>
      <w:r w:rsidRPr="009D5581">
        <w:rPr>
          <w:rFonts w:ascii="Cambria" w:hAnsi="Cambria"/>
          <w:i/>
          <w:sz w:val="16"/>
          <w:szCs w:val="16"/>
          <w:lang w:val="es-VE"/>
        </w:rPr>
        <w:t xml:space="preserve">César Vargas Melo </w:t>
      </w:r>
      <w:r w:rsidRPr="009D5581">
        <w:rPr>
          <w:rFonts w:ascii="Cambria" w:hAnsi="Cambria"/>
          <w:sz w:val="16"/>
          <w:szCs w:val="16"/>
          <w:lang w:val="es-VE"/>
        </w:rPr>
        <w:t xml:space="preserve">identificado en el caso No. 199; </w:t>
      </w:r>
      <w:r w:rsidRPr="009D5581">
        <w:rPr>
          <w:rFonts w:ascii="Cambria" w:hAnsi="Cambria"/>
          <w:i/>
          <w:sz w:val="16"/>
          <w:szCs w:val="16"/>
          <w:lang w:val="es-VE"/>
        </w:rPr>
        <w:t xml:space="preserve">Enilda E. Rivas </w:t>
      </w:r>
      <w:r w:rsidRPr="009D5581">
        <w:rPr>
          <w:rFonts w:ascii="Cambria" w:hAnsi="Cambria"/>
          <w:sz w:val="16"/>
          <w:szCs w:val="16"/>
          <w:lang w:val="es-VE"/>
        </w:rPr>
        <w:t xml:space="preserve">identificada en el caso No. 202; </w:t>
      </w:r>
      <w:r w:rsidRPr="009D5581">
        <w:rPr>
          <w:rFonts w:ascii="Cambria" w:hAnsi="Cambria"/>
          <w:i/>
          <w:sz w:val="16"/>
          <w:szCs w:val="16"/>
          <w:lang w:val="es-VE"/>
        </w:rPr>
        <w:t xml:space="preserve">Raiza L. Arosemena </w:t>
      </w:r>
      <w:r w:rsidRPr="009D5581">
        <w:rPr>
          <w:rFonts w:ascii="Cambria" w:hAnsi="Cambria"/>
          <w:sz w:val="16"/>
          <w:szCs w:val="16"/>
          <w:lang w:val="es-VE"/>
        </w:rPr>
        <w:t xml:space="preserve">identificada en el caso No. 209; y </w:t>
      </w:r>
      <w:r w:rsidRPr="009D5581">
        <w:rPr>
          <w:rFonts w:ascii="Cambria" w:hAnsi="Cambria"/>
          <w:i/>
          <w:sz w:val="16"/>
          <w:szCs w:val="16"/>
          <w:lang w:val="es-VE"/>
        </w:rPr>
        <w:t xml:space="preserve">Vielka Xiomara Bellido Walter </w:t>
      </w:r>
      <w:r w:rsidRPr="009D5581">
        <w:rPr>
          <w:rFonts w:ascii="Cambria" w:hAnsi="Cambria"/>
          <w:sz w:val="16"/>
          <w:szCs w:val="16"/>
          <w:lang w:val="es-VE"/>
        </w:rPr>
        <w:t>identificada en el caso No. 218.</w:t>
      </w:r>
    </w:p>
  </w:footnote>
  <w:footnote w:id="546">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i/>
          <w:sz w:val="16"/>
          <w:szCs w:val="16"/>
          <w:lang w:val="es-VE"/>
        </w:rPr>
        <w:t xml:space="preserve">Máximo Henríquez L. </w:t>
      </w:r>
      <w:r w:rsidRPr="009D5581">
        <w:rPr>
          <w:rFonts w:ascii="Cambria" w:hAnsi="Cambria"/>
          <w:sz w:val="16"/>
          <w:szCs w:val="16"/>
          <w:lang w:val="es-VE"/>
        </w:rPr>
        <w:t>identificado en el caso No. 211.</w:t>
      </w:r>
    </w:p>
  </w:footnote>
  <w:footnote w:id="547">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Declaración referente al caso No. 116</w:t>
      </w:r>
      <w:r>
        <w:rPr>
          <w:rFonts w:ascii="Cambria" w:hAnsi="Cambria"/>
          <w:sz w:val="16"/>
          <w:szCs w:val="16"/>
          <w:lang w:val="es-VE"/>
        </w:rPr>
        <w:t>.</w:t>
      </w:r>
      <w:r w:rsidRPr="009D5581">
        <w:rPr>
          <w:rFonts w:ascii="Cambria" w:hAnsi="Cambria"/>
          <w:sz w:val="16"/>
          <w:szCs w:val="16"/>
          <w:lang w:val="es-VE"/>
        </w:rPr>
        <w:t xml:space="preserve"> </w:t>
      </w:r>
      <w:r>
        <w:rPr>
          <w:rFonts w:ascii="Cambria" w:hAnsi="Cambria"/>
          <w:sz w:val="16"/>
          <w:szCs w:val="16"/>
          <w:lang w:val="es-VE"/>
        </w:rPr>
        <w:t>Anexo del escrito de información adicional presentado por la parte peticionaria el 19 de septiembre de 1991; y</w:t>
      </w:r>
      <w:r w:rsidRPr="009D5581">
        <w:rPr>
          <w:rFonts w:ascii="Cambria" w:hAnsi="Cambria"/>
          <w:sz w:val="16"/>
          <w:szCs w:val="16"/>
          <w:lang w:val="es-VE"/>
        </w:rPr>
        <w:t xml:space="preserve"> Declaración referente al caso No. 126.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548">
    <w:p w:rsidR="00C00F28" w:rsidRPr="009D5581" w:rsidRDefault="00C00F28" w:rsidP="009D5581">
      <w:pPr>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i/>
          <w:sz w:val="16"/>
          <w:szCs w:val="16"/>
          <w:lang w:val="es-VE"/>
        </w:rPr>
        <w:t xml:space="preserve">Bartolo Pío Morales </w:t>
      </w:r>
      <w:r w:rsidRPr="009D5581">
        <w:rPr>
          <w:rFonts w:ascii="Cambria" w:hAnsi="Cambria"/>
          <w:sz w:val="16"/>
          <w:szCs w:val="16"/>
          <w:lang w:val="es-VE"/>
        </w:rPr>
        <w:t xml:space="preserve">identificado en el caso No. 131; </w:t>
      </w:r>
      <w:r w:rsidRPr="009D5581">
        <w:rPr>
          <w:rFonts w:ascii="Cambria" w:hAnsi="Cambria"/>
          <w:i/>
          <w:sz w:val="16"/>
          <w:szCs w:val="16"/>
          <w:lang w:val="es-VE"/>
        </w:rPr>
        <w:t xml:space="preserve">Eladio Patiño </w:t>
      </w:r>
      <w:r w:rsidRPr="009D5581">
        <w:rPr>
          <w:rFonts w:ascii="Cambria" w:hAnsi="Cambria"/>
          <w:sz w:val="16"/>
          <w:szCs w:val="16"/>
          <w:lang w:val="es-VE"/>
        </w:rPr>
        <w:t xml:space="preserve">identificado en el caso No. 139; </w:t>
      </w:r>
      <w:r w:rsidRPr="009D5581">
        <w:rPr>
          <w:rFonts w:ascii="Cambria" w:hAnsi="Cambria"/>
          <w:i/>
          <w:sz w:val="16"/>
          <w:szCs w:val="16"/>
          <w:lang w:val="es-VE"/>
        </w:rPr>
        <w:t xml:space="preserve">Sócrates Tuñón Bárcenas </w:t>
      </w:r>
      <w:r w:rsidRPr="009D5581">
        <w:rPr>
          <w:rFonts w:ascii="Cambria" w:hAnsi="Cambria"/>
          <w:sz w:val="16"/>
          <w:szCs w:val="16"/>
          <w:lang w:val="es-VE"/>
        </w:rPr>
        <w:t xml:space="preserve">identificado en el caso No. 144; </w:t>
      </w:r>
      <w:r w:rsidRPr="009D5581">
        <w:rPr>
          <w:rFonts w:ascii="Cambria" w:hAnsi="Cambria"/>
          <w:i/>
          <w:sz w:val="16"/>
          <w:szCs w:val="16"/>
          <w:lang w:val="es-VE"/>
        </w:rPr>
        <w:t xml:space="preserve">Camilo Miranda </w:t>
      </w:r>
      <w:r w:rsidRPr="009D5581">
        <w:rPr>
          <w:rFonts w:ascii="Cambria" w:hAnsi="Cambria"/>
          <w:sz w:val="16"/>
          <w:szCs w:val="16"/>
          <w:lang w:val="es-VE"/>
        </w:rPr>
        <w:t xml:space="preserve">identificado en el caso No. 145; </w:t>
      </w:r>
      <w:r w:rsidRPr="009D5581">
        <w:rPr>
          <w:rFonts w:ascii="Cambria" w:hAnsi="Cambria"/>
          <w:i/>
          <w:sz w:val="16"/>
          <w:szCs w:val="16"/>
          <w:lang w:val="es-VE"/>
        </w:rPr>
        <w:t xml:space="preserve">Adán Montenegro Cedeño </w:t>
      </w:r>
      <w:r w:rsidRPr="009D5581">
        <w:rPr>
          <w:rFonts w:ascii="Cambria" w:hAnsi="Cambria"/>
          <w:sz w:val="16"/>
          <w:szCs w:val="16"/>
          <w:lang w:val="es-VE"/>
        </w:rPr>
        <w:t xml:space="preserve">identificado en el caso No. 249; </w:t>
      </w:r>
      <w:r w:rsidRPr="009D5581">
        <w:rPr>
          <w:rFonts w:ascii="Cambria" w:hAnsi="Cambria"/>
          <w:i/>
          <w:sz w:val="16"/>
          <w:szCs w:val="16"/>
          <w:lang w:val="es-VE"/>
        </w:rPr>
        <w:t xml:space="preserve">Luis Aristóbulo Murillo Antúnez </w:t>
      </w:r>
      <w:r w:rsidRPr="009D5581">
        <w:rPr>
          <w:rFonts w:ascii="Cambria" w:hAnsi="Cambria"/>
          <w:sz w:val="16"/>
          <w:szCs w:val="16"/>
          <w:lang w:val="es-VE"/>
        </w:rPr>
        <w:t xml:space="preserve">identificado en el caso No. 250; </w:t>
      </w:r>
      <w:r w:rsidRPr="009D5581">
        <w:rPr>
          <w:rFonts w:ascii="Cambria" w:hAnsi="Cambria"/>
          <w:i/>
          <w:sz w:val="16"/>
          <w:szCs w:val="16"/>
          <w:lang w:val="es-VE"/>
        </w:rPr>
        <w:t xml:space="preserve">Enera María Vivero Cáceres </w:t>
      </w:r>
      <w:r w:rsidRPr="009D5581">
        <w:rPr>
          <w:rFonts w:ascii="Cambria" w:hAnsi="Cambria"/>
          <w:sz w:val="16"/>
          <w:szCs w:val="16"/>
          <w:lang w:val="es-VE"/>
        </w:rPr>
        <w:t xml:space="preserve">identificada en el caso No. 251; </w:t>
      </w:r>
      <w:r w:rsidRPr="009D5581">
        <w:rPr>
          <w:rFonts w:ascii="Cambria" w:hAnsi="Cambria"/>
          <w:i/>
          <w:sz w:val="16"/>
          <w:szCs w:val="16"/>
          <w:lang w:val="es-VE"/>
        </w:rPr>
        <w:t xml:space="preserve">Luis Antonio Yunsán Márquez </w:t>
      </w:r>
      <w:r w:rsidRPr="009D5581">
        <w:rPr>
          <w:rFonts w:ascii="Cambria" w:hAnsi="Cambria"/>
          <w:sz w:val="16"/>
          <w:szCs w:val="16"/>
          <w:lang w:val="es-VE"/>
        </w:rPr>
        <w:t xml:space="preserve">identificado en el caso No. 252; </w:t>
      </w:r>
      <w:r w:rsidRPr="009D5581">
        <w:rPr>
          <w:rFonts w:ascii="Cambria" w:hAnsi="Cambria"/>
          <w:i/>
          <w:sz w:val="16"/>
          <w:szCs w:val="16"/>
          <w:lang w:val="es-VE"/>
        </w:rPr>
        <w:t xml:space="preserve">Gilberto Julio Yunsán Román </w:t>
      </w:r>
      <w:r w:rsidRPr="009D5581">
        <w:rPr>
          <w:rFonts w:ascii="Cambria" w:hAnsi="Cambria"/>
          <w:sz w:val="16"/>
          <w:szCs w:val="16"/>
          <w:lang w:val="es-VE"/>
        </w:rPr>
        <w:t xml:space="preserve">identificado en el caso No. 253; </w:t>
      </w:r>
      <w:r w:rsidRPr="009D5581">
        <w:rPr>
          <w:rFonts w:ascii="Cambria" w:hAnsi="Cambria"/>
          <w:i/>
          <w:sz w:val="16"/>
          <w:szCs w:val="16"/>
          <w:lang w:val="es-VE"/>
        </w:rPr>
        <w:t xml:space="preserve">Francisca Batista Velásquez </w:t>
      </w:r>
      <w:r w:rsidRPr="009D5581">
        <w:rPr>
          <w:rFonts w:ascii="Cambria" w:hAnsi="Cambria"/>
          <w:sz w:val="16"/>
          <w:szCs w:val="16"/>
          <w:lang w:val="es-VE"/>
        </w:rPr>
        <w:t xml:space="preserve">identificada en el caso No. 254; </w:t>
      </w:r>
      <w:r w:rsidRPr="009D5581">
        <w:rPr>
          <w:rFonts w:ascii="Cambria" w:hAnsi="Cambria"/>
          <w:i/>
          <w:sz w:val="16"/>
          <w:szCs w:val="16"/>
          <w:lang w:val="es-VE"/>
        </w:rPr>
        <w:t xml:space="preserve">Bienvenido Aizprúa Guerra </w:t>
      </w:r>
      <w:r w:rsidRPr="009D5581">
        <w:rPr>
          <w:rFonts w:ascii="Cambria" w:hAnsi="Cambria"/>
          <w:sz w:val="16"/>
          <w:szCs w:val="16"/>
          <w:lang w:val="es-VE"/>
        </w:rPr>
        <w:t xml:space="preserve">identificado en el caso No. 255; </w:t>
      </w:r>
      <w:r w:rsidRPr="009D5581">
        <w:rPr>
          <w:rFonts w:ascii="Cambria" w:hAnsi="Cambria"/>
          <w:i/>
          <w:sz w:val="16"/>
          <w:szCs w:val="16"/>
          <w:lang w:val="es-VE"/>
        </w:rPr>
        <w:t xml:space="preserve">Ludovina Montenegro de González </w:t>
      </w:r>
      <w:r w:rsidRPr="009D5581">
        <w:rPr>
          <w:rFonts w:ascii="Cambria" w:hAnsi="Cambria"/>
          <w:sz w:val="16"/>
          <w:szCs w:val="16"/>
          <w:lang w:val="es-VE"/>
        </w:rPr>
        <w:t xml:space="preserve">identificada en el caso No. 256; </w:t>
      </w:r>
      <w:r w:rsidRPr="009D5581">
        <w:rPr>
          <w:rFonts w:ascii="Cambria" w:hAnsi="Cambria"/>
          <w:i/>
          <w:sz w:val="16"/>
          <w:szCs w:val="16"/>
          <w:lang w:val="es-VE"/>
        </w:rPr>
        <w:t xml:space="preserve">Blanca Rosa Pinto A. </w:t>
      </w:r>
      <w:r w:rsidRPr="009D5581">
        <w:rPr>
          <w:rFonts w:ascii="Cambria" w:hAnsi="Cambria"/>
          <w:sz w:val="16"/>
          <w:szCs w:val="16"/>
          <w:lang w:val="es-VE"/>
        </w:rPr>
        <w:t xml:space="preserve">identificada en el caso No. 257; </w:t>
      </w:r>
      <w:r w:rsidRPr="009D5581">
        <w:rPr>
          <w:rFonts w:ascii="Cambria" w:hAnsi="Cambria"/>
          <w:i/>
          <w:sz w:val="16"/>
          <w:szCs w:val="16"/>
          <w:lang w:val="es-VE"/>
        </w:rPr>
        <w:t xml:space="preserve">Hugo Alberto Samaniego Lasso </w:t>
      </w:r>
      <w:r w:rsidRPr="009D5581">
        <w:rPr>
          <w:rFonts w:ascii="Cambria" w:hAnsi="Cambria"/>
          <w:sz w:val="16"/>
          <w:szCs w:val="16"/>
          <w:lang w:val="es-VE"/>
        </w:rPr>
        <w:t xml:space="preserve">identificado en el caso No. 258; </w:t>
      </w:r>
      <w:r w:rsidRPr="009D5581">
        <w:rPr>
          <w:rFonts w:ascii="Cambria" w:hAnsi="Cambria"/>
          <w:i/>
          <w:sz w:val="16"/>
          <w:szCs w:val="16"/>
          <w:lang w:val="es-VE"/>
        </w:rPr>
        <w:t xml:space="preserve">Leonidas Bernald M. </w:t>
      </w:r>
      <w:r w:rsidRPr="009D5581">
        <w:rPr>
          <w:rFonts w:ascii="Cambria" w:hAnsi="Cambria"/>
          <w:sz w:val="16"/>
          <w:szCs w:val="16"/>
          <w:lang w:val="es-VE"/>
        </w:rPr>
        <w:t>identificado en el caso No. 259.</w:t>
      </w:r>
    </w:p>
  </w:footnote>
  <w:footnote w:id="549">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259. </w:t>
      </w:r>
      <w:r>
        <w:rPr>
          <w:rFonts w:ascii="Cambria" w:hAnsi="Cambria"/>
          <w:sz w:val="16"/>
          <w:szCs w:val="16"/>
          <w:lang w:val="es-VE"/>
        </w:rPr>
        <w:t>Anexo del escrito de información adicional presentado por la parte peticionaria el 19 de septiembre de 1991</w:t>
      </w:r>
      <w:r w:rsidRPr="009D5581">
        <w:rPr>
          <w:rFonts w:ascii="Cambria" w:hAnsi="Cambria"/>
          <w:sz w:val="16"/>
          <w:szCs w:val="16"/>
          <w:lang w:val="es-VE"/>
        </w:rPr>
        <w:t>.</w:t>
      </w:r>
    </w:p>
  </w:footnote>
  <w:footnote w:id="550">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Declaración referente al caso No. 258. </w:t>
      </w:r>
      <w:r>
        <w:rPr>
          <w:rFonts w:ascii="Cambria" w:hAnsi="Cambria"/>
          <w:sz w:val="16"/>
          <w:szCs w:val="16"/>
          <w:lang w:val="es-VE"/>
        </w:rPr>
        <w:t>Anexo del escrito de información adicional presentado por la parte peticionaria el 19 de septiembre de 1991</w:t>
      </w:r>
    </w:p>
  </w:footnote>
  <w:footnote w:id="551">
    <w:p w:rsidR="00C00F28" w:rsidRPr="009D5581" w:rsidRDefault="00C00F28" w:rsidP="009D5581">
      <w:pPr>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i/>
          <w:sz w:val="16"/>
          <w:szCs w:val="16"/>
          <w:lang w:val="es-CO"/>
        </w:rPr>
        <w:t xml:space="preserve">Evelia Palma de Valdés </w:t>
      </w:r>
      <w:r w:rsidRPr="009D5581">
        <w:rPr>
          <w:rFonts w:ascii="Cambria" w:hAnsi="Cambria"/>
          <w:sz w:val="16"/>
          <w:szCs w:val="16"/>
          <w:lang w:val="es-CO"/>
        </w:rPr>
        <w:t xml:space="preserve">identificada en el caso No. 40; </w:t>
      </w:r>
      <w:r w:rsidRPr="009D5581">
        <w:rPr>
          <w:rFonts w:ascii="Cambria" w:hAnsi="Cambria"/>
          <w:i/>
          <w:sz w:val="16"/>
          <w:szCs w:val="16"/>
          <w:lang w:val="es-VE"/>
        </w:rPr>
        <w:t xml:space="preserve">Nidia Morales de Serrano </w:t>
      </w:r>
      <w:r w:rsidRPr="009D5581">
        <w:rPr>
          <w:rFonts w:ascii="Cambria" w:hAnsi="Cambria"/>
          <w:sz w:val="16"/>
          <w:szCs w:val="16"/>
          <w:lang w:val="es-VE"/>
        </w:rPr>
        <w:t xml:space="preserve">identificada en el caso No. 237; </w:t>
      </w:r>
      <w:r w:rsidRPr="009D5581">
        <w:rPr>
          <w:rFonts w:ascii="Cambria" w:hAnsi="Cambria"/>
          <w:i/>
          <w:sz w:val="16"/>
          <w:szCs w:val="16"/>
          <w:lang w:val="es-VE"/>
        </w:rPr>
        <w:t xml:space="preserve">Isaac D. Mosquera </w:t>
      </w:r>
      <w:r w:rsidRPr="009D5581">
        <w:rPr>
          <w:rFonts w:ascii="Cambria" w:hAnsi="Cambria"/>
          <w:sz w:val="16"/>
          <w:szCs w:val="16"/>
          <w:lang w:val="es-VE"/>
        </w:rPr>
        <w:t xml:space="preserve">identificado en el caso No. 243; </w:t>
      </w:r>
      <w:r w:rsidRPr="009D5581">
        <w:rPr>
          <w:rFonts w:ascii="Cambria" w:hAnsi="Cambria"/>
          <w:i/>
          <w:sz w:val="16"/>
          <w:szCs w:val="16"/>
          <w:lang w:val="es-VE"/>
        </w:rPr>
        <w:t xml:space="preserve">Funicia E. Anderson </w:t>
      </w:r>
      <w:r w:rsidRPr="009D5581">
        <w:rPr>
          <w:rFonts w:ascii="Cambria" w:hAnsi="Cambria"/>
          <w:sz w:val="16"/>
          <w:szCs w:val="16"/>
          <w:lang w:val="es-VE"/>
        </w:rPr>
        <w:t xml:space="preserve">identificada en el caso No. 244; </w:t>
      </w:r>
      <w:r w:rsidRPr="009D5581">
        <w:rPr>
          <w:rFonts w:ascii="Cambria" w:hAnsi="Cambria"/>
          <w:i/>
          <w:sz w:val="16"/>
          <w:szCs w:val="16"/>
          <w:lang w:val="es-VE"/>
        </w:rPr>
        <w:t xml:space="preserve">Mariano Cianca Sánchez </w:t>
      </w:r>
      <w:r w:rsidRPr="009D5581">
        <w:rPr>
          <w:rFonts w:ascii="Cambria" w:hAnsi="Cambria"/>
          <w:sz w:val="16"/>
          <w:szCs w:val="16"/>
          <w:lang w:val="es-VE"/>
        </w:rPr>
        <w:t xml:space="preserve">identificado en el caso No. 245; </w:t>
      </w:r>
      <w:r w:rsidRPr="009D5581">
        <w:rPr>
          <w:rFonts w:ascii="Cambria" w:hAnsi="Cambria"/>
          <w:i/>
          <w:sz w:val="16"/>
          <w:szCs w:val="16"/>
          <w:lang w:val="es-VE"/>
        </w:rPr>
        <w:t xml:space="preserve">Hugo Varcasía Adames y Yolanda de Varcasía  </w:t>
      </w:r>
      <w:r w:rsidRPr="009D5581">
        <w:rPr>
          <w:rFonts w:ascii="Cambria" w:hAnsi="Cambria"/>
          <w:sz w:val="16"/>
          <w:szCs w:val="16"/>
          <w:lang w:val="es-VE"/>
        </w:rPr>
        <w:t xml:space="preserve">identificados en el caso No. 246; </w:t>
      </w:r>
      <w:r w:rsidRPr="009D5581">
        <w:rPr>
          <w:rFonts w:ascii="Cambria" w:hAnsi="Cambria"/>
          <w:i/>
          <w:sz w:val="16"/>
          <w:szCs w:val="16"/>
          <w:lang w:val="es-VE"/>
        </w:rPr>
        <w:t xml:space="preserve">Rosa Bernal Smith </w:t>
      </w:r>
      <w:r w:rsidRPr="009D5581">
        <w:rPr>
          <w:rFonts w:ascii="Cambria" w:hAnsi="Cambria"/>
          <w:sz w:val="16"/>
          <w:szCs w:val="16"/>
          <w:lang w:val="es-VE"/>
        </w:rPr>
        <w:t xml:space="preserve">identificada en el caso No. 247; </w:t>
      </w:r>
      <w:r w:rsidRPr="009D5581">
        <w:rPr>
          <w:rFonts w:ascii="Cambria" w:hAnsi="Cambria"/>
          <w:i/>
          <w:sz w:val="16"/>
          <w:szCs w:val="16"/>
          <w:lang w:val="es-VE"/>
        </w:rPr>
        <w:t xml:space="preserve">Dennis Alexis Navarro </w:t>
      </w:r>
      <w:r w:rsidRPr="009D5581">
        <w:rPr>
          <w:rFonts w:ascii="Cambria" w:hAnsi="Cambria"/>
          <w:sz w:val="16"/>
          <w:szCs w:val="16"/>
          <w:lang w:val="es-VE"/>
        </w:rPr>
        <w:t>identificado en el caso No. 248.</w:t>
      </w:r>
    </w:p>
  </w:footnote>
  <w:footnote w:id="552">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i/>
          <w:sz w:val="16"/>
          <w:szCs w:val="16"/>
          <w:lang w:val="es-CO"/>
        </w:rPr>
        <w:t>Luzmila Harding de Castillo</w:t>
      </w:r>
      <w:r w:rsidRPr="009D5581">
        <w:rPr>
          <w:rFonts w:ascii="Cambria" w:hAnsi="Cambria"/>
          <w:sz w:val="16"/>
          <w:szCs w:val="16"/>
          <w:lang w:val="es-CO"/>
        </w:rPr>
        <w:t xml:space="preserve"> identificada en el caso 210. </w:t>
      </w:r>
    </w:p>
  </w:footnote>
  <w:footnote w:id="553">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Pr>
          <w:rFonts w:ascii="Cambria" w:hAnsi="Cambria"/>
          <w:sz w:val="16"/>
          <w:szCs w:val="16"/>
          <w:lang w:val="es-VE"/>
        </w:rPr>
        <w:t xml:space="preserve"> </w:t>
      </w:r>
      <w:r w:rsidRPr="009D5581">
        <w:rPr>
          <w:rFonts w:ascii="Cambria" w:hAnsi="Cambria"/>
          <w:sz w:val="16"/>
          <w:szCs w:val="16"/>
          <w:lang w:val="es-VE"/>
        </w:rPr>
        <w:t xml:space="preserve">Listado del Municipio de Panamá </w:t>
      </w:r>
      <w:r>
        <w:rPr>
          <w:rFonts w:ascii="Cambria" w:hAnsi="Cambria"/>
          <w:sz w:val="16"/>
          <w:szCs w:val="16"/>
          <w:lang w:val="es-VE"/>
        </w:rPr>
        <w:t xml:space="preserve">sobre </w:t>
      </w:r>
      <w:r w:rsidRPr="009D5581">
        <w:rPr>
          <w:rFonts w:ascii="Cambria" w:hAnsi="Cambria"/>
          <w:sz w:val="16"/>
          <w:szCs w:val="16"/>
          <w:lang w:val="es-VE"/>
        </w:rPr>
        <w:t>los vendedores del Mercado Periférico de El Chorrillo afectados por los hechos acaecidos el 20 de diciembre de 1989, vinculado al caso No. 232. Anexo escrito de información adicional de la parte peticionaria del 3 de octubre de 1994.</w:t>
      </w:r>
    </w:p>
  </w:footnote>
  <w:footnote w:id="554">
    <w:p w:rsidR="00C00F28" w:rsidRPr="009D5581" w:rsidRDefault="00C00F28" w:rsidP="009D5581">
      <w:pPr>
        <w:jc w:val="both"/>
        <w:rPr>
          <w:rFonts w:ascii="Cambria" w:hAnsi="Cambria"/>
          <w:i/>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i/>
          <w:sz w:val="16"/>
          <w:szCs w:val="16"/>
          <w:lang w:val="es-VE"/>
        </w:rPr>
        <w:t xml:space="preserve">Octavio Augusto Bonilla A. </w:t>
      </w:r>
      <w:r w:rsidRPr="009D5581">
        <w:rPr>
          <w:rFonts w:ascii="Cambria" w:hAnsi="Cambria"/>
          <w:sz w:val="16"/>
          <w:szCs w:val="16"/>
          <w:lang w:val="es-VE"/>
        </w:rPr>
        <w:t>identificado en el caso No. 132, reconoce que recibió indemnización del Estado sin especificar</w:t>
      </w:r>
      <w:r>
        <w:rPr>
          <w:rFonts w:ascii="Cambria" w:hAnsi="Cambria"/>
          <w:sz w:val="16"/>
          <w:szCs w:val="16"/>
          <w:lang w:val="es-VE"/>
        </w:rPr>
        <w:t xml:space="preserve"> en qué consistió</w:t>
      </w:r>
      <w:r w:rsidRPr="009D5581">
        <w:rPr>
          <w:rFonts w:ascii="Cambria" w:hAnsi="Cambria"/>
          <w:sz w:val="16"/>
          <w:szCs w:val="16"/>
          <w:lang w:val="es-VE"/>
        </w:rPr>
        <w:t xml:space="preserve">; </w:t>
      </w:r>
      <w:r w:rsidRPr="009D5581">
        <w:rPr>
          <w:rFonts w:ascii="Cambria" w:hAnsi="Cambria"/>
          <w:i/>
          <w:sz w:val="16"/>
          <w:szCs w:val="16"/>
          <w:lang w:val="es-VE"/>
        </w:rPr>
        <w:t xml:space="preserve">Esaida de Santamaría </w:t>
      </w:r>
      <w:r w:rsidRPr="009D5581">
        <w:rPr>
          <w:rFonts w:ascii="Cambria" w:hAnsi="Cambria"/>
          <w:sz w:val="16"/>
          <w:szCs w:val="16"/>
          <w:lang w:val="es-VE"/>
        </w:rPr>
        <w:t xml:space="preserve">identificada en el caso No. 138; </w:t>
      </w:r>
      <w:r w:rsidRPr="009D5581">
        <w:rPr>
          <w:rFonts w:ascii="Cambria" w:hAnsi="Cambria"/>
          <w:i/>
          <w:sz w:val="16"/>
          <w:szCs w:val="16"/>
          <w:lang w:val="es-VE"/>
        </w:rPr>
        <w:t>Adis Griselda Alt. Torres de Moreno</w:t>
      </w:r>
      <w:r w:rsidRPr="009D5581">
        <w:rPr>
          <w:rFonts w:ascii="Cambria" w:hAnsi="Cambria"/>
          <w:sz w:val="16"/>
          <w:szCs w:val="16"/>
          <w:lang w:val="es-VE"/>
        </w:rPr>
        <w:t xml:space="preserve"> identificada en el caso No. 226; </w:t>
      </w:r>
      <w:r w:rsidRPr="009D5581">
        <w:rPr>
          <w:rFonts w:ascii="Cambria" w:hAnsi="Cambria"/>
          <w:i/>
          <w:sz w:val="16"/>
          <w:szCs w:val="16"/>
          <w:lang w:val="es-VE"/>
        </w:rPr>
        <w:t xml:space="preserve">Demesio González </w:t>
      </w:r>
      <w:r w:rsidRPr="009D5581">
        <w:rPr>
          <w:rFonts w:ascii="Cambria" w:hAnsi="Cambria"/>
          <w:sz w:val="16"/>
          <w:szCs w:val="16"/>
          <w:lang w:val="es-VE"/>
        </w:rPr>
        <w:t xml:space="preserve">identificado en el caso No. 227; </w:t>
      </w:r>
      <w:r w:rsidRPr="009D5581">
        <w:rPr>
          <w:rFonts w:ascii="Cambria" w:hAnsi="Cambria"/>
          <w:i/>
          <w:sz w:val="16"/>
          <w:szCs w:val="16"/>
          <w:lang w:val="es-VE"/>
        </w:rPr>
        <w:t xml:space="preserve">Julio Castro Vega </w:t>
      </w:r>
      <w:r w:rsidRPr="009D5581">
        <w:rPr>
          <w:rFonts w:ascii="Cambria" w:hAnsi="Cambria"/>
          <w:sz w:val="16"/>
          <w:szCs w:val="16"/>
          <w:lang w:val="es-VE"/>
        </w:rPr>
        <w:t xml:space="preserve">identificado en el caso No. 230; </w:t>
      </w:r>
      <w:r w:rsidRPr="009D5581">
        <w:rPr>
          <w:rFonts w:ascii="Cambria" w:hAnsi="Cambria"/>
          <w:i/>
          <w:sz w:val="16"/>
          <w:szCs w:val="16"/>
          <w:lang w:val="es-VE"/>
        </w:rPr>
        <w:t>Rosa Elea Hidalgo</w:t>
      </w:r>
      <w:r w:rsidRPr="009D5581">
        <w:rPr>
          <w:rFonts w:ascii="Cambria" w:hAnsi="Cambria"/>
          <w:sz w:val="16"/>
          <w:szCs w:val="16"/>
          <w:lang w:val="es-VE"/>
        </w:rPr>
        <w:t xml:space="preserve"> identificada en el caso No. 231; </w:t>
      </w:r>
      <w:r w:rsidRPr="009D5581">
        <w:rPr>
          <w:rFonts w:ascii="Cambria" w:hAnsi="Cambria"/>
          <w:i/>
          <w:sz w:val="16"/>
          <w:szCs w:val="16"/>
          <w:lang w:val="es-VE"/>
        </w:rPr>
        <w:t xml:space="preserve">Aura Elena Morales </w:t>
      </w:r>
      <w:r w:rsidRPr="009D5581">
        <w:rPr>
          <w:rFonts w:ascii="Cambria" w:hAnsi="Cambria"/>
          <w:sz w:val="16"/>
          <w:szCs w:val="16"/>
          <w:lang w:val="es-VE"/>
        </w:rPr>
        <w:t xml:space="preserve">identificada en el caso No. 232; </w:t>
      </w:r>
      <w:r w:rsidRPr="009D5581">
        <w:rPr>
          <w:rFonts w:ascii="Cambria" w:hAnsi="Cambria"/>
          <w:i/>
          <w:sz w:val="16"/>
          <w:szCs w:val="16"/>
          <w:lang w:val="es-VE"/>
        </w:rPr>
        <w:t xml:space="preserve">Eladio Murillo Castillo </w:t>
      </w:r>
      <w:r w:rsidRPr="009D5581">
        <w:rPr>
          <w:rFonts w:ascii="Cambria" w:hAnsi="Cambria"/>
          <w:sz w:val="16"/>
          <w:szCs w:val="16"/>
          <w:lang w:val="es-VE"/>
        </w:rPr>
        <w:t xml:space="preserve">identificado en el caso No. 233; </w:t>
      </w:r>
      <w:r w:rsidRPr="009D5581">
        <w:rPr>
          <w:rFonts w:ascii="Cambria" w:hAnsi="Cambria"/>
          <w:i/>
          <w:sz w:val="16"/>
          <w:szCs w:val="16"/>
          <w:lang w:val="es-VE"/>
        </w:rPr>
        <w:t xml:space="preserve">Rubiela E. Batista </w:t>
      </w:r>
      <w:r w:rsidRPr="009D5581">
        <w:rPr>
          <w:rFonts w:ascii="Cambria" w:hAnsi="Cambria"/>
          <w:sz w:val="16"/>
          <w:szCs w:val="16"/>
          <w:lang w:val="es-VE"/>
        </w:rPr>
        <w:t xml:space="preserve">identificada en el caso No. 234; </w:t>
      </w:r>
      <w:r w:rsidRPr="009D5581">
        <w:rPr>
          <w:rFonts w:ascii="Cambria" w:hAnsi="Cambria"/>
          <w:i/>
          <w:sz w:val="16"/>
          <w:szCs w:val="16"/>
          <w:lang w:val="es-VE"/>
        </w:rPr>
        <w:t>Juvencia Guzmán de Valdés</w:t>
      </w:r>
      <w:r w:rsidRPr="009D5581">
        <w:rPr>
          <w:rFonts w:ascii="Cambria" w:hAnsi="Cambria"/>
          <w:sz w:val="16"/>
          <w:szCs w:val="16"/>
          <w:lang w:val="es-VE"/>
        </w:rPr>
        <w:t xml:space="preserve"> identificada en el caso No. 235; </w:t>
      </w:r>
      <w:r w:rsidRPr="009D5581">
        <w:rPr>
          <w:rFonts w:ascii="Cambria" w:hAnsi="Cambria"/>
          <w:i/>
          <w:sz w:val="16"/>
          <w:szCs w:val="16"/>
          <w:lang w:val="es-VE"/>
        </w:rPr>
        <w:t xml:space="preserve">Amayra Ruíz de Pérez </w:t>
      </w:r>
      <w:r w:rsidRPr="009D5581">
        <w:rPr>
          <w:rFonts w:ascii="Cambria" w:hAnsi="Cambria"/>
          <w:sz w:val="16"/>
          <w:szCs w:val="16"/>
          <w:lang w:val="es-VE"/>
        </w:rPr>
        <w:t xml:space="preserve">identificada en el caso No. 239. </w:t>
      </w:r>
    </w:p>
  </w:footnote>
  <w:footnote w:id="555">
    <w:p w:rsidR="00C00F28" w:rsidRPr="009D5581" w:rsidRDefault="00C00F28" w:rsidP="009D5581">
      <w:pPr>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i/>
          <w:sz w:val="16"/>
          <w:szCs w:val="16"/>
          <w:lang w:val="es-VE"/>
        </w:rPr>
        <w:t xml:space="preserve">Dario Bonilla Pineda </w:t>
      </w:r>
      <w:r w:rsidRPr="009D5581">
        <w:rPr>
          <w:rFonts w:ascii="Cambria" w:hAnsi="Cambria"/>
          <w:sz w:val="16"/>
          <w:szCs w:val="16"/>
          <w:lang w:val="es-VE"/>
        </w:rPr>
        <w:t xml:space="preserve">identificado en el caso No. 228; </w:t>
      </w:r>
      <w:r w:rsidRPr="009D5581">
        <w:rPr>
          <w:rFonts w:ascii="Cambria" w:hAnsi="Cambria"/>
          <w:i/>
          <w:sz w:val="16"/>
          <w:szCs w:val="16"/>
          <w:lang w:val="es-VE"/>
        </w:rPr>
        <w:t xml:space="preserve">José Eduardo Santiago </w:t>
      </w:r>
      <w:r w:rsidRPr="009D5581">
        <w:rPr>
          <w:rFonts w:ascii="Cambria" w:hAnsi="Cambria"/>
          <w:sz w:val="16"/>
          <w:szCs w:val="16"/>
          <w:lang w:val="es-VE"/>
        </w:rPr>
        <w:t xml:space="preserve">identificado en el caso No. 229; </w:t>
      </w:r>
      <w:r w:rsidRPr="009D5581">
        <w:rPr>
          <w:rFonts w:ascii="Cambria" w:hAnsi="Cambria"/>
          <w:i/>
          <w:sz w:val="16"/>
          <w:szCs w:val="16"/>
          <w:lang w:val="es-VE"/>
        </w:rPr>
        <w:t xml:space="preserve">Delmira Frías Barasona </w:t>
      </w:r>
      <w:r w:rsidRPr="009D5581">
        <w:rPr>
          <w:rFonts w:ascii="Cambria" w:hAnsi="Cambria"/>
          <w:sz w:val="16"/>
          <w:szCs w:val="16"/>
          <w:lang w:val="es-VE"/>
        </w:rPr>
        <w:t xml:space="preserve">identificada en el caso No. 236; </w:t>
      </w:r>
      <w:r w:rsidRPr="009D5581">
        <w:rPr>
          <w:rFonts w:ascii="Cambria" w:hAnsi="Cambria"/>
          <w:i/>
          <w:sz w:val="16"/>
          <w:szCs w:val="16"/>
          <w:lang w:val="es-VE"/>
        </w:rPr>
        <w:t xml:space="preserve">Amable Abrego </w:t>
      </w:r>
      <w:r w:rsidRPr="009D5581">
        <w:rPr>
          <w:rFonts w:ascii="Cambria" w:hAnsi="Cambria"/>
          <w:sz w:val="16"/>
          <w:szCs w:val="16"/>
          <w:lang w:val="es-VE"/>
        </w:rPr>
        <w:t xml:space="preserve">identificado en el caso No. 238; </w:t>
      </w:r>
      <w:r w:rsidRPr="009D5581">
        <w:rPr>
          <w:rFonts w:ascii="Cambria" w:hAnsi="Cambria"/>
          <w:i/>
          <w:sz w:val="16"/>
          <w:szCs w:val="16"/>
          <w:lang w:val="es-VE"/>
        </w:rPr>
        <w:t xml:space="preserve">Agustina Caballero </w:t>
      </w:r>
      <w:r w:rsidRPr="009D5581">
        <w:rPr>
          <w:rFonts w:ascii="Cambria" w:hAnsi="Cambria"/>
          <w:sz w:val="16"/>
          <w:szCs w:val="16"/>
          <w:lang w:val="es-VE"/>
        </w:rPr>
        <w:t xml:space="preserve">identificada en el caso No. 241; </w:t>
      </w:r>
      <w:r w:rsidRPr="009D5581">
        <w:rPr>
          <w:rFonts w:ascii="Cambria" w:hAnsi="Cambria"/>
          <w:i/>
          <w:sz w:val="16"/>
          <w:szCs w:val="16"/>
          <w:lang w:val="es-VE"/>
        </w:rPr>
        <w:t xml:space="preserve">Rosario María Sánchez de Guanti </w:t>
      </w:r>
      <w:r w:rsidRPr="009D5581">
        <w:rPr>
          <w:rFonts w:ascii="Cambria" w:hAnsi="Cambria"/>
          <w:sz w:val="16"/>
          <w:szCs w:val="16"/>
          <w:lang w:val="es-VE"/>
        </w:rPr>
        <w:t xml:space="preserve">identificada en el caso No. 240; </w:t>
      </w:r>
      <w:r w:rsidRPr="009D5581">
        <w:rPr>
          <w:rFonts w:ascii="Cambria" w:hAnsi="Cambria"/>
          <w:i/>
          <w:sz w:val="16"/>
          <w:szCs w:val="16"/>
          <w:lang w:val="es-VE"/>
        </w:rPr>
        <w:t xml:space="preserve">Juana de los Milagros Alcántara </w:t>
      </w:r>
      <w:r w:rsidRPr="009D5581">
        <w:rPr>
          <w:rFonts w:ascii="Cambria" w:hAnsi="Cambria"/>
          <w:sz w:val="16"/>
          <w:szCs w:val="16"/>
          <w:lang w:val="es-VE"/>
        </w:rPr>
        <w:t xml:space="preserve">identificada en el caso No. 242; </w:t>
      </w:r>
      <w:r w:rsidRPr="009D5581">
        <w:rPr>
          <w:rFonts w:ascii="Cambria" w:hAnsi="Cambria"/>
          <w:i/>
          <w:sz w:val="16"/>
          <w:szCs w:val="16"/>
          <w:lang w:val="es-VE"/>
        </w:rPr>
        <w:t>Quintín Muñoz Caballero</w:t>
      </w:r>
      <w:r w:rsidRPr="009D5581">
        <w:rPr>
          <w:rFonts w:ascii="Cambria" w:hAnsi="Cambria"/>
          <w:sz w:val="16"/>
          <w:szCs w:val="16"/>
          <w:lang w:val="es-VE"/>
        </w:rPr>
        <w:t xml:space="preserve"> identificado en el caso No. 266. </w:t>
      </w:r>
    </w:p>
  </w:footnote>
  <w:footnote w:id="556">
    <w:p w:rsidR="00C00F28" w:rsidRPr="009D5581" w:rsidRDefault="00C00F28" w:rsidP="009D5581">
      <w:pPr>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i/>
          <w:sz w:val="16"/>
          <w:szCs w:val="16"/>
          <w:lang w:val="es-VE"/>
        </w:rPr>
        <w:t xml:space="preserve">Digna María Sánchez P. </w:t>
      </w:r>
      <w:r w:rsidRPr="009D5581">
        <w:rPr>
          <w:rFonts w:ascii="Cambria" w:hAnsi="Cambria"/>
          <w:sz w:val="16"/>
          <w:szCs w:val="16"/>
          <w:lang w:val="es-VE"/>
        </w:rPr>
        <w:t xml:space="preserve">identificada en el caso No. 128; </w:t>
      </w:r>
      <w:r w:rsidRPr="009D5581">
        <w:rPr>
          <w:rFonts w:ascii="Cambria" w:hAnsi="Cambria"/>
          <w:i/>
          <w:sz w:val="16"/>
          <w:szCs w:val="16"/>
          <w:lang w:val="es-VE"/>
        </w:rPr>
        <w:t xml:space="preserve">Anel Edgardo Canto Vásquez </w:t>
      </w:r>
      <w:r w:rsidRPr="009D5581">
        <w:rPr>
          <w:rFonts w:ascii="Cambria" w:hAnsi="Cambria"/>
          <w:sz w:val="16"/>
          <w:szCs w:val="16"/>
          <w:lang w:val="es-VE"/>
        </w:rPr>
        <w:t xml:space="preserve">identificada en el caso No. 149; </w:t>
      </w:r>
      <w:r w:rsidRPr="009D5581">
        <w:rPr>
          <w:rFonts w:ascii="Cambria" w:hAnsi="Cambria"/>
          <w:i/>
          <w:sz w:val="16"/>
          <w:szCs w:val="16"/>
          <w:lang w:val="es-VE"/>
        </w:rPr>
        <w:t xml:space="preserve">Elvira Rosa Guevara de Ortiz </w:t>
      </w:r>
      <w:r w:rsidRPr="009D5581">
        <w:rPr>
          <w:rFonts w:ascii="Cambria" w:hAnsi="Cambria"/>
          <w:sz w:val="16"/>
          <w:szCs w:val="16"/>
          <w:lang w:val="es-VE"/>
        </w:rPr>
        <w:t xml:space="preserve">identificada en el caso No. 261; </w:t>
      </w:r>
      <w:r w:rsidRPr="009D5581">
        <w:rPr>
          <w:rFonts w:ascii="Cambria" w:hAnsi="Cambria"/>
          <w:i/>
          <w:sz w:val="16"/>
          <w:szCs w:val="16"/>
          <w:lang w:val="es-VE"/>
        </w:rPr>
        <w:t xml:space="preserve">Jonas Antonio Vega </w:t>
      </w:r>
      <w:r w:rsidRPr="009D5581">
        <w:rPr>
          <w:rFonts w:ascii="Cambria" w:hAnsi="Cambria"/>
          <w:sz w:val="16"/>
          <w:szCs w:val="16"/>
          <w:lang w:val="es-VE"/>
        </w:rPr>
        <w:t xml:space="preserve">identificado en el caso No. 262; </w:t>
      </w:r>
      <w:r w:rsidRPr="009D5581">
        <w:rPr>
          <w:rFonts w:ascii="Cambria" w:hAnsi="Cambria"/>
          <w:i/>
          <w:sz w:val="16"/>
          <w:szCs w:val="16"/>
          <w:lang w:val="es-VE"/>
        </w:rPr>
        <w:t xml:space="preserve">Luis Latorraca </w:t>
      </w:r>
      <w:r w:rsidRPr="009D5581">
        <w:rPr>
          <w:rFonts w:ascii="Cambria" w:hAnsi="Cambria"/>
          <w:sz w:val="16"/>
          <w:szCs w:val="16"/>
          <w:lang w:val="es-VE"/>
        </w:rPr>
        <w:t xml:space="preserve">identificado en el caso No. 263; </w:t>
      </w:r>
      <w:r w:rsidRPr="009D5581">
        <w:rPr>
          <w:rFonts w:ascii="Cambria" w:hAnsi="Cambria"/>
          <w:i/>
          <w:sz w:val="16"/>
          <w:szCs w:val="16"/>
          <w:lang w:val="es-VE"/>
        </w:rPr>
        <w:t xml:space="preserve">Herminio Medina Ureña </w:t>
      </w:r>
      <w:r w:rsidRPr="009D5581">
        <w:rPr>
          <w:rFonts w:ascii="Cambria" w:hAnsi="Cambria"/>
          <w:sz w:val="16"/>
          <w:szCs w:val="16"/>
          <w:lang w:val="es-VE"/>
        </w:rPr>
        <w:t xml:space="preserve">identificado en el caso No. 264; y </w:t>
      </w:r>
      <w:r w:rsidRPr="009D5581">
        <w:rPr>
          <w:rFonts w:ascii="Cambria" w:hAnsi="Cambria"/>
          <w:i/>
          <w:sz w:val="16"/>
          <w:szCs w:val="16"/>
          <w:lang w:val="es-VE"/>
        </w:rPr>
        <w:t xml:space="preserve">Pedro Celestino Villareal Pérez </w:t>
      </w:r>
      <w:r w:rsidRPr="009D5581">
        <w:rPr>
          <w:rFonts w:ascii="Cambria" w:hAnsi="Cambria"/>
          <w:sz w:val="16"/>
          <w:szCs w:val="16"/>
          <w:lang w:val="es-VE"/>
        </w:rPr>
        <w:t>identificado en el caso No. 260.</w:t>
      </w:r>
    </w:p>
  </w:footnote>
  <w:footnote w:id="557">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i/>
          <w:sz w:val="16"/>
          <w:szCs w:val="16"/>
          <w:lang w:val="es-VE"/>
        </w:rPr>
        <w:t>Alcides Guillermo Mena</w:t>
      </w:r>
      <w:r w:rsidRPr="009D5581">
        <w:rPr>
          <w:rFonts w:ascii="Cambria" w:hAnsi="Cambria"/>
          <w:sz w:val="16"/>
          <w:szCs w:val="16"/>
          <w:lang w:val="es-VE"/>
        </w:rPr>
        <w:t xml:space="preserve"> identificado en el caso No. 75; </w:t>
      </w:r>
      <w:r w:rsidRPr="009D5581">
        <w:rPr>
          <w:rFonts w:ascii="Cambria" w:hAnsi="Cambria"/>
          <w:i/>
          <w:sz w:val="16"/>
          <w:szCs w:val="16"/>
          <w:lang w:val="es-VE"/>
        </w:rPr>
        <w:t xml:space="preserve">Alberto Morán </w:t>
      </w:r>
      <w:r w:rsidRPr="009D5581">
        <w:rPr>
          <w:rFonts w:ascii="Cambria" w:hAnsi="Cambria"/>
          <w:sz w:val="16"/>
          <w:szCs w:val="16"/>
          <w:lang w:val="es-VE"/>
        </w:rPr>
        <w:t>identificado en el caso No. 127.</w:t>
      </w:r>
    </w:p>
  </w:footnote>
  <w:footnote w:id="558">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i/>
          <w:sz w:val="16"/>
          <w:szCs w:val="16"/>
          <w:lang w:val="es-VE"/>
        </w:rPr>
        <w:t xml:space="preserve">Camilo Zamora Hidalgo y Rodolfo Abdiel </w:t>
      </w:r>
      <w:r w:rsidRPr="009D5581">
        <w:rPr>
          <w:rFonts w:ascii="Cambria" w:hAnsi="Cambria"/>
          <w:sz w:val="16"/>
          <w:szCs w:val="16"/>
          <w:lang w:val="es-VE"/>
        </w:rPr>
        <w:t xml:space="preserve">identificados en el caso No. 13; </w:t>
      </w:r>
      <w:r w:rsidRPr="009D5581">
        <w:rPr>
          <w:rFonts w:ascii="Cambria" w:hAnsi="Cambria"/>
          <w:i/>
          <w:sz w:val="16"/>
          <w:szCs w:val="16"/>
          <w:lang w:val="es-VE"/>
        </w:rPr>
        <w:t xml:space="preserve">Alciabiades Rodríguez y Víctor Manuel Hernández </w:t>
      </w:r>
      <w:r w:rsidRPr="009D5581">
        <w:rPr>
          <w:rFonts w:ascii="Cambria" w:hAnsi="Cambria"/>
          <w:sz w:val="16"/>
          <w:szCs w:val="16"/>
          <w:lang w:val="es-VE"/>
        </w:rPr>
        <w:t xml:space="preserve">identificados en el caso No. 130; y </w:t>
      </w:r>
      <w:r w:rsidRPr="009D5581">
        <w:rPr>
          <w:rFonts w:ascii="Cambria" w:hAnsi="Cambria"/>
          <w:i/>
          <w:sz w:val="16"/>
          <w:szCs w:val="16"/>
          <w:lang w:val="es-VE"/>
        </w:rPr>
        <w:t xml:space="preserve">Dennis Alexis Navarro </w:t>
      </w:r>
      <w:r w:rsidRPr="009D5581">
        <w:rPr>
          <w:rFonts w:ascii="Cambria" w:hAnsi="Cambria"/>
          <w:sz w:val="16"/>
          <w:szCs w:val="16"/>
          <w:lang w:val="es-VE"/>
        </w:rPr>
        <w:t xml:space="preserve">identificado en el caso No. 248. </w:t>
      </w:r>
    </w:p>
  </w:footnote>
  <w:footnote w:id="559">
    <w:p w:rsidR="00C00F28" w:rsidRPr="009D5581" w:rsidRDefault="00C00F28" w:rsidP="009D5581">
      <w:pPr>
        <w:pStyle w:val="FootnoteText"/>
        <w:jc w:val="both"/>
        <w:rPr>
          <w:rFonts w:ascii="Cambria" w:hAnsi="Cambria"/>
          <w:b/>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i/>
          <w:sz w:val="16"/>
          <w:szCs w:val="16"/>
          <w:lang w:val="es-VE"/>
        </w:rPr>
        <w:t xml:space="preserve">Digna María Sánchez P. </w:t>
      </w:r>
      <w:r w:rsidRPr="009D5581">
        <w:rPr>
          <w:rFonts w:ascii="Cambria" w:hAnsi="Cambria"/>
          <w:sz w:val="16"/>
          <w:szCs w:val="16"/>
          <w:lang w:val="es-VE"/>
        </w:rPr>
        <w:t xml:space="preserve">identificada en el caso No. 128; </w:t>
      </w:r>
      <w:r w:rsidRPr="009D5581">
        <w:rPr>
          <w:rFonts w:ascii="Cambria" w:hAnsi="Cambria"/>
          <w:i/>
          <w:sz w:val="16"/>
          <w:szCs w:val="16"/>
          <w:lang w:val="es-VE"/>
        </w:rPr>
        <w:t xml:space="preserve">Pedro Celestino Villareal Pérez </w:t>
      </w:r>
      <w:r w:rsidRPr="009D5581">
        <w:rPr>
          <w:rFonts w:ascii="Cambria" w:hAnsi="Cambria"/>
          <w:sz w:val="16"/>
          <w:szCs w:val="16"/>
          <w:lang w:val="es-VE"/>
        </w:rPr>
        <w:t>identificado en el caso No. 260</w:t>
      </w:r>
      <w:r w:rsidRPr="009D5581">
        <w:rPr>
          <w:rFonts w:ascii="Cambria" w:hAnsi="Cambria"/>
          <w:i/>
          <w:sz w:val="16"/>
          <w:szCs w:val="16"/>
          <w:lang w:val="es-VE"/>
        </w:rPr>
        <w:t xml:space="preserve">; Rosa Guevara de Ortiz </w:t>
      </w:r>
      <w:r w:rsidRPr="009D5581">
        <w:rPr>
          <w:rFonts w:ascii="Cambria" w:hAnsi="Cambria"/>
          <w:sz w:val="16"/>
          <w:szCs w:val="16"/>
          <w:lang w:val="es-VE"/>
        </w:rPr>
        <w:t xml:space="preserve">identificada en el caso No. 261; </w:t>
      </w:r>
      <w:r w:rsidRPr="009D5581">
        <w:rPr>
          <w:rFonts w:ascii="Cambria" w:hAnsi="Cambria"/>
          <w:i/>
          <w:sz w:val="16"/>
          <w:szCs w:val="16"/>
          <w:lang w:val="es-VE"/>
        </w:rPr>
        <w:t xml:space="preserve">Luis Latorraca </w:t>
      </w:r>
      <w:r w:rsidRPr="009D5581">
        <w:rPr>
          <w:rFonts w:ascii="Cambria" w:hAnsi="Cambria"/>
          <w:sz w:val="16"/>
          <w:szCs w:val="16"/>
          <w:lang w:val="es-VE"/>
        </w:rPr>
        <w:t xml:space="preserve">identificado en el caso No. 263; </w:t>
      </w:r>
      <w:r w:rsidRPr="009D5581">
        <w:rPr>
          <w:rFonts w:ascii="Cambria" w:hAnsi="Cambria"/>
          <w:i/>
          <w:sz w:val="16"/>
          <w:szCs w:val="16"/>
          <w:lang w:val="es-VE"/>
        </w:rPr>
        <w:t xml:space="preserve">Herminio Medina Ureña </w:t>
      </w:r>
      <w:r w:rsidRPr="009D5581">
        <w:rPr>
          <w:rFonts w:ascii="Cambria" w:hAnsi="Cambria"/>
          <w:sz w:val="16"/>
          <w:szCs w:val="16"/>
          <w:lang w:val="es-VE"/>
        </w:rPr>
        <w:t>identificado en el caso No. 264.</w:t>
      </w:r>
    </w:p>
  </w:footnote>
  <w:footnote w:id="560">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i/>
          <w:sz w:val="16"/>
          <w:szCs w:val="16"/>
          <w:lang w:val="es-VE"/>
        </w:rPr>
        <w:t xml:space="preserve">Camilo Zamora Hidalgo y Rodolfo Abdiel </w:t>
      </w:r>
      <w:r w:rsidRPr="009D5581">
        <w:rPr>
          <w:rFonts w:ascii="Cambria" w:hAnsi="Cambria"/>
          <w:sz w:val="16"/>
          <w:szCs w:val="16"/>
          <w:lang w:val="es-VE"/>
        </w:rPr>
        <w:t xml:space="preserve">identificados en el caso No. 13; </w:t>
      </w:r>
      <w:r w:rsidRPr="009D5581">
        <w:rPr>
          <w:rFonts w:ascii="Cambria" w:hAnsi="Cambria"/>
          <w:i/>
          <w:sz w:val="16"/>
          <w:szCs w:val="16"/>
          <w:lang w:val="es-VE"/>
        </w:rPr>
        <w:t>Alcides Guillermo Mena</w:t>
      </w:r>
      <w:r w:rsidRPr="009D5581">
        <w:rPr>
          <w:rFonts w:ascii="Cambria" w:hAnsi="Cambria"/>
          <w:sz w:val="16"/>
          <w:szCs w:val="16"/>
          <w:lang w:val="es-VE"/>
        </w:rPr>
        <w:t xml:space="preserve"> identificado en el caso No. 75; </w:t>
      </w:r>
      <w:r w:rsidRPr="009D5581">
        <w:rPr>
          <w:rFonts w:ascii="Cambria" w:hAnsi="Cambria"/>
          <w:i/>
          <w:sz w:val="16"/>
          <w:szCs w:val="16"/>
          <w:lang w:val="es-VE"/>
        </w:rPr>
        <w:t xml:space="preserve">Jonas Antonio Vega </w:t>
      </w:r>
      <w:r w:rsidRPr="009D5581">
        <w:rPr>
          <w:rFonts w:ascii="Cambria" w:hAnsi="Cambria"/>
          <w:sz w:val="16"/>
          <w:szCs w:val="16"/>
          <w:lang w:val="es-VE"/>
        </w:rPr>
        <w:t>identificado en el caso No. 262.</w:t>
      </w:r>
    </w:p>
  </w:footnote>
  <w:footnote w:id="561">
    <w:p w:rsidR="00C00F28" w:rsidRPr="009D5581" w:rsidRDefault="00C00F28" w:rsidP="009D5581">
      <w:pPr>
        <w:pStyle w:val="FootnoteText"/>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i/>
          <w:sz w:val="16"/>
          <w:szCs w:val="16"/>
          <w:lang w:val="es-VE"/>
        </w:rPr>
        <w:t xml:space="preserve">José Isabel Salas Galindo y familia </w:t>
      </w:r>
      <w:r w:rsidRPr="009D5581">
        <w:rPr>
          <w:rFonts w:ascii="Cambria" w:hAnsi="Cambria"/>
          <w:sz w:val="16"/>
          <w:szCs w:val="16"/>
          <w:lang w:val="es-VE"/>
        </w:rPr>
        <w:t xml:space="preserve">identificados en el caso No.1; </w:t>
      </w:r>
      <w:r w:rsidRPr="009D5581">
        <w:rPr>
          <w:rFonts w:ascii="Cambria" w:hAnsi="Cambria"/>
          <w:i/>
          <w:sz w:val="16"/>
          <w:szCs w:val="16"/>
          <w:lang w:val="es-VE"/>
        </w:rPr>
        <w:t xml:space="preserve">Elida Betezan Pacheco </w:t>
      </w:r>
      <w:r w:rsidRPr="009D5581">
        <w:rPr>
          <w:rFonts w:ascii="Cambria" w:hAnsi="Cambria"/>
          <w:sz w:val="16"/>
          <w:szCs w:val="16"/>
          <w:lang w:val="es-VE"/>
        </w:rPr>
        <w:t xml:space="preserve">identificada en el caso No. 4; </w:t>
      </w:r>
      <w:r w:rsidRPr="009D5581">
        <w:rPr>
          <w:rFonts w:ascii="Cambria" w:hAnsi="Cambria"/>
          <w:i/>
          <w:sz w:val="16"/>
          <w:szCs w:val="16"/>
          <w:lang w:val="es-VE"/>
        </w:rPr>
        <w:t xml:space="preserve">Alejandro Vivanco </w:t>
      </w:r>
      <w:r w:rsidRPr="009D5581">
        <w:rPr>
          <w:rFonts w:ascii="Cambria" w:hAnsi="Cambria"/>
          <w:sz w:val="16"/>
          <w:szCs w:val="16"/>
          <w:lang w:val="es-VE"/>
        </w:rPr>
        <w:t xml:space="preserve">identificado en el caso No. 5; </w:t>
      </w:r>
      <w:r w:rsidRPr="009D5581">
        <w:rPr>
          <w:rFonts w:ascii="Cambria" w:hAnsi="Cambria"/>
          <w:i/>
          <w:sz w:val="16"/>
          <w:szCs w:val="16"/>
          <w:lang w:val="es-CO"/>
        </w:rPr>
        <w:t xml:space="preserve">Ernesta Ortiz Lagrant </w:t>
      </w:r>
      <w:r w:rsidRPr="009D5581">
        <w:rPr>
          <w:rFonts w:ascii="Cambria" w:hAnsi="Cambria"/>
          <w:sz w:val="16"/>
          <w:szCs w:val="16"/>
          <w:lang w:val="es-CO"/>
        </w:rPr>
        <w:t xml:space="preserve">identificada en el caso No. 26; </w:t>
      </w:r>
      <w:r w:rsidRPr="009D5581">
        <w:rPr>
          <w:rFonts w:ascii="Cambria" w:hAnsi="Cambria"/>
          <w:i/>
          <w:sz w:val="16"/>
          <w:szCs w:val="16"/>
          <w:lang w:val="es-CO"/>
        </w:rPr>
        <w:t>Arturo Argelio Robinson Williams y Luisa Williams</w:t>
      </w:r>
      <w:r w:rsidRPr="009D5581">
        <w:rPr>
          <w:rFonts w:ascii="Cambria" w:hAnsi="Cambria"/>
          <w:sz w:val="16"/>
          <w:szCs w:val="16"/>
          <w:lang w:val="es-CO"/>
        </w:rPr>
        <w:t xml:space="preserve"> identificados en el caso No. 31; </w:t>
      </w:r>
      <w:r w:rsidRPr="009D5581">
        <w:rPr>
          <w:rFonts w:ascii="Cambria" w:hAnsi="Cambria"/>
          <w:i/>
          <w:sz w:val="16"/>
          <w:szCs w:val="16"/>
          <w:lang w:val="es-VE"/>
        </w:rPr>
        <w:t xml:space="preserve">Héctor Eduardo Góndola D. </w:t>
      </w:r>
      <w:r w:rsidRPr="009D5581">
        <w:rPr>
          <w:rFonts w:ascii="Cambria" w:hAnsi="Cambria"/>
          <w:sz w:val="16"/>
          <w:szCs w:val="16"/>
          <w:lang w:val="es-VE"/>
        </w:rPr>
        <w:t xml:space="preserve">identificado en el caso No. 109; </w:t>
      </w:r>
      <w:r w:rsidRPr="009D5581">
        <w:rPr>
          <w:rFonts w:ascii="Cambria" w:hAnsi="Cambria"/>
          <w:i/>
          <w:sz w:val="16"/>
          <w:szCs w:val="16"/>
          <w:lang w:val="es-VE"/>
        </w:rPr>
        <w:t xml:space="preserve">Amalia Fernández Taylor </w:t>
      </w:r>
      <w:r w:rsidRPr="009D5581">
        <w:rPr>
          <w:rFonts w:ascii="Cambria" w:hAnsi="Cambria"/>
          <w:sz w:val="16"/>
          <w:szCs w:val="16"/>
          <w:lang w:val="es-VE"/>
        </w:rPr>
        <w:t>identificada en el caso No. 110.</w:t>
      </w:r>
    </w:p>
  </w:footnote>
  <w:footnote w:id="562">
    <w:p w:rsidR="00C00F28" w:rsidRPr="009D5581" w:rsidRDefault="00C00F28" w:rsidP="009D5581">
      <w:pPr>
        <w:jc w:val="both"/>
        <w:rPr>
          <w:rFonts w:ascii="Cambria" w:hAnsi="Cambria"/>
          <w:sz w:val="16"/>
          <w:szCs w:val="16"/>
          <w:lang w:val="es-VE"/>
        </w:rPr>
      </w:pPr>
      <w:r w:rsidRPr="009D5581">
        <w:rPr>
          <w:rStyle w:val="FootnoteReference"/>
          <w:rFonts w:ascii="Cambria" w:hAnsi="Cambria"/>
          <w:sz w:val="16"/>
          <w:szCs w:val="16"/>
        </w:rPr>
        <w:footnoteRef/>
      </w:r>
      <w:r w:rsidRPr="009D5581">
        <w:rPr>
          <w:rFonts w:ascii="Cambria" w:hAnsi="Cambria"/>
          <w:sz w:val="16"/>
          <w:szCs w:val="16"/>
          <w:lang w:val="es-VE"/>
        </w:rPr>
        <w:t xml:space="preserve"> </w:t>
      </w:r>
      <w:r w:rsidRPr="009D5581">
        <w:rPr>
          <w:rFonts w:ascii="Cambria" w:hAnsi="Cambria"/>
          <w:i/>
          <w:sz w:val="16"/>
          <w:szCs w:val="16"/>
          <w:lang w:val="es-VE"/>
        </w:rPr>
        <w:t>Eleuterio Lee Prado y familia</w:t>
      </w:r>
      <w:r w:rsidRPr="009D5581">
        <w:rPr>
          <w:rFonts w:ascii="Cambria" w:hAnsi="Cambria"/>
          <w:sz w:val="16"/>
          <w:szCs w:val="16"/>
          <w:lang w:val="es-VE"/>
        </w:rPr>
        <w:t xml:space="preserve"> identificados en el caso No. 2; </w:t>
      </w:r>
      <w:r w:rsidRPr="009D5581">
        <w:rPr>
          <w:rFonts w:ascii="Cambria" w:hAnsi="Cambria"/>
          <w:i/>
          <w:sz w:val="16"/>
          <w:szCs w:val="16"/>
          <w:lang w:val="es-VE"/>
        </w:rPr>
        <w:t>José Manuel Borbúa</w:t>
      </w:r>
      <w:r w:rsidRPr="009D5581">
        <w:rPr>
          <w:rFonts w:ascii="Cambria" w:hAnsi="Cambria"/>
          <w:sz w:val="16"/>
          <w:szCs w:val="16"/>
          <w:lang w:val="es-VE"/>
        </w:rPr>
        <w:t xml:space="preserve"> identificado en el caso No. 6; </w:t>
      </w:r>
      <w:r w:rsidRPr="009D5581">
        <w:rPr>
          <w:rFonts w:ascii="Cambria" w:hAnsi="Cambria"/>
          <w:i/>
          <w:sz w:val="16"/>
          <w:szCs w:val="16"/>
          <w:lang w:val="es-VE"/>
        </w:rPr>
        <w:t xml:space="preserve">Ruben D. Licorish </w:t>
      </w:r>
      <w:r w:rsidRPr="009D5581">
        <w:rPr>
          <w:rFonts w:ascii="Cambria" w:hAnsi="Cambria"/>
          <w:sz w:val="16"/>
          <w:szCs w:val="16"/>
          <w:lang w:val="es-VE"/>
        </w:rPr>
        <w:t xml:space="preserve">identificado en el caso No. 8; </w:t>
      </w:r>
      <w:r w:rsidRPr="009D5581">
        <w:rPr>
          <w:rFonts w:ascii="Cambria" w:hAnsi="Cambria"/>
          <w:i/>
          <w:sz w:val="16"/>
          <w:szCs w:val="16"/>
          <w:lang w:val="es-VE"/>
        </w:rPr>
        <w:t xml:space="preserve">Eusebia Meneses Castrellon </w:t>
      </w:r>
      <w:r w:rsidRPr="009D5581">
        <w:rPr>
          <w:rFonts w:ascii="Cambria" w:hAnsi="Cambria"/>
          <w:sz w:val="16"/>
          <w:szCs w:val="16"/>
          <w:lang w:val="es-VE"/>
        </w:rPr>
        <w:t xml:space="preserve">identificada en el caso No. 14; </w:t>
      </w:r>
      <w:r w:rsidRPr="009D5581">
        <w:rPr>
          <w:rFonts w:ascii="Cambria" w:hAnsi="Cambria"/>
          <w:i/>
          <w:sz w:val="16"/>
          <w:szCs w:val="16"/>
          <w:lang w:val="es-VE"/>
        </w:rPr>
        <w:t xml:space="preserve">Orlando Jaramillo </w:t>
      </w:r>
      <w:r w:rsidRPr="009D5581">
        <w:rPr>
          <w:rFonts w:ascii="Cambria" w:hAnsi="Cambria"/>
          <w:sz w:val="16"/>
          <w:szCs w:val="16"/>
          <w:lang w:val="es-VE"/>
        </w:rPr>
        <w:t xml:space="preserve">identificado en el caso No. 18; </w:t>
      </w:r>
      <w:r w:rsidRPr="009D5581">
        <w:rPr>
          <w:rFonts w:ascii="Cambria" w:hAnsi="Cambria"/>
          <w:i/>
          <w:sz w:val="16"/>
          <w:szCs w:val="16"/>
          <w:lang w:val="es-CO"/>
        </w:rPr>
        <w:t xml:space="preserve">Iresema Alonso </w:t>
      </w:r>
      <w:r w:rsidRPr="009D5581">
        <w:rPr>
          <w:rFonts w:ascii="Cambria" w:hAnsi="Cambria"/>
          <w:sz w:val="16"/>
          <w:szCs w:val="16"/>
          <w:lang w:val="es-CO"/>
        </w:rPr>
        <w:t xml:space="preserve">identificada en el caso No. 25; </w:t>
      </w:r>
      <w:r w:rsidRPr="009D5581">
        <w:rPr>
          <w:rFonts w:ascii="Cambria" w:hAnsi="Cambria"/>
          <w:i/>
          <w:sz w:val="16"/>
          <w:szCs w:val="16"/>
          <w:lang w:val="es-VE"/>
        </w:rPr>
        <w:t xml:space="preserve">Lidia Ana Rowe </w:t>
      </w:r>
      <w:r w:rsidRPr="009D5581">
        <w:rPr>
          <w:rFonts w:ascii="Cambria" w:hAnsi="Cambria"/>
          <w:sz w:val="16"/>
          <w:szCs w:val="16"/>
          <w:lang w:val="es-VE"/>
        </w:rPr>
        <w:t xml:space="preserve">identificada en el caso No. 33; </w:t>
      </w:r>
      <w:r w:rsidRPr="009D5581">
        <w:rPr>
          <w:rFonts w:ascii="Cambria" w:hAnsi="Cambria"/>
          <w:i/>
          <w:sz w:val="16"/>
          <w:szCs w:val="16"/>
          <w:lang w:val="es-CO"/>
        </w:rPr>
        <w:t xml:space="preserve">Rooselvelt McNally </w:t>
      </w:r>
      <w:r w:rsidRPr="009D5581">
        <w:rPr>
          <w:rFonts w:ascii="Cambria" w:hAnsi="Cambria"/>
          <w:sz w:val="16"/>
          <w:szCs w:val="16"/>
          <w:lang w:val="es-CO"/>
        </w:rPr>
        <w:t xml:space="preserve">identificado en el caso No. 39; </w:t>
      </w:r>
      <w:r w:rsidRPr="009D5581">
        <w:rPr>
          <w:rFonts w:ascii="Cambria" w:hAnsi="Cambria"/>
          <w:i/>
          <w:sz w:val="16"/>
          <w:szCs w:val="16"/>
          <w:lang w:val="es-VE"/>
        </w:rPr>
        <w:t xml:space="preserve">María Archibold </w:t>
      </w:r>
      <w:r w:rsidRPr="009D5581">
        <w:rPr>
          <w:rFonts w:ascii="Cambria" w:hAnsi="Cambria"/>
          <w:sz w:val="16"/>
          <w:szCs w:val="16"/>
          <w:lang w:val="es-VE"/>
        </w:rPr>
        <w:t xml:space="preserve">identificada en el caso No. 111; </w:t>
      </w:r>
      <w:r w:rsidRPr="009D5581">
        <w:rPr>
          <w:rFonts w:ascii="Cambria" w:hAnsi="Cambria"/>
          <w:i/>
          <w:sz w:val="16"/>
          <w:szCs w:val="16"/>
          <w:lang w:val="es-VE"/>
        </w:rPr>
        <w:t xml:space="preserve">Rodolfo Cargill Mejía </w:t>
      </w:r>
      <w:r w:rsidRPr="009D5581">
        <w:rPr>
          <w:rFonts w:ascii="Cambria" w:hAnsi="Cambria"/>
          <w:sz w:val="16"/>
          <w:szCs w:val="16"/>
          <w:lang w:val="es-VE"/>
        </w:rPr>
        <w:t xml:space="preserve">identificado en el caso No. 222; </w:t>
      </w:r>
      <w:r w:rsidRPr="009D5581">
        <w:rPr>
          <w:rFonts w:ascii="Cambria" w:hAnsi="Cambria"/>
          <w:i/>
          <w:sz w:val="16"/>
          <w:szCs w:val="16"/>
          <w:lang w:val="es-VE"/>
        </w:rPr>
        <w:t>Doris Isabel Atencio</w:t>
      </w:r>
      <w:r w:rsidRPr="009D5581">
        <w:rPr>
          <w:rFonts w:ascii="Cambria" w:hAnsi="Cambria"/>
          <w:sz w:val="16"/>
          <w:szCs w:val="16"/>
          <w:lang w:val="es-VE"/>
        </w:rPr>
        <w:t xml:space="preserve"> identificado en el caso No. 267. </w:t>
      </w:r>
    </w:p>
  </w:footnote>
  <w:footnote w:id="563">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Declaración referente al caso No. 44. </w:t>
      </w:r>
      <w:r>
        <w:rPr>
          <w:rFonts w:ascii="Cambria" w:hAnsi="Cambria"/>
          <w:sz w:val="16"/>
          <w:szCs w:val="16"/>
          <w:lang w:val="es-CO"/>
        </w:rPr>
        <w:t>Anexo del escrito de información adicional presentado por la parte peticionaria el 29 de junio de 1990</w:t>
      </w:r>
      <w:r w:rsidRPr="009D5581">
        <w:rPr>
          <w:rFonts w:ascii="Cambria" w:hAnsi="Cambria"/>
          <w:sz w:val="16"/>
          <w:szCs w:val="16"/>
          <w:lang w:val="es-CO"/>
        </w:rPr>
        <w:t>.</w:t>
      </w:r>
    </w:p>
  </w:footnote>
  <w:footnote w:id="564">
    <w:p w:rsidR="00C00F28" w:rsidRPr="009D5581" w:rsidRDefault="00C00F28" w:rsidP="009D5581">
      <w:pPr>
        <w:jc w:val="both"/>
        <w:rPr>
          <w:rFonts w:ascii="Cambria" w:hAnsi="Cambria"/>
          <w:i/>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i/>
          <w:sz w:val="16"/>
          <w:szCs w:val="16"/>
          <w:lang w:val="es-VE"/>
        </w:rPr>
        <w:t xml:space="preserve">Alejandro Vivanco </w:t>
      </w:r>
      <w:r w:rsidRPr="009D5581">
        <w:rPr>
          <w:rFonts w:ascii="Cambria" w:hAnsi="Cambria"/>
          <w:sz w:val="16"/>
          <w:szCs w:val="16"/>
          <w:lang w:val="es-VE"/>
        </w:rPr>
        <w:t xml:space="preserve">identificado en el caso No. 5; </w:t>
      </w:r>
      <w:r w:rsidRPr="009D5581">
        <w:rPr>
          <w:rFonts w:ascii="Cambria" w:hAnsi="Cambria"/>
          <w:i/>
          <w:sz w:val="16"/>
          <w:szCs w:val="16"/>
          <w:lang w:val="es-VE"/>
        </w:rPr>
        <w:t xml:space="preserve">Maritza Xiomara Vélez </w:t>
      </w:r>
      <w:r w:rsidRPr="009D5581">
        <w:rPr>
          <w:rFonts w:ascii="Cambria" w:hAnsi="Cambria"/>
          <w:sz w:val="16"/>
          <w:szCs w:val="16"/>
          <w:lang w:val="es-VE"/>
        </w:rPr>
        <w:t xml:space="preserve">identificada en el caso No. 9;  </w:t>
      </w:r>
      <w:r w:rsidRPr="009D5581">
        <w:rPr>
          <w:rFonts w:ascii="Cambria" w:hAnsi="Cambria"/>
          <w:i/>
          <w:sz w:val="16"/>
          <w:szCs w:val="16"/>
          <w:lang w:val="es-CO"/>
        </w:rPr>
        <w:t xml:space="preserve">Gloria Preston </w:t>
      </w:r>
      <w:r w:rsidRPr="009D5581">
        <w:rPr>
          <w:rFonts w:ascii="Cambria" w:hAnsi="Cambria"/>
          <w:sz w:val="16"/>
          <w:szCs w:val="16"/>
          <w:lang w:val="es-CO"/>
        </w:rPr>
        <w:t xml:space="preserve">identificada en el caso No. 23; </w:t>
      </w:r>
      <w:r w:rsidRPr="009D5581">
        <w:rPr>
          <w:rFonts w:ascii="Cambria" w:hAnsi="Cambria"/>
          <w:i/>
          <w:sz w:val="16"/>
          <w:szCs w:val="16"/>
          <w:lang w:val="es-CO"/>
        </w:rPr>
        <w:t xml:space="preserve">Carmen Luis Bosque </w:t>
      </w:r>
      <w:r w:rsidRPr="009D5581">
        <w:rPr>
          <w:rFonts w:ascii="Cambria" w:hAnsi="Cambria"/>
          <w:sz w:val="16"/>
          <w:szCs w:val="16"/>
          <w:lang w:val="es-CO"/>
        </w:rPr>
        <w:t xml:space="preserve">identificada en el caso No. 24; </w:t>
      </w:r>
      <w:r w:rsidRPr="009D5581">
        <w:rPr>
          <w:rFonts w:ascii="Cambria" w:hAnsi="Cambria"/>
          <w:i/>
          <w:sz w:val="16"/>
          <w:szCs w:val="16"/>
          <w:lang w:val="es-CO"/>
        </w:rPr>
        <w:t xml:space="preserve">Virginia Anthony </w:t>
      </w:r>
      <w:r w:rsidRPr="009D5581">
        <w:rPr>
          <w:rFonts w:ascii="Cambria" w:hAnsi="Cambria"/>
          <w:sz w:val="16"/>
          <w:szCs w:val="16"/>
          <w:lang w:val="es-CO"/>
        </w:rPr>
        <w:t xml:space="preserve">identificado en el caso N. 28; </w:t>
      </w:r>
      <w:r w:rsidRPr="009D5581">
        <w:rPr>
          <w:rFonts w:ascii="Cambria" w:hAnsi="Cambria"/>
          <w:i/>
          <w:sz w:val="16"/>
          <w:szCs w:val="16"/>
          <w:lang w:val="es-CO"/>
        </w:rPr>
        <w:t xml:space="preserve">Ricardo Z. Cerezo Gomez </w:t>
      </w:r>
      <w:r w:rsidRPr="009D5581">
        <w:rPr>
          <w:rFonts w:ascii="Cambria" w:hAnsi="Cambria"/>
          <w:sz w:val="16"/>
          <w:szCs w:val="16"/>
          <w:lang w:val="es-CO"/>
        </w:rPr>
        <w:t xml:space="preserve">identificado en el caso No. 29; </w:t>
      </w:r>
      <w:r w:rsidRPr="009D5581">
        <w:rPr>
          <w:rFonts w:ascii="Cambria" w:hAnsi="Cambria"/>
          <w:i/>
          <w:sz w:val="16"/>
          <w:szCs w:val="16"/>
          <w:lang w:val="es-CO"/>
        </w:rPr>
        <w:t>Carlos Miller</w:t>
      </w:r>
      <w:r w:rsidRPr="009D5581">
        <w:rPr>
          <w:rFonts w:ascii="Cambria" w:hAnsi="Cambria"/>
          <w:sz w:val="16"/>
          <w:szCs w:val="16"/>
          <w:lang w:val="es-CO"/>
        </w:rPr>
        <w:t xml:space="preserve"> identificado en el caso No. 32; </w:t>
      </w:r>
      <w:r w:rsidRPr="009D5581">
        <w:rPr>
          <w:rFonts w:ascii="Cambria" w:hAnsi="Cambria"/>
          <w:i/>
          <w:sz w:val="16"/>
          <w:szCs w:val="16"/>
          <w:lang w:val="es-CO"/>
        </w:rPr>
        <w:t xml:space="preserve">Wilfredo Jorge Davis </w:t>
      </w:r>
      <w:r w:rsidRPr="009D5581">
        <w:rPr>
          <w:rFonts w:ascii="Cambria" w:hAnsi="Cambria"/>
          <w:sz w:val="16"/>
          <w:szCs w:val="16"/>
          <w:lang w:val="es-CO"/>
        </w:rPr>
        <w:t xml:space="preserve">identificado con el caso No. 34; </w:t>
      </w:r>
      <w:r w:rsidRPr="009D5581">
        <w:rPr>
          <w:rFonts w:ascii="Cambria" w:hAnsi="Cambria"/>
          <w:i/>
          <w:sz w:val="16"/>
          <w:szCs w:val="16"/>
          <w:lang w:val="es-CO"/>
        </w:rPr>
        <w:t xml:space="preserve">Julio Moreno y Maricruz Moreno </w:t>
      </w:r>
      <w:r w:rsidRPr="009D5581">
        <w:rPr>
          <w:rFonts w:ascii="Cambria" w:hAnsi="Cambria"/>
          <w:sz w:val="16"/>
          <w:szCs w:val="16"/>
          <w:lang w:val="es-CO"/>
        </w:rPr>
        <w:t xml:space="preserve">identificados en el caso No. 35; </w:t>
      </w:r>
      <w:r w:rsidRPr="009D5581">
        <w:rPr>
          <w:rFonts w:ascii="Cambria" w:hAnsi="Cambria"/>
          <w:i/>
          <w:sz w:val="16"/>
          <w:szCs w:val="16"/>
          <w:lang w:val="es-CO"/>
        </w:rPr>
        <w:t xml:space="preserve">Angélica Escalona </w:t>
      </w:r>
      <w:r w:rsidRPr="009D5581">
        <w:rPr>
          <w:rFonts w:ascii="Cambria" w:hAnsi="Cambria"/>
          <w:sz w:val="16"/>
          <w:szCs w:val="16"/>
          <w:lang w:val="es-CO"/>
        </w:rPr>
        <w:t xml:space="preserve">identificada en el caso No. 36; </w:t>
      </w:r>
      <w:r w:rsidRPr="009D5581">
        <w:rPr>
          <w:rFonts w:ascii="Cambria" w:hAnsi="Cambria"/>
          <w:i/>
          <w:sz w:val="16"/>
          <w:szCs w:val="16"/>
          <w:lang w:val="es-CO"/>
        </w:rPr>
        <w:t xml:space="preserve">Rosa Góndola </w:t>
      </w:r>
      <w:r w:rsidRPr="009D5581">
        <w:rPr>
          <w:rFonts w:ascii="Cambria" w:hAnsi="Cambria"/>
          <w:sz w:val="16"/>
          <w:szCs w:val="16"/>
          <w:lang w:val="es-CO"/>
        </w:rPr>
        <w:t xml:space="preserve">identificada en el caso No. 38; </w:t>
      </w:r>
      <w:r w:rsidRPr="009D5581">
        <w:rPr>
          <w:rFonts w:ascii="Cambria" w:hAnsi="Cambria"/>
          <w:i/>
          <w:sz w:val="16"/>
          <w:szCs w:val="16"/>
          <w:lang w:val="es-CO"/>
        </w:rPr>
        <w:t xml:space="preserve">Olga de Orozco </w:t>
      </w:r>
      <w:r w:rsidRPr="009D5581">
        <w:rPr>
          <w:rFonts w:ascii="Cambria" w:hAnsi="Cambria"/>
          <w:sz w:val="16"/>
          <w:szCs w:val="16"/>
          <w:lang w:val="es-CO"/>
        </w:rPr>
        <w:t xml:space="preserve">identificada en el caso No. 41; </w:t>
      </w:r>
      <w:r w:rsidRPr="009D5581">
        <w:rPr>
          <w:rFonts w:ascii="Cambria" w:hAnsi="Cambria"/>
          <w:i/>
          <w:sz w:val="16"/>
          <w:szCs w:val="16"/>
          <w:lang w:val="es-CO"/>
        </w:rPr>
        <w:t xml:space="preserve">Adolfo Arturo Tello Bravo </w:t>
      </w:r>
      <w:r w:rsidRPr="009D5581">
        <w:rPr>
          <w:rFonts w:ascii="Cambria" w:hAnsi="Cambria"/>
          <w:sz w:val="16"/>
          <w:szCs w:val="16"/>
          <w:lang w:val="es-CO"/>
        </w:rPr>
        <w:t xml:space="preserve">identificado en el caso No. 42; </w:t>
      </w:r>
      <w:r w:rsidRPr="009D5581">
        <w:rPr>
          <w:rFonts w:ascii="Cambria" w:hAnsi="Cambria"/>
          <w:i/>
          <w:sz w:val="16"/>
          <w:szCs w:val="16"/>
          <w:lang w:val="es-CO"/>
        </w:rPr>
        <w:t xml:space="preserve">Silvana Chifundo </w:t>
      </w:r>
      <w:r w:rsidRPr="009D5581">
        <w:rPr>
          <w:rFonts w:ascii="Cambria" w:hAnsi="Cambria"/>
          <w:sz w:val="16"/>
          <w:szCs w:val="16"/>
          <w:lang w:val="es-CO"/>
        </w:rPr>
        <w:t xml:space="preserve">identificada en el caso No. 43; </w:t>
      </w:r>
      <w:r w:rsidRPr="009D5581">
        <w:rPr>
          <w:rFonts w:ascii="Cambria" w:hAnsi="Cambria"/>
          <w:i/>
          <w:sz w:val="16"/>
          <w:szCs w:val="16"/>
          <w:lang w:val="es-CO"/>
        </w:rPr>
        <w:t xml:space="preserve">Omaira León Franco de Alleyne </w:t>
      </w:r>
      <w:r w:rsidRPr="009D5581">
        <w:rPr>
          <w:rFonts w:ascii="Cambria" w:hAnsi="Cambria"/>
          <w:sz w:val="16"/>
          <w:szCs w:val="16"/>
          <w:lang w:val="es-CO"/>
        </w:rPr>
        <w:t xml:space="preserve">identificada en el caso No. 44;  </w:t>
      </w:r>
      <w:r w:rsidRPr="009D5581">
        <w:rPr>
          <w:rFonts w:ascii="Cambria" w:hAnsi="Cambria"/>
          <w:i/>
          <w:sz w:val="16"/>
          <w:szCs w:val="16"/>
          <w:lang w:val="es-CO"/>
        </w:rPr>
        <w:t xml:space="preserve">Alberto Steele </w:t>
      </w:r>
      <w:r w:rsidRPr="009D5581">
        <w:rPr>
          <w:rFonts w:ascii="Cambria" w:hAnsi="Cambria"/>
          <w:sz w:val="16"/>
          <w:szCs w:val="16"/>
          <w:lang w:val="es-CO"/>
        </w:rPr>
        <w:t xml:space="preserve">identificada en el caso No.45; </w:t>
      </w:r>
      <w:r w:rsidRPr="009D5581">
        <w:rPr>
          <w:rFonts w:ascii="Cambria" w:hAnsi="Cambria"/>
          <w:i/>
          <w:sz w:val="16"/>
          <w:szCs w:val="16"/>
          <w:lang w:val="es-CO"/>
        </w:rPr>
        <w:t xml:space="preserve">Griselda de Moreno </w:t>
      </w:r>
      <w:r w:rsidRPr="009D5581">
        <w:rPr>
          <w:rFonts w:ascii="Cambria" w:hAnsi="Cambria"/>
          <w:sz w:val="16"/>
          <w:szCs w:val="16"/>
          <w:lang w:val="es-CO"/>
        </w:rPr>
        <w:t xml:space="preserve">identificada en el caso No. 46; </w:t>
      </w:r>
      <w:r w:rsidRPr="009D5581">
        <w:rPr>
          <w:rFonts w:ascii="Cambria" w:hAnsi="Cambria"/>
          <w:i/>
          <w:sz w:val="16"/>
          <w:szCs w:val="16"/>
          <w:lang w:val="es-CO"/>
        </w:rPr>
        <w:t xml:space="preserve">Ligia Davis Valencia </w:t>
      </w:r>
      <w:r w:rsidRPr="009D5581">
        <w:rPr>
          <w:rFonts w:ascii="Cambria" w:hAnsi="Cambria"/>
          <w:sz w:val="16"/>
          <w:szCs w:val="16"/>
          <w:lang w:val="es-CO"/>
        </w:rPr>
        <w:t xml:space="preserve">identificada en el caso No. 49; </w:t>
      </w:r>
      <w:r w:rsidRPr="009D5581">
        <w:rPr>
          <w:rFonts w:ascii="Cambria" w:hAnsi="Cambria"/>
          <w:i/>
          <w:sz w:val="16"/>
          <w:szCs w:val="16"/>
          <w:lang w:val="es-CO"/>
        </w:rPr>
        <w:t xml:space="preserve">Rafael Rapallo </w:t>
      </w:r>
      <w:r w:rsidRPr="009D5581">
        <w:rPr>
          <w:rFonts w:ascii="Cambria" w:hAnsi="Cambria"/>
          <w:sz w:val="16"/>
          <w:szCs w:val="16"/>
          <w:lang w:val="es-CO"/>
        </w:rPr>
        <w:t xml:space="preserve">identificado en el caso No. 50; </w:t>
      </w:r>
      <w:r w:rsidRPr="009D5581">
        <w:rPr>
          <w:rFonts w:ascii="Cambria" w:hAnsi="Cambria"/>
          <w:i/>
          <w:sz w:val="16"/>
          <w:szCs w:val="16"/>
          <w:lang w:val="es-CO"/>
        </w:rPr>
        <w:t xml:space="preserve">César Peuccio </w:t>
      </w:r>
      <w:r w:rsidRPr="009D5581">
        <w:rPr>
          <w:rFonts w:ascii="Cambria" w:hAnsi="Cambria"/>
          <w:sz w:val="16"/>
          <w:szCs w:val="16"/>
          <w:lang w:val="es-CO"/>
        </w:rPr>
        <w:t xml:space="preserve">identificado en el caso No. 51; </w:t>
      </w:r>
      <w:r w:rsidRPr="009D5581">
        <w:rPr>
          <w:rFonts w:ascii="Cambria" w:hAnsi="Cambria"/>
          <w:i/>
          <w:sz w:val="16"/>
          <w:szCs w:val="16"/>
          <w:lang w:val="es-CO"/>
        </w:rPr>
        <w:t xml:space="preserve">Daniel Ricardo Avila Fuentes </w:t>
      </w:r>
      <w:r w:rsidRPr="009D5581">
        <w:rPr>
          <w:rFonts w:ascii="Cambria" w:hAnsi="Cambria"/>
          <w:sz w:val="16"/>
          <w:szCs w:val="16"/>
          <w:lang w:val="es-CO"/>
        </w:rPr>
        <w:t xml:space="preserve">identificado en el caso No. 52; </w:t>
      </w:r>
      <w:r w:rsidRPr="009D5581">
        <w:rPr>
          <w:rFonts w:ascii="Cambria" w:hAnsi="Cambria"/>
          <w:i/>
          <w:sz w:val="16"/>
          <w:szCs w:val="16"/>
          <w:lang w:val="es-CO"/>
        </w:rPr>
        <w:t xml:space="preserve">Marcella Ortega </w:t>
      </w:r>
      <w:r w:rsidRPr="009D5581">
        <w:rPr>
          <w:rFonts w:ascii="Cambria" w:hAnsi="Cambria"/>
          <w:sz w:val="16"/>
          <w:szCs w:val="16"/>
          <w:lang w:val="es-CO"/>
        </w:rPr>
        <w:t xml:space="preserve">identificada en el caso No. 53; </w:t>
      </w:r>
      <w:r w:rsidRPr="009D5581">
        <w:rPr>
          <w:rFonts w:ascii="Cambria" w:hAnsi="Cambria"/>
          <w:i/>
          <w:sz w:val="16"/>
          <w:szCs w:val="16"/>
          <w:lang w:val="es-CO"/>
        </w:rPr>
        <w:t xml:space="preserve">Guillermo Lemos </w:t>
      </w:r>
      <w:r w:rsidRPr="009D5581">
        <w:rPr>
          <w:rFonts w:ascii="Cambria" w:hAnsi="Cambria"/>
          <w:sz w:val="16"/>
          <w:szCs w:val="16"/>
          <w:lang w:val="es-CO"/>
        </w:rPr>
        <w:t xml:space="preserve">identificado en el caso No. 54; </w:t>
      </w:r>
      <w:r w:rsidRPr="009D5581">
        <w:rPr>
          <w:rFonts w:ascii="Cambria" w:hAnsi="Cambria"/>
          <w:i/>
          <w:sz w:val="16"/>
          <w:szCs w:val="16"/>
          <w:lang w:val="es-CO"/>
        </w:rPr>
        <w:t xml:space="preserve">Carlos J. Watson </w:t>
      </w:r>
      <w:r w:rsidRPr="009D5581">
        <w:rPr>
          <w:rFonts w:ascii="Cambria" w:hAnsi="Cambria"/>
          <w:sz w:val="16"/>
          <w:szCs w:val="16"/>
          <w:lang w:val="es-CO"/>
        </w:rPr>
        <w:t xml:space="preserve">identificado en el caso No. 55; </w:t>
      </w:r>
      <w:r w:rsidRPr="009D5581">
        <w:rPr>
          <w:rFonts w:ascii="Cambria" w:hAnsi="Cambria"/>
          <w:i/>
          <w:sz w:val="16"/>
          <w:szCs w:val="16"/>
          <w:lang w:val="es-CO"/>
        </w:rPr>
        <w:t xml:space="preserve">Osvaldo Rivera Berrio </w:t>
      </w:r>
      <w:r w:rsidRPr="009D5581">
        <w:rPr>
          <w:rFonts w:ascii="Cambria" w:hAnsi="Cambria"/>
          <w:sz w:val="16"/>
          <w:szCs w:val="16"/>
          <w:lang w:val="es-CO"/>
        </w:rPr>
        <w:t xml:space="preserve">identificado en el caso No. 56; </w:t>
      </w:r>
      <w:r w:rsidRPr="009D5581">
        <w:rPr>
          <w:rFonts w:ascii="Cambria" w:hAnsi="Cambria"/>
          <w:i/>
          <w:sz w:val="16"/>
          <w:szCs w:val="16"/>
          <w:lang w:val="es-CO"/>
        </w:rPr>
        <w:t xml:space="preserve">Maricel Rivera Mendoza </w:t>
      </w:r>
      <w:r w:rsidRPr="009D5581">
        <w:rPr>
          <w:rFonts w:ascii="Cambria" w:hAnsi="Cambria"/>
          <w:sz w:val="16"/>
          <w:szCs w:val="16"/>
          <w:lang w:val="es-CO"/>
        </w:rPr>
        <w:t xml:space="preserve">identificada en el caso No. 57; </w:t>
      </w:r>
      <w:r w:rsidRPr="009D5581">
        <w:rPr>
          <w:rFonts w:ascii="Cambria" w:hAnsi="Cambria"/>
          <w:i/>
          <w:sz w:val="16"/>
          <w:szCs w:val="16"/>
          <w:lang w:val="es-CO"/>
        </w:rPr>
        <w:t xml:space="preserve">Carlos Gilberto Soto M. </w:t>
      </w:r>
      <w:r w:rsidRPr="009D5581">
        <w:rPr>
          <w:rFonts w:ascii="Cambria" w:hAnsi="Cambria"/>
          <w:sz w:val="16"/>
          <w:szCs w:val="16"/>
          <w:lang w:val="es-CO"/>
        </w:rPr>
        <w:t xml:space="preserve">identificado en el caso No. 58; </w:t>
      </w:r>
      <w:r w:rsidRPr="009D5581">
        <w:rPr>
          <w:rFonts w:ascii="Cambria" w:hAnsi="Cambria"/>
          <w:i/>
          <w:sz w:val="16"/>
          <w:szCs w:val="16"/>
          <w:lang w:val="es-CO"/>
        </w:rPr>
        <w:t>Bienvenido Valencia Goya</w:t>
      </w:r>
      <w:r w:rsidRPr="009D5581">
        <w:rPr>
          <w:rFonts w:ascii="Cambria" w:hAnsi="Cambria"/>
          <w:sz w:val="16"/>
          <w:szCs w:val="16"/>
          <w:lang w:val="es-CO"/>
        </w:rPr>
        <w:t xml:space="preserve"> identificado en el caso No. 59; </w:t>
      </w:r>
      <w:r w:rsidRPr="009D5581">
        <w:rPr>
          <w:rFonts w:ascii="Cambria" w:hAnsi="Cambria"/>
          <w:i/>
          <w:sz w:val="16"/>
          <w:szCs w:val="16"/>
          <w:lang w:val="es-CO"/>
        </w:rPr>
        <w:t xml:space="preserve">Ricardo Laguna </w:t>
      </w:r>
      <w:r w:rsidRPr="009D5581">
        <w:rPr>
          <w:rFonts w:ascii="Cambria" w:hAnsi="Cambria"/>
          <w:sz w:val="16"/>
          <w:szCs w:val="16"/>
          <w:lang w:val="es-CO"/>
        </w:rPr>
        <w:t>identificado en el caso No. 60.</w:t>
      </w:r>
    </w:p>
  </w:footnote>
  <w:footnote w:id="565">
    <w:p w:rsidR="00C00F28" w:rsidRPr="009D5581" w:rsidRDefault="00C00F28" w:rsidP="009D5581">
      <w:pPr>
        <w:pStyle w:val="FootnoteText"/>
        <w:jc w:val="both"/>
        <w:rPr>
          <w:rFonts w:ascii="Cambria" w:hAnsi="Cambria"/>
          <w:sz w:val="16"/>
          <w:szCs w:val="16"/>
          <w:lang w:val="es-CO"/>
        </w:rPr>
      </w:pPr>
      <w:r w:rsidRPr="009D5581">
        <w:rPr>
          <w:rStyle w:val="FootnoteReference"/>
          <w:rFonts w:ascii="Cambria" w:hAnsi="Cambria"/>
          <w:sz w:val="16"/>
          <w:szCs w:val="16"/>
        </w:rPr>
        <w:footnoteRef/>
      </w:r>
      <w:r>
        <w:rPr>
          <w:rFonts w:ascii="Cambria" w:hAnsi="Cambria"/>
          <w:sz w:val="16"/>
          <w:szCs w:val="16"/>
          <w:lang w:val="es-CO"/>
        </w:rPr>
        <w:t xml:space="preserve"> </w:t>
      </w:r>
      <w:r w:rsidRPr="009D5581">
        <w:rPr>
          <w:rFonts w:ascii="Cambria" w:hAnsi="Cambria"/>
          <w:sz w:val="16"/>
          <w:szCs w:val="16"/>
          <w:lang w:val="es-CO"/>
        </w:rPr>
        <w:t xml:space="preserve">Declaración referente al caso No. 44. </w:t>
      </w:r>
      <w:r>
        <w:rPr>
          <w:rFonts w:ascii="Cambria" w:hAnsi="Cambria"/>
          <w:sz w:val="16"/>
          <w:szCs w:val="16"/>
          <w:lang w:val="es-CO"/>
        </w:rPr>
        <w:t>Anexo del escrito de información adicional presentado por la parte peticionaria el 29 de junio de 1990</w:t>
      </w:r>
      <w:r w:rsidRPr="009D5581">
        <w:rPr>
          <w:rFonts w:ascii="Cambria" w:hAnsi="Cambria"/>
          <w:sz w:val="16"/>
          <w:szCs w:val="16"/>
          <w:lang w:val="es-CO"/>
        </w:rPr>
        <w:t>.</w:t>
      </w:r>
    </w:p>
  </w:footnote>
  <w:footnote w:id="566">
    <w:p w:rsidR="00C00F28" w:rsidRPr="009D5581" w:rsidRDefault="00C00F28" w:rsidP="009D5581">
      <w:pPr>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i/>
          <w:sz w:val="16"/>
          <w:szCs w:val="16"/>
          <w:lang w:val="es-VE"/>
        </w:rPr>
        <w:t xml:space="preserve">Alejandro Vivanco </w:t>
      </w:r>
      <w:r w:rsidRPr="009D5581">
        <w:rPr>
          <w:rFonts w:ascii="Cambria" w:hAnsi="Cambria"/>
          <w:sz w:val="16"/>
          <w:szCs w:val="16"/>
          <w:lang w:val="es-VE"/>
        </w:rPr>
        <w:t xml:space="preserve">identificado en el caso No. 5; </w:t>
      </w:r>
      <w:r w:rsidRPr="009D5581">
        <w:rPr>
          <w:rFonts w:ascii="Cambria" w:hAnsi="Cambria"/>
          <w:i/>
          <w:sz w:val="16"/>
          <w:szCs w:val="16"/>
          <w:lang w:val="es-CO"/>
        </w:rPr>
        <w:t xml:space="preserve">Carlos Delgado Robinson </w:t>
      </w:r>
      <w:r w:rsidRPr="009D5581">
        <w:rPr>
          <w:rFonts w:ascii="Cambria" w:hAnsi="Cambria"/>
          <w:sz w:val="16"/>
          <w:szCs w:val="16"/>
          <w:lang w:val="es-CO"/>
        </w:rPr>
        <w:t xml:space="preserve">identificado en el caso No. 22; </w:t>
      </w:r>
      <w:r w:rsidRPr="009D5581">
        <w:rPr>
          <w:rFonts w:ascii="Cambria" w:hAnsi="Cambria"/>
          <w:i/>
          <w:sz w:val="16"/>
          <w:szCs w:val="16"/>
          <w:lang w:val="es-CO"/>
        </w:rPr>
        <w:t xml:space="preserve">Rosa Góndola </w:t>
      </w:r>
      <w:r w:rsidRPr="009D5581">
        <w:rPr>
          <w:rFonts w:ascii="Cambria" w:hAnsi="Cambria"/>
          <w:sz w:val="16"/>
          <w:szCs w:val="16"/>
          <w:lang w:val="es-CO"/>
        </w:rPr>
        <w:t xml:space="preserve">identificada en el caso No. 38; </w:t>
      </w:r>
      <w:r w:rsidRPr="009D5581">
        <w:rPr>
          <w:rFonts w:ascii="Cambria" w:hAnsi="Cambria"/>
          <w:i/>
          <w:sz w:val="16"/>
          <w:szCs w:val="16"/>
          <w:lang w:val="es-CO"/>
        </w:rPr>
        <w:t xml:space="preserve">Griselda de Moreno </w:t>
      </w:r>
      <w:r w:rsidRPr="009D5581">
        <w:rPr>
          <w:rFonts w:ascii="Cambria" w:hAnsi="Cambria"/>
          <w:sz w:val="16"/>
          <w:szCs w:val="16"/>
          <w:lang w:val="es-CO"/>
        </w:rPr>
        <w:t xml:space="preserve">identificada en el caso No. 46; </w:t>
      </w:r>
      <w:r w:rsidRPr="009D5581">
        <w:rPr>
          <w:rFonts w:ascii="Cambria" w:hAnsi="Cambria"/>
          <w:i/>
          <w:sz w:val="16"/>
          <w:szCs w:val="16"/>
          <w:lang w:val="es-CO"/>
        </w:rPr>
        <w:t xml:space="preserve">César Peuccio </w:t>
      </w:r>
      <w:r w:rsidRPr="009D5581">
        <w:rPr>
          <w:rFonts w:ascii="Cambria" w:hAnsi="Cambria"/>
          <w:sz w:val="16"/>
          <w:szCs w:val="16"/>
          <w:lang w:val="es-CO"/>
        </w:rPr>
        <w:t xml:space="preserve">identificado en el caso No. 51; </w:t>
      </w:r>
      <w:r w:rsidRPr="009D5581">
        <w:rPr>
          <w:rFonts w:ascii="Cambria" w:hAnsi="Cambria"/>
          <w:i/>
          <w:sz w:val="16"/>
          <w:szCs w:val="16"/>
          <w:lang w:val="es-CO"/>
        </w:rPr>
        <w:t xml:space="preserve">Carlos Gilberto Soto M. </w:t>
      </w:r>
      <w:r w:rsidRPr="009D5581">
        <w:rPr>
          <w:rFonts w:ascii="Cambria" w:hAnsi="Cambria"/>
          <w:sz w:val="16"/>
          <w:szCs w:val="16"/>
          <w:lang w:val="es-CO"/>
        </w:rPr>
        <w:t xml:space="preserve">identificado en el caso No. 58. </w:t>
      </w:r>
    </w:p>
  </w:footnote>
  <w:footnote w:id="567">
    <w:p w:rsidR="00C00F28" w:rsidRPr="009D5581" w:rsidRDefault="00C00F28" w:rsidP="009D5581">
      <w:pPr>
        <w:jc w:val="both"/>
        <w:rPr>
          <w:rFonts w:ascii="Cambria" w:hAnsi="Cambria"/>
          <w:sz w:val="16"/>
          <w:szCs w:val="16"/>
          <w:lang w:val="es-CO"/>
        </w:rPr>
      </w:pPr>
      <w:r w:rsidRPr="009D5581">
        <w:rPr>
          <w:rStyle w:val="FootnoteReference"/>
          <w:rFonts w:ascii="Cambria" w:hAnsi="Cambria"/>
          <w:sz w:val="16"/>
          <w:szCs w:val="16"/>
        </w:rPr>
        <w:footnoteRef/>
      </w:r>
      <w:r w:rsidRPr="009D5581">
        <w:rPr>
          <w:rFonts w:ascii="Cambria" w:hAnsi="Cambria"/>
          <w:sz w:val="16"/>
          <w:szCs w:val="16"/>
          <w:lang w:val="es-CO"/>
        </w:rPr>
        <w:t xml:space="preserve"> </w:t>
      </w:r>
      <w:r w:rsidRPr="009D5581">
        <w:rPr>
          <w:rFonts w:ascii="Cambria" w:hAnsi="Cambria"/>
          <w:i/>
          <w:sz w:val="16"/>
          <w:szCs w:val="16"/>
          <w:lang w:val="es-VE"/>
        </w:rPr>
        <w:t xml:space="preserve">José Isabel Salas Galindo y familia </w:t>
      </w:r>
      <w:r w:rsidRPr="009D5581">
        <w:rPr>
          <w:rFonts w:ascii="Cambria" w:hAnsi="Cambria"/>
          <w:sz w:val="16"/>
          <w:szCs w:val="16"/>
          <w:lang w:val="es-VE"/>
        </w:rPr>
        <w:t xml:space="preserve">identificados en el caso No. 1; </w:t>
      </w:r>
      <w:r w:rsidRPr="009D5581">
        <w:rPr>
          <w:rFonts w:ascii="Cambria" w:hAnsi="Cambria"/>
          <w:i/>
          <w:sz w:val="16"/>
          <w:szCs w:val="16"/>
          <w:lang w:val="es-VE"/>
        </w:rPr>
        <w:t>Eleuterio Lee Prado y familia</w:t>
      </w:r>
      <w:r w:rsidRPr="009D5581">
        <w:rPr>
          <w:rFonts w:ascii="Cambria" w:hAnsi="Cambria"/>
          <w:sz w:val="16"/>
          <w:szCs w:val="16"/>
          <w:lang w:val="es-VE"/>
        </w:rPr>
        <w:t xml:space="preserve"> identificados en el caso No. 2; </w:t>
      </w:r>
      <w:r w:rsidRPr="009D5581">
        <w:rPr>
          <w:rFonts w:ascii="Cambria" w:hAnsi="Cambria"/>
          <w:i/>
          <w:sz w:val="16"/>
          <w:szCs w:val="16"/>
          <w:lang w:val="es-VE"/>
        </w:rPr>
        <w:t xml:space="preserve">Elida Betezan Pacheco </w:t>
      </w:r>
      <w:r w:rsidRPr="009D5581">
        <w:rPr>
          <w:rFonts w:ascii="Cambria" w:hAnsi="Cambria"/>
          <w:sz w:val="16"/>
          <w:szCs w:val="16"/>
          <w:lang w:val="es-VE"/>
        </w:rPr>
        <w:t xml:space="preserve">identificada en el caso No. 4; </w:t>
      </w:r>
      <w:r w:rsidRPr="009D5581">
        <w:rPr>
          <w:rFonts w:ascii="Cambria" w:hAnsi="Cambria"/>
          <w:i/>
          <w:sz w:val="16"/>
          <w:szCs w:val="16"/>
          <w:lang w:val="es-VE"/>
        </w:rPr>
        <w:t xml:space="preserve">Alejandro Vivanco </w:t>
      </w:r>
      <w:r w:rsidRPr="009D5581">
        <w:rPr>
          <w:rFonts w:ascii="Cambria" w:hAnsi="Cambria"/>
          <w:sz w:val="16"/>
          <w:szCs w:val="16"/>
          <w:lang w:val="es-VE"/>
        </w:rPr>
        <w:t xml:space="preserve">identificado en el caso No 5; </w:t>
      </w:r>
      <w:r w:rsidRPr="009D5581">
        <w:rPr>
          <w:rFonts w:ascii="Cambria" w:hAnsi="Cambria"/>
          <w:i/>
          <w:sz w:val="16"/>
          <w:szCs w:val="16"/>
          <w:lang w:val="es-CO"/>
        </w:rPr>
        <w:t xml:space="preserve">Marva Paulina Mastre de Jackson </w:t>
      </w:r>
      <w:r w:rsidRPr="009D5581">
        <w:rPr>
          <w:rFonts w:ascii="Cambria" w:hAnsi="Cambria"/>
          <w:sz w:val="16"/>
          <w:szCs w:val="16"/>
          <w:lang w:val="es-CO"/>
        </w:rPr>
        <w:t xml:space="preserve">identificada en el caso No. 37; y </w:t>
      </w:r>
      <w:r w:rsidRPr="009D5581">
        <w:rPr>
          <w:rFonts w:ascii="Cambria" w:hAnsi="Cambria"/>
          <w:i/>
          <w:sz w:val="16"/>
          <w:szCs w:val="16"/>
          <w:lang w:val="es-CO"/>
        </w:rPr>
        <w:t xml:space="preserve">Rooselvelt McNally </w:t>
      </w:r>
      <w:r w:rsidRPr="009D5581">
        <w:rPr>
          <w:rFonts w:ascii="Cambria" w:hAnsi="Cambria"/>
          <w:sz w:val="16"/>
          <w:szCs w:val="16"/>
          <w:lang w:val="es-CO"/>
        </w:rPr>
        <w:t>identificado en el caso No. 39.</w:t>
      </w:r>
    </w:p>
  </w:footnote>
  <w:footnote w:id="568">
    <w:p w:rsidR="00C00F28" w:rsidRPr="003A01AC" w:rsidRDefault="00C00F28" w:rsidP="00B053C8">
      <w:pPr>
        <w:pStyle w:val="NoSpacing"/>
        <w:jc w:val="both"/>
        <w:rPr>
          <w:rFonts w:ascii="Cambria" w:hAnsi="Cambria"/>
          <w:sz w:val="16"/>
          <w:szCs w:val="16"/>
          <w:lang w:val="es-ES_tradnl"/>
        </w:rPr>
      </w:pPr>
      <w:r w:rsidRPr="00720683">
        <w:rPr>
          <w:rStyle w:val="FootnoteReference"/>
          <w:rFonts w:ascii="Cambria" w:hAnsi="Cambria"/>
          <w:sz w:val="16"/>
          <w:szCs w:val="16"/>
        </w:rPr>
        <w:footnoteRef/>
      </w:r>
      <w:r w:rsidRPr="00720683">
        <w:rPr>
          <w:rFonts w:ascii="Cambria" w:hAnsi="Cambria"/>
          <w:sz w:val="16"/>
          <w:szCs w:val="16"/>
          <w:lang w:val="es-US"/>
        </w:rPr>
        <w:t xml:space="preserve"> </w:t>
      </w:r>
      <w:r w:rsidRPr="00720683">
        <w:rPr>
          <w:rFonts w:ascii="Cambria" w:hAnsi="Cambria"/>
          <w:sz w:val="16"/>
          <w:szCs w:val="16"/>
          <w:lang w:val="es-ES_tradnl"/>
        </w:rPr>
        <w:t>CIDH. Informe No. 109/99, Fondo, Caso 10.951</w:t>
      </w:r>
      <w:r w:rsidRPr="003A01AC">
        <w:rPr>
          <w:rFonts w:ascii="Cambria" w:hAnsi="Cambria"/>
          <w:sz w:val="16"/>
          <w:szCs w:val="16"/>
          <w:lang w:val="es-ES_tradnl"/>
        </w:rPr>
        <w:t>, Coard y otros (Estados Unidos). 29 de septiembre de 1999, párr. 36.</w:t>
      </w:r>
    </w:p>
  </w:footnote>
  <w:footnote w:id="569">
    <w:p w:rsidR="00C00F28" w:rsidRPr="00920A4B" w:rsidRDefault="00C00F28" w:rsidP="00B053C8">
      <w:pPr>
        <w:pStyle w:val="NoSpacing"/>
        <w:jc w:val="both"/>
        <w:rPr>
          <w:rFonts w:ascii="Cambria" w:hAnsi="Cambria"/>
          <w:sz w:val="16"/>
          <w:szCs w:val="16"/>
          <w:lang w:val="es-ES_tradnl"/>
        </w:rPr>
      </w:pPr>
      <w:r w:rsidRPr="003A01AC">
        <w:rPr>
          <w:rStyle w:val="FootnoteReference"/>
          <w:rFonts w:ascii="Cambria" w:hAnsi="Cambria"/>
          <w:sz w:val="16"/>
          <w:szCs w:val="16"/>
        </w:rPr>
        <w:footnoteRef/>
      </w:r>
      <w:r w:rsidRPr="003A01AC">
        <w:rPr>
          <w:rFonts w:ascii="Cambria" w:hAnsi="Cambria"/>
          <w:sz w:val="16"/>
          <w:szCs w:val="16"/>
          <w:lang w:val="es-US"/>
        </w:rPr>
        <w:t xml:space="preserve"> </w:t>
      </w:r>
      <w:r w:rsidRPr="003A01AC">
        <w:rPr>
          <w:rFonts w:ascii="Cambria" w:hAnsi="Cambria"/>
          <w:sz w:val="16"/>
          <w:szCs w:val="16"/>
          <w:lang w:val="es-ES_tradnl"/>
        </w:rPr>
        <w:t>CIDH. Informe No. 109/99, Fondo, Caso 10.951, Coard y otros (Estados Unidos</w:t>
      </w:r>
      <w:r w:rsidRPr="00920A4B">
        <w:rPr>
          <w:rFonts w:ascii="Cambria" w:hAnsi="Cambria"/>
          <w:sz w:val="16"/>
          <w:szCs w:val="16"/>
          <w:lang w:val="es-ES_tradnl"/>
        </w:rPr>
        <w:t>). 29 de septiembre de 1999, párr. 36.</w:t>
      </w:r>
    </w:p>
  </w:footnote>
  <w:footnote w:id="570">
    <w:p w:rsidR="00C00F28" w:rsidRPr="003A01AC" w:rsidRDefault="00C00F28" w:rsidP="00B053C8">
      <w:pPr>
        <w:pStyle w:val="NoSpacing"/>
        <w:jc w:val="both"/>
        <w:rPr>
          <w:rFonts w:ascii="Cambria" w:hAnsi="Cambria"/>
          <w:sz w:val="16"/>
          <w:szCs w:val="16"/>
          <w:lang w:val="es-ES_tradnl"/>
        </w:rPr>
      </w:pPr>
      <w:r w:rsidRPr="00920A4B">
        <w:rPr>
          <w:rStyle w:val="FootnoteReference"/>
          <w:rFonts w:ascii="Cambria" w:hAnsi="Cambria"/>
          <w:sz w:val="16"/>
          <w:szCs w:val="16"/>
        </w:rPr>
        <w:footnoteRef/>
      </w:r>
      <w:r w:rsidRPr="00920A4B">
        <w:rPr>
          <w:rFonts w:ascii="Cambria" w:hAnsi="Cambria"/>
          <w:sz w:val="16"/>
          <w:szCs w:val="16"/>
          <w:lang w:val="es-US"/>
        </w:rPr>
        <w:t xml:space="preserve"> </w:t>
      </w:r>
      <w:r w:rsidRPr="00920A4B">
        <w:rPr>
          <w:rFonts w:ascii="Cambria" w:hAnsi="Cambria"/>
          <w:sz w:val="16"/>
          <w:szCs w:val="16"/>
          <w:lang w:val="es-ES_tradnl"/>
        </w:rPr>
        <w:t xml:space="preserve">CIDH. Informe No. 109/99, Fondo, Caso 10.951, Coard y otros (Estados Unidos). 29 de septiembre de 1999, párr. </w:t>
      </w:r>
      <w:r w:rsidRPr="003A01AC">
        <w:rPr>
          <w:rFonts w:ascii="Cambria" w:hAnsi="Cambria"/>
          <w:sz w:val="16"/>
          <w:szCs w:val="16"/>
          <w:lang w:val="es-ES_tradnl"/>
        </w:rPr>
        <w:t>37; Theodor Meron, "Extraterritorialidad de los tratados sobre derechos humanos", 89 A.J.I.L. (1995) 78, 81;</w:t>
      </w:r>
      <w:r w:rsidRPr="003A01AC">
        <w:rPr>
          <w:rFonts w:ascii="Cambria" w:hAnsi="Cambria"/>
          <w:iCs/>
          <w:sz w:val="16"/>
          <w:szCs w:val="16"/>
          <w:lang w:val="es-ES_tradnl"/>
        </w:rPr>
        <w:t xml:space="preserve"> véase también, id., </w:t>
      </w:r>
      <w:r w:rsidRPr="003A01AC">
        <w:rPr>
          <w:rFonts w:ascii="Cambria" w:hAnsi="Cambria"/>
          <w:sz w:val="16"/>
          <w:szCs w:val="16"/>
          <w:lang w:val="es-ES_tradnl"/>
        </w:rPr>
        <w:t xml:space="preserve">p. 79, n. 7, </w:t>
      </w:r>
      <w:r w:rsidRPr="003A01AC">
        <w:rPr>
          <w:rFonts w:ascii="Cambria" w:hAnsi="Cambria"/>
          <w:iCs/>
          <w:sz w:val="16"/>
          <w:szCs w:val="16"/>
          <w:lang w:val="es-ES_tradnl"/>
        </w:rPr>
        <w:t xml:space="preserve">citando a </w:t>
      </w:r>
      <w:r w:rsidRPr="003A01AC">
        <w:rPr>
          <w:rFonts w:ascii="Cambria" w:hAnsi="Cambria"/>
          <w:sz w:val="16"/>
          <w:szCs w:val="16"/>
          <w:lang w:val="es-ES_tradnl"/>
        </w:rPr>
        <w:t xml:space="preserve">Thomas Buergenthal, "To Respect and Ensure: State Obligations and Permissible Derogations," en </w:t>
      </w:r>
      <w:r w:rsidRPr="003A01AC">
        <w:rPr>
          <w:rFonts w:ascii="Cambria" w:hAnsi="Cambria"/>
          <w:iCs/>
          <w:sz w:val="16"/>
          <w:szCs w:val="16"/>
          <w:lang w:val="es-ES_tradnl"/>
        </w:rPr>
        <w:t>The International Bill of Rights: The Covenant on Civil and Political Rights</w:t>
      </w:r>
      <w:r w:rsidRPr="003A01AC">
        <w:rPr>
          <w:rFonts w:ascii="Cambria" w:hAnsi="Cambria"/>
          <w:sz w:val="16"/>
          <w:szCs w:val="16"/>
          <w:lang w:val="es-ES_tradnl"/>
        </w:rPr>
        <w:t>72, 74 (Louis Henkin ed. 1981).</w:t>
      </w:r>
    </w:p>
  </w:footnote>
  <w:footnote w:id="571">
    <w:p w:rsidR="00C00F28" w:rsidRPr="00720683" w:rsidRDefault="00C00F28" w:rsidP="00B053C8">
      <w:pPr>
        <w:pStyle w:val="NoSpacing"/>
        <w:jc w:val="both"/>
        <w:rPr>
          <w:rFonts w:ascii="Cambria" w:hAnsi="Cambria"/>
          <w:color w:val="000000"/>
          <w:sz w:val="16"/>
          <w:szCs w:val="16"/>
          <w:lang w:val="es-US"/>
        </w:rPr>
      </w:pPr>
      <w:r w:rsidRPr="00720683">
        <w:rPr>
          <w:rStyle w:val="FootnoteReference"/>
          <w:rFonts w:ascii="Cambria" w:hAnsi="Cambria"/>
          <w:color w:val="000000"/>
          <w:sz w:val="16"/>
          <w:szCs w:val="16"/>
        </w:rPr>
        <w:footnoteRef/>
      </w:r>
      <w:r w:rsidRPr="00720683">
        <w:rPr>
          <w:rFonts w:ascii="Cambria" w:hAnsi="Cambria"/>
          <w:color w:val="000000"/>
          <w:sz w:val="16"/>
          <w:szCs w:val="16"/>
          <w:lang w:val="es-US"/>
        </w:rPr>
        <w:t xml:space="preserve"> </w:t>
      </w:r>
      <w:r w:rsidRPr="00720683">
        <w:rPr>
          <w:rFonts w:ascii="Cambria" w:hAnsi="Cambria"/>
          <w:color w:val="000000"/>
          <w:sz w:val="16"/>
          <w:szCs w:val="16"/>
          <w:lang w:val="es-ES_tradnl"/>
        </w:rPr>
        <w:t xml:space="preserve">CIDH. Informe No. 112/10, </w:t>
      </w:r>
      <w:r w:rsidRPr="00720683">
        <w:rPr>
          <w:rFonts w:ascii="Cambria" w:hAnsi="Cambria"/>
          <w:color w:val="000000"/>
          <w:sz w:val="16"/>
          <w:szCs w:val="16"/>
          <w:lang w:val="es-ES"/>
        </w:rPr>
        <w:t xml:space="preserve">Petición interestatal PI-02. Admisibilidad. Franklin Guillermo Aisalla Molina, Ecuador vs. Colombia. 21 de octubre de 2010, párr. 91. </w:t>
      </w:r>
    </w:p>
  </w:footnote>
  <w:footnote w:id="572">
    <w:p w:rsidR="00C00F28" w:rsidRPr="00720683" w:rsidRDefault="00C00F28" w:rsidP="00B053C8">
      <w:pPr>
        <w:pStyle w:val="NoSpacing"/>
        <w:jc w:val="both"/>
        <w:rPr>
          <w:rFonts w:ascii="Cambria" w:hAnsi="Cambria"/>
          <w:sz w:val="16"/>
          <w:szCs w:val="16"/>
          <w:lang w:val="es-US"/>
        </w:rPr>
      </w:pPr>
      <w:r w:rsidRPr="00720683">
        <w:rPr>
          <w:rStyle w:val="FootnoteReference"/>
          <w:rFonts w:ascii="Cambria" w:hAnsi="Cambria"/>
          <w:sz w:val="16"/>
          <w:szCs w:val="16"/>
        </w:rPr>
        <w:footnoteRef/>
      </w:r>
      <w:r w:rsidRPr="00720683">
        <w:rPr>
          <w:rFonts w:ascii="Cambria" w:hAnsi="Cambria"/>
          <w:sz w:val="16"/>
          <w:szCs w:val="16"/>
          <w:lang w:val="es-US"/>
        </w:rPr>
        <w:t xml:space="preserve"> </w:t>
      </w:r>
      <w:r w:rsidRPr="00720683">
        <w:rPr>
          <w:rFonts w:ascii="Cambria" w:hAnsi="Cambria"/>
          <w:sz w:val="16"/>
          <w:szCs w:val="16"/>
          <w:lang w:val="es-ES_tradnl"/>
        </w:rPr>
        <w:t xml:space="preserve">CIDH. Informe No. 112/10, </w:t>
      </w:r>
      <w:r w:rsidRPr="00720683">
        <w:rPr>
          <w:rFonts w:ascii="Cambria" w:hAnsi="Cambria"/>
          <w:sz w:val="16"/>
          <w:szCs w:val="16"/>
          <w:lang w:val="es-ES"/>
        </w:rPr>
        <w:t>Petición interestatal PI-02. Admisibilidad. Franklin Guillermo Aisalla Molina, Ecuador vs. Colombia. 21 de octubre de 2010, párr. 91.</w:t>
      </w:r>
    </w:p>
  </w:footnote>
  <w:footnote w:id="573">
    <w:p w:rsidR="00C00F28" w:rsidRPr="00720683" w:rsidRDefault="00C00F28" w:rsidP="00B053C8">
      <w:pPr>
        <w:pStyle w:val="NoSpacing"/>
        <w:jc w:val="both"/>
        <w:rPr>
          <w:rFonts w:ascii="Cambria" w:hAnsi="Cambria"/>
          <w:sz w:val="16"/>
          <w:szCs w:val="16"/>
          <w:lang w:val="es-ES_tradnl"/>
        </w:rPr>
      </w:pPr>
      <w:r w:rsidRPr="00720683">
        <w:rPr>
          <w:rStyle w:val="FootnoteReference"/>
          <w:rFonts w:ascii="Cambria" w:hAnsi="Cambria"/>
          <w:sz w:val="16"/>
          <w:szCs w:val="16"/>
        </w:rPr>
        <w:footnoteRef/>
      </w:r>
      <w:r w:rsidRPr="00720683">
        <w:rPr>
          <w:rFonts w:ascii="Cambria" w:hAnsi="Cambria"/>
          <w:sz w:val="16"/>
          <w:szCs w:val="16"/>
          <w:lang w:val="es-ES_tradnl"/>
        </w:rPr>
        <w:t xml:space="preserve"> CIDH, Informe No. 86/99, Caso </w:t>
      </w:r>
      <w:r>
        <w:rPr>
          <w:rFonts w:ascii="Cambria" w:hAnsi="Cambria"/>
          <w:sz w:val="16"/>
          <w:szCs w:val="16"/>
          <w:lang w:val="es-ES_tradnl"/>
        </w:rPr>
        <w:t xml:space="preserve">No. </w:t>
      </w:r>
      <w:r w:rsidRPr="00720683">
        <w:rPr>
          <w:rFonts w:ascii="Cambria" w:hAnsi="Cambria"/>
          <w:sz w:val="16"/>
          <w:szCs w:val="16"/>
          <w:lang w:val="es-ES_tradnl"/>
        </w:rPr>
        <w:t>11.589, Armando Alejandre Jr y otros, Cuba, 13 de abril de 1999.</w:t>
      </w:r>
    </w:p>
  </w:footnote>
  <w:footnote w:id="574">
    <w:p w:rsidR="00C00F28" w:rsidRPr="00720683" w:rsidRDefault="00C00F28" w:rsidP="00B053C8">
      <w:pPr>
        <w:pStyle w:val="NoSpacing"/>
        <w:jc w:val="both"/>
        <w:rPr>
          <w:rFonts w:ascii="Cambria" w:hAnsi="Cambria"/>
          <w:sz w:val="16"/>
          <w:szCs w:val="16"/>
          <w:lang w:val="es-US"/>
        </w:rPr>
      </w:pPr>
      <w:r w:rsidRPr="00720683">
        <w:rPr>
          <w:rStyle w:val="FootnoteReference"/>
          <w:rFonts w:ascii="Cambria" w:hAnsi="Cambria"/>
          <w:sz w:val="16"/>
          <w:szCs w:val="16"/>
        </w:rPr>
        <w:footnoteRef/>
      </w:r>
      <w:r w:rsidRPr="00720683">
        <w:rPr>
          <w:rFonts w:ascii="Cambria" w:hAnsi="Cambria"/>
          <w:sz w:val="16"/>
          <w:szCs w:val="16"/>
          <w:lang w:val="es-US"/>
        </w:rPr>
        <w:t xml:space="preserve"> </w:t>
      </w:r>
      <w:r w:rsidRPr="00720683">
        <w:rPr>
          <w:rFonts w:ascii="Cambria" w:hAnsi="Cambria"/>
          <w:sz w:val="16"/>
          <w:szCs w:val="16"/>
          <w:lang w:val="es-ES_tradnl"/>
        </w:rPr>
        <w:t xml:space="preserve">CIDH. Informe No. 112/10, </w:t>
      </w:r>
      <w:r w:rsidRPr="00720683">
        <w:rPr>
          <w:rFonts w:ascii="Cambria" w:hAnsi="Cambria"/>
          <w:sz w:val="16"/>
          <w:szCs w:val="16"/>
          <w:lang w:val="es-ES"/>
        </w:rPr>
        <w:t>Petición interestatal PI-02. Admisibilidad. Franklin Guillermo Aisalla Molina, Ecuador vs. Colombia. 21 de octubre de 2010, párr. 91.</w:t>
      </w:r>
    </w:p>
  </w:footnote>
  <w:footnote w:id="575">
    <w:p w:rsidR="00C00F28" w:rsidRPr="00720683" w:rsidRDefault="00C00F28" w:rsidP="00B053C8">
      <w:pPr>
        <w:pStyle w:val="NoSpacing"/>
        <w:jc w:val="both"/>
        <w:rPr>
          <w:rFonts w:ascii="Cambria" w:hAnsi="Cambria"/>
          <w:sz w:val="16"/>
          <w:szCs w:val="16"/>
          <w:lang w:val="es-ES_tradnl"/>
        </w:rPr>
      </w:pPr>
      <w:r w:rsidRPr="00720683">
        <w:rPr>
          <w:rStyle w:val="FootnoteReference"/>
          <w:rFonts w:ascii="Cambria" w:hAnsi="Cambria"/>
          <w:sz w:val="16"/>
          <w:szCs w:val="16"/>
        </w:rPr>
        <w:footnoteRef/>
      </w:r>
      <w:r>
        <w:rPr>
          <w:rFonts w:ascii="Cambria" w:hAnsi="Cambria"/>
          <w:sz w:val="16"/>
          <w:szCs w:val="16"/>
          <w:lang w:val="es-ES_tradnl"/>
        </w:rPr>
        <w:t xml:space="preserve"> Corte EDH, Drozd y Janousek v</w:t>
      </w:r>
      <w:r w:rsidRPr="00720683">
        <w:rPr>
          <w:rFonts w:ascii="Cambria" w:hAnsi="Cambria"/>
          <w:sz w:val="16"/>
          <w:szCs w:val="16"/>
          <w:lang w:val="es-ES_tradnl"/>
        </w:rPr>
        <w:t>. Francia y España, Sentencia del 26 de junio de 1992, párr. 91. Ver también las decisiones de la Comisión Europea de Derechos Humanos en relación a la admisibilida</w:t>
      </w:r>
      <w:r>
        <w:rPr>
          <w:rFonts w:ascii="Cambria" w:hAnsi="Cambria"/>
          <w:sz w:val="16"/>
          <w:szCs w:val="16"/>
          <w:lang w:val="es-ES_tradnl"/>
        </w:rPr>
        <w:t>d de las peticiones 1611/62, X v. l</w:t>
      </w:r>
      <w:r w:rsidRPr="00720683">
        <w:rPr>
          <w:rFonts w:ascii="Cambria" w:hAnsi="Cambria"/>
          <w:sz w:val="16"/>
          <w:szCs w:val="16"/>
          <w:lang w:val="es-ES_tradnl"/>
        </w:rPr>
        <w:t>a República Federal de Alemania, 25 d</w:t>
      </w:r>
      <w:r>
        <w:rPr>
          <w:rFonts w:ascii="Cambria" w:hAnsi="Cambria"/>
          <w:sz w:val="16"/>
          <w:szCs w:val="16"/>
          <w:lang w:val="es-ES_tradnl"/>
        </w:rPr>
        <w:t>e septiembre de 1965; petición N</w:t>
      </w:r>
      <w:r w:rsidRPr="00720683">
        <w:rPr>
          <w:rFonts w:ascii="Cambria" w:hAnsi="Cambria"/>
          <w:sz w:val="16"/>
          <w:szCs w:val="16"/>
          <w:lang w:val="es-ES_tradnl"/>
        </w:rPr>
        <w:t>o. 62</w:t>
      </w:r>
      <w:r>
        <w:rPr>
          <w:rFonts w:ascii="Cambria" w:hAnsi="Cambria"/>
          <w:sz w:val="16"/>
          <w:szCs w:val="16"/>
          <w:lang w:val="es-ES_tradnl"/>
        </w:rPr>
        <w:t>31/73, Hess v</w:t>
      </w:r>
      <w:r w:rsidRPr="00720683">
        <w:rPr>
          <w:rFonts w:ascii="Cambria" w:hAnsi="Cambria"/>
          <w:sz w:val="16"/>
          <w:szCs w:val="16"/>
          <w:lang w:val="es-ES_tradnl"/>
        </w:rPr>
        <w:t>. Reino Unido, 28 de mayo de 1975; petici</w:t>
      </w:r>
      <w:r>
        <w:rPr>
          <w:rFonts w:ascii="Cambria" w:hAnsi="Cambria"/>
          <w:sz w:val="16"/>
          <w:szCs w:val="16"/>
          <w:lang w:val="es-ES_tradnl"/>
        </w:rPr>
        <w:t>ones 6780/74 y 6950/75, Chipre v</w:t>
      </w:r>
      <w:r w:rsidRPr="00720683">
        <w:rPr>
          <w:rFonts w:ascii="Cambria" w:hAnsi="Cambria"/>
          <w:sz w:val="16"/>
          <w:szCs w:val="16"/>
          <w:lang w:val="es-ES_tradnl"/>
        </w:rPr>
        <w:t>. Turquía, 26 de mayo de 1975; peti</w:t>
      </w:r>
      <w:r>
        <w:rPr>
          <w:rFonts w:ascii="Cambria" w:hAnsi="Cambria"/>
          <w:sz w:val="16"/>
          <w:szCs w:val="16"/>
          <w:lang w:val="es-ES_tradnl"/>
        </w:rPr>
        <w:t>ciones 7289/75 y 7349/76, X yY v</w:t>
      </w:r>
      <w:r w:rsidRPr="00720683">
        <w:rPr>
          <w:rFonts w:ascii="Cambria" w:hAnsi="Cambria"/>
          <w:sz w:val="16"/>
          <w:szCs w:val="16"/>
          <w:lang w:val="es-ES_tradnl"/>
        </w:rPr>
        <w:t>. Suiza, 14 de julio</w:t>
      </w:r>
      <w:r>
        <w:rPr>
          <w:rFonts w:ascii="Cambria" w:hAnsi="Cambria"/>
          <w:sz w:val="16"/>
          <w:szCs w:val="16"/>
          <w:lang w:val="es-ES_tradnl"/>
        </w:rPr>
        <w:t xml:space="preserve"> de 1977; petición 9348/81, W. v</w:t>
      </w:r>
      <w:r w:rsidRPr="00720683">
        <w:rPr>
          <w:rFonts w:ascii="Cambria" w:hAnsi="Cambria"/>
          <w:sz w:val="16"/>
          <w:szCs w:val="16"/>
          <w:lang w:val="es-ES_tradnl"/>
        </w:rPr>
        <w:t>. Reino Unido, 28 de febrero de 1983.</w:t>
      </w:r>
    </w:p>
  </w:footnote>
  <w:footnote w:id="576">
    <w:p w:rsidR="00C00F28" w:rsidRPr="00720683" w:rsidRDefault="00C00F28" w:rsidP="00B053C8">
      <w:pPr>
        <w:pStyle w:val="NoSpacing"/>
        <w:jc w:val="both"/>
        <w:rPr>
          <w:rFonts w:ascii="Cambria" w:hAnsi="Cambria"/>
          <w:sz w:val="16"/>
          <w:szCs w:val="16"/>
          <w:lang w:val="es-ES_tradnl"/>
        </w:rPr>
      </w:pPr>
      <w:r w:rsidRPr="00720683">
        <w:rPr>
          <w:rStyle w:val="FootnoteReference"/>
          <w:rFonts w:ascii="Cambria" w:hAnsi="Cambria"/>
          <w:sz w:val="16"/>
          <w:szCs w:val="16"/>
        </w:rPr>
        <w:footnoteRef/>
      </w:r>
      <w:r>
        <w:rPr>
          <w:rFonts w:ascii="Cambria" w:hAnsi="Cambria"/>
          <w:sz w:val="16"/>
          <w:szCs w:val="16"/>
          <w:lang w:val="es-ES_tradnl"/>
        </w:rPr>
        <w:t xml:space="preserve"> Corte EDH. Ilascu y otros v</w:t>
      </w:r>
      <w:r w:rsidRPr="00720683">
        <w:rPr>
          <w:rFonts w:ascii="Cambria" w:hAnsi="Cambria"/>
          <w:sz w:val="16"/>
          <w:szCs w:val="16"/>
          <w:lang w:val="es-ES_tradnl"/>
        </w:rPr>
        <w:t>. Moldavia y Rusia, [GC] No. 48787/99, julio 8 de 2004, párr. 311.</w:t>
      </w:r>
    </w:p>
  </w:footnote>
  <w:footnote w:id="577">
    <w:p w:rsidR="00C00F28" w:rsidRPr="00720683" w:rsidRDefault="00C00F28" w:rsidP="00B053C8">
      <w:pPr>
        <w:pStyle w:val="NoSpacing"/>
        <w:jc w:val="both"/>
        <w:rPr>
          <w:rFonts w:ascii="Cambria" w:hAnsi="Cambria"/>
          <w:sz w:val="16"/>
          <w:szCs w:val="16"/>
          <w:lang w:val="es-ES_tradnl"/>
        </w:rPr>
      </w:pPr>
      <w:r w:rsidRPr="00720683">
        <w:rPr>
          <w:rStyle w:val="FootnoteReference"/>
          <w:rFonts w:ascii="Cambria" w:hAnsi="Cambria"/>
          <w:sz w:val="16"/>
          <w:szCs w:val="16"/>
        </w:rPr>
        <w:footnoteRef/>
      </w:r>
      <w:r>
        <w:rPr>
          <w:rFonts w:ascii="Cambria" w:hAnsi="Cambria"/>
          <w:sz w:val="16"/>
          <w:szCs w:val="16"/>
          <w:lang w:val="es-ES_tradnl"/>
        </w:rPr>
        <w:t xml:space="preserve"> Corte EDH.</w:t>
      </w:r>
      <w:r w:rsidRPr="00720683">
        <w:rPr>
          <w:rFonts w:ascii="Cambria" w:hAnsi="Cambria"/>
          <w:sz w:val="16"/>
          <w:szCs w:val="16"/>
          <w:lang w:val="es-ES_tradnl"/>
        </w:rPr>
        <w:t xml:space="preserve"> Bankovic y </w:t>
      </w:r>
      <w:r>
        <w:rPr>
          <w:rFonts w:ascii="Cambria" w:hAnsi="Cambria"/>
          <w:sz w:val="16"/>
          <w:szCs w:val="16"/>
          <w:lang w:val="es-ES_tradnl"/>
        </w:rPr>
        <w:t>otros v</w:t>
      </w:r>
      <w:r w:rsidRPr="00720683">
        <w:rPr>
          <w:rFonts w:ascii="Cambria" w:hAnsi="Cambria"/>
          <w:sz w:val="16"/>
          <w:szCs w:val="16"/>
          <w:lang w:val="es-ES_tradnl"/>
        </w:rPr>
        <w:t>. Bélgica y otros, Sentencia del 12 de diciembre de 2001, párrs. 59-61.</w:t>
      </w:r>
    </w:p>
  </w:footnote>
  <w:footnote w:id="578">
    <w:p w:rsidR="00C00F28" w:rsidRPr="00720683" w:rsidRDefault="00C00F28" w:rsidP="00B053C8">
      <w:pPr>
        <w:pStyle w:val="NoSpacing"/>
        <w:jc w:val="both"/>
        <w:rPr>
          <w:rFonts w:ascii="Cambria" w:hAnsi="Cambria"/>
          <w:sz w:val="16"/>
          <w:szCs w:val="16"/>
          <w:lang w:val="es-US"/>
        </w:rPr>
      </w:pPr>
      <w:r w:rsidRPr="00720683">
        <w:rPr>
          <w:rStyle w:val="FootnoteReference"/>
          <w:rFonts w:ascii="Cambria" w:hAnsi="Cambria"/>
          <w:sz w:val="16"/>
          <w:szCs w:val="16"/>
        </w:rPr>
        <w:footnoteRef/>
      </w:r>
      <w:r w:rsidRPr="00720683">
        <w:rPr>
          <w:rFonts w:ascii="Cambria" w:hAnsi="Cambria"/>
          <w:sz w:val="16"/>
          <w:szCs w:val="16"/>
          <w:lang w:val="es-US"/>
        </w:rPr>
        <w:t xml:space="preserve"> </w:t>
      </w:r>
      <w:r w:rsidRPr="00720683">
        <w:rPr>
          <w:rFonts w:ascii="Cambria" w:hAnsi="Cambria"/>
          <w:sz w:val="16"/>
          <w:szCs w:val="16"/>
          <w:lang w:val="es-ES_tradnl"/>
        </w:rPr>
        <w:t xml:space="preserve">CIDH. Informe No. 112/10, </w:t>
      </w:r>
      <w:r w:rsidRPr="00720683">
        <w:rPr>
          <w:rFonts w:ascii="Cambria" w:hAnsi="Cambria"/>
          <w:sz w:val="16"/>
          <w:szCs w:val="16"/>
          <w:lang w:val="es-ES"/>
        </w:rPr>
        <w:t>Petición interestatal PI-02. Admisibilidad</w:t>
      </w:r>
      <w:r>
        <w:rPr>
          <w:rFonts w:ascii="Cambria" w:hAnsi="Cambria"/>
          <w:sz w:val="16"/>
          <w:szCs w:val="16"/>
          <w:lang w:val="es-ES"/>
        </w:rPr>
        <w:t xml:space="preserve">. </w:t>
      </w:r>
      <w:r w:rsidRPr="00720683">
        <w:rPr>
          <w:rFonts w:ascii="Cambria" w:hAnsi="Cambria"/>
          <w:sz w:val="16"/>
          <w:szCs w:val="16"/>
          <w:lang w:val="es-ES"/>
        </w:rPr>
        <w:t xml:space="preserve">Franklin Guillermo Aisalla Molina, Ecuador vs. Colombia. 21 de octubre de 2010, párr. 95. </w:t>
      </w:r>
    </w:p>
  </w:footnote>
  <w:footnote w:id="579">
    <w:p w:rsidR="00C00F28" w:rsidRPr="00713E68" w:rsidRDefault="00C00F28" w:rsidP="00B053C8">
      <w:pPr>
        <w:pStyle w:val="NoSpacing"/>
        <w:jc w:val="both"/>
        <w:rPr>
          <w:rFonts w:ascii="Cambria" w:hAnsi="Cambria"/>
          <w:sz w:val="16"/>
          <w:szCs w:val="16"/>
          <w:lang w:val="es-ES"/>
        </w:rPr>
      </w:pPr>
      <w:r w:rsidRPr="00720683">
        <w:rPr>
          <w:rStyle w:val="FootnoteReference"/>
          <w:rFonts w:ascii="Cambria" w:hAnsi="Cambria"/>
          <w:sz w:val="16"/>
          <w:szCs w:val="16"/>
        </w:rPr>
        <w:footnoteRef/>
      </w:r>
      <w:r>
        <w:rPr>
          <w:rFonts w:ascii="Cambria" w:hAnsi="Cambria"/>
          <w:sz w:val="16"/>
          <w:szCs w:val="16"/>
          <w:lang w:val="es-ES_tradnl"/>
        </w:rPr>
        <w:t xml:space="preserve"> CIJ.</w:t>
      </w:r>
      <w:r w:rsidRPr="00720683">
        <w:rPr>
          <w:rFonts w:ascii="Cambria" w:hAnsi="Cambria"/>
          <w:sz w:val="16"/>
          <w:szCs w:val="16"/>
          <w:lang w:val="es-ES_tradnl"/>
        </w:rPr>
        <w:t xml:space="preserve"> Opinión consultiva de la Corte Internacional de Justicia sobre las consecuencias jurídicas de la construcción del muro en territorio palestino ocupado, 9 de Julio de 2004, párr. </w:t>
      </w:r>
      <w:r w:rsidRPr="00713E68">
        <w:rPr>
          <w:rFonts w:ascii="Cambria" w:hAnsi="Cambria"/>
          <w:sz w:val="16"/>
          <w:szCs w:val="16"/>
          <w:lang w:val="es-ES"/>
        </w:rPr>
        <w:t xml:space="preserve">109. </w:t>
      </w:r>
    </w:p>
  </w:footnote>
  <w:footnote w:id="580">
    <w:p w:rsidR="00C00F28" w:rsidRPr="00713E68" w:rsidRDefault="00C00F28" w:rsidP="00B053C8">
      <w:pPr>
        <w:pStyle w:val="NoSpacing"/>
        <w:jc w:val="both"/>
        <w:rPr>
          <w:rFonts w:ascii="Cambria" w:hAnsi="Cambria"/>
          <w:sz w:val="16"/>
          <w:szCs w:val="16"/>
          <w:lang w:val="es-ES"/>
        </w:rPr>
      </w:pPr>
      <w:r w:rsidRPr="00720683">
        <w:rPr>
          <w:rStyle w:val="FootnoteReference"/>
          <w:rFonts w:ascii="Cambria" w:hAnsi="Cambria"/>
          <w:sz w:val="16"/>
          <w:szCs w:val="16"/>
        </w:rPr>
        <w:footnoteRef/>
      </w:r>
      <w:r w:rsidRPr="00713E68">
        <w:rPr>
          <w:rFonts w:ascii="Cambria" w:hAnsi="Cambria"/>
          <w:sz w:val="16"/>
          <w:szCs w:val="16"/>
          <w:lang w:val="es-ES"/>
        </w:rPr>
        <w:t xml:space="preserve"> CIJ. Caso relacionado con las actividades armadas en el Territorio del Congo (República Democrática del Congo v. Uganda), 19 de diciembre de 2005, párr.216.</w:t>
      </w:r>
    </w:p>
  </w:footnote>
  <w:footnote w:id="581">
    <w:p w:rsidR="00C00F28" w:rsidRPr="008D2862" w:rsidRDefault="00C00F28" w:rsidP="00B053C8">
      <w:pPr>
        <w:pStyle w:val="NoSpacing"/>
        <w:jc w:val="both"/>
        <w:rPr>
          <w:rFonts w:ascii="Cambria" w:hAnsi="Cambria"/>
          <w:sz w:val="16"/>
          <w:szCs w:val="16"/>
          <w:lang w:val="es-ES_tradnl"/>
        </w:rPr>
      </w:pPr>
      <w:r w:rsidRPr="00720683">
        <w:rPr>
          <w:rStyle w:val="FootnoteReference"/>
          <w:rFonts w:ascii="Cambria" w:hAnsi="Cambria"/>
          <w:sz w:val="16"/>
          <w:szCs w:val="16"/>
        </w:rPr>
        <w:footnoteRef/>
      </w:r>
      <w:r>
        <w:rPr>
          <w:rFonts w:ascii="Cambria" w:hAnsi="Cambria"/>
          <w:sz w:val="16"/>
          <w:szCs w:val="16"/>
          <w:lang w:val="es-ES_tradnl"/>
        </w:rPr>
        <w:t>Ver Comité de Derechos Humanos. López Burgos v</w:t>
      </w:r>
      <w:r w:rsidRPr="00720683">
        <w:rPr>
          <w:rFonts w:ascii="Cambria" w:hAnsi="Cambria"/>
          <w:sz w:val="16"/>
          <w:szCs w:val="16"/>
          <w:lang w:val="es-ES_tradnl"/>
        </w:rPr>
        <w:t xml:space="preserve">. Uruguay, Doc. ONU CCPR/C/13/D/52/1979, </w:t>
      </w:r>
      <w:r>
        <w:rPr>
          <w:rFonts w:ascii="Cambria" w:hAnsi="Cambria"/>
          <w:sz w:val="16"/>
          <w:szCs w:val="16"/>
          <w:lang w:val="es-ES_tradnl"/>
        </w:rPr>
        <w:t>29 de julio de 1981; Celiberti v</w:t>
      </w:r>
      <w:r w:rsidRPr="00720683">
        <w:rPr>
          <w:rFonts w:ascii="Cambria" w:hAnsi="Cambria"/>
          <w:sz w:val="16"/>
          <w:szCs w:val="16"/>
          <w:lang w:val="es-ES_tradnl"/>
        </w:rPr>
        <w:t>. Uruguay, Doc. ONU CCPR/C/13/D/56/1979, 29 de julio de 1981; Observaciones Finales sobre Chipre, Doc. ONU CCPR/C/79/Add.39, 21 de septiembre de 1994, párr.3; Observaciones Finales sobre Israel, Doc. ONU CCPR/C/79/Add.93, 18 de agosto de 1998, párr.10; Observaciones Finales sobre Israel, Doc. ONU CCPR/CO/78/ISR, 21 de agosto de 2003, párr.11; Observaciones Finales sobre Bélgica, Doc. ONU CCPR/C/79/Add.99, 19 de noviembre de 1998, párr. 14; Observaciones Finales sobre los Países Bajos, Doc. ONU CCPR/CO/72/NET, 27 de agosto de 2001</w:t>
      </w:r>
      <w:r w:rsidRPr="008D2862">
        <w:rPr>
          <w:rFonts w:ascii="Cambria" w:hAnsi="Cambria"/>
          <w:sz w:val="16"/>
          <w:szCs w:val="16"/>
          <w:lang w:val="es-ES_tradnl"/>
        </w:rPr>
        <w:t>, párr. 8; y Observaciones Finales sobre Bélgica, Doc. ONU CCPR/CO/81/BEL, 12 de agosto de 2004, párr. 6.</w:t>
      </w:r>
    </w:p>
  </w:footnote>
  <w:footnote w:id="582">
    <w:p w:rsidR="00C00F28" w:rsidRPr="008D2862" w:rsidRDefault="00C00F28" w:rsidP="00B053C8">
      <w:pPr>
        <w:pStyle w:val="NoSpacing"/>
        <w:jc w:val="both"/>
        <w:rPr>
          <w:rFonts w:ascii="Cambria" w:hAnsi="Cambria"/>
          <w:color w:val="000000"/>
          <w:sz w:val="16"/>
          <w:szCs w:val="16"/>
          <w:lang w:val="es-ES"/>
        </w:rPr>
      </w:pPr>
      <w:r w:rsidRPr="008D2862">
        <w:rPr>
          <w:rStyle w:val="FootnoteReference"/>
          <w:rFonts w:ascii="Cambria" w:hAnsi="Cambria"/>
          <w:color w:val="000000"/>
          <w:sz w:val="16"/>
          <w:szCs w:val="16"/>
        </w:rPr>
        <w:footnoteRef/>
      </w:r>
      <w:r w:rsidRPr="008D2862">
        <w:rPr>
          <w:rFonts w:ascii="Cambria" w:hAnsi="Cambria"/>
          <w:color w:val="000000"/>
          <w:sz w:val="16"/>
          <w:szCs w:val="16"/>
          <w:lang w:val="es-ES_tradnl"/>
        </w:rPr>
        <w:t xml:space="preserve"> Ver CIDH. Informe No. 109/99, Caso </w:t>
      </w:r>
      <w:r>
        <w:rPr>
          <w:rFonts w:ascii="Cambria" w:hAnsi="Cambria"/>
          <w:color w:val="000000"/>
          <w:sz w:val="16"/>
          <w:szCs w:val="16"/>
          <w:lang w:val="es-ES_tradnl"/>
        </w:rPr>
        <w:t xml:space="preserve">No. </w:t>
      </w:r>
      <w:r w:rsidRPr="008D2862">
        <w:rPr>
          <w:rFonts w:ascii="Cambria" w:hAnsi="Cambria"/>
          <w:color w:val="000000"/>
          <w:sz w:val="16"/>
          <w:szCs w:val="16"/>
          <w:lang w:val="es-ES_tradnl"/>
        </w:rPr>
        <w:t xml:space="preserve">10.951, Coard y otros (Estados Unidos). 29 de septiembre de 1999, párr. 37; CIDH. Informe No. 14/94, </w:t>
      </w:r>
      <w:r>
        <w:rPr>
          <w:rFonts w:ascii="Cambria" w:hAnsi="Cambria"/>
          <w:color w:val="000000"/>
          <w:sz w:val="16"/>
          <w:szCs w:val="16"/>
          <w:lang w:val="es-ES_tradnl"/>
        </w:rPr>
        <w:t>Caso</w:t>
      </w:r>
      <w:r w:rsidRPr="008D2862">
        <w:rPr>
          <w:rFonts w:ascii="Cambria" w:hAnsi="Cambria"/>
          <w:color w:val="000000"/>
          <w:sz w:val="16"/>
          <w:szCs w:val="16"/>
          <w:lang w:val="es-ES_tradnl"/>
        </w:rPr>
        <w:t xml:space="preserve"> </w:t>
      </w:r>
      <w:r>
        <w:rPr>
          <w:rFonts w:ascii="Cambria" w:hAnsi="Cambria"/>
          <w:color w:val="000000"/>
          <w:sz w:val="16"/>
          <w:szCs w:val="16"/>
          <w:lang w:val="es-ES_tradnl"/>
        </w:rPr>
        <w:t xml:space="preserve">No. </w:t>
      </w:r>
      <w:r w:rsidRPr="008D2862">
        <w:rPr>
          <w:rFonts w:ascii="Cambria" w:hAnsi="Cambria"/>
          <w:color w:val="000000"/>
          <w:sz w:val="16"/>
          <w:szCs w:val="16"/>
          <w:lang w:val="es-ES_tradnl"/>
        </w:rPr>
        <w:t xml:space="preserve">10.951, Callistus Bernard y otros (Estados Unidos). 7 de febrero de 1994, párrs. 6 y 8; CIDH. Informe No. 31/93 </w:t>
      </w:r>
      <w:r>
        <w:rPr>
          <w:rFonts w:ascii="Cambria" w:hAnsi="Cambria"/>
          <w:color w:val="000000"/>
          <w:sz w:val="16"/>
          <w:szCs w:val="16"/>
          <w:lang w:val="es-ES_tradnl"/>
        </w:rPr>
        <w:t>C</w:t>
      </w:r>
      <w:r w:rsidRPr="008D2862">
        <w:rPr>
          <w:rFonts w:ascii="Cambria" w:hAnsi="Cambria"/>
          <w:color w:val="000000"/>
          <w:sz w:val="16"/>
          <w:szCs w:val="16"/>
          <w:lang w:val="es-ES_tradnl"/>
        </w:rPr>
        <w:t xml:space="preserve">aso </w:t>
      </w:r>
      <w:r>
        <w:rPr>
          <w:rFonts w:ascii="Cambria" w:hAnsi="Cambria"/>
          <w:color w:val="000000"/>
          <w:sz w:val="16"/>
          <w:szCs w:val="16"/>
          <w:lang w:val="es-ES_tradnl"/>
        </w:rPr>
        <w:t xml:space="preserve">No. </w:t>
      </w:r>
      <w:r w:rsidRPr="008D2862">
        <w:rPr>
          <w:rFonts w:ascii="Cambria" w:hAnsi="Cambria"/>
          <w:color w:val="000000"/>
          <w:sz w:val="16"/>
          <w:szCs w:val="16"/>
          <w:lang w:val="es-ES_tradnl"/>
        </w:rPr>
        <w:t xml:space="preserve">10.573, Salas (Estados Unidos), 14 de octubre de 1993, párr. 6; CIDH. Informe No. 112/10, </w:t>
      </w:r>
      <w:r w:rsidRPr="008D2862">
        <w:rPr>
          <w:rFonts w:ascii="Cambria" w:hAnsi="Cambria"/>
          <w:color w:val="000000"/>
          <w:sz w:val="16"/>
          <w:szCs w:val="16"/>
          <w:lang w:val="es-ES"/>
        </w:rPr>
        <w:t xml:space="preserve">Petición interestatal PI-02. Admisibilidad. Caso Franklin Guillermo Aisalla Molina, Ecuador vs. Colombia. 21 de octubre de 2010, párr. 98; </w:t>
      </w:r>
      <w:r w:rsidRPr="008D2862">
        <w:rPr>
          <w:rFonts w:ascii="Cambria" w:hAnsi="Cambria"/>
          <w:color w:val="000000"/>
          <w:sz w:val="16"/>
          <w:szCs w:val="16"/>
          <w:lang w:val="es-ES_tradnl"/>
        </w:rPr>
        <w:t xml:space="preserve">CIDH, Informe No. 86/99, Caso </w:t>
      </w:r>
      <w:r>
        <w:rPr>
          <w:rFonts w:ascii="Cambria" w:hAnsi="Cambria"/>
          <w:color w:val="000000"/>
          <w:sz w:val="16"/>
          <w:szCs w:val="16"/>
          <w:lang w:val="es-ES_tradnl"/>
        </w:rPr>
        <w:t xml:space="preserve">No. </w:t>
      </w:r>
      <w:r w:rsidRPr="008D2862">
        <w:rPr>
          <w:rFonts w:ascii="Cambria" w:hAnsi="Cambria"/>
          <w:color w:val="000000"/>
          <w:sz w:val="16"/>
          <w:szCs w:val="16"/>
          <w:lang w:val="es-ES_tradnl"/>
        </w:rPr>
        <w:t>11.589, Armando Alejandre Jr y otros, Cuba, 13 de abril de 1999.</w:t>
      </w:r>
    </w:p>
  </w:footnote>
  <w:footnote w:id="583">
    <w:p w:rsidR="00C00F28" w:rsidRPr="008D2862" w:rsidRDefault="00C00F28" w:rsidP="00B053C8">
      <w:pPr>
        <w:pStyle w:val="FootnoteText"/>
        <w:jc w:val="both"/>
        <w:rPr>
          <w:rFonts w:ascii="Cambria" w:hAnsi="Cambria"/>
          <w:sz w:val="16"/>
          <w:szCs w:val="16"/>
          <w:lang w:val="es-ES_tradnl"/>
        </w:rPr>
      </w:pPr>
      <w:r w:rsidRPr="008D2862">
        <w:rPr>
          <w:rStyle w:val="FootnoteReference"/>
          <w:rFonts w:ascii="Cambria" w:hAnsi="Cambria"/>
          <w:sz w:val="16"/>
          <w:szCs w:val="16"/>
        </w:rPr>
        <w:footnoteRef/>
      </w:r>
      <w:r w:rsidRPr="008D2862">
        <w:rPr>
          <w:rFonts w:ascii="Cambria" w:hAnsi="Cambria"/>
          <w:sz w:val="16"/>
          <w:szCs w:val="16"/>
          <w:lang w:val="es-US"/>
        </w:rPr>
        <w:t xml:space="preserve"> </w:t>
      </w:r>
      <w:r w:rsidRPr="008D2862">
        <w:rPr>
          <w:rFonts w:ascii="Cambria" w:hAnsi="Cambria"/>
          <w:sz w:val="16"/>
          <w:szCs w:val="16"/>
          <w:lang w:val="es-ES_tradnl"/>
        </w:rPr>
        <w:t>CIDH, Informe No. 86/99, Caso 11.589, Armando Alejandre Jr y otros, Cuba, 13 de abril de 1999; Corte IDH.</w:t>
      </w:r>
      <w:r>
        <w:rPr>
          <w:rFonts w:ascii="Cambria" w:hAnsi="Cambria"/>
          <w:sz w:val="16"/>
          <w:szCs w:val="16"/>
          <w:lang w:val="es-ES_tradnl"/>
        </w:rPr>
        <w:t xml:space="preserve"> Caso Masacre de Santo Domingo v</w:t>
      </w:r>
      <w:r w:rsidRPr="008D2862">
        <w:rPr>
          <w:rFonts w:ascii="Cambria" w:hAnsi="Cambria"/>
          <w:sz w:val="16"/>
          <w:szCs w:val="16"/>
          <w:lang w:val="es-ES_tradnl"/>
        </w:rPr>
        <w:t>s. Colombia. Excepciones Preliminares, Fondo y Reparaciones. Sentencia de 30 de noviembre de 2012. Serie C No. 259.</w:t>
      </w:r>
    </w:p>
  </w:footnote>
  <w:footnote w:id="584">
    <w:p w:rsidR="00C00F28" w:rsidRPr="008D2862" w:rsidRDefault="00C00F28" w:rsidP="00B053C8">
      <w:pPr>
        <w:pStyle w:val="NoSpacing"/>
        <w:jc w:val="both"/>
        <w:rPr>
          <w:rFonts w:ascii="Cambria" w:hAnsi="Cambria"/>
          <w:color w:val="000000"/>
          <w:sz w:val="16"/>
          <w:szCs w:val="16"/>
          <w:lang w:val="es-US"/>
        </w:rPr>
      </w:pPr>
      <w:r w:rsidRPr="008D2862">
        <w:rPr>
          <w:rStyle w:val="FootnoteReference"/>
          <w:rFonts w:ascii="Cambria" w:hAnsi="Cambria"/>
          <w:color w:val="000000"/>
          <w:sz w:val="16"/>
          <w:szCs w:val="16"/>
        </w:rPr>
        <w:footnoteRef/>
      </w:r>
      <w:r w:rsidRPr="008D2862">
        <w:rPr>
          <w:rFonts w:ascii="Cambria" w:hAnsi="Cambria"/>
          <w:color w:val="000000"/>
          <w:sz w:val="16"/>
          <w:szCs w:val="16"/>
          <w:lang w:val="es-US"/>
        </w:rPr>
        <w:t xml:space="preserve"> </w:t>
      </w:r>
      <w:r w:rsidRPr="008D2862">
        <w:rPr>
          <w:rFonts w:ascii="Cambria" w:hAnsi="Cambria"/>
          <w:color w:val="000000"/>
          <w:sz w:val="16"/>
          <w:szCs w:val="16"/>
          <w:lang w:val="es-ES_tradnl"/>
        </w:rPr>
        <w:t xml:space="preserve">CIDH. Informe No. 112/10, </w:t>
      </w:r>
      <w:r w:rsidRPr="008D2862">
        <w:rPr>
          <w:rFonts w:ascii="Cambria" w:hAnsi="Cambria"/>
          <w:color w:val="000000"/>
          <w:sz w:val="16"/>
          <w:szCs w:val="16"/>
          <w:lang w:val="es-ES"/>
        </w:rPr>
        <w:t xml:space="preserve">Petición interestatal PI-02. Admisibilidad. Caso Franklin Guillermo Aisalla Molina, Ecuador vs. Colombia. 21 de octubre de 2010, párr. 98 y ss. </w:t>
      </w:r>
    </w:p>
  </w:footnote>
  <w:footnote w:id="585">
    <w:p w:rsidR="00C00F28" w:rsidRPr="008D2862" w:rsidRDefault="00C00F28" w:rsidP="00B053C8">
      <w:pPr>
        <w:pStyle w:val="FootnoteText"/>
        <w:jc w:val="both"/>
        <w:rPr>
          <w:rFonts w:ascii="Cambria" w:hAnsi="Cambria"/>
          <w:sz w:val="16"/>
          <w:szCs w:val="16"/>
          <w:lang w:val="es-US"/>
        </w:rPr>
      </w:pPr>
      <w:r w:rsidRPr="008D2862">
        <w:rPr>
          <w:rStyle w:val="FootnoteReference"/>
          <w:rFonts w:ascii="Cambria" w:hAnsi="Cambria"/>
          <w:sz w:val="16"/>
          <w:szCs w:val="16"/>
        </w:rPr>
        <w:footnoteRef/>
      </w:r>
      <w:r w:rsidRPr="008D2862">
        <w:rPr>
          <w:rFonts w:ascii="Cambria" w:hAnsi="Cambria"/>
          <w:sz w:val="16"/>
          <w:szCs w:val="16"/>
          <w:lang w:val="es-US"/>
        </w:rPr>
        <w:t xml:space="preserve"> </w:t>
      </w:r>
      <w:r w:rsidRPr="008D2862">
        <w:rPr>
          <w:rFonts w:ascii="Cambria" w:hAnsi="Cambria" w:cs="Times New Roman"/>
          <w:sz w:val="16"/>
          <w:szCs w:val="16"/>
          <w:lang w:val="es-ES_tradnl"/>
        </w:rPr>
        <w:t xml:space="preserve">CIDH. Informe No. 112/10, </w:t>
      </w:r>
      <w:r w:rsidRPr="008D2862">
        <w:rPr>
          <w:rFonts w:ascii="Cambria" w:hAnsi="Cambria" w:cs="Times New Roman"/>
          <w:sz w:val="16"/>
          <w:szCs w:val="16"/>
          <w:lang w:val="es-ES"/>
        </w:rPr>
        <w:t>Petición interestatal PI-02. Admisibilidad.</w:t>
      </w:r>
      <w:r>
        <w:rPr>
          <w:rFonts w:ascii="Cambria" w:hAnsi="Cambria" w:cs="Times New Roman"/>
          <w:sz w:val="16"/>
          <w:szCs w:val="16"/>
          <w:lang w:val="es-ES"/>
        </w:rPr>
        <w:t xml:space="preserve"> Caso</w:t>
      </w:r>
      <w:r w:rsidRPr="008D2862">
        <w:rPr>
          <w:rFonts w:ascii="Cambria" w:hAnsi="Cambria" w:cs="Times New Roman"/>
          <w:sz w:val="16"/>
          <w:szCs w:val="16"/>
          <w:lang w:val="es-ES"/>
        </w:rPr>
        <w:t xml:space="preserve"> Franklin Guillermo Aisalla Molina, Ecuador vs. Colombia. 21 de octubre de 2010, párr. 99.</w:t>
      </w:r>
    </w:p>
  </w:footnote>
  <w:footnote w:id="586">
    <w:p w:rsidR="00C00F28" w:rsidRPr="008D2862" w:rsidRDefault="00C00F28" w:rsidP="00B053C8">
      <w:pPr>
        <w:pStyle w:val="NoSpacing"/>
        <w:jc w:val="both"/>
        <w:rPr>
          <w:rFonts w:ascii="Cambria" w:hAnsi="Cambria"/>
          <w:sz w:val="16"/>
          <w:szCs w:val="16"/>
          <w:lang w:val="es-ES_tradnl"/>
        </w:rPr>
      </w:pPr>
      <w:r w:rsidRPr="008D2862">
        <w:rPr>
          <w:rStyle w:val="FootnoteReference"/>
          <w:rFonts w:ascii="Cambria" w:hAnsi="Cambria"/>
          <w:sz w:val="16"/>
          <w:szCs w:val="16"/>
        </w:rPr>
        <w:footnoteRef/>
      </w:r>
      <w:r>
        <w:rPr>
          <w:rFonts w:ascii="Cambria" w:hAnsi="Cambria"/>
          <w:sz w:val="16"/>
          <w:szCs w:val="16"/>
          <w:lang w:val="es-ES_tradnl"/>
        </w:rPr>
        <w:t xml:space="preserve"> Corte EDH, Loizidou v</w:t>
      </w:r>
      <w:r w:rsidRPr="008D2862">
        <w:rPr>
          <w:rFonts w:ascii="Cambria" w:hAnsi="Cambria"/>
          <w:sz w:val="16"/>
          <w:szCs w:val="16"/>
          <w:lang w:val="es-ES_tradnl"/>
        </w:rPr>
        <w:t xml:space="preserve">. Turquía (Objeciones preliminares), Sentencia del 23 de marzo de 1995, </w:t>
      </w:r>
      <w:r>
        <w:rPr>
          <w:rFonts w:ascii="Cambria" w:hAnsi="Cambria"/>
          <w:sz w:val="16"/>
          <w:szCs w:val="16"/>
          <w:lang w:val="es-ES_tradnl"/>
        </w:rPr>
        <w:t>párr. 62 y Corte EDH, Loizidou v</w:t>
      </w:r>
      <w:r w:rsidRPr="008D2862">
        <w:rPr>
          <w:rFonts w:ascii="Cambria" w:hAnsi="Cambria"/>
          <w:sz w:val="16"/>
          <w:szCs w:val="16"/>
          <w:lang w:val="es-ES_tradnl"/>
        </w:rPr>
        <w:t>. Turquía, Sentencia del 18 de diciembre de 1996.</w:t>
      </w:r>
    </w:p>
  </w:footnote>
  <w:footnote w:id="587">
    <w:p w:rsidR="00C00F28" w:rsidRPr="00720683" w:rsidRDefault="00C00F28" w:rsidP="00B053C8">
      <w:pPr>
        <w:pStyle w:val="NoSpacing"/>
        <w:jc w:val="both"/>
        <w:rPr>
          <w:rFonts w:ascii="Cambria" w:hAnsi="Cambria"/>
          <w:sz w:val="16"/>
          <w:szCs w:val="16"/>
          <w:lang w:val="es-ES_tradnl"/>
        </w:rPr>
      </w:pPr>
      <w:r w:rsidRPr="008D2862">
        <w:rPr>
          <w:rStyle w:val="FootnoteReference"/>
          <w:rFonts w:ascii="Cambria" w:hAnsi="Cambria"/>
          <w:sz w:val="16"/>
          <w:szCs w:val="16"/>
        </w:rPr>
        <w:footnoteRef/>
      </w:r>
      <w:r>
        <w:rPr>
          <w:rFonts w:ascii="Cambria" w:hAnsi="Cambria"/>
          <w:sz w:val="16"/>
          <w:szCs w:val="16"/>
          <w:lang w:val="es-ES_tradnl"/>
        </w:rPr>
        <w:t xml:space="preserve"> Corte EDH, Loizidou v</w:t>
      </w:r>
      <w:r w:rsidRPr="008D2862">
        <w:rPr>
          <w:rFonts w:ascii="Cambria" w:hAnsi="Cambria"/>
          <w:sz w:val="16"/>
          <w:szCs w:val="16"/>
          <w:lang w:val="es-ES_tradnl"/>
        </w:rPr>
        <w:t>. Turquía (Objeciones preliminares), Sentencia</w:t>
      </w:r>
      <w:r w:rsidRPr="00720683">
        <w:rPr>
          <w:rFonts w:ascii="Cambria" w:hAnsi="Cambria"/>
          <w:sz w:val="16"/>
          <w:szCs w:val="16"/>
          <w:lang w:val="es-ES_tradnl"/>
        </w:rPr>
        <w:t xml:space="preserve"> del 23 de marzo de 1995, párr. 62.</w:t>
      </w:r>
    </w:p>
  </w:footnote>
  <w:footnote w:id="588">
    <w:p w:rsidR="00C00F28" w:rsidRPr="00720683" w:rsidRDefault="00C00F28" w:rsidP="00B053C8">
      <w:pPr>
        <w:pStyle w:val="NoSpacing"/>
        <w:jc w:val="both"/>
        <w:rPr>
          <w:rFonts w:ascii="Cambria" w:hAnsi="Cambria"/>
          <w:sz w:val="16"/>
          <w:szCs w:val="16"/>
          <w:lang w:val="es-ES_tradnl"/>
        </w:rPr>
      </w:pPr>
      <w:r w:rsidRPr="00720683">
        <w:rPr>
          <w:rStyle w:val="FootnoteReference"/>
          <w:rFonts w:ascii="Cambria" w:hAnsi="Cambria"/>
          <w:sz w:val="16"/>
          <w:szCs w:val="16"/>
        </w:rPr>
        <w:footnoteRef/>
      </w:r>
      <w:r>
        <w:rPr>
          <w:rFonts w:ascii="Cambria" w:hAnsi="Cambria"/>
          <w:sz w:val="16"/>
          <w:szCs w:val="16"/>
          <w:lang w:val="es-ES_tradnl"/>
        </w:rPr>
        <w:t xml:space="preserve"> Corte EDH, Issa y otros v</w:t>
      </w:r>
      <w:r w:rsidRPr="00720683">
        <w:rPr>
          <w:rFonts w:ascii="Cambria" w:hAnsi="Cambria"/>
          <w:sz w:val="16"/>
          <w:szCs w:val="16"/>
          <w:lang w:val="es-ES_tradnl"/>
        </w:rPr>
        <w:t xml:space="preserve">. Turquía, Sentencia del 16 </w:t>
      </w:r>
      <w:r>
        <w:rPr>
          <w:rFonts w:ascii="Cambria" w:hAnsi="Cambria"/>
          <w:sz w:val="16"/>
          <w:szCs w:val="16"/>
          <w:lang w:val="es-ES_tradnl"/>
        </w:rPr>
        <w:t>n</w:t>
      </w:r>
      <w:r w:rsidRPr="00720683">
        <w:rPr>
          <w:rFonts w:ascii="Cambria" w:hAnsi="Cambria"/>
          <w:sz w:val="16"/>
          <w:szCs w:val="16"/>
          <w:lang w:val="es-ES_tradnl"/>
        </w:rPr>
        <w:t>oviembre de 2004, párr. 71.</w:t>
      </w:r>
    </w:p>
  </w:footnote>
  <w:footnote w:id="589">
    <w:p w:rsidR="00C00F28" w:rsidRPr="00720683" w:rsidRDefault="00C00F28" w:rsidP="00B053C8">
      <w:pPr>
        <w:pStyle w:val="NoSpacing"/>
        <w:jc w:val="both"/>
        <w:rPr>
          <w:rFonts w:ascii="Cambria" w:hAnsi="Cambria"/>
          <w:sz w:val="16"/>
          <w:szCs w:val="16"/>
          <w:lang w:val="es-ES_tradnl"/>
        </w:rPr>
      </w:pPr>
      <w:r w:rsidRPr="00720683">
        <w:rPr>
          <w:rStyle w:val="FootnoteReference"/>
          <w:rFonts w:ascii="Cambria" w:hAnsi="Cambria"/>
          <w:sz w:val="16"/>
          <w:szCs w:val="16"/>
        </w:rPr>
        <w:footnoteRef/>
      </w:r>
      <w:r w:rsidRPr="00720683">
        <w:rPr>
          <w:rFonts w:ascii="Cambria" w:hAnsi="Cambria"/>
          <w:sz w:val="16"/>
          <w:szCs w:val="16"/>
          <w:lang w:val="es-ES_tradnl"/>
        </w:rPr>
        <w:t xml:space="preserve"> Comité de los Derechos Humanos</w:t>
      </w:r>
      <w:r>
        <w:rPr>
          <w:rFonts w:ascii="Cambria" w:hAnsi="Cambria"/>
          <w:sz w:val="16"/>
          <w:szCs w:val="16"/>
          <w:lang w:val="es-ES_tradnl"/>
        </w:rPr>
        <w:t xml:space="preserve">. </w:t>
      </w:r>
      <w:r w:rsidRPr="00720683">
        <w:rPr>
          <w:rFonts w:ascii="Cambria" w:hAnsi="Cambria"/>
          <w:sz w:val="16"/>
          <w:szCs w:val="16"/>
          <w:lang w:val="es-ES_tradnl"/>
        </w:rPr>
        <w:t>Observación General No. 31</w:t>
      </w:r>
      <w:r>
        <w:rPr>
          <w:rFonts w:ascii="Cambria" w:hAnsi="Cambria"/>
          <w:sz w:val="16"/>
          <w:szCs w:val="16"/>
          <w:lang w:val="es-ES_tradnl"/>
        </w:rPr>
        <w:t>: l</w:t>
      </w:r>
      <w:r w:rsidRPr="00720683">
        <w:rPr>
          <w:rFonts w:ascii="Cambria" w:hAnsi="Cambria"/>
          <w:sz w:val="16"/>
          <w:szCs w:val="16"/>
          <w:lang w:val="es-ES_tradnl"/>
        </w:rPr>
        <w:t>a índole de la obligación jurídica general impuesta, 80º período de sesiones, U.N. Doc. HRI/GEN/1/Rev.7 at 225 (2004), párr. 10.</w:t>
      </w:r>
    </w:p>
  </w:footnote>
  <w:footnote w:id="590">
    <w:p w:rsidR="00C00F28" w:rsidRPr="00720683" w:rsidRDefault="00C00F28" w:rsidP="00B053C8">
      <w:pPr>
        <w:pStyle w:val="FootnoteText"/>
        <w:jc w:val="both"/>
        <w:rPr>
          <w:rFonts w:ascii="Cambria" w:hAnsi="Cambria" w:cs="Times New Roman"/>
          <w:sz w:val="16"/>
          <w:szCs w:val="16"/>
          <w:lang w:val="es-US"/>
        </w:rPr>
      </w:pPr>
      <w:r w:rsidRPr="00720683">
        <w:rPr>
          <w:rStyle w:val="FootnoteReference"/>
          <w:rFonts w:ascii="Cambria" w:hAnsi="Cambria" w:cs="Times New Roman"/>
          <w:sz w:val="16"/>
          <w:szCs w:val="16"/>
        </w:rPr>
        <w:footnoteRef/>
      </w:r>
      <w:r w:rsidRPr="00720683">
        <w:rPr>
          <w:rFonts w:ascii="Cambria" w:hAnsi="Cambria" w:cs="Times New Roman"/>
          <w:sz w:val="16"/>
          <w:szCs w:val="16"/>
          <w:lang w:val="es-US"/>
        </w:rPr>
        <w:t xml:space="preserve"> Ver Comité Internacional de la Cruz Roja (CICR), “</w:t>
      </w:r>
      <w:hyperlink r:id="rId2" w:history="1">
        <w:r w:rsidRPr="00720683">
          <w:rPr>
            <w:rStyle w:val="Hyperlink"/>
            <w:rFonts w:ascii="Cambria" w:hAnsi="Cambria" w:cs="Times New Roman"/>
            <w:sz w:val="16"/>
            <w:szCs w:val="16"/>
            <w:u w:val="none"/>
            <w:lang w:val="es-US"/>
          </w:rPr>
          <w:t>La ocupación y el derecho internacional humanitario</w:t>
        </w:r>
      </w:hyperlink>
      <w:r w:rsidRPr="00720683">
        <w:rPr>
          <w:rFonts w:ascii="Cambria" w:hAnsi="Cambria" w:cs="Times New Roman"/>
          <w:sz w:val="16"/>
          <w:szCs w:val="16"/>
          <w:lang w:val="es-US"/>
        </w:rPr>
        <w:t>”, 4 de Agosto de 2004.</w:t>
      </w:r>
    </w:p>
  </w:footnote>
  <w:footnote w:id="591">
    <w:p w:rsidR="00C00F28" w:rsidRPr="008D2862" w:rsidRDefault="00C00F28" w:rsidP="00B053C8">
      <w:pPr>
        <w:pStyle w:val="FootnoteText"/>
        <w:jc w:val="both"/>
        <w:rPr>
          <w:rFonts w:ascii="Cambria" w:hAnsi="Cambria" w:cs="Times New Roman"/>
          <w:sz w:val="16"/>
          <w:szCs w:val="16"/>
          <w:lang w:val="es-US"/>
        </w:rPr>
      </w:pPr>
      <w:r w:rsidRPr="00720683">
        <w:rPr>
          <w:rStyle w:val="FootnoteReference"/>
          <w:rFonts w:ascii="Cambria" w:hAnsi="Cambria" w:cs="Times New Roman"/>
          <w:sz w:val="16"/>
          <w:szCs w:val="16"/>
        </w:rPr>
        <w:footnoteRef/>
      </w:r>
      <w:r w:rsidRPr="00720683">
        <w:rPr>
          <w:rFonts w:ascii="Cambria" w:hAnsi="Cambria" w:cs="Times New Roman"/>
          <w:sz w:val="16"/>
          <w:szCs w:val="16"/>
          <w:lang w:val="es-US"/>
        </w:rPr>
        <w:t xml:space="preserve"> Ver Comité </w:t>
      </w:r>
      <w:r w:rsidRPr="008D2862">
        <w:rPr>
          <w:rFonts w:ascii="Cambria" w:hAnsi="Cambria" w:cs="Times New Roman"/>
          <w:sz w:val="16"/>
          <w:szCs w:val="16"/>
          <w:lang w:val="es-US"/>
        </w:rPr>
        <w:t>Internacional de la Cruz Roja (CICR), “</w:t>
      </w:r>
      <w:hyperlink r:id="rId3" w:history="1">
        <w:r w:rsidRPr="008D2862">
          <w:rPr>
            <w:rStyle w:val="Hyperlink"/>
            <w:rFonts w:ascii="Cambria" w:hAnsi="Cambria" w:cs="Times New Roman"/>
            <w:sz w:val="16"/>
            <w:szCs w:val="16"/>
            <w:u w:val="none"/>
            <w:lang w:val="es-US"/>
          </w:rPr>
          <w:t>La ocupación y el derecho internacional humanitario</w:t>
        </w:r>
      </w:hyperlink>
      <w:r w:rsidRPr="008D2862">
        <w:rPr>
          <w:rFonts w:ascii="Cambria" w:hAnsi="Cambria" w:cs="Times New Roman"/>
          <w:sz w:val="16"/>
          <w:szCs w:val="16"/>
          <w:lang w:val="es-US"/>
        </w:rPr>
        <w:t xml:space="preserve">”, 4 de Agosto de 2004. </w:t>
      </w:r>
    </w:p>
  </w:footnote>
  <w:footnote w:id="592">
    <w:p w:rsidR="00C00F28" w:rsidRPr="008D2862" w:rsidRDefault="00C00F28" w:rsidP="00B053C8">
      <w:pPr>
        <w:pStyle w:val="FootnoteText"/>
        <w:jc w:val="both"/>
        <w:rPr>
          <w:rFonts w:ascii="Cambria" w:hAnsi="Cambria" w:cs="Times New Roman"/>
          <w:b/>
          <w:bCs/>
          <w:sz w:val="16"/>
          <w:szCs w:val="16"/>
          <w:lang w:val="es-US"/>
        </w:rPr>
      </w:pPr>
      <w:r w:rsidRPr="008D2862">
        <w:rPr>
          <w:rStyle w:val="FootnoteReference"/>
          <w:rFonts w:ascii="Cambria" w:hAnsi="Cambria" w:cs="Times New Roman"/>
          <w:sz w:val="16"/>
          <w:szCs w:val="16"/>
        </w:rPr>
        <w:footnoteRef/>
      </w:r>
      <w:r w:rsidRPr="008D2862">
        <w:rPr>
          <w:rFonts w:ascii="Cambria" w:hAnsi="Cambria" w:cs="Times New Roman"/>
          <w:sz w:val="16"/>
          <w:szCs w:val="16"/>
          <w:lang w:val="es-US"/>
        </w:rPr>
        <w:t xml:space="preserve"> Ver CICR, “</w:t>
      </w:r>
      <w:hyperlink r:id="rId4" w:history="1">
        <w:r w:rsidRPr="008D2862">
          <w:rPr>
            <w:rStyle w:val="Hyperlink"/>
            <w:rFonts w:ascii="Cambria" w:hAnsi="Cambria" w:cs="Times New Roman"/>
            <w:bCs/>
            <w:sz w:val="16"/>
            <w:szCs w:val="16"/>
            <w:u w:val="none"/>
            <w:lang w:val="es-US"/>
          </w:rPr>
          <w:t>Ocupación y otras formas de administración de territorios extranjeros: reunión de expertos</w:t>
        </w:r>
      </w:hyperlink>
      <w:r w:rsidRPr="008D2862">
        <w:rPr>
          <w:rFonts w:ascii="Cambria" w:hAnsi="Cambria" w:cs="Times New Roman"/>
          <w:bCs/>
          <w:sz w:val="16"/>
          <w:szCs w:val="16"/>
          <w:lang w:val="es-US"/>
        </w:rPr>
        <w:t>”, 11 de junio de 2012. Documento disponible sólo en idioma inglés.</w:t>
      </w:r>
    </w:p>
  </w:footnote>
  <w:footnote w:id="593">
    <w:p w:rsidR="00C00F28" w:rsidRPr="008D2862" w:rsidRDefault="00C00F28" w:rsidP="00B053C8">
      <w:pPr>
        <w:pStyle w:val="FootnoteText"/>
        <w:jc w:val="both"/>
        <w:rPr>
          <w:rFonts w:ascii="Cambria" w:hAnsi="Cambria"/>
          <w:sz w:val="16"/>
          <w:szCs w:val="16"/>
          <w:lang w:val="es-US"/>
        </w:rPr>
      </w:pPr>
      <w:r w:rsidRPr="008D2862">
        <w:rPr>
          <w:rStyle w:val="FootnoteReference"/>
          <w:rFonts w:ascii="Cambria" w:hAnsi="Cambria"/>
          <w:sz w:val="16"/>
          <w:szCs w:val="16"/>
        </w:rPr>
        <w:footnoteRef/>
      </w:r>
      <w:r w:rsidRPr="008D2862">
        <w:rPr>
          <w:rFonts w:ascii="Cambria" w:hAnsi="Cambria"/>
          <w:sz w:val="16"/>
          <w:szCs w:val="16"/>
          <w:lang w:val="es-US"/>
        </w:rPr>
        <w:t xml:space="preserve"> </w:t>
      </w:r>
      <w:r w:rsidRPr="008D2862">
        <w:rPr>
          <w:rFonts w:ascii="Cambria" w:hAnsi="Cambria" w:cs="Times New Roman"/>
          <w:sz w:val="16"/>
          <w:szCs w:val="16"/>
          <w:lang w:val="es-US"/>
        </w:rPr>
        <w:t xml:space="preserve">Ver </w:t>
      </w:r>
      <w:r w:rsidRPr="008D2862">
        <w:rPr>
          <w:rFonts w:ascii="Cambria" w:hAnsi="Cambria" w:cs="Times New Roman"/>
          <w:sz w:val="16"/>
          <w:szCs w:val="16"/>
          <w:lang w:val="es-ES_tradnl"/>
        </w:rPr>
        <w:t xml:space="preserve">CIDH. Informe No. 109/99, Fondo, Caso </w:t>
      </w:r>
      <w:r>
        <w:rPr>
          <w:rFonts w:ascii="Cambria" w:hAnsi="Cambria" w:cs="Times New Roman"/>
          <w:sz w:val="16"/>
          <w:szCs w:val="16"/>
          <w:lang w:val="es-ES_tradnl"/>
        </w:rPr>
        <w:t xml:space="preserve">No. </w:t>
      </w:r>
      <w:r w:rsidRPr="008D2862">
        <w:rPr>
          <w:rFonts w:ascii="Cambria" w:hAnsi="Cambria" w:cs="Times New Roman"/>
          <w:sz w:val="16"/>
          <w:szCs w:val="16"/>
          <w:lang w:val="es-ES_tradnl"/>
        </w:rPr>
        <w:t>10.951, Coard y otros (Estados Unidos). 29 de septiembre de 1999, párr. 51.</w:t>
      </w:r>
    </w:p>
  </w:footnote>
  <w:footnote w:id="594">
    <w:p w:rsidR="00C00F28" w:rsidRPr="00720683" w:rsidRDefault="00C00F28" w:rsidP="00B053C8">
      <w:pPr>
        <w:pStyle w:val="FootnoteText"/>
        <w:jc w:val="both"/>
        <w:rPr>
          <w:rFonts w:ascii="Cambria" w:hAnsi="Cambria"/>
          <w:sz w:val="16"/>
          <w:szCs w:val="16"/>
          <w:lang w:val="es-US"/>
        </w:rPr>
      </w:pPr>
      <w:r w:rsidRPr="008D2862">
        <w:rPr>
          <w:rStyle w:val="FootnoteReference"/>
          <w:rFonts w:ascii="Cambria" w:hAnsi="Cambria"/>
          <w:sz w:val="16"/>
          <w:szCs w:val="16"/>
        </w:rPr>
        <w:footnoteRef/>
      </w:r>
      <w:r w:rsidRPr="008D2862">
        <w:rPr>
          <w:rFonts w:ascii="Cambria" w:hAnsi="Cambria"/>
          <w:sz w:val="16"/>
          <w:szCs w:val="16"/>
          <w:lang w:val="es-US"/>
        </w:rPr>
        <w:t xml:space="preserve"> </w:t>
      </w:r>
      <w:r w:rsidRPr="008D2862">
        <w:rPr>
          <w:rFonts w:ascii="Cambria" w:hAnsi="Cambria" w:cs="Times New Roman"/>
          <w:sz w:val="16"/>
          <w:szCs w:val="16"/>
          <w:lang w:val="es-US"/>
        </w:rPr>
        <w:t xml:space="preserve">Ver </w:t>
      </w:r>
      <w:r w:rsidRPr="008D2862">
        <w:rPr>
          <w:rFonts w:ascii="Cambria" w:hAnsi="Cambria" w:cs="Times New Roman"/>
          <w:sz w:val="16"/>
          <w:szCs w:val="16"/>
          <w:lang w:val="es-ES_tradnl"/>
        </w:rPr>
        <w:t xml:space="preserve">CIDH. Informe No. 109/99, Fondo, Caso </w:t>
      </w:r>
      <w:r>
        <w:rPr>
          <w:rFonts w:ascii="Cambria" w:hAnsi="Cambria" w:cs="Times New Roman"/>
          <w:sz w:val="16"/>
          <w:szCs w:val="16"/>
          <w:lang w:val="es-ES_tradnl"/>
        </w:rPr>
        <w:t xml:space="preserve">No. </w:t>
      </w:r>
      <w:r w:rsidRPr="008D2862">
        <w:rPr>
          <w:rFonts w:ascii="Cambria" w:hAnsi="Cambria" w:cs="Times New Roman"/>
          <w:sz w:val="16"/>
          <w:szCs w:val="16"/>
          <w:lang w:val="es-ES_tradnl"/>
        </w:rPr>
        <w:t>10.951, Coard y otros (Estados Unidos). 29 de septiembre de 1999, párr. 51</w:t>
      </w:r>
      <w:r w:rsidRPr="00720683">
        <w:rPr>
          <w:rFonts w:ascii="Cambria" w:hAnsi="Cambria" w:cs="Times New Roman"/>
          <w:sz w:val="16"/>
          <w:szCs w:val="16"/>
          <w:lang w:val="es-ES_tradnl"/>
        </w:rPr>
        <w:t>.</w:t>
      </w:r>
    </w:p>
  </w:footnote>
  <w:footnote w:id="595">
    <w:p w:rsidR="00C00F28" w:rsidRPr="008D2862" w:rsidRDefault="00C00F28" w:rsidP="00B053C8">
      <w:pPr>
        <w:pStyle w:val="FootnoteText"/>
        <w:jc w:val="both"/>
        <w:rPr>
          <w:rFonts w:ascii="Cambria" w:hAnsi="Cambria" w:cs="Times New Roman"/>
          <w:sz w:val="16"/>
          <w:szCs w:val="16"/>
          <w:lang w:val="es-US"/>
        </w:rPr>
      </w:pPr>
      <w:r w:rsidRPr="00720683">
        <w:rPr>
          <w:rStyle w:val="FootnoteReference"/>
          <w:rFonts w:ascii="Cambria" w:hAnsi="Cambria" w:cs="Times New Roman"/>
          <w:sz w:val="16"/>
          <w:szCs w:val="16"/>
        </w:rPr>
        <w:footnoteRef/>
      </w:r>
      <w:r w:rsidRPr="00720683">
        <w:rPr>
          <w:rFonts w:ascii="Cambria" w:hAnsi="Cambria" w:cs="Times New Roman"/>
          <w:sz w:val="16"/>
          <w:szCs w:val="16"/>
          <w:lang w:val="es-US"/>
        </w:rPr>
        <w:t xml:space="preserve"> </w:t>
      </w:r>
      <w:r>
        <w:rPr>
          <w:rFonts w:ascii="Cambria" w:hAnsi="Cambria" w:cs="Times New Roman"/>
          <w:sz w:val="16"/>
          <w:szCs w:val="16"/>
          <w:lang w:val="es-ES_tradnl"/>
        </w:rPr>
        <w:t>CIDH Informe No. 55-97, C</w:t>
      </w:r>
      <w:r w:rsidRPr="00720683">
        <w:rPr>
          <w:rFonts w:ascii="Cambria" w:hAnsi="Cambria" w:cs="Times New Roman"/>
          <w:sz w:val="16"/>
          <w:szCs w:val="16"/>
          <w:lang w:val="es-ES_tradnl"/>
        </w:rPr>
        <w:t xml:space="preserve">aso </w:t>
      </w:r>
      <w:r>
        <w:rPr>
          <w:rFonts w:ascii="Cambria" w:hAnsi="Cambria" w:cs="Times New Roman"/>
          <w:sz w:val="16"/>
          <w:szCs w:val="16"/>
          <w:lang w:val="es-ES_tradnl"/>
        </w:rPr>
        <w:t xml:space="preserve">No. </w:t>
      </w:r>
      <w:r w:rsidRPr="00720683">
        <w:rPr>
          <w:rFonts w:ascii="Cambria" w:hAnsi="Cambria" w:cs="Times New Roman"/>
          <w:sz w:val="16"/>
          <w:szCs w:val="16"/>
          <w:lang w:val="es-ES_tradnl"/>
        </w:rPr>
        <w:t>11.</w:t>
      </w:r>
      <w:r w:rsidRPr="008D2862">
        <w:rPr>
          <w:rFonts w:ascii="Cambria" w:hAnsi="Cambria" w:cs="Times New Roman"/>
          <w:sz w:val="16"/>
          <w:szCs w:val="16"/>
          <w:lang w:val="es-ES_tradnl"/>
        </w:rPr>
        <w:t xml:space="preserve">137 Juan Carlos Abella (Argentina), 18 de noviembre de 1997, párr. 158; CIDH. Informe No. 112/10, </w:t>
      </w:r>
      <w:r w:rsidRPr="008D2862">
        <w:rPr>
          <w:rFonts w:ascii="Cambria" w:hAnsi="Cambria" w:cs="Times New Roman"/>
          <w:sz w:val="16"/>
          <w:szCs w:val="16"/>
          <w:lang w:val="es-ES"/>
        </w:rPr>
        <w:t>Petición interest</w:t>
      </w:r>
      <w:r>
        <w:rPr>
          <w:rFonts w:ascii="Cambria" w:hAnsi="Cambria" w:cs="Times New Roman"/>
          <w:sz w:val="16"/>
          <w:szCs w:val="16"/>
          <w:lang w:val="es-ES"/>
        </w:rPr>
        <w:t>atal PI-02. Admisibilidad. Caso</w:t>
      </w:r>
      <w:r w:rsidRPr="008D2862">
        <w:rPr>
          <w:rFonts w:ascii="Cambria" w:hAnsi="Cambria" w:cs="Times New Roman"/>
          <w:sz w:val="16"/>
          <w:szCs w:val="16"/>
          <w:lang w:val="es-ES"/>
        </w:rPr>
        <w:t xml:space="preserve"> Franklin Guillermo Aisalla Molina, Ecuador vs. Colombia. 21 de octubre de 2010, párr.117. </w:t>
      </w:r>
    </w:p>
  </w:footnote>
  <w:footnote w:id="596">
    <w:p w:rsidR="00C00F28" w:rsidRPr="008D2862" w:rsidRDefault="00C00F28" w:rsidP="00B053C8">
      <w:pPr>
        <w:jc w:val="both"/>
        <w:rPr>
          <w:rFonts w:ascii="Cambria" w:eastAsia="Times New Roman" w:hAnsi="Cambria"/>
          <w:sz w:val="16"/>
          <w:szCs w:val="16"/>
          <w:lang w:val="es-US"/>
        </w:rPr>
      </w:pPr>
      <w:r w:rsidRPr="008D2862">
        <w:rPr>
          <w:rStyle w:val="FootnoteReference"/>
          <w:rFonts w:ascii="Cambria" w:hAnsi="Cambria"/>
          <w:sz w:val="16"/>
          <w:szCs w:val="16"/>
        </w:rPr>
        <w:footnoteRef/>
      </w:r>
      <w:r>
        <w:rPr>
          <w:rFonts w:ascii="Cambria" w:hAnsi="Cambria"/>
          <w:sz w:val="16"/>
          <w:szCs w:val="16"/>
          <w:lang w:val="es-US"/>
        </w:rPr>
        <w:t xml:space="preserve"> </w:t>
      </w:r>
      <w:r w:rsidRPr="008D2862">
        <w:rPr>
          <w:rFonts w:ascii="Cambria" w:eastAsia="Times New Roman" w:hAnsi="Cambria"/>
          <w:color w:val="000000"/>
          <w:spacing w:val="-2"/>
          <w:sz w:val="16"/>
          <w:szCs w:val="16"/>
          <w:lang w:val="es-US"/>
        </w:rPr>
        <w:t xml:space="preserve">CIDH. Informe No. 55/97, </w:t>
      </w:r>
      <w:r>
        <w:rPr>
          <w:rFonts w:ascii="Cambria" w:hAnsi="Cambria"/>
          <w:sz w:val="16"/>
          <w:szCs w:val="16"/>
          <w:lang w:val="es-ES_tradnl"/>
        </w:rPr>
        <w:t>C</w:t>
      </w:r>
      <w:r w:rsidRPr="008D2862">
        <w:rPr>
          <w:rFonts w:ascii="Cambria" w:hAnsi="Cambria"/>
          <w:sz w:val="16"/>
          <w:szCs w:val="16"/>
          <w:lang w:val="es-ES_tradnl"/>
        </w:rPr>
        <w:t xml:space="preserve">aso </w:t>
      </w:r>
      <w:r>
        <w:rPr>
          <w:rFonts w:ascii="Cambria" w:hAnsi="Cambria"/>
          <w:sz w:val="16"/>
          <w:szCs w:val="16"/>
          <w:lang w:val="es-ES_tradnl"/>
        </w:rPr>
        <w:t xml:space="preserve">No. </w:t>
      </w:r>
      <w:r w:rsidRPr="008D2862">
        <w:rPr>
          <w:rFonts w:ascii="Cambria" w:hAnsi="Cambria"/>
          <w:sz w:val="16"/>
          <w:szCs w:val="16"/>
          <w:lang w:val="es-ES_tradnl"/>
        </w:rPr>
        <w:t xml:space="preserve">11.137 Juan Carlos Abella (Argentina), 18 de noviembre de 1997, párr. 152. </w:t>
      </w:r>
      <w:r>
        <w:rPr>
          <w:rFonts w:ascii="Cambria" w:hAnsi="Cambria"/>
          <w:sz w:val="16"/>
          <w:szCs w:val="16"/>
          <w:lang w:val="es-ES_tradnl"/>
        </w:rPr>
        <w:t>En este caso, la</w:t>
      </w:r>
      <w:r>
        <w:rPr>
          <w:rFonts w:ascii="Cambria" w:hAnsi="Cambria"/>
          <w:sz w:val="16"/>
          <w:szCs w:val="16"/>
          <w:lang w:val="es-US"/>
        </w:rPr>
        <w:t xml:space="preserve"> CIDH determinó que: </w:t>
      </w:r>
      <w:r w:rsidRPr="008D2862">
        <w:rPr>
          <w:rFonts w:ascii="Cambria" w:hAnsi="Cambria"/>
          <w:sz w:val="16"/>
          <w:szCs w:val="16"/>
          <w:lang w:val="es-US"/>
        </w:rPr>
        <w:t>“l</w:t>
      </w:r>
      <w:r w:rsidRPr="008D2862">
        <w:rPr>
          <w:rFonts w:ascii="Cambria" w:eastAsia="Times New Roman" w:hAnsi="Cambria"/>
          <w:color w:val="000000"/>
          <w:spacing w:val="-2"/>
          <w:sz w:val="16"/>
          <w:szCs w:val="16"/>
          <w:lang w:val="es-US"/>
        </w:rPr>
        <w:t>as disposiciones del artículo 3 común son, de hecho, normas</w:t>
      </w:r>
      <w:r>
        <w:rPr>
          <w:rFonts w:ascii="Cambria" w:eastAsia="Times New Roman" w:hAnsi="Cambria"/>
          <w:color w:val="000000"/>
          <w:spacing w:val="-2"/>
          <w:sz w:val="16"/>
          <w:szCs w:val="16"/>
          <w:lang w:val="es-US"/>
        </w:rPr>
        <w:t xml:space="preserve"> puras sobre derechos humanos. </w:t>
      </w:r>
      <w:r w:rsidRPr="008D2862">
        <w:rPr>
          <w:rFonts w:ascii="Cambria" w:eastAsia="Times New Roman" w:hAnsi="Cambria"/>
          <w:color w:val="000000"/>
          <w:spacing w:val="-2"/>
          <w:sz w:val="16"/>
          <w:szCs w:val="16"/>
          <w:lang w:val="es-US"/>
        </w:rPr>
        <w:t xml:space="preserve">Por lo tanto, en la práctica, la aplicación del artículo 3 común por un Estado Parte de la Convención Americana en el cual exista un conflicto interno, no impone cargas adicionales sobre las fuerzas armadas, ni las coloca en una posición de desventaja </w:t>
      </w:r>
      <w:r>
        <w:rPr>
          <w:rFonts w:ascii="Cambria" w:eastAsia="Times New Roman" w:hAnsi="Cambria"/>
          <w:color w:val="000000"/>
          <w:spacing w:val="-2"/>
          <w:sz w:val="16"/>
          <w:szCs w:val="16"/>
          <w:lang w:val="es-US"/>
        </w:rPr>
        <w:t xml:space="preserve">frente a los grupos disidentes. </w:t>
      </w:r>
      <w:r w:rsidRPr="008D2862">
        <w:rPr>
          <w:rFonts w:ascii="Cambria" w:eastAsia="Times New Roman" w:hAnsi="Cambria"/>
          <w:color w:val="000000"/>
          <w:spacing w:val="-2"/>
          <w:sz w:val="16"/>
          <w:szCs w:val="16"/>
          <w:lang w:val="es-US"/>
        </w:rPr>
        <w:t xml:space="preserve">Eso se debe a que, básicamente, el artículo 3 requiere que el Estado haga, en gran medida, lo que ya está obligado a hacer legalmente en el marco de la Convención Americana”. </w:t>
      </w:r>
    </w:p>
  </w:footnote>
  <w:footnote w:id="597">
    <w:p w:rsidR="00C00F28" w:rsidRPr="008D2862" w:rsidRDefault="00C00F28" w:rsidP="00B053C8">
      <w:pPr>
        <w:pStyle w:val="FootnoteText"/>
        <w:jc w:val="both"/>
        <w:rPr>
          <w:rFonts w:ascii="Cambria" w:hAnsi="Cambria"/>
          <w:sz w:val="16"/>
          <w:szCs w:val="16"/>
          <w:lang w:val="es-US"/>
        </w:rPr>
      </w:pPr>
      <w:r w:rsidRPr="008D2862">
        <w:rPr>
          <w:rStyle w:val="FootnoteReference"/>
          <w:rFonts w:ascii="Cambria" w:hAnsi="Cambria"/>
          <w:sz w:val="16"/>
          <w:szCs w:val="16"/>
        </w:rPr>
        <w:footnoteRef/>
      </w:r>
      <w:r w:rsidRPr="008D2862">
        <w:rPr>
          <w:rFonts w:ascii="Cambria" w:hAnsi="Cambria"/>
          <w:sz w:val="16"/>
          <w:szCs w:val="16"/>
          <w:lang w:val="es-US"/>
        </w:rPr>
        <w:t xml:space="preserve"> </w:t>
      </w:r>
      <w:r w:rsidRPr="008D2862">
        <w:rPr>
          <w:rFonts w:ascii="Cambria" w:hAnsi="Cambria" w:cs="Times New Roman"/>
          <w:sz w:val="16"/>
          <w:szCs w:val="16"/>
          <w:lang w:val="es-ES_tradnl"/>
        </w:rPr>
        <w:t xml:space="preserve">CIDH Informe No. 55/97, </w:t>
      </w:r>
      <w:r>
        <w:rPr>
          <w:rFonts w:ascii="Cambria" w:hAnsi="Cambria" w:cs="Times New Roman"/>
          <w:sz w:val="16"/>
          <w:szCs w:val="16"/>
          <w:lang w:val="es-ES_tradnl"/>
        </w:rPr>
        <w:t>C</w:t>
      </w:r>
      <w:r w:rsidRPr="008D2862">
        <w:rPr>
          <w:rFonts w:ascii="Cambria" w:hAnsi="Cambria" w:cs="Times New Roman"/>
          <w:sz w:val="16"/>
          <w:szCs w:val="16"/>
          <w:lang w:val="es-ES_tradnl"/>
        </w:rPr>
        <w:t xml:space="preserve">aso </w:t>
      </w:r>
      <w:r>
        <w:rPr>
          <w:rFonts w:ascii="Cambria" w:hAnsi="Cambria" w:cs="Times New Roman"/>
          <w:sz w:val="16"/>
          <w:szCs w:val="16"/>
          <w:lang w:val="es-ES_tradnl"/>
        </w:rPr>
        <w:t xml:space="preserve">No. </w:t>
      </w:r>
      <w:r w:rsidRPr="008D2862">
        <w:rPr>
          <w:rFonts w:ascii="Cambria" w:hAnsi="Cambria" w:cs="Times New Roman"/>
          <w:sz w:val="16"/>
          <w:szCs w:val="16"/>
          <w:lang w:val="es-ES_tradnl"/>
        </w:rPr>
        <w:t xml:space="preserve">11.137 Juan Carlos Abella (Argentina), 18 de noviembre de 1997; CIDH. Informe No. 112/10, </w:t>
      </w:r>
      <w:r w:rsidRPr="008D2862">
        <w:rPr>
          <w:rFonts w:ascii="Cambria" w:hAnsi="Cambria" w:cs="Times New Roman"/>
          <w:sz w:val="16"/>
          <w:szCs w:val="16"/>
          <w:lang w:val="es-ES"/>
        </w:rPr>
        <w:t>Petición interestatal PI-02. Admisibilidad. Caso Franklin Guillermo Aisalla Molina, Ecuador vs. Colombia. 21 de octubre de 2010, párr.116.</w:t>
      </w:r>
    </w:p>
  </w:footnote>
  <w:footnote w:id="598">
    <w:p w:rsidR="00C00F28" w:rsidRPr="008D2862" w:rsidRDefault="00C00F28" w:rsidP="00B053C8">
      <w:pPr>
        <w:pStyle w:val="NoSpacing"/>
        <w:jc w:val="both"/>
        <w:rPr>
          <w:rFonts w:ascii="Cambria" w:hAnsi="Cambria"/>
          <w:sz w:val="16"/>
          <w:szCs w:val="16"/>
          <w:lang w:val="es-US"/>
        </w:rPr>
      </w:pPr>
      <w:r w:rsidRPr="008D2862">
        <w:rPr>
          <w:rStyle w:val="FootnoteReference"/>
          <w:rFonts w:ascii="Cambria" w:hAnsi="Cambria"/>
          <w:sz w:val="16"/>
          <w:szCs w:val="16"/>
        </w:rPr>
        <w:footnoteRef/>
      </w:r>
      <w:r w:rsidRPr="008D2862">
        <w:rPr>
          <w:rFonts w:ascii="Cambria" w:hAnsi="Cambria"/>
          <w:sz w:val="16"/>
          <w:szCs w:val="16"/>
          <w:lang w:val="es-US"/>
        </w:rPr>
        <w:t xml:space="preserve"> </w:t>
      </w:r>
      <w:r w:rsidRPr="008D2862">
        <w:rPr>
          <w:rFonts w:ascii="Cambria" w:hAnsi="Cambria"/>
          <w:sz w:val="16"/>
          <w:szCs w:val="16"/>
          <w:lang w:val="es-ES_tradnl"/>
        </w:rPr>
        <w:t xml:space="preserve">CIDH. Informe No. 112/10, </w:t>
      </w:r>
      <w:r w:rsidRPr="008D2862">
        <w:rPr>
          <w:rFonts w:ascii="Cambria" w:hAnsi="Cambria"/>
          <w:sz w:val="16"/>
          <w:szCs w:val="16"/>
          <w:lang w:val="es-ES"/>
        </w:rPr>
        <w:t>Petición interestatal PI-02. Admisibilidad. Caso Franklin Guillermo Aisalla Molina, Ecuador vs. Colombia. 21 de octubre de 2010, párr.118.</w:t>
      </w:r>
    </w:p>
  </w:footnote>
  <w:footnote w:id="599">
    <w:p w:rsidR="00C00F28" w:rsidRPr="008D2862" w:rsidRDefault="00C00F28" w:rsidP="00B053C8">
      <w:pPr>
        <w:pStyle w:val="NoSpacing"/>
        <w:jc w:val="both"/>
        <w:rPr>
          <w:rFonts w:ascii="Cambria" w:hAnsi="Cambria"/>
          <w:sz w:val="16"/>
          <w:szCs w:val="16"/>
          <w:lang w:val="es-US"/>
        </w:rPr>
      </w:pPr>
      <w:r w:rsidRPr="008D2862">
        <w:rPr>
          <w:rStyle w:val="FootnoteReference"/>
          <w:rFonts w:ascii="Cambria" w:hAnsi="Cambria"/>
          <w:sz w:val="16"/>
          <w:szCs w:val="16"/>
        </w:rPr>
        <w:footnoteRef/>
      </w:r>
      <w:r w:rsidRPr="008D2862">
        <w:rPr>
          <w:rFonts w:ascii="Cambria" w:hAnsi="Cambria"/>
          <w:sz w:val="16"/>
          <w:szCs w:val="16"/>
          <w:lang w:val="es-US"/>
        </w:rPr>
        <w:t xml:space="preserve"> </w:t>
      </w:r>
      <w:r w:rsidRPr="008D2862">
        <w:rPr>
          <w:rFonts w:ascii="Cambria" w:hAnsi="Cambria"/>
          <w:sz w:val="16"/>
          <w:szCs w:val="16"/>
          <w:lang w:val="es-ES_tradnl"/>
        </w:rPr>
        <w:t xml:space="preserve">CIDH. Informe No. 112/10, </w:t>
      </w:r>
      <w:r w:rsidRPr="008D2862">
        <w:rPr>
          <w:rFonts w:ascii="Cambria" w:hAnsi="Cambria"/>
          <w:sz w:val="16"/>
          <w:szCs w:val="16"/>
          <w:lang w:val="es-ES"/>
        </w:rPr>
        <w:t>Petición interestatal PI-02. Admisibilidad. Caso Franklin Guillermo Aisalla Molina, Ecuador vs. Colombia. 21 de octubre de 2010, párr.118.</w:t>
      </w:r>
    </w:p>
  </w:footnote>
  <w:footnote w:id="600">
    <w:p w:rsidR="00C00F28" w:rsidRPr="008D2862" w:rsidRDefault="00C00F28" w:rsidP="00B053C8">
      <w:pPr>
        <w:pStyle w:val="FootnoteText"/>
        <w:jc w:val="both"/>
        <w:rPr>
          <w:rFonts w:ascii="Cambria" w:hAnsi="Cambria"/>
          <w:sz w:val="16"/>
          <w:szCs w:val="16"/>
          <w:lang w:val="es-US"/>
        </w:rPr>
      </w:pPr>
      <w:r w:rsidRPr="008D2862">
        <w:rPr>
          <w:rStyle w:val="FootnoteReference"/>
          <w:rFonts w:ascii="Cambria" w:hAnsi="Cambria"/>
          <w:sz w:val="16"/>
          <w:szCs w:val="16"/>
        </w:rPr>
        <w:footnoteRef/>
      </w:r>
      <w:r w:rsidRPr="008D2862">
        <w:rPr>
          <w:rFonts w:ascii="Cambria" w:hAnsi="Cambria"/>
          <w:sz w:val="16"/>
          <w:szCs w:val="16"/>
          <w:lang w:val="es-US"/>
        </w:rPr>
        <w:t xml:space="preserve"> </w:t>
      </w:r>
      <w:r w:rsidRPr="008D2862">
        <w:rPr>
          <w:rFonts w:ascii="Cambria" w:hAnsi="Cambria" w:cs="Times New Roman"/>
          <w:sz w:val="16"/>
          <w:szCs w:val="16"/>
          <w:lang w:val="es-ES"/>
        </w:rPr>
        <w:t>CIDH, Inform</w:t>
      </w:r>
      <w:r>
        <w:rPr>
          <w:rFonts w:ascii="Cambria" w:hAnsi="Cambria" w:cs="Times New Roman"/>
          <w:sz w:val="16"/>
          <w:szCs w:val="16"/>
          <w:lang w:val="es-ES"/>
        </w:rPr>
        <w:t>e No. 11/05 Admisibilidad</w:t>
      </w:r>
      <w:r w:rsidRPr="008D2862">
        <w:rPr>
          <w:rFonts w:ascii="Cambria" w:hAnsi="Cambria" w:cs="Times New Roman"/>
          <w:sz w:val="16"/>
          <w:szCs w:val="16"/>
          <w:lang w:val="es-ES"/>
        </w:rPr>
        <w:t xml:space="preserve">, Petición 708/03, </w:t>
      </w:r>
      <w:r w:rsidRPr="008D2862">
        <w:rPr>
          <w:rFonts w:ascii="Cambria" w:hAnsi="Cambria" w:cs="Times New Roman"/>
          <w:sz w:val="16"/>
          <w:szCs w:val="16"/>
          <w:lang w:val="es-ES_tradnl"/>
        </w:rPr>
        <w:t>Gregoria Herminia, Serapio Cristián y Julia Inés Contreras, El Salvador, 23 de febrero de 2005</w:t>
      </w:r>
      <w:r w:rsidRPr="008D2862">
        <w:rPr>
          <w:rFonts w:ascii="Cambria" w:hAnsi="Cambria" w:cs="Times New Roman"/>
          <w:sz w:val="16"/>
          <w:szCs w:val="16"/>
          <w:lang w:val="es-ES"/>
        </w:rPr>
        <w:t xml:space="preserve">, </w:t>
      </w:r>
      <w:r>
        <w:rPr>
          <w:rFonts w:ascii="Cambria" w:hAnsi="Cambria" w:cs="Times New Roman"/>
          <w:sz w:val="16"/>
          <w:szCs w:val="16"/>
          <w:lang w:val="es-ES"/>
        </w:rPr>
        <w:t xml:space="preserve"> p</w:t>
      </w:r>
      <w:r w:rsidRPr="008D2862">
        <w:rPr>
          <w:rFonts w:ascii="Cambria" w:hAnsi="Cambria" w:cs="Times New Roman"/>
          <w:sz w:val="16"/>
          <w:szCs w:val="16"/>
          <w:lang w:val="es-ES"/>
        </w:rPr>
        <w:t>árr. 20.</w:t>
      </w:r>
    </w:p>
  </w:footnote>
  <w:footnote w:id="601">
    <w:p w:rsidR="00C00F28" w:rsidRPr="008D2862" w:rsidRDefault="00C00F28" w:rsidP="00B053C8">
      <w:pPr>
        <w:pStyle w:val="FootnoteText"/>
        <w:jc w:val="both"/>
        <w:rPr>
          <w:rFonts w:ascii="Cambria" w:hAnsi="Cambria" w:cs="Times New Roman"/>
          <w:sz w:val="16"/>
          <w:szCs w:val="16"/>
          <w:lang w:val="es-US"/>
        </w:rPr>
      </w:pPr>
      <w:r w:rsidRPr="008D2862">
        <w:rPr>
          <w:rStyle w:val="FootnoteReference"/>
          <w:rFonts w:ascii="Cambria" w:hAnsi="Cambria" w:cs="Times New Roman"/>
          <w:sz w:val="16"/>
          <w:szCs w:val="16"/>
        </w:rPr>
        <w:footnoteRef/>
      </w:r>
      <w:r w:rsidRPr="008D2862">
        <w:rPr>
          <w:rFonts w:ascii="Cambria" w:hAnsi="Cambria" w:cs="Times New Roman"/>
          <w:sz w:val="16"/>
          <w:szCs w:val="16"/>
          <w:lang w:val="es-US"/>
        </w:rPr>
        <w:t xml:space="preserve"> </w:t>
      </w:r>
      <w:r w:rsidRPr="008D2862">
        <w:rPr>
          <w:rFonts w:ascii="Cambria" w:hAnsi="Cambria" w:cs="Times New Roman"/>
          <w:sz w:val="16"/>
          <w:szCs w:val="16"/>
          <w:lang w:val="es-ES_tradnl"/>
        </w:rPr>
        <w:t>CIDH. Informe No. 109/99, Fondo, Caso 10.951, Coard y otros (Estados Unidos). 29 de septiembre de 1999, párr. 42.</w:t>
      </w:r>
    </w:p>
  </w:footnote>
  <w:footnote w:id="602">
    <w:p w:rsidR="00C00F28" w:rsidRPr="008D2862" w:rsidRDefault="00C00F28" w:rsidP="00B053C8">
      <w:pPr>
        <w:pStyle w:val="FootnoteText"/>
        <w:jc w:val="both"/>
        <w:rPr>
          <w:rFonts w:ascii="Cambria" w:hAnsi="Cambria" w:cs="Times New Roman"/>
          <w:sz w:val="16"/>
          <w:szCs w:val="16"/>
          <w:lang w:val="es-US"/>
        </w:rPr>
      </w:pPr>
      <w:r w:rsidRPr="008D2862">
        <w:rPr>
          <w:rStyle w:val="FootnoteReference"/>
          <w:rFonts w:ascii="Cambria" w:hAnsi="Cambria" w:cs="Times New Roman"/>
          <w:sz w:val="16"/>
          <w:szCs w:val="16"/>
        </w:rPr>
        <w:footnoteRef/>
      </w:r>
      <w:r w:rsidRPr="008D2862">
        <w:rPr>
          <w:rFonts w:ascii="Cambria" w:hAnsi="Cambria" w:cs="Times New Roman"/>
          <w:sz w:val="16"/>
          <w:szCs w:val="16"/>
          <w:lang w:val="es-US"/>
        </w:rPr>
        <w:t xml:space="preserve"> </w:t>
      </w:r>
      <w:r>
        <w:rPr>
          <w:rFonts w:ascii="Cambria" w:hAnsi="Cambria"/>
          <w:sz w:val="16"/>
          <w:szCs w:val="16"/>
          <w:lang w:val="es-CR"/>
        </w:rPr>
        <w:t>CIDH</w:t>
      </w:r>
      <w:r w:rsidRPr="00AD54BC">
        <w:rPr>
          <w:rFonts w:ascii="Cambria" w:hAnsi="Cambria"/>
          <w:sz w:val="16"/>
          <w:szCs w:val="16"/>
          <w:lang w:val="es-CR"/>
        </w:rPr>
        <w:t xml:space="preserve">, </w:t>
      </w:r>
      <w:r>
        <w:rPr>
          <w:rFonts w:ascii="Cambria" w:hAnsi="Cambria"/>
          <w:sz w:val="16"/>
          <w:szCs w:val="16"/>
          <w:lang w:val="es-CR"/>
        </w:rPr>
        <w:t xml:space="preserve">Informe </w:t>
      </w:r>
      <w:r w:rsidRPr="00AD54BC">
        <w:rPr>
          <w:rFonts w:ascii="Cambria" w:hAnsi="Cambria"/>
          <w:sz w:val="16"/>
          <w:szCs w:val="16"/>
          <w:lang w:val="es-CR"/>
        </w:rPr>
        <w:t>No. 11/05 Admis</w:t>
      </w:r>
      <w:r>
        <w:rPr>
          <w:rFonts w:ascii="Cambria" w:hAnsi="Cambria"/>
          <w:sz w:val="16"/>
          <w:szCs w:val="16"/>
          <w:lang w:val="es-CR"/>
        </w:rPr>
        <w:t>ibilidad</w:t>
      </w:r>
      <w:r w:rsidRPr="00AD54BC">
        <w:rPr>
          <w:rFonts w:ascii="Cambria" w:hAnsi="Cambria"/>
          <w:sz w:val="16"/>
          <w:szCs w:val="16"/>
          <w:lang w:val="es-CR"/>
        </w:rPr>
        <w:t>, Peti</w:t>
      </w:r>
      <w:r>
        <w:rPr>
          <w:rFonts w:ascii="Cambria" w:hAnsi="Cambria"/>
          <w:sz w:val="16"/>
          <w:szCs w:val="16"/>
          <w:lang w:val="es-CR"/>
        </w:rPr>
        <w:t>ció</w:t>
      </w:r>
      <w:r w:rsidRPr="00AD54BC">
        <w:rPr>
          <w:rFonts w:ascii="Cambria" w:hAnsi="Cambria"/>
          <w:sz w:val="16"/>
          <w:szCs w:val="16"/>
          <w:lang w:val="es-CR"/>
        </w:rPr>
        <w:t>n 708/03, Greg</w:t>
      </w:r>
      <w:r>
        <w:rPr>
          <w:rFonts w:ascii="Cambria" w:hAnsi="Cambria"/>
          <w:sz w:val="16"/>
          <w:szCs w:val="16"/>
          <w:lang w:val="es-CR"/>
        </w:rPr>
        <w:t>oria Herminia, Serapio Cristián</w:t>
      </w:r>
      <w:r w:rsidRPr="00AD54BC">
        <w:rPr>
          <w:rFonts w:ascii="Cambria" w:hAnsi="Cambria"/>
          <w:sz w:val="16"/>
          <w:szCs w:val="16"/>
          <w:lang w:val="es-CR"/>
        </w:rPr>
        <w:t xml:space="preserve"> </w:t>
      </w:r>
      <w:r>
        <w:rPr>
          <w:rFonts w:ascii="Cambria" w:hAnsi="Cambria"/>
          <w:sz w:val="16"/>
          <w:szCs w:val="16"/>
          <w:lang w:val="es-CR"/>
        </w:rPr>
        <w:t>y</w:t>
      </w:r>
      <w:r w:rsidRPr="00AD54BC">
        <w:rPr>
          <w:rFonts w:ascii="Cambria" w:hAnsi="Cambria"/>
          <w:sz w:val="16"/>
          <w:szCs w:val="16"/>
          <w:lang w:val="es-CR"/>
        </w:rPr>
        <w:t xml:space="preserve"> Julia Inés Contreras, El Salvador, </w:t>
      </w:r>
      <w:r w:rsidRPr="008D2862">
        <w:rPr>
          <w:rFonts w:ascii="Cambria" w:hAnsi="Cambria" w:cs="Times New Roman"/>
          <w:sz w:val="16"/>
          <w:szCs w:val="16"/>
          <w:lang w:val="es-ES_tradnl"/>
        </w:rPr>
        <w:t>23 de febrero de 2005</w:t>
      </w:r>
      <w:r w:rsidRPr="008D2862">
        <w:rPr>
          <w:rFonts w:ascii="Cambria" w:hAnsi="Cambria" w:cs="Times New Roman"/>
          <w:sz w:val="16"/>
          <w:szCs w:val="16"/>
          <w:lang w:val="es-ES"/>
        </w:rPr>
        <w:t xml:space="preserve">, </w:t>
      </w:r>
      <w:r>
        <w:rPr>
          <w:rFonts w:ascii="Cambria" w:hAnsi="Cambria" w:cs="Times New Roman"/>
          <w:sz w:val="16"/>
          <w:szCs w:val="16"/>
          <w:lang w:val="es-ES"/>
        </w:rPr>
        <w:t xml:space="preserve"> p</w:t>
      </w:r>
      <w:r w:rsidRPr="008D2862">
        <w:rPr>
          <w:rFonts w:ascii="Cambria" w:hAnsi="Cambria" w:cs="Times New Roman"/>
          <w:sz w:val="16"/>
          <w:szCs w:val="16"/>
          <w:lang w:val="es-ES"/>
        </w:rPr>
        <w:t>árr. 20.</w:t>
      </w:r>
    </w:p>
  </w:footnote>
  <w:footnote w:id="603">
    <w:p w:rsidR="00C00F28" w:rsidRPr="00720683" w:rsidRDefault="00C00F28" w:rsidP="00B053C8">
      <w:pPr>
        <w:pStyle w:val="FootnoteText"/>
        <w:jc w:val="both"/>
        <w:rPr>
          <w:rFonts w:ascii="Cambria" w:hAnsi="Cambria"/>
          <w:sz w:val="16"/>
          <w:szCs w:val="16"/>
          <w:lang w:val="es-US"/>
        </w:rPr>
      </w:pPr>
      <w:r w:rsidRPr="008D2862">
        <w:rPr>
          <w:rStyle w:val="FootnoteReference"/>
          <w:rFonts w:ascii="Cambria" w:hAnsi="Cambria"/>
          <w:sz w:val="16"/>
          <w:szCs w:val="16"/>
        </w:rPr>
        <w:footnoteRef/>
      </w:r>
      <w:r w:rsidRPr="008D2862">
        <w:rPr>
          <w:rFonts w:ascii="Cambria" w:hAnsi="Cambria"/>
          <w:sz w:val="16"/>
          <w:szCs w:val="16"/>
          <w:lang w:val="es-US"/>
        </w:rPr>
        <w:t xml:space="preserve"> </w:t>
      </w:r>
      <w:r w:rsidRPr="008D2862">
        <w:rPr>
          <w:rFonts w:ascii="Cambria" w:hAnsi="Cambria" w:cs="Times New Roman"/>
          <w:sz w:val="16"/>
          <w:szCs w:val="16"/>
          <w:lang w:val="es-US"/>
        </w:rPr>
        <w:t>CICR, “</w:t>
      </w:r>
      <w:hyperlink r:id="rId5" w:history="1">
        <w:r w:rsidRPr="008D2862">
          <w:rPr>
            <w:rStyle w:val="Hyperlink"/>
            <w:rFonts w:ascii="Cambria" w:hAnsi="Cambria" w:cs="Times New Roman"/>
            <w:bCs/>
            <w:sz w:val="16"/>
            <w:szCs w:val="16"/>
            <w:u w:val="none"/>
            <w:lang w:val="es-US"/>
          </w:rPr>
          <w:t>Ocupación y otras formas de administración de territorios extranjeros: reunión de expertos</w:t>
        </w:r>
      </w:hyperlink>
      <w:r w:rsidRPr="00720683">
        <w:rPr>
          <w:rFonts w:ascii="Cambria" w:hAnsi="Cambria" w:cs="Times New Roman"/>
          <w:bCs/>
          <w:sz w:val="16"/>
          <w:szCs w:val="16"/>
          <w:lang w:val="es-US"/>
        </w:rPr>
        <w:t>”, 11 de junio de 2012. Documento disponible sólo en idioma inglés.</w:t>
      </w:r>
    </w:p>
  </w:footnote>
  <w:footnote w:id="604">
    <w:p w:rsidR="00C00F28" w:rsidRPr="008D2862" w:rsidRDefault="00C00F28" w:rsidP="00E910D2">
      <w:pPr>
        <w:pStyle w:val="FootnoteText"/>
        <w:jc w:val="both"/>
        <w:rPr>
          <w:rFonts w:ascii="Cambria" w:hAnsi="Cambria" w:cs="Times New Roman"/>
          <w:sz w:val="16"/>
          <w:szCs w:val="16"/>
          <w:lang w:val="es-US"/>
        </w:rPr>
      </w:pPr>
      <w:r w:rsidRPr="00E910D2">
        <w:rPr>
          <w:rStyle w:val="FootnoteReference"/>
          <w:rFonts w:ascii="Cambria" w:hAnsi="Cambria" w:cs="Times New Roman"/>
          <w:sz w:val="16"/>
          <w:szCs w:val="16"/>
        </w:rPr>
        <w:footnoteRef/>
      </w:r>
      <w:r w:rsidRPr="00E910D2">
        <w:rPr>
          <w:rFonts w:ascii="Cambria" w:hAnsi="Cambria" w:cs="Times New Roman"/>
          <w:sz w:val="16"/>
          <w:szCs w:val="16"/>
          <w:lang w:val="es-US"/>
        </w:rPr>
        <w:t xml:space="preserve"> </w:t>
      </w:r>
      <w:r w:rsidRPr="008D2862">
        <w:rPr>
          <w:rFonts w:ascii="Cambria" w:hAnsi="Cambria" w:cs="Times New Roman"/>
          <w:sz w:val="16"/>
          <w:szCs w:val="16"/>
          <w:lang w:val="es-ES_tradnl"/>
        </w:rPr>
        <w:t xml:space="preserve">CIDH. Informe No. 109/99, Fondo, Caso </w:t>
      </w:r>
      <w:r>
        <w:rPr>
          <w:rFonts w:ascii="Cambria" w:hAnsi="Cambria" w:cs="Times New Roman"/>
          <w:sz w:val="16"/>
          <w:szCs w:val="16"/>
          <w:lang w:val="es-ES_tradnl"/>
        </w:rPr>
        <w:t>No.</w:t>
      </w:r>
      <w:r w:rsidRPr="008D2862">
        <w:rPr>
          <w:rFonts w:ascii="Cambria" w:hAnsi="Cambria" w:cs="Times New Roman"/>
          <w:sz w:val="16"/>
          <w:szCs w:val="16"/>
          <w:lang w:val="es-ES_tradnl"/>
        </w:rPr>
        <w:t>10.951, Coard y otros (Estados Unidos). 29 de septiembre de 1999, párr. 42.</w:t>
      </w:r>
    </w:p>
  </w:footnote>
  <w:footnote w:id="605">
    <w:p w:rsidR="00C00F28" w:rsidRPr="008D2862" w:rsidRDefault="00C00F28" w:rsidP="00E910D2">
      <w:pPr>
        <w:pStyle w:val="FootnoteText"/>
        <w:jc w:val="both"/>
        <w:rPr>
          <w:rFonts w:ascii="Cambria" w:hAnsi="Cambria"/>
          <w:sz w:val="16"/>
          <w:szCs w:val="16"/>
          <w:lang w:val="es-VE"/>
        </w:rPr>
      </w:pPr>
      <w:r w:rsidRPr="008D2862">
        <w:rPr>
          <w:rStyle w:val="FootnoteReference"/>
          <w:rFonts w:ascii="Cambria" w:hAnsi="Cambria"/>
          <w:sz w:val="16"/>
          <w:szCs w:val="16"/>
        </w:rPr>
        <w:footnoteRef/>
      </w:r>
      <w:r w:rsidRPr="008D2862">
        <w:rPr>
          <w:rFonts w:ascii="Cambria" w:hAnsi="Cambria"/>
          <w:sz w:val="16"/>
          <w:szCs w:val="16"/>
          <w:lang w:val="es-VE"/>
        </w:rPr>
        <w:t xml:space="preserve"> Estados Unidos ha firmado pero no ha ratificado la Convención de Viena;</w:t>
      </w:r>
      <w:r>
        <w:rPr>
          <w:rFonts w:ascii="Cambria" w:hAnsi="Cambria"/>
          <w:sz w:val="16"/>
          <w:szCs w:val="16"/>
          <w:lang w:val="es-VE"/>
        </w:rPr>
        <w:t xml:space="preserve"> sin embargo</w:t>
      </w:r>
      <w:r w:rsidRPr="008D2862">
        <w:rPr>
          <w:rFonts w:ascii="Cambria" w:hAnsi="Cambria"/>
          <w:sz w:val="16"/>
          <w:szCs w:val="16"/>
          <w:lang w:val="es-VE"/>
        </w:rPr>
        <w:t xml:space="preserve"> la Comisión considera que el principio en cuestión se encuentra codificado en dicho Tratado, pero es en cualquier caso un principio básico de interpretación. </w:t>
      </w:r>
    </w:p>
  </w:footnote>
  <w:footnote w:id="606">
    <w:p w:rsidR="00C00F28" w:rsidRPr="008D2862" w:rsidRDefault="00C00F28" w:rsidP="00E910D2">
      <w:pPr>
        <w:pStyle w:val="NoSpacing"/>
        <w:jc w:val="both"/>
        <w:rPr>
          <w:rFonts w:ascii="Cambria" w:hAnsi="Cambria"/>
          <w:color w:val="000000"/>
          <w:sz w:val="16"/>
          <w:szCs w:val="16"/>
          <w:lang w:val="es-ES_tradnl"/>
        </w:rPr>
      </w:pPr>
      <w:r w:rsidRPr="008D2862">
        <w:rPr>
          <w:rStyle w:val="FootnoteReference"/>
          <w:rFonts w:ascii="Cambria" w:hAnsi="Cambria"/>
          <w:color w:val="000000"/>
          <w:sz w:val="16"/>
          <w:szCs w:val="16"/>
        </w:rPr>
        <w:footnoteRef/>
      </w:r>
      <w:r w:rsidRPr="008D2862">
        <w:rPr>
          <w:rFonts w:ascii="Cambria" w:hAnsi="Cambria"/>
          <w:color w:val="000000"/>
          <w:sz w:val="16"/>
          <w:szCs w:val="16"/>
          <w:lang w:val="es-ES_tradnl"/>
        </w:rPr>
        <w:t xml:space="preserve"> Convención de Viena sobre el Derecho de los Tratados, 1969, art. 31.3 (c).</w:t>
      </w:r>
    </w:p>
  </w:footnote>
  <w:footnote w:id="607">
    <w:p w:rsidR="00C00F28" w:rsidRPr="008D2862" w:rsidRDefault="00C00F28" w:rsidP="00B053C8">
      <w:pPr>
        <w:pStyle w:val="NoSpacing"/>
        <w:jc w:val="both"/>
        <w:rPr>
          <w:rFonts w:ascii="Cambria" w:hAnsi="Cambria"/>
          <w:color w:val="000000"/>
          <w:sz w:val="16"/>
          <w:szCs w:val="16"/>
          <w:lang w:val="es-US"/>
        </w:rPr>
      </w:pPr>
      <w:r w:rsidRPr="008D2862">
        <w:rPr>
          <w:rStyle w:val="FootnoteReference"/>
          <w:rFonts w:ascii="Cambria" w:hAnsi="Cambria"/>
          <w:color w:val="000000"/>
          <w:sz w:val="16"/>
          <w:szCs w:val="16"/>
        </w:rPr>
        <w:footnoteRef/>
      </w:r>
      <w:r w:rsidRPr="008D2862">
        <w:rPr>
          <w:rFonts w:ascii="Cambria" w:hAnsi="Cambria"/>
          <w:color w:val="000000"/>
          <w:sz w:val="16"/>
          <w:szCs w:val="16"/>
          <w:lang w:val="es-US"/>
        </w:rPr>
        <w:t xml:space="preserve"> </w:t>
      </w:r>
      <w:r w:rsidRPr="008D2862">
        <w:rPr>
          <w:rFonts w:ascii="Cambria" w:hAnsi="Cambria"/>
          <w:color w:val="000000"/>
          <w:sz w:val="16"/>
          <w:szCs w:val="16"/>
          <w:lang w:val="es-ES_tradnl"/>
        </w:rPr>
        <w:t xml:space="preserve">CIDH. Informe No. 112/10, </w:t>
      </w:r>
      <w:r w:rsidRPr="008D2862">
        <w:rPr>
          <w:rFonts w:ascii="Cambria" w:hAnsi="Cambria"/>
          <w:color w:val="000000"/>
          <w:sz w:val="16"/>
          <w:szCs w:val="16"/>
          <w:lang w:val="es-ES"/>
        </w:rPr>
        <w:t>Petición interestatal PI-02. Admisibilidad. Caso Franklin Guillermo Aisalla Molina, Ecuador vs. Colombia. 21 de octubre de 2010, párr.121.</w:t>
      </w:r>
    </w:p>
  </w:footnote>
  <w:footnote w:id="608">
    <w:p w:rsidR="00C00F28" w:rsidRPr="008D2862" w:rsidRDefault="00C00F28" w:rsidP="00B053C8">
      <w:pPr>
        <w:pStyle w:val="FootnoteText"/>
        <w:jc w:val="both"/>
        <w:rPr>
          <w:rFonts w:ascii="Cambria" w:hAnsi="Cambria" w:cs="Times New Roman"/>
          <w:sz w:val="16"/>
          <w:szCs w:val="16"/>
          <w:lang w:val="es-ES_tradnl"/>
        </w:rPr>
      </w:pPr>
      <w:r w:rsidRPr="008D2862">
        <w:rPr>
          <w:rStyle w:val="FootnoteReference"/>
          <w:rFonts w:ascii="Cambria" w:hAnsi="Cambria" w:cs="Times New Roman"/>
          <w:sz w:val="16"/>
          <w:szCs w:val="16"/>
        </w:rPr>
        <w:footnoteRef/>
      </w:r>
      <w:r w:rsidRPr="008D2862">
        <w:rPr>
          <w:rFonts w:ascii="Cambria" w:hAnsi="Cambria" w:cs="Times New Roman"/>
          <w:sz w:val="16"/>
          <w:szCs w:val="16"/>
          <w:lang w:val="es-ES_tradnl"/>
        </w:rPr>
        <w:t xml:space="preserve"> CIDH. Informe No. 109/99, Fondo, Caso </w:t>
      </w:r>
      <w:r>
        <w:rPr>
          <w:rFonts w:ascii="Cambria" w:hAnsi="Cambria" w:cs="Times New Roman"/>
          <w:sz w:val="16"/>
          <w:szCs w:val="16"/>
          <w:lang w:val="es-ES_tradnl"/>
        </w:rPr>
        <w:t xml:space="preserve">No. </w:t>
      </w:r>
      <w:r w:rsidRPr="008D2862">
        <w:rPr>
          <w:rFonts w:ascii="Cambria" w:hAnsi="Cambria" w:cs="Times New Roman"/>
          <w:sz w:val="16"/>
          <w:szCs w:val="16"/>
          <w:lang w:val="es-ES_tradnl"/>
        </w:rPr>
        <w:t>10.951, Coard y otros (Estados Unidos). 29 de septiembre de 1999, párr.42. Ver también CIJ, Opinión consultiva sobre la legalidad de la amenaza o uso de armas nucleares, CIJ, Informes 1996, párrafo 25.</w:t>
      </w:r>
    </w:p>
  </w:footnote>
  <w:footnote w:id="609">
    <w:p w:rsidR="00C00F28" w:rsidRPr="008D2862" w:rsidRDefault="00C00F28" w:rsidP="00B053C8">
      <w:pPr>
        <w:pStyle w:val="FootnoteText"/>
        <w:jc w:val="both"/>
        <w:rPr>
          <w:rFonts w:ascii="Cambria" w:hAnsi="Cambria"/>
          <w:sz w:val="16"/>
          <w:szCs w:val="16"/>
          <w:lang w:val="es-US"/>
        </w:rPr>
      </w:pPr>
      <w:r w:rsidRPr="008D2862">
        <w:rPr>
          <w:rStyle w:val="FootnoteReference"/>
          <w:rFonts w:ascii="Cambria" w:hAnsi="Cambria" w:cs="Times New Roman"/>
          <w:sz w:val="16"/>
          <w:szCs w:val="16"/>
        </w:rPr>
        <w:footnoteRef/>
      </w:r>
      <w:r w:rsidRPr="008D2862">
        <w:rPr>
          <w:rFonts w:ascii="Cambria" w:hAnsi="Cambria" w:cs="Times New Roman"/>
          <w:sz w:val="16"/>
          <w:szCs w:val="16"/>
          <w:lang w:val="es-US"/>
        </w:rPr>
        <w:t xml:space="preserve"> </w:t>
      </w:r>
      <w:r w:rsidRPr="008D2862">
        <w:rPr>
          <w:rFonts w:ascii="Cambria" w:hAnsi="Cambria" w:cs="Times New Roman"/>
          <w:sz w:val="16"/>
          <w:szCs w:val="16"/>
          <w:lang w:val="es-ES_tradnl"/>
        </w:rPr>
        <w:t xml:space="preserve">CIDH. Informe No. 109/99, Fondo, Caso </w:t>
      </w:r>
      <w:r>
        <w:rPr>
          <w:rFonts w:ascii="Cambria" w:hAnsi="Cambria" w:cs="Times New Roman"/>
          <w:sz w:val="16"/>
          <w:szCs w:val="16"/>
          <w:lang w:val="es-ES_tradnl"/>
        </w:rPr>
        <w:t xml:space="preserve">No. </w:t>
      </w:r>
      <w:r w:rsidRPr="008D2862">
        <w:rPr>
          <w:rFonts w:ascii="Cambria" w:hAnsi="Cambria" w:cs="Times New Roman"/>
          <w:sz w:val="16"/>
          <w:szCs w:val="16"/>
          <w:lang w:val="es-ES_tradnl"/>
        </w:rPr>
        <w:t>10.951, Coard y otros (Estados Unidos). 29 de septiembre de 1999, párrs. 39 y ss.</w:t>
      </w:r>
      <w:r w:rsidRPr="008D2862">
        <w:rPr>
          <w:rFonts w:ascii="Cambria" w:hAnsi="Cambria"/>
          <w:sz w:val="16"/>
          <w:szCs w:val="16"/>
          <w:lang w:val="es-ES_tradnl"/>
        </w:rPr>
        <w:t xml:space="preserve"> </w:t>
      </w:r>
    </w:p>
  </w:footnote>
  <w:footnote w:id="610">
    <w:p w:rsidR="00C00F28" w:rsidRPr="008D2862" w:rsidRDefault="00C00F28" w:rsidP="00B053C8">
      <w:pPr>
        <w:pStyle w:val="NoSpacing"/>
        <w:jc w:val="both"/>
        <w:rPr>
          <w:rFonts w:ascii="Cambria" w:hAnsi="Cambria"/>
          <w:sz w:val="16"/>
          <w:szCs w:val="16"/>
          <w:lang w:val="es-ES_tradnl"/>
        </w:rPr>
      </w:pPr>
      <w:r w:rsidRPr="008D2862">
        <w:rPr>
          <w:rStyle w:val="FootnoteReference"/>
          <w:rFonts w:ascii="Cambria" w:hAnsi="Cambria"/>
          <w:sz w:val="16"/>
          <w:szCs w:val="16"/>
        </w:rPr>
        <w:footnoteRef/>
      </w:r>
      <w:r w:rsidRPr="008D2862">
        <w:rPr>
          <w:rFonts w:ascii="Cambria" w:hAnsi="Cambria"/>
          <w:sz w:val="16"/>
          <w:szCs w:val="16"/>
          <w:lang w:val="es-ES_tradnl"/>
        </w:rPr>
        <w:t xml:space="preserve"> Corte I.D.H., "Otros Tratados" Objeto de la Función Consultiva de la Corte (art. 64 Convención Americana sobre Derechos Humanos). Opinión Consultiva OC-1/82 del 24 de septiembre de 1982. Serie A No. 1, párr. 43.</w:t>
      </w:r>
    </w:p>
  </w:footnote>
  <w:footnote w:id="611">
    <w:p w:rsidR="00C00F28" w:rsidRPr="008D2862" w:rsidRDefault="00C00F28" w:rsidP="00B053C8">
      <w:pPr>
        <w:pStyle w:val="FootnoteText"/>
        <w:jc w:val="both"/>
        <w:rPr>
          <w:rFonts w:ascii="Cambria" w:hAnsi="Cambria"/>
          <w:sz w:val="16"/>
          <w:szCs w:val="16"/>
          <w:lang w:val="es-US"/>
        </w:rPr>
      </w:pPr>
      <w:r w:rsidRPr="008D2862">
        <w:rPr>
          <w:rStyle w:val="FootnoteReference"/>
          <w:rFonts w:ascii="Cambria" w:hAnsi="Cambria"/>
          <w:sz w:val="16"/>
          <w:szCs w:val="16"/>
        </w:rPr>
        <w:footnoteRef/>
      </w:r>
      <w:r w:rsidRPr="008D2862">
        <w:rPr>
          <w:rFonts w:ascii="Cambria" w:hAnsi="Cambria"/>
          <w:sz w:val="16"/>
          <w:szCs w:val="16"/>
          <w:lang w:val="es-US"/>
        </w:rPr>
        <w:t xml:space="preserve"> </w:t>
      </w:r>
      <w:r w:rsidRPr="008D2862">
        <w:rPr>
          <w:rFonts w:ascii="Cambria" w:hAnsi="Cambria" w:cs="Times New Roman"/>
          <w:sz w:val="16"/>
          <w:szCs w:val="16"/>
          <w:lang w:val="es-ES_tradnl"/>
        </w:rPr>
        <w:t>CIDH. Informe No. 109/99, Caso</w:t>
      </w:r>
      <w:r>
        <w:rPr>
          <w:rFonts w:ascii="Cambria" w:hAnsi="Cambria" w:cs="Times New Roman"/>
          <w:sz w:val="16"/>
          <w:szCs w:val="16"/>
          <w:lang w:val="es-ES_tradnl"/>
        </w:rPr>
        <w:t xml:space="preserve"> No.</w:t>
      </w:r>
      <w:r w:rsidRPr="008D2862">
        <w:rPr>
          <w:rFonts w:ascii="Cambria" w:hAnsi="Cambria" w:cs="Times New Roman"/>
          <w:sz w:val="16"/>
          <w:szCs w:val="16"/>
          <w:lang w:val="es-ES_tradnl"/>
        </w:rPr>
        <w:t xml:space="preserve"> 10.951, Coard y otros (Estados Unidos). 29 de septiembre de 1999.</w:t>
      </w:r>
    </w:p>
  </w:footnote>
  <w:footnote w:id="612">
    <w:p w:rsidR="00C00F28" w:rsidRPr="008D2862" w:rsidRDefault="00C00F28" w:rsidP="00B053C8">
      <w:pPr>
        <w:pStyle w:val="NoSpacing"/>
        <w:jc w:val="both"/>
        <w:rPr>
          <w:rFonts w:ascii="Cambria" w:hAnsi="Cambria"/>
          <w:sz w:val="16"/>
          <w:szCs w:val="16"/>
          <w:lang w:val="es-US"/>
        </w:rPr>
      </w:pPr>
      <w:r w:rsidRPr="008D2862">
        <w:rPr>
          <w:rStyle w:val="FootnoteReference"/>
          <w:rFonts w:ascii="Cambria" w:hAnsi="Cambria"/>
          <w:sz w:val="16"/>
          <w:szCs w:val="16"/>
        </w:rPr>
        <w:footnoteRef/>
      </w:r>
      <w:r w:rsidRPr="008D2862">
        <w:rPr>
          <w:rFonts w:ascii="Cambria" w:hAnsi="Cambria"/>
          <w:sz w:val="16"/>
          <w:szCs w:val="16"/>
          <w:lang w:val="es-US"/>
        </w:rPr>
        <w:t xml:space="preserve"> </w:t>
      </w:r>
      <w:r w:rsidRPr="008D2862">
        <w:rPr>
          <w:rFonts w:ascii="Cambria" w:hAnsi="Cambria"/>
          <w:color w:val="000000"/>
          <w:sz w:val="16"/>
          <w:szCs w:val="16"/>
          <w:lang w:val="es-ES_tradnl"/>
        </w:rPr>
        <w:t xml:space="preserve">CIDH. Informe No. 109/99, Caso </w:t>
      </w:r>
      <w:r>
        <w:rPr>
          <w:rFonts w:ascii="Cambria" w:hAnsi="Cambria"/>
          <w:color w:val="000000"/>
          <w:sz w:val="16"/>
          <w:szCs w:val="16"/>
          <w:lang w:val="es-ES_tradnl"/>
        </w:rPr>
        <w:t xml:space="preserve">No. </w:t>
      </w:r>
      <w:r w:rsidRPr="008D2862">
        <w:rPr>
          <w:rFonts w:ascii="Cambria" w:hAnsi="Cambria"/>
          <w:color w:val="000000"/>
          <w:sz w:val="16"/>
          <w:szCs w:val="16"/>
          <w:lang w:val="es-ES_tradnl"/>
        </w:rPr>
        <w:t xml:space="preserve">10.951, Coard y otros (Estados Unidos). 29 de septiembre de 1999, párr. 39. </w:t>
      </w:r>
    </w:p>
  </w:footnote>
  <w:footnote w:id="613">
    <w:p w:rsidR="00C00F28" w:rsidRPr="008D2862" w:rsidRDefault="00C00F28" w:rsidP="00B053C8">
      <w:pPr>
        <w:pStyle w:val="NoSpacing"/>
        <w:jc w:val="both"/>
        <w:rPr>
          <w:rFonts w:ascii="Cambria" w:hAnsi="Cambria"/>
          <w:sz w:val="16"/>
          <w:szCs w:val="16"/>
          <w:lang w:val="es-US"/>
        </w:rPr>
      </w:pPr>
      <w:r w:rsidRPr="008D2862">
        <w:rPr>
          <w:rStyle w:val="FootnoteReference"/>
          <w:rFonts w:ascii="Cambria" w:hAnsi="Cambria"/>
          <w:sz w:val="16"/>
          <w:szCs w:val="16"/>
        </w:rPr>
        <w:footnoteRef/>
      </w:r>
      <w:r>
        <w:rPr>
          <w:rFonts w:ascii="Cambria" w:hAnsi="Cambria"/>
          <w:iCs/>
          <w:sz w:val="16"/>
          <w:szCs w:val="16"/>
          <w:lang w:val="es-US"/>
        </w:rPr>
        <w:t xml:space="preserve">Ver, por ejemplo, </w:t>
      </w:r>
      <w:r w:rsidRPr="008D2862">
        <w:rPr>
          <w:rFonts w:ascii="Cambria" w:hAnsi="Cambria"/>
          <w:sz w:val="16"/>
          <w:szCs w:val="16"/>
          <w:lang w:val="es-US"/>
        </w:rPr>
        <w:t>Informe de la CIDH sobre sus actividades en la República Dominicana, OEA/Ser.L/V/II 15, doc.6, 1966; Informe sobre la situación de los derechos humanos en El Salvador y Honduras, OEA/Ser.L/V/II 23, doc.9 rev.1, 1970; Informe sobre la situación de los derechos humanos en Uruguay, OEA/Ser.L/V/II.43, doc.10 corr.1, 1978; Informe sobre la situación de los derechos humanos en Nicaragua, OEA/Ser.L/V/II.45, doc.16, rev.1, 1978; Informe sobre la situación de los derechos humanos en Argentina, OEA/Ser.L/V/II.49, doc.19, 1980.</w:t>
      </w:r>
    </w:p>
  </w:footnote>
  <w:footnote w:id="614">
    <w:p w:rsidR="00C00F28" w:rsidRPr="00720683" w:rsidRDefault="00C00F28" w:rsidP="00B053C8">
      <w:pPr>
        <w:pStyle w:val="NoSpacing"/>
        <w:jc w:val="both"/>
        <w:rPr>
          <w:rFonts w:ascii="Cambria" w:hAnsi="Cambria"/>
          <w:sz w:val="16"/>
          <w:szCs w:val="16"/>
          <w:lang w:val="es-US"/>
        </w:rPr>
      </w:pPr>
      <w:r w:rsidRPr="008D2862">
        <w:rPr>
          <w:rStyle w:val="FootnoteReference"/>
          <w:rFonts w:ascii="Cambria" w:hAnsi="Cambria"/>
          <w:sz w:val="16"/>
          <w:szCs w:val="16"/>
        </w:rPr>
        <w:footnoteRef/>
      </w:r>
      <w:r w:rsidRPr="008D2862">
        <w:rPr>
          <w:rFonts w:ascii="Cambria" w:hAnsi="Cambria"/>
          <w:sz w:val="16"/>
          <w:szCs w:val="16"/>
          <w:lang w:val="es-US"/>
        </w:rPr>
        <w:t xml:space="preserve"> </w:t>
      </w:r>
      <w:r w:rsidRPr="008D2862">
        <w:rPr>
          <w:rFonts w:ascii="Cambria" w:hAnsi="Cambria"/>
          <w:color w:val="000000"/>
          <w:sz w:val="16"/>
          <w:szCs w:val="16"/>
          <w:lang w:val="es-ES_tradnl"/>
        </w:rPr>
        <w:t xml:space="preserve">Ver CIDH. Informe No. 109/99, Caso </w:t>
      </w:r>
      <w:r>
        <w:rPr>
          <w:rFonts w:ascii="Cambria" w:hAnsi="Cambria"/>
          <w:color w:val="000000"/>
          <w:sz w:val="16"/>
          <w:szCs w:val="16"/>
          <w:lang w:val="es-ES_tradnl"/>
        </w:rPr>
        <w:t xml:space="preserve">No. </w:t>
      </w:r>
      <w:r w:rsidRPr="008D2862">
        <w:rPr>
          <w:rFonts w:ascii="Cambria" w:hAnsi="Cambria"/>
          <w:color w:val="000000"/>
          <w:sz w:val="16"/>
          <w:szCs w:val="16"/>
          <w:lang w:val="es-ES_tradnl"/>
        </w:rPr>
        <w:t>10.951, Coard y otros (Estados Unidos). 29 de septiembre de 1999,</w:t>
      </w:r>
      <w:r w:rsidRPr="00720683">
        <w:rPr>
          <w:rFonts w:ascii="Cambria" w:hAnsi="Cambria"/>
          <w:color w:val="000000"/>
          <w:sz w:val="16"/>
          <w:szCs w:val="16"/>
          <w:lang w:val="es-ES_tradnl"/>
        </w:rPr>
        <w:t xml:space="preserve"> párr.40.</w:t>
      </w:r>
    </w:p>
  </w:footnote>
  <w:footnote w:id="615">
    <w:p w:rsidR="00C00F28" w:rsidRPr="00720683" w:rsidRDefault="00C00F28" w:rsidP="00B053C8">
      <w:pPr>
        <w:pStyle w:val="NormalWeb"/>
        <w:spacing w:before="0" w:beforeAutospacing="0" w:after="0" w:afterAutospacing="0"/>
        <w:jc w:val="both"/>
        <w:rPr>
          <w:rFonts w:ascii="Cambria" w:hAnsi="Cambria"/>
          <w:sz w:val="16"/>
          <w:szCs w:val="16"/>
          <w:lang w:val="es-US"/>
        </w:rPr>
      </w:pPr>
      <w:r w:rsidRPr="00720683">
        <w:rPr>
          <w:rStyle w:val="FootnoteReference"/>
          <w:rFonts w:ascii="Cambria" w:hAnsi="Cambria"/>
          <w:sz w:val="16"/>
          <w:szCs w:val="16"/>
        </w:rPr>
        <w:footnoteRef/>
      </w:r>
      <w:r w:rsidRPr="00720683">
        <w:rPr>
          <w:rFonts w:ascii="Cambria" w:hAnsi="Cambria"/>
          <w:sz w:val="16"/>
          <w:szCs w:val="16"/>
          <w:lang w:val="es-US"/>
        </w:rPr>
        <w:t xml:space="preserve"> Dicho artículo establece, en su parte pertinente, que la Convención "se aplicará en caso de guerra declarada o de cualquier otro conflicto armado que surja entre dos o varias de las Altas Partes contratantes, aunque el estado de guerra no haya sido r</w:t>
      </w:r>
      <w:r>
        <w:rPr>
          <w:rFonts w:ascii="Cambria" w:hAnsi="Cambria"/>
          <w:sz w:val="16"/>
          <w:szCs w:val="16"/>
          <w:lang w:val="es-US"/>
        </w:rPr>
        <w:t>econocido por alguna de ellas"</w:t>
      </w:r>
      <w:r w:rsidRPr="00720683">
        <w:rPr>
          <w:rFonts w:ascii="Cambria" w:hAnsi="Cambria"/>
          <w:sz w:val="16"/>
          <w:szCs w:val="16"/>
          <w:lang w:val="es-US"/>
        </w:rPr>
        <w:t xml:space="preserve"> y "se aplicará igualmente en todos los casos de ocupación de la totalidad o parte del territorio de una Alta Parte contratante, aunque la ocupación no encuentre resistencia militar". Ver </w:t>
      </w:r>
      <w:r w:rsidRPr="00720683">
        <w:rPr>
          <w:rFonts w:ascii="Cambria" w:hAnsi="Cambria"/>
          <w:color w:val="000000"/>
          <w:sz w:val="16"/>
          <w:szCs w:val="16"/>
          <w:lang w:val="es-ES_tradnl"/>
        </w:rPr>
        <w:t xml:space="preserve">CIDH. Informe No. 109/99, Caso </w:t>
      </w:r>
      <w:r>
        <w:rPr>
          <w:rFonts w:ascii="Cambria" w:hAnsi="Cambria"/>
          <w:color w:val="000000"/>
          <w:sz w:val="16"/>
          <w:szCs w:val="16"/>
          <w:lang w:val="es-ES_tradnl"/>
        </w:rPr>
        <w:t xml:space="preserve">No. </w:t>
      </w:r>
      <w:r w:rsidRPr="00720683">
        <w:rPr>
          <w:rFonts w:ascii="Cambria" w:hAnsi="Cambria"/>
          <w:color w:val="000000"/>
          <w:sz w:val="16"/>
          <w:szCs w:val="16"/>
          <w:lang w:val="es-ES_tradnl"/>
        </w:rPr>
        <w:t xml:space="preserve">10.951, Coard y otros (Estados Unidos). 29 de septiembre de 1999, párr. 44. </w:t>
      </w:r>
    </w:p>
  </w:footnote>
  <w:footnote w:id="616">
    <w:p w:rsidR="00C00F28" w:rsidRPr="00720683" w:rsidRDefault="00C00F28" w:rsidP="00B053C8">
      <w:pPr>
        <w:pStyle w:val="FootnoteText"/>
        <w:jc w:val="both"/>
        <w:rPr>
          <w:rFonts w:ascii="Cambria" w:hAnsi="Cambria"/>
          <w:sz w:val="16"/>
          <w:szCs w:val="16"/>
          <w:lang w:val="es-ES_tradnl"/>
        </w:rPr>
      </w:pPr>
      <w:r w:rsidRPr="00720683">
        <w:rPr>
          <w:rStyle w:val="FootnoteReference"/>
          <w:rFonts w:ascii="Cambria" w:hAnsi="Cambria"/>
          <w:sz w:val="16"/>
          <w:szCs w:val="16"/>
          <w:lang w:val="es-ES_tradnl"/>
        </w:rPr>
        <w:footnoteRef/>
      </w:r>
      <w:r w:rsidRPr="00F9526F">
        <w:rPr>
          <w:rFonts w:ascii="Cambria" w:hAnsi="Cambria"/>
          <w:sz w:val="16"/>
          <w:szCs w:val="16"/>
          <w:lang w:val="es-ES"/>
        </w:rPr>
        <w:t xml:space="preserve"> CIDH, Informe No. 31/17, Caso No. 12.880. </w:t>
      </w:r>
      <w:r w:rsidRPr="00720683">
        <w:rPr>
          <w:rFonts w:ascii="Cambria" w:hAnsi="Cambria"/>
          <w:sz w:val="16"/>
          <w:szCs w:val="16"/>
          <w:lang w:val="es-ES_tradnl"/>
        </w:rPr>
        <w:t xml:space="preserve">Fondo. Edmundo Alex Lemun Saavedra y otros. Chile. 21 de marzo de 2017, párrafo 78. CIDH, Informe No. 2/15, Caso </w:t>
      </w:r>
      <w:r>
        <w:rPr>
          <w:rFonts w:ascii="Cambria" w:hAnsi="Cambria"/>
          <w:sz w:val="16"/>
          <w:szCs w:val="16"/>
          <w:lang w:val="es-ES_tradnl"/>
        </w:rPr>
        <w:t xml:space="preserve">No. </w:t>
      </w:r>
      <w:r w:rsidRPr="00720683">
        <w:rPr>
          <w:rFonts w:ascii="Cambria" w:hAnsi="Cambria"/>
          <w:sz w:val="16"/>
          <w:szCs w:val="16"/>
          <w:lang w:val="es-ES_tradnl"/>
        </w:rPr>
        <w:t>12.270, Fondo, Johan Alexis Ortiz Hernández, Venezuela, 29 de enero de 2015, párr. 185.</w:t>
      </w:r>
    </w:p>
  </w:footnote>
  <w:footnote w:id="617">
    <w:p w:rsidR="00C00F28" w:rsidRPr="00720683" w:rsidRDefault="00C00F28" w:rsidP="00B053C8">
      <w:pPr>
        <w:pStyle w:val="FootnoteText"/>
        <w:jc w:val="both"/>
        <w:rPr>
          <w:rFonts w:ascii="Cambria" w:hAnsi="Cambria"/>
          <w:sz w:val="16"/>
          <w:szCs w:val="16"/>
          <w:lang w:val="es-ES_tradnl"/>
        </w:rPr>
      </w:pPr>
      <w:r w:rsidRPr="00720683">
        <w:rPr>
          <w:rStyle w:val="FootnoteReference"/>
          <w:rFonts w:ascii="Cambria" w:hAnsi="Cambria"/>
          <w:sz w:val="16"/>
          <w:szCs w:val="16"/>
          <w:lang w:val="es-ES_tradnl"/>
        </w:rPr>
        <w:footnoteRef/>
      </w:r>
      <w:r w:rsidRPr="00720683">
        <w:rPr>
          <w:rFonts w:ascii="Cambria" w:hAnsi="Cambria"/>
          <w:sz w:val="16"/>
          <w:szCs w:val="16"/>
          <w:lang w:val="es-ES_tradnl"/>
        </w:rPr>
        <w:t xml:space="preserve"> </w:t>
      </w:r>
      <w:bookmarkStart w:id="36" w:name="_Hlk499849715"/>
      <w:r w:rsidRPr="00720683">
        <w:rPr>
          <w:rFonts w:ascii="Cambria" w:hAnsi="Cambria"/>
          <w:sz w:val="16"/>
          <w:szCs w:val="16"/>
          <w:lang w:val="es-ES_tradnl"/>
        </w:rPr>
        <w:t>CIDH, Informe sobre Terrorismo y Derechos Humanos, OEA/Ser.L/V/ll.116, 22 de octubre de 2002, párr. 86</w:t>
      </w:r>
      <w:bookmarkEnd w:id="36"/>
      <w:r w:rsidRPr="00720683">
        <w:rPr>
          <w:rFonts w:ascii="Cambria" w:hAnsi="Cambria"/>
          <w:sz w:val="16"/>
          <w:szCs w:val="16"/>
          <w:lang w:val="es-ES_tradnl"/>
        </w:rPr>
        <w:t xml:space="preserve">. Ver también CIDH. Informe No. 1/96, Caso </w:t>
      </w:r>
      <w:r>
        <w:rPr>
          <w:rFonts w:ascii="Cambria" w:hAnsi="Cambria"/>
          <w:sz w:val="16"/>
          <w:szCs w:val="16"/>
          <w:lang w:val="es-ES_tradnl"/>
        </w:rPr>
        <w:t xml:space="preserve">No. </w:t>
      </w:r>
      <w:r w:rsidRPr="00720683">
        <w:rPr>
          <w:rFonts w:ascii="Cambria" w:hAnsi="Cambria"/>
          <w:sz w:val="16"/>
          <w:szCs w:val="16"/>
          <w:lang w:val="es-ES_tradnl"/>
        </w:rPr>
        <w:t xml:space="preserve">10.559. Fondo. Chumbivilcas. </w:t>
      </w:r>
      <w:r>
        <w:rPr>
          <w:rFonts w:ascii="Cambria" w:hAnsi="Cambria"/>
          <w:sz w:val="16"/>
          <w:szCs w:val="16"/>
          <w:lang w:val="es-ES_tradnl"/>
        </w:rPr>
        <w:t>(</w:t>
      </w:r>
      <w:r w:rsidRPr="00720683">
        <w:rPr>
          <w:rFonts w:ascii="Cambria" w:hAnsi="Cambria"/>
          <w:sz w:val="16"/>
          <w:szCs w:val="16"/>
          <w:lang w:val="es-ES_tradnl"/>
        </w:rPr>
        <w:t>Perú</w:t>
      </w:r>
      <w:r>
        <w:rPr>
          <w:rFonts w:ascii="Cambria" w:hAnsi="Cambria"/>
          <w:sz w:val="16"/>
          <w:szCs w:val="16"/>
          <w:lang w:val="es-ES_tradnl"/>
        </w:rPr>
        <w:t>)</w:t>
      </w:r>
      <w:r w:rsidRPr="00720683">
        <w:rPr>
          <w:rFonts w:ascii="Cambria" w:hAnsi="Cambria"/>
          <w:sz w:val="16"/>
          <w:szCs w:val="16"/>
          <w:lang w:val="es-ES_tradnl"/>
        </w:rPr>
        <w:t>. 1 de marzo de 1996.</w:t>
      </w:r>
    </w:p>
  </w:footnote>
  <w:footnote w:id="618">
    <w:p w:rsidR="00C00F28" w:rsidRPr="00720683" w:rsidRDefault="00C00F28" w:rsidP="00B053C8">
      <w:pPr>
        <w:pStyle w:val="FootnoteText"/>
        <w:jc w:val="both"/>
        <w:rPr>
          <w:rFonts w:ascii="Cambria" w:hAnsi="Cambria"/>
          <w:sz w:val="16"/>
          <w:szCs w:val="16"/>
          <w:lang w:val="es-ES_tradnl"/>
        </w:rPr>
      </w:pPr>
      <w:r w:rsidRPr="00720683">
        <w:rPr>
          <w:rStyle w:val="FootnoteReference"/>
          <w:rFonts w:ascii="Cambria" w:hAnsi="Cambria"/>
          <w:sz w:val="16"/>
          <w:szCs w:val="16"/>
          <w:lang w:val="es-ES_tradnl"/>
        </w:rPr>
        <w:footnoteRef/>
      </w:r>
      <w:r w:rsidRPr="00720683">
        <w:rPr>
          <w:rFonts w:ascii="Cambria" w:hAnsi="Cambria"/>
          <w:sz w:val="16"/>
          <w:szCs w:val="16"/>
          <w:lang w:val="es-ES_tradnl"/>
        </w:rPr>
        <w:t xml:space="preserve"> CIDH, Informe sobre Terrorismo y Derechos Humanos, OEA/Ser.L/V/ll.116, 22 de octubre de 2002, párr. </w:t>
      </w:r>
      <w:r w:rsidRPr="00720683">
        <w:rPr>
          <w:rFonts w:ascii="Cambria" w:hAnsi="Cambria"/>
          <w:sz w:val="16"/>
          <w:szCs w:val="16"/>
          <w:lang w:val="fr-CA"/>
        </w:rPr>
        <w:t xml:space="preserve">99; Eric David, (1999) Principes De Droit Des Conflits Armés. Bruxelles, Bruylant. </w:t>
      </w:r>
      <w:r>
        <w:rPr>
          <w:rFonts w:ascii="Cambria" w:hAnsi="Cambria"/>
          <w:sz w:val="16"/>
          <w:szCs w:val="16"/>
          <w:lang w:val="es-ES_tradnl"/>
        </w:rPr>
        <w:t>(2da éd)</w:t>
      </w:r>
      <w:r w:rsidRPr="00720683">
        <w:rPr>
          <w:rFonts w:ascii="Cambria" w:hAnsi="Cambria"/>
          <w:sz w:val="16"/>
          <w:szCs w:val="16"/>
          <w:lang w:val="es-ES_tradnl"/>
        </w:rPr>
        <w:t xml:space="preserve">, págs. 215 y ss. </w:t>
      </w:r>
    </w:p>
  </w:footnote>
  <w:footnote w:id="619">
    <w:p w:rsidR="00C00F28" w:rsidRPr="00720683" w:rsidRDefault="00C00F28" w:rsidP="00B053C8">
      <w:pPr>
        <w:pStyle w:val="NoSpacing"/>
        <w:jc w:val="both"/>
        <w:rPr>
          <w:rFonts w:ascii="Cambria" w:hAnsi="Cambria"/>
          <w:sz w:val="16"/>
          <w:szCs w:val="16"/>
          <w:lang w:val="es-ES_tradnl"/>
        </w:rPr>
      </w:pPr>
      <w:r w:rsidRPr="00720683">
        <w:rPr>
          <w:rStyle w:val="FootnoteReference"/>
          <w:rFonts w:ascii="Cambria" w:hAnsi="Cambria"/>
          <w:sz w:val="16"/>
          <w:szCs w:val="16"/>
          <w:lang w:val="es-ES_tradnl"/>
        </w:rPr>
        <w:footnoteRef/>
      </w:r>
      <w:r w:rsidRPr="00720683">
        <w:rPr>
          <w:rFonts w:ascii="Cambria" w:hAnsi="Cambria"/>
          <w:sz w:val="16"/>
          <w:szCs w:val="16"/>
          <w:lang w:val="es-ES_tradnl"/>
        </w:rPr>
        <w:t xml:space="preserve"> CICR, </w:t>
      </w:r>
      <w:hyperlink r:id="rId6" w:history="1">
        <w:r w:rsidRPr="00720683">
          <w:rPr>
            <w:rStyle w:val="Hyperlink"/>
            <w:rFonts w:ascii="Cambria" w:hAnsi="Cambria"/>
            <w:sz w:val="16"/>
            <w:szCs w:val="16"/>
            <w:u w:val="none"/>
            <w:lang w:val="es-ES_tradnl"/>
          </w:rPr>
          <w:t>Principios Generales Básicos del Derecho Internacional Humanitario</w:t>
        </w:r>
      </w:hyperlink>
      <w:r w:rsidRPr="00720683">
        <w:rPr>
          <w:rFonts w:ascii="Cambria" w:hAnsi="Cambria"/>
          <w:sz w:val="16"/>
          <w:szCs w:val="16"/>
          <w:lang w:val="es-ES_tradnl"/>
        </w:rPr>
        <w:t xml:space="preserve">. </w:t>
      </w:r>
    </w:p>
  </w:footnote>
  <w:footnote w:id="620">
    <w:p w:rsidR="00C00F28" w:rsidRPr="00720683" w:rsidRDefault="00C00F28" w:rsidP="00B053C8">
      <w:pPr>
        <w:pStyle w:val="NoSpacing"/>
        <w:jc w:val="both"/>
        <w:rPr>
          <w:rFonts w:ascii="Cambria" w:hAnsi="Cambria"/>
          <w:sz w:val="16"/>
          <w:szCs w:val="16"/>
          <w:lang w:val="es-ES_tradnl"/>
        </w:rPr>
      </w:pPr>
      <w:r w:rsidRPr="00720683">
        <w:rPr>
          <w:rStyle w:val="FootnoteReference"/>
          <w:rFonts w:ascii="Cambria" w:hAnsi="Cambria"/>
          <w:sz w:val="16"/>
          <w:szCs w:val="16"/>
          <w:lang w:val="es-ES_tradnl"/>
        </w:rPr>
        <w:footnoteRef/>
      </w:r>
      <w:r w:rsidRPr="00720683">
        <w:rPr>
          <w:rFonts w:ascii="Cambria" w:hAnsi="Cambria"/>
          <w:sz w:val="16"/>
          <w:szCs w:val="16"/>
          <w:lang w:val="es-ES_tradnl"/>
        </w:rPr>
        <w:t xml:space="preserve"> CICR, </w:t>
      </w:r>
      <w:hyperlink r:id="rId7" w:history="1">
        <w:r w:rsidRPr="00720683">
          <w:rPr>
            <w:rStyle w:val="Hyperlink"/>
            <w:rFonts w:ascii="Cambria" w:hAnsi="Cambria"/>
            <w:sz w:val="16"/>
            <w:szCs w:val="16"/>
            <w:u w:val="none"/>
            <w:lang w:val="es-ES_tradnl"/>
          </w:rPr>
          <w:t>Desarrollo y Principios del Derecho Internacional Humanitario</w:t>
        </w:r>
      </w:hyperlink>
      <w:r w:rsidRPr="00720683">
        <w:rPr>
          <w:rFonts w:ascii="Cambria" w:hAnsi="Cambria"/>
          <w:sz w:val="16"/>
          <w:szCs w:val="16"/>
          <w:lang w:val="es-ES_tradnl"/>
        </w:rPr>
        <w:t>, 1986.</w:t>
      </w:r>
    </w:p>
  </w:footnote>
  <w:footnote w:id="621">
    <w:p w:rsidR="00C00F28" w:rsidRPr="00720683" w:rsidRDefault="00C00F28" w:rsidP="00B053C8">
      <w:pPr>
        <w:pStyle w:val="NoSpacing"/>
        <w:jc w:val="both"/>
        <w:rPr>
          <w:rFonts w:ascii="Cambria" w:hAnsi="Cambria"/>
          <w:sz w:val="16"/>
          <w:szCs w:val="16"/>
          <w:lang w:val="es-ES_tradnl"/>
        </w:rPr>
      </w:pPr>
      <w:r w:rsidRPr="00720683">
        <w:rPr>
          <w:rStyle w:val="FootnoteReference"/>
          <w:rFonts w:ascii="Cambria" w:hAnsi="Cambria"/>
          <w:sz w:val="16"/>
          <w:szCs w:val="16"/>
          <w:lang w:val="es-ES_tradnl"/>
        </w:rPr>
        <w:footnoteRef/>
      </w:r>
      <w:r w:rsidRPr="00720683">
        <w:rPr>
          <w:rFonts w:ascii="Cambria" w:hAnsi="Cambria"/>
          <w:sz w:val="16"/>
          <w:szCs w:val="16"/>
          <w:lang w:val="es-ES_tradnl"/>
        </w:rPr>
        <w:t xml:space="preserve"> López Díaz, Patricia, “</w:t>
      </w:r>
      <w:hyperlink r:id="rId8" w:history="1">
        <w:r w:rsidRPr="00720683">
          <w:rPr>
            <w:rStyle w:val="Hyperlink"/>
            <w:rFonts w:ascii="Cambria" w:hAnsi="Cambria"/>
            <w:sz w:val="16"/>
            <w:szCs w:val="16"/>
            <w:u w:val="none"/>
            <w:lang w:val="es-ES_tradnl"/>
          </w:rPr>
          <w:t>Principios Fundamentales del Derecho Internacional Humanitario</w:t>
        </w:r>
      </w:hyperlink>
      <w:r w:rsidRPr="00720683">
        <w:rPr>
          <w:rFonts w:ascii="Cambria" w:hAnsi="Cambria"/>
          <w:sz w:val="16"/>
          <w:szCs w:val="16"/>
          <w:lang w:val="es-ES_tradnl"/>
        </w:rPr>
        <w:t>”, 2009.</w:t>
      </w:r>
    </w:p>
  </w:footnote>
  <w:footnote w:id="622">
    <w:p w:rsidR="00C00F28" w:rsidRPr="00720683" w:rsidRDefault="00C00F28" w:rsidP="00B053C8">
      <w:pPr>
        <w:pStyle w:val="NoSpacing"/>
        <w:jc w:val="both"/>
        <w:rPr>
          <w:rFonts w:ascii="Cambria" w:hAnsi="Cambria"/>
          <w:sz w:val="16"/>
          <w:szCs w:val="16"/>
          <w:lang w:val="es-ES_tradnl"/>
        </w:rPr>
      </w:pPr>
      <w:r w:rsidRPr="00720683">
        <w:rPr>
          <w:rStyle w:val="FootnoteReference"/>
          <w:rFonts w:ascii="Cambria" w:hAnsi="Cambria"/>
          <w:sz w:val="16"/>
          <w:szCs w:val="16"/>
          <w:lang w:val="es-ES_tradnl"/>
        </w:rPr>
        <w:footnoteRef/>
      </w:r>
      <w:r w:rsidRPr="00720683">
        <w:rPr>
          <w:rFonts w:ascii="Cambria" w:hAnsi="Cambria"/>
          <w:sz w:val="16"/>
          <w:szCs w:val="16"/>
          <w:lang w:val="es-ES_tradnl"/>
        </w:rPr>
        <w:t xml:space="preserve"> CICR, Normas Consuetudinarias del Derecho Internacional Humanitario, XXVIII Conferencia Internacional de la Cruz Roja y de la Media Luna Roja, 2-6 de diciembre de 2003. </w:t>
      </w:r>
    </w:p>
  </w:footnote>
  <w:footnote w:id="623">
    <w:p w:rsidR="00C00F28" w:rsidRPr="00BF55AB" w:rsidRDefault="00C00F28" w:rsidP="00B053C8">
      <w:pPr>
        <w:pStyle w:val="NoSpacing"/>
        <w:jc w:val="both"/>
        <w:rPr>
          <w:rFonts w:ascii="Cambria" w:hAnsi="Cambria"/>
          <w:sz w:val="16"/>
          <w:szCs w:val="16"/>
          <w:lang w:val="es-ES_tradnl"/>
        </w:rPr>
      </w:pPr>
      <w:r w:rsidRPr="00720683">
        <w:rPr>
          <w:rStyle w:val="FootnoteReference"/>
          <w:rFonts w:ascii="Cambria" w:hAnsi="Cambria"/>
          <w:sz w:val="16"/>
          <w:szCs w:val="16"/>
          <w:lang w:val="es-ES_tradnl"/>
        </w:rPr>
        <w:footnoteRef/>
      </w:r>
      <w:r w:rsidRPr="00720683">
        <w:rPr>
          <w:rFonts w:ascii="Cambria" w:hAnsi="Cambria"/>
          <w:sz w:val="16"/>
          <w:szCs w:val="16"/>
          <w:lang w:val="es-ES_tradnl"/>
        </w:rPr>
        <w:t xml:space="preserve"> CICR, Normas Consuetudinarias del Derecho Internacional Humanitario, XXVIII Conferencia Internacional de la Cruz Roja y de la Media </w:t>
      </w:r>
      <w:r w:rsidRPr="00BF55AB">
        <w:rPr>
          <w:rFonts w:ascii="Cambria" w:hAnsi="Cambria"/>
          <w:sz w:val="16"/>
          <w:szCs w:val="16"/>
          <w:lang w:val="es-ES_tradnl"/>
        </w:rPr>
        <w:t>Luna Roja, 2-6 de diciembre de 2003.</w:t>
      </w:r>
    </w:p>
  </w:footnote>
  <w:footnote w:id="624">
    <w:p w:rsidR="00C00F28" w:rsidRPr="00BF55AB" w:rsidRDefault="00C00F28" w:rsidP="00B053C8">
      <w:pPr>
        <w:pStyle w:val="FootnoteText"/>
        <w:jc w:val="both"/>
        <w:rPr>
          <w:rFonts w:ascii="Cambria" w:hAnsi="Cambria"/>
          <w:sz w:val="16"/>
          <w:szCs w:val="16"/>
        </w:rPr>
      </w:pPr>
      <w:r w:rsidRPr="00BF55AB">
        <w:rPr>
          <w:rStyle w:val="FootnoteReference"/>
          <w:rFonts w:ascii="Cambria" w:hAnsi="Cambria"/>
          <w:sz w:val="16"/>
          <w:szCs w:val="16"/>
          <w:lang w:val="es-ES_tradnl"/>
        </w:rPr>
        <w:footnoteRef/>
      </w:r>
      <w:r w:rsidRPr="00BF55AB">
        <w:rPr>
          <w:rFonts w:ascii="Cambria" w:hAnsi="Cambria"/>
          <w:sz w:val="16"/>
          <w:szCs w:val="16"/>
        </w:rPr>
        <w:t xml:space="preserve"> ICRC, </w:t>
      </w:r>
      <w:r w:rsidRPr="00BF55AB">
        <w:rPr>
          <w:rFonts w:ascii="Cambria" w:hAnsi="Cambria"/>
          <w:bCs/>
          <w:sz w:val="16"/>
          <w:szCs w:val="16"/>
        </w:rPr>
        <w:t xml:space="preserve">Treaties, </w:t>
      </w:r>
      <w:hyperlink r:id="rId9" w:history="1">
        <w:r w:rsidRPr="00BF55AB">
          <w:rPr>
            <w:rStyle w:val="Hyperlink"/>
            <w:rFonts w:ascii="Cambria" w:hAnsi="Cambria"/>
            <w:bCs/>
            <w:sz w:val="16"/>
            <w:szCs w:val="16"/>
            <w:u w:val="none"/>
          </w:rPr>
          <w:t>States Parties and Commentaries</w:t>
        </w:r>
        <w:r w:rsidRPr="00BF55AB">
          <w:rPr>
            <w:rStyle w:val="Hyperlink"/>
            <w:rFonts w:ascii="Cambria" w:hAnsi="Cambria"/>
            <w:sz w:val="16"/>
            <w:szCs w:val="16"/>
            <w:u w:val="none"/>
          </w:rPr>
          <w:t>, Protocol Additional to the Geneva Conventions of 12 August 1949, and relating to the Protection of Victims of International Armed Conflicts</w:t>
        </w:r>
      </w:hyperlink>
      <w:r w:rsidRPr="00BF55AB">
        <w:rPr>
          <w:rFonts w:ascii="Cambria" w:hAnsi="Cambria"/>
          <w:sz w:val="16"/>
          <w:szCs w:val="16"/>
        </w:rPr>
        <w:t xml:space="preserve"> (Protocol I), 8 June 1977.</w:t>
      </w:r>
    </w:p>
  </w:footnote>
  <w:footnote w:id="625">
    <w:p w:rsidR="00C00F28" w:rsidRPr="00BF55AB" w:rsidRDefault="00C00F28" w:rsidP="00B053C8">
      <w:pPr>
        <w:pStyle w:val="FootnoteText"/>
        <w:jc w:val="both"/>
        <w:rPr>
          <w:rFonts w:ascii="Cambria" w:hAnsi="Cambria"/>
          <w:sz w:val="16"/>
          <w:szCs w:val="16"/>
          <w:lang w:val="es-ES_tradnl"/>
        </w:rPr>
      </w:pPr>
      <w:r w:rsidRPr="00BF55AB">
        <w:rPr>
          <w:rStyle w:val="FootnoteReference"/>
          <w:rFonts w:ascii="Cambria" w:hAnsi="Cambria"/>
          <w:sz w:val="16"/>
          <w:szCs w:val="16"/>
          <w:lang w:val="es-ES_tradnl"/>
        </w:rPr>
        <w:footnoteRef/>
      </w:r>
      <w:r w:rsidRPr="00BF55AB">
        <w:rPr>
          <w:rFonts w:ascii="Cambria" w:hAnsi="Cambria"/>
          <w:sz w:val="16"/>
          <w:szCs w:val="16"/>
          <w:lang w:val="es-ES_tradnl"/>
        </w:rPr>
        <w:t xml:space="preserve"> </w:t>
      </w:r>
      <w:r w:rsidRPr="00BF55AB">
        <w:rPr>
          <w:rFonts w:ascii="Cambria" w:hAnsi="Cambria" w:cs="Times New Roman"/>
          <w:sz w:val="16"/>
          <w:szCs w:val="16"/>
          <w:lang w:val="es-ES_tradnl"/>
        </w:rPr>
        <w:t xml:space="preserve">Henkaerts, Jean Marie, Doswald Beck Louise, El Derecho Internacional Humanitario Consuetudinario, volumen I, normas, CICR, Buenos Aires, 2007, p. 3. </w:t>
      </w:r>
    </w:p>
  </w:footnote>
  <w:footnote w:id="626">
    <w:p w:rsidR="00C00F28" w:rsidRPr="00BF55AB" w:rsidRDefault="00C00F28" w:rsidP="00B053C8">
      <w:pPr>
        <w:jc w:val="both"/>
        <w:rPr>
          <w:rFonts w:ascii="Cambria" w:eastAsia="Times New Roman" w:hAnsi="Cambria"/>
          <w:sz w:val="16"/>
          <w:szCs w:val="16"/>
          <w:lang w:val="es-ES_tradnl"/>
        </w:rPr>
      </w:pPr>
      <w:r w:rsidRPr="00BF55AB">
        <w:rPr>
          <w:rStyle w:val="FootnoteReference"/>
          <w:rFonts w:ascii="Cambria" w:hAnsi="Cambria"/>
          <w:sz w:val="16"/>
          <w:szCs w:val="16"/>
          <w:lang w:val="es-ES_tradnl"/>
        </w:rPr>
        <w:footnoteRef/>
      </w:r>
      <w:r w:rsidRPr="00BF55AB">
        <w:rPr>
          <w:rFonts w:ascii="Cambria" w:hAnsi="Cambria"/>
          <w:sz w:val="16"/>
          <w:szCs w:val="16"/>
          <w:lang w:val="es-ES_tradnl"/>
        </w:rPr>
        <w:t xml:space="preserve"> </w:t>
      </w:r>
      <w:r w:rsidRPr="00BF55AB">
        <w:rPr>
          <w:rFonts w:ascii="Cambria" w:eastAsia="Times New Roman" w:hAnsi="Cambria"/>
          <w:sz w:val="16"/>
          <w:szCs w:val="16"/>
          <w:lang w:val="es-ES_tradnl"/>
        </w:rPr>
        <w:t>Protocolo II de la Convención sobre ciertas armas convencionales convencionales (1980), art. 3, párr. 2; Protocolo II enmendado de la Convención sobre ciertas armas convencionales convencionales (1996), art. 3, párr. 7; Protocolo III de la Convención sobre ciertas armas convencionales convencionales (1980), art. 2, párr. 1; Convención de Ottawa (1997), preámbulo.</w:t>
      </w:r>
    </w:p>
  </w:footnote>
  <w:footnote w:id="627">
    <w:p w:rsidR="00C00F28" w:rsidRPr="00BF55AB" w:rsidRDefault="00C00F28" w:rsidP="00B053C8">
      <w:pPr>
        <w:jc w:val="both"/>
        <w:rPr>
          <w:rFonts w:ascii="Cambria" w:eastAsia="Times New Roman" w:hAnsi="Cambria"/>
          <w:sz w:val="16"/>
          <w:szCs w:val="16"/>
          <w:lang w:val="es-ES_tradnl"/>
        </w:rPr>
      </w:pPr>
      <w:r w:rsidRPr="00BF55AB">
        <w:rPr>
          <w:rStyle w:val="FootnoteReference"/>
          <w:rFonts w:ascii="Cambria" w:hAnsi="Cambria"/>
          <w:sz w:val="16"/>
          <w:szCs w:val="16"/>
          <w:lang w:val="es-ES_tradnl"/>
        </w:rPr>
        <w:footnoteRef/>
      </w:r>
      <w:r w:rsidRPr="00BF55AB">
        <w:rPr>
          <w:rFonts w:ascii="Cambria" w:hAnsi="Cambria"/>
          <w:sz w:val="16"/>
          <w:szCs w:val="16"/>
          <w:lang w:val="es-ES_tradnl"/>
        </w:rPr>
        <w:t xml:space="preserve"> </w:t>
      </w:r>
      <w:r w:rsidRPr="00BF55AB">
        <w:rPr>
          <w:rFonts w:ascii="Cambria" w:eastAsia="Times New Roman" w:hAnsi="Cambria"/>
          <w:sz w:val="16"/>
          <w:szCs w:val="16"/>
          <w:lang w:val="es-ES_tradnl"/>
        </w:rPr>
        <w:t>Estatuto de la CPI (1998), art. 8, párr. 2.</w:t>
      </w:r>
    </w:p>
  </w:footnote>
  <w:footnote w:id="628">
    <w:p w:rsidR="00C00F28" w:rsidRPr="00720683" w:rsidRDefault="00C00F28" w:rsidP="00B053C8">
      <w:pPr>
        <w:pStyle w:val="NoSpacing"/>
        <w:jc w:val="both"/>
        <w:rPr>
          <w:rFonts w:ascii="Cambria" w:hAnsi="Cambria"/>
          <w:color w:val="000000"/>
          <w:sz w:val="16"/>
          <w:szCs w:val="16"/>
          <w:lang w:val="es-ES_tradnl"/>
        </w:rPr>
      </w:pPr>
      <w:r w:rsidRPr="00BF55AB">
        <w:rPr>
          <w:rStyle w:val="FootnoteReference"/>
          <w:rFonts w:ascii="Cambria" w:hAnsi="Cambria"/>
          <w:color w:val="000000"/>
          <w:sz w:val="16"/>
          <w:szCs w:val="16"/>
          <w:lang w:val="es-ES_tradnl"/>
        </w:rPr>
        <w:footnoteRef/>
      </w:r>
      <w:r w:rsidRPr="00BF55AB">
        <w:rPr>
          <w:rFonts w:ascii="Cambria" w:hAnsi="Cambria"/>
          <w:color w:val="000000"/>
          <w:sz w:val="16"/>
          <w:szCs w:val="16"/>
          <w:lang w:val="es-ES_tradnl"/>
        </w:rPr>
        <w:t xml:space="preserve"> </w:t>
      </w:r>
      <w:bookmarkStart w:id="38" w:name="_Hlk499487788"/>
      <w:r w:rsidRPr="00BF55AB">
        <w:rPr>
          <w:rFonts w:ascii="Cambria" w:hAnsi="Cambria"/>
          <w:color w:val="000000"/>
          <w:sz w:val="16"/>
          <w:szCs w:val="16"/>
          <w:lang w:val="es-ES_tradnl"/>
        </w:rPr>
        <w:t>Henkaerts, Jean</w:t>
      </w:r>
      <w:r>
        <w:rPr>
          <w:rFonts w:ascii="Cambria" w:hAnsi="Cambria"/>
          <w:color w:val="000000"/>
          <w:sz w:val="16"/>
          <w:szCs w:val="16"/>
          <w:lang w:val="es-ES_tradnl"/>
        </w:rPr>
        <w:t xml:space="preserve"> </w:t>
      </w:r>
      <w:r w:rsidRPr="00BF55AB">
        <w:rPr>
          <w:rFonts w:ascii="Cambria" w:hAnsi="Cambria"/>
          <w:color w:val="000000"/>
          <w:sz w:val="16"/>
          <w:szCs w:val="16"/>
          <w:lang w:val="es-ES_tradnl"/>
        </w:rPr>
        <w:t>Marie, Doswald Beck Louise, El Derecho Internacional Humanitario Consuetudinario, volumen I, normas, CICR, Buenos Aires, 2007, p. 46, Norma 12.</w:t>
      </w:r>
      <w:bookmarkEnd w:id="38"/>
    </w:p>
  </w:footnote>
  <w:footnote w:id="629">
    <w:p w:rsidR="00C00F28" w:rsidRPr="00BF55AB" w:rsidRDefault="00C00F28" w:rsidP="00B053C8">
      <w:pPr>
        <w:pStyle w:val="NoSpacing"/>
        <w:jc w:val="both"/>
        <w:rPr>
          <w:rFonts w:ascii="Cambria" w:hAnsi="Cambria"/>
          <w:color w:val="000000"/>
          <w:sz w:val="16"/>
          <w:szCs w:val="16"/>
          <w:lang w:val="es-ES_tradnl"/>
        </w:rPr>
      </w:pPr>
      <w:r w:rsidRPr="00BF55AB">
        <w:rPr>
          <w:rStyle w:val="FootnoteReference"/>
          <w:rFonts w:ascii="Cambria" w:hAnsi="Cambria"/>
          <w:color w:val="000000"/>
          <w:sz w:val="16"/>
          <w:szCs w:val="16"/>
          <w:lang w:val="es-ES_tradnl"/>
        </w:rPr>
        <w:footnoteRef/>
      </w:r>
      <w:r w:rsidRPr="00BF55AB">
        <w:rPr>
          <w:rFonts w:ascii="Cambria" w:hAnsi="Cambria"/>
          <w:color w:val="000000"/>
          <w:sz w:val="16"/>
          <w:szCs w:val="16"/>
          <w:lang w:val="es-ES_tradnl"/>
        </w:rPr>
        <w:t xml:space="preserve"> El artículo 50 Protocolo I de 1977 adicional a los Convenios de Ginebra de 1949 (“Definición de personas civiles y de población civil”) establece que: “1. Es persona civil cualquiera que no pertenezca a una de las categorías de personas a que se refieren el artículo 4, A. 1), 2), 3) y 6) del III Convenio, y el artículo 43 del presente Protocolo. En caso de duda acerca de la condición de una persona, se la considerará como civil […]”.</w:t>
      </w:r>
    </w:p>
  </w:footnote>
  <w:footnote w:id="630">
    <w:p w:rsidR="00C00F28" w:rsidRPr="00BF55AB" w:rsidRDefault="00C00F28" w:rsidP="00B053C8">
      <w:pPr>
        <w:pStyle w:val="NoSpacing"/>
        <w:jc w:val="both"/>
        <w:rPr>
          <w:rFonts w:ascii="Cambria" w:hAnsi="Cambria"/>
          <w:color w:val="000000"/>
          <w:sz w:val="16"/>
          <w:szCs w:val="16"/>
          <w:lang w:val="es-ES_tradnl"/>
        </w:rPr>
      </w:pPr>
      <w:r w:rsidRPr="00BF55AB">
        <w:rPr>
          <w:rStyle w:val="FootnoteReference"/>
          <w:rFonts w:ascii="Cambria" w:hAnsi="Cambria"/>
          <w:color w:val="000000"/>
          <w:sz w:val="16"/>
          <w:szCs w:val="16"/>
          <w:lang w:val="es-ES_tradnl"/>
        </w:rPr>
        <w:footnoteRef/>
      </w:r>
      <w:r w:rsidRPr="00BF55AB">
        <w:rPr>
          <w:rFonts w:ascii="Cambria" w:hAnsi="Cambria"/>
          <w:color w:val="000000"/>
          <w:sz w:val="16"/>
          <w:szCs w:val="16"/>
          <w:lang w:val="es-ES_tradnl"/>
        </w:rPr>
        <w:t xml:space="preserve"> TPIY, Radicado: IT-96-29/1-T. Asunto “Fiscal vs. Stanislav Galic”. Sentencia del 5 de diciembre de 2003. Sala de Primera Instancia del TPIY, párr. 57.</w:t>
      </w:r>
    </w:p>
  </w:footnote>
  <w:footnote w:id="631">
    <w:p w:rsidR="00C00F28" w:rsidRPr="00BF55AB" w:rsidRDefault="00C00F28" w:rsidP="00B053C8">
      <w:pPr>
        <w:pStyle w:val="FootnoteText"/>
        <w:jc w:val="both"/>
        <w:rPr>
          <w:rFonts w:ascii="Cambria" w:hAnsi="Cambria" w:cs="Times New Roman"/>
          <w:sz w:val="16"/>
          <w:szCs w:val="16"/>
          <w:lang w:val="es-ES_tradnl"/>
        </w:rPr>
      </w:pPr>
      <w:r w:rsidRPr="00BF55AB">
        <w:rPr>
          <w:rStyle w:val="FootnoteReference"/>
          <w:rFonts w:ascii="Cambria" w:hAnsi="Cambria" w:cs="Times New Roman"/>
          <w:sz w:val="16"/>
          <w:szCs w:val="16"/>
          <w:lang w:val="es-ES_tradnl"/>
        </w:rPr>
        <w:footnoteRef/>
      </w:r>
      <w:r w:rsidRPr="00BF55AB">
        <w:rPr>
          <w:rFonts w:ascii="Cambria" w:hAnsi="Cambria" w:cs="Times New Roman"/>
          <w:sz w:val="16"/>
          <w:szCs w:val="16"/>
          <w:lang w:val="es-ES_tradnl"/>
        </w:rPr>
        <w:t xml:space="preserve"> Henkaerts, Jean Marie, Doswald Beck Louise, El Derecho Internacional Humanitario Consuetudinario, volumen I, normas, CICR, Buenos Aires, 2007, págs. 9-52 (Normas 2-13).</w:t>
      </w:r>
    </w:p>
  </w:footnote>
  <w:footnote w:id="632">
    <w:p w:rsidR="00C00F28" w:rsidRPr="00BF55AB" w:rsidRDefault="00C00F28" w:rsidP="00B053C8">
      <w:pPr>
        <w:pStyle w:val="FootnoteText"/>
        <w:jc w:val="both"/>
        <w:rPr>
          <w:rFonts w:ascii="Cambria" w:hAnsi="Cambria"/>
          <w:sz w:val="16"/>
          <w:szCs w:val="16"/>
          <w:lang w:val="es-ES_tradnl"/>
        </w:rPr>
      </w:pPr>
      <w:r w:rsidRPr="00BF55AB">
        <w:rPr>
          <w:rStyle w:val="FootnoteReference"/>
          <w:rFonts w:ascii="Cambria" w:hAnsi="Cambria" w:cs="Times New Roman"/>
          <w:sz w:val="16"/>
          <w:szCs w:val="16"/>
          <w:lang w:val="es-ES_tradnl"/>
        </w:rPr>
        <w:footnoteRef/>
      </w:r>
      <w:r w:rsidRPr="00BF55AB">
        <w:rPr>
          <w:rFonts w:ascii="Cambria" w:hAnsi="Cambria" w:cs="Times New Roman"/>
          <w:sz w:val="16"/>
          <w:szCs w:val="16"/>
          <w:lang w:val="es-ES_tradnl"/>
        </w:rPr>
        <w:t xml:space="preserve"> IV Convenio de Ginebra (1949), art. 33 (</w:t>
      </w:r>
      <w:r w:rsidRPr="00BF55AB">
        <w:rPr>
          <w:rFonts w:ascii="Cambria" w:hAnsi="Cambria" w:cs="Times New Roman"/>
          <w:iCs/>
          <w:sz w:val="16"/>
          <w:szCs w:val="16"/>
          <w:lang w:val="es-ES_tradnl"/>
        </w:rPr>
        <w:t>ibíd</w:t>
      </w:r>
      <w:r w:rsidRPr="00BF55AB">
        <w:rPr>
          <w:rFonts w:ascii="Cambria" w:hAnsi="Cambria" w:cs="Times New Roman"/>
          <w:sz w:val="16"/>
          <w:szCs w:val="16"/>
          <w:lang w:val="es-ES_tradnl"/>
        </w:rPr>
        <w:t xml:space="preserve">., párr. 476). La aplicabilidad de esta disposición a la presente </w:t>
      </w:r>
      <w:r w:rsidRPr="00BF55AB">
        <w:rPr>
          <w:rFonts w:ascii="Times New Roman" w:hAnsi="Times New Roman" w:cs="Times New Roman"/>
          <w:sz w:val="16"/>
          <w:szCs w:val="16"/>
          <w:lang w:val="es-ES_tradnl"/>
        </w:rPr>
        <w:t> </w:t>
      </w:r>
      <w:r w:rsidRPr="00BF55AB">
        <w:rPr>
          <w:rFonts w:ascii="Cambria" w:hAnsi="Cambria" w:cs="Times New Roman"/>
          <w:sz w:val="16"/>
          <w:szCs w:val="16"/>
          <w:lang w:val="es-ES_tradnl"/>
        </w:rPr>
        <w:t xml:space="preserve">norma se explica en: Yves Sandoz, Christophe Swinarski y Bruno Zimmermann, </w:t>
      </w:r>
      <w:r w:rsidRPr="00BF55AB">
        <w:rPr>
          <w:rFonts w:ascii="Cambria" w:hAnsi="Cambria" w:cs="Times New Roman"/>
          <w:iCs/>
          <w:sz w:val="16"/>
          <w:szCs w:val="16"/>
          <w:lang w:val="es-ES_tradnl"/>
        </w:rPr>
        <w:t>Comentario del Protocolo del 8 de junio de 1977 adicional a los Convenios de Ginebra de 1949 (Protocolo II)</w:t>
      </w:r>
      <w:r w:rsidRPr="00BF55AB">
        <w:rPr>
          <w:rFonts w:ascii="Cambria" w:hAnsi="Cambria" w:cs="Times New Roman"/>
          <w:sz w:val="16"/>
          <w:szCs w:val="16"/>
          <w:lang w:val="es-ES_tradnl"/>
        </w:rPr>
        <w:t xml:space="preserve">, CICR y Plaza y Janés Editores Colombia, S.A., Santa Fe de Bogotá, tomo II, 1998, párr. 4538; Henkaerts, Jean Marie, Doswald Beck Louise, El Derecho Internacional Humanitario Consuetudinario, volumen I, normas, CICR, Buenos Aires, 2007, p. 10. </w:t>
      </w:r>
    </w:p>
  </w:footnote>
  <w:footnote w:id="633">
    <w:p w:rsidR="00C00F28" w:rsidRPr="00713E68" w:rsidRDefault="00C00F28" w:rsidP="00B053C8">
      <w:pPr>
        <w:jc w:val="both"/>
        <w:rPr>
          <w:rFonts w:ascii="Cambria" w:hAnsi="Cambria"/>
          <w:color w:val="000000"/>
          <w:sz w:val="16"/>
          <w:szCs w:val="16"/>
          <w:lang w:val="pt-BR"/>
        </w:rPr>
      </w:pPr>
      <w:r w:rsidRPr="00BF55AB">
        <w:rPr>
          <w:rStyle w:val="FootnoteReference"/>
          <w:rFonts w:ascii="Cambria" w:hAnsi="Cambria"/>
          <w:sz w:val="16"/>
          <w:szCs w:val="16"/>
          <w:lang w:val="es-ES_tradnl"/>
        </w:rPr>
        <w:footnoteRef/>
      </w:r>
      <w:r w:rsidRPr="005177AF">
        <w:rPr>
          <w:rFonts w:ascii="Cambria" w:hAnsi="Cambria"/>
          <w:sz w:val="16"/>
          <w:szCs w:val="16"/>
        </w:rPr>
        <w:t xml:space="preserve"> </w:t>
      </w:r>
      <w:r w:rsidRPr="005177AF">
        <w:rPr>
          <w:rFonts w:ascii="Cambria" w:hAnsi="Cambria"/>
          <w:color w:val="000000"/>
          <w:sz w:val="16"/>
          <w:szCs w:val="16"/>
        </w:rPr>
        <w:t xml:space="preserve">TPIY, </w:t>
      </w:r>
      <w:r w:rsidRPr="005177AF">
        <w:rPr>
          <w:rFonts w:ascii="Cambria" w:hAnsi="Cambria"/>
          <w:iCs/>
          <w:color w:val="000000"/>
          <w:sz w:val="16"/>
          <w:szCs w:val="16"/>
        </w:rPr>
        <w:t>Blaskic case</w:t>
      </w:r>
      <w:r w:rsidRPr="005177AF">
        <w:rPr>
          <w:rFonts w:ascii="Cambria" w:hAnsi="Cambria"/>
          <w:color w:val="000000"/>
          <w:sz w:val="16"/>
          <w:szCs w:val="16"/>
        </w:rPr>
        <w:t xml:space="preserve">, fallo, párr. </w:t>
      </w:r>
      <w:r w:rsidRPr="00713E68">
        <w:rPr>
          <w:rFonts w:ascii="Cambria" w:hAnsi="Cambria"/>
          <w:color w:val="000000"/>
          <w:sz w:val="16"/>
          <w:szCs w:val="16"/>
          <w:lang w:val="pt-BR"/>
        </w:rPr>
        <w:t>751.</w:t>
      </w:r>
    </w:p>
  </w:footnote>
  <w:footnote w:id="634">
    <w:p w:rsidR="00C00F28" w:rsidRPr="00713E68" w:rsidRDefault="00C00F28" w:rsidP="007B44EB">
      <w:pPr>
        <w:pStyle w:val="NoSpacing"/>
        <w:jc w:val="both"/>
        <w:rPr>
          <w:rFonts w:ascii="Cambria" w:hAnsi="Cambria"/>
          <w:sz w:val="16"/>
          <w:szCs w:val="16"/>
          <w:lang w:val="pt-BR"/>
        </w:rPr>
      </w:pPr>
      <w:r w:rsidRPr="00BF55AB">
        <w:rPr>
          <w:rStyle w:val="FootnoteReference"/>
          <w:rFonts w:ascii="Cambria" w:hAnsi="Cambria"/>
          <w:sz w:val="16"/>
          <w:szCs w:val="16"/>
          <w:lang w:val="es-ES_tradnl"/>
        </w:rPr>
        <w:footnoteRef/>
      </w:r>
      <w:r w:rsidRPr="00713E68">
        <w:rPr>
          <w:rFonts w:ascii="Cambria" w:hAnsi="Cambria"/>
          <w:sz w:val="16"/>
          <w:szCs w:val="16"/>
          <w:lang w:val="pt-BR"/>
        </w:rPr>
        <w:t xml:space="preserve"> Ver Protocolo adicional I (1977), art. 51, párr. 5, apdo a); Corte IDH, Caso Masacre de Santo Domingo vs. Colombia, Sentencia 30 de noviembre de 2012, párrs. 195 y ss. </w:t>
      </w:r>
    </w:p>
  </w:footnote>
  <w:footnote w:id="635">
    <w:p w:rsidR="00C00F28" w:rsidRPr="00713E68" w:rsidRDefault="00C00F28" w:rsidP="00B053C8">
      <w:pPr>
        <w:pStyle w:val="NoSpacing"/>
        <w:jc w:val="both"/>
        <w:rPr>
          <w:rFonts w:ascii="Cambria" w:hAnsi="Cambria"/>
          <w:color w:val="000000"/>
          <w:sz w:val="16"/>
          <w:szCs w:val="16"/>
          <w:lang w:val="pt-BR"/>
        </w:rPr>
      </w:pPr>
      <w:r w:rsidRPr="00BF55AB">
        <w:rPr>
          <w:rStyle w:val="FootnoteReference"/>
          <w:rFonts w:ascii="Cambria" w:hAnsi="Cambria"/>
          <w:sz w:val="16"/>
          <w:szCs w:val="16"/>
          <w:lang w:val="es-ES_tradnl"/>
        </w:rPr>
        <w:footnoteRef/>
      </w:r>
      <w:r w:rsidRPr="00F9526F">
        <w:rPr>
          <w:rFonts w:ascii="Cambria" w:hAnsi="Cambria"/>
          <w:sz w:val="16"/>
          <w:szCs w:val="16"/>
          <w:lang w:val="pt-BR"/>
        </w:rPr>
        <w:t xml:space="preserve"> </w:t>
      </w:r>
      <w:r w:rsidRPr="00F9526F">
        <w:rPr>
          <w:rFonts w:ascii="Cambria" w:hAnsi="Cambria"/>
          <w:color w:val="000000"/>
          <w:sz w:val="16"/>
          <w:szCs w:val="16"/>
          <w:lang w:val="pt-BR"/>
        </w:rPr>
        <w:t xml:space="preserve">Estatuto de la CPI (1998), art. 8, párr. </w:t>
      </w:r>
      <w:r w:rsidRPr="00713E68">
        <w:rPr>
          <w:rFonts w:ascii="Cambria" w:hAnsi="Cambria"/>
          <w:color w:val="000000"/>
          <w:sz w:val="16"/>
          <w:szCs w:val="16"/>
          <w:lang w:val="pt-BR"/>
        </w:rPr>
        <w:t>2.</w:t>
      </w:r>
    </w:p>
  </w:footnote>
  <w:footnote w:id="636">
    <w:p w:rsidR="00C00F28" w:rsidRPr="00713E68" w:rsidRDefault="00C00F28" w:rsidP="00B053C8">
      <w:pPr>
        <w:pStyle w:val="NoSpacing"/>
        <w:jc w:val="both"/>
        <w:rPr>
          <w:rFonts w:ascii="Cambria" w:hAnsi="Cambria"/>
          <w:sz w:val="16"/>
          <w:szCs w:val="16"/>
          <w:lang w:val="pt-BR"/>
        </w:rPr>
      </w:pPr>
      <w:r w:rsidRPr="00BF55AB">
        <w:rPr>
          <w:rStyle w:val="FootnoteReference"/>
          <w:rFonts w:ascii="Cambria" w:hAnsi="Cambria"/>
          <w:sz w:val="16"/>
          <w:szCs w:val="16"/>
          <w:lang w:val="es-ES_tradnl"/>
        </w:rPr>
        <w:footnoteRef/>
      </w:r>
      <w:r w:rsidRPr="00713E68">
        <w:rPr>
          <w:rFonts w:ascii="Cambria" w:hAnsi="Cambria"/>
          <w:sz w:val="16"/>
          <w:szCs w:val="16"/>
          <w:lang w:val="pt-BR"/>
        </w:rPr>
        <w:t xml:space="preserve"> CIJ, Caso relativo a Armas Nucleares, Opinión Consultiva, 1996.</w:t>
      </w:r>
    </w:p>
  </w:footnote>
  <w:footnote w:id="637">
    <w:p w:rsidR="00C00F28" w:rsidRPr="00920A4B" w:rsidRDefault="00C00F28" w:rsidP="00B053C8">
      <w:pPr>
        <w:pStyle w:val="NoSpacing"/>
        <w:jc w:val="both"/>
        <w:rPr>
          <w:rFonts w:ascii="Cambria" w:hAnsi="Cambria"/>
          <w:sz w:val="16"/>
          <w:szCs w:val="16"/>
          <w:lang w:val="es-ES_tradnl"/>
        </w:rPr>
      </w:pPr>
      <w:r w:rsidRPr="00BF55AB">
        <w:rPr>
          <w:rStyle w:val="FootnoteReference"/>
          <w:rFonts w:ascii="Cambria" w:hAnsi="Cambria"/>
          <w:sz w:val="16"/>
          <w:szCs w:val="16"/>
          <w:lang w:val="es-ES_tradnl"/>
        </w:rPr>
        <w:footnoteRef/>
      </w:r>
      <w:r w:rsidRPr="00713E68">
        <w:rPr>
          <w:rFonts w:ascii="Cambria" w:hAnsi="Cambria"/>
          <w:sz w:val="16"/>
          <w:szCs w:val="16"/>
          <w:lang w:val="pt-BR"/>
        </w:rPr>
        <w:t xml:space="preserve"> Henkaerts, Jean Marie, Doswald Beck Louise, El Derecho Internacional Humanitario Consuetudinario, volumen I, normas, CICR, Buenos Aires, 2007, p. 34; Protocolo II de la Convención sobre ciertas armas convencionales (1980), art. 2, párr. </w:t>
      </w:r>
      <w:r w:rsidRPr="00920A4B">
        <w:rPr>
          <w:rFonts w:ascii="Cambria" w:hAnsi="Cambria"/>
          <w:sz w:val="16"/>
          <w:szCs w:val="16"/>
          <w:lang w:val="es-ES_tradnl"/>
        </w:rPr>
        <w:t xml:space="preserve">4; Protocolo II enmendado de la Convención sobre ciertas armas convencionales (1996), art. 2, párr. 6; Protocolo II de la Convención sobre ciertas armas convencionales (1980), art. 1, párr. 3; Segundo Protocolo de la Convención de La Haya para la protección de los bienes culturales (1999), art. 1, f). </w:t>
      </w:r>
    </w:p>
  </w:footnote>
  <w:footnote w:id="638">
    <w:p w:rsidR="00C00F28" w:rsidRPr="00920A4B" w:rsidRDefault="00C00F28" w:rsidP="00B053C8">
      <w:pPr>
        <w:pStyle w:val="NoSpacing"/>
        <w:jc w:val="both"/>
        <w:rPr>
          <w:rFonts w:ascii="Cambria" w:hAnsi="Cambria"/>
          <w:sz w:val="16"/>
          <w:szCs w:val="16"/>
          <w:lang w:val="es-ES_tradnl"/>
        </w:rPr>
      </w:pPr>
      <w:r w:rsidRPr="00920A4B">
        <w:rPr>
          <w:rStyle w:val="FootnoteReference"/>
          <w:rFonts w:ascii="Cambria" w:hAnsi="Cambria"/>
          <w:sz w:val="16"/>
          <w:szCs w:val="16"/>
          <w:lang w:val="es-ES_tradnl"/>
        </w:rPr>
        <w:footnoteRef/>
      </w:r>
      <w:r w:rsidRPr="00920A4B">
        <w:rPr>
          <w:rFonts w:ascii="Cambria" w:hAnsi="Cambria"/>
          <w:sz w:val="16"/>
          <w:szCs w:val="16"/>
          <w:lang w:val="es-ES_tradnl"/>
        </w:rPr>
        <w:t xml:space="preserve"> Henkaerts, Jean Marie, Doswald Beck Louise, El Derecho Internacional Humanitario Consuetudinario, volumen I, normas, CICR, Buenos Aires, 2007, p. 53, Norma 14.</w:t>
      </w:r>
    </w:p>
  </w:footnote>
  <w:footnote w:id="639">
    <w:p w:rsidR="00C00F28" w:rsidRPr="0075298F" w:rsidRDefault="00C00F28" w:rsidP="00B053C8">
      <w:pPr>
        <w:pStyle w:val="NoSpacing"/>
        <w:jc w:val="both"/>
        <w:rPr>
          <w:rFonts w:ascii="Cambria" w:hAnsi="Cambria"/>
          <w:sz w:val="16"/>
          <w:szCs w:val="16"/>
          <w:lang w:val="pt-BR"/>
        </w:rPr>
      </w:pPr>
      <w:r w:rsidRPr="00920A4B">
        <w:rPr>
          <w:rStyle w:val="FootnoteReference"/>
          <w:rFonts w:ascii="Cambria" w:hAnsi="Cambria"/>
          <w:sz w:val="16"/>
          <w:szCs w:val="16"/>
          <w:lang w:val="es-ES_tradnl"/>
        </w:rPr>
        <w:footnoteRef/>
      </w:r>
      <w:r w:rsidRPr="00920A4B">
        <w:rPr>
          <w:rFonts w:ascii="Cambria" w:hAnsi="Cambria"/>
          <w:sz w:val="16"/>
          <w:szCs w:val="16"/>
          <w:lang w:val="es-ES_tradnl"/>
        </w:rPr>
        <w:t xml:space="preserve"> Ver CIDH, Tercer Informe sobre la situación de derechos humanos en Colombia. Capítulo IV, “Violencia y violación</w:t>
      </w:r>
      <w:r w:rsidRPr="00BF55AB">
        <w:rPr>
          <w:rFonts w:ascii="Cambria" w:hAnsi="Cambria"/>
          <w:sz w:val="16"/>
          <w:szCs w:val="16"/>
          <w:lang w:val="es-ES_tradnl"/>
        </w:rPr>
        <w:t xml:space="preserve"> del derecho internacional de los derechos humanos y del derecho internacional humanitario”, doc. OEA/Ser. L/V/II.102. Doc. 9, rev. 1, del 26 d</w:t>
      </w:r>
      <w:r>
        <w:rPr>
          <w:rFonts w:ascii="Cambria" w:hAnsi="Cambria"/>
          <w:sz w:val="16"/>
          <w:szCs w:val="16"/>
          <w:lang w:val="es-ES_tradnl"/>
        </w:rPr>
        <w:t>e febrero de 1999, párrafos 77-</w:t>
      </w:r>
      <w:r w:rsidRPr="00BF55AB">
        <w:rPr>
          <w:rFonts w:ascii="Cambria" w:hAnsi="Cambria"/>
          <w:sz w:val="16"/>
          <w:szCs w:val="16"/>
          <w:lang w:val="es-ES_tradnl"/>
        </w:rPr>
        <w:t xml:space="preserve">80. Véase además: Informe de la Comisión de Investigación sobre el Líbano, presentado de conformidad con la resolución S-2/1 del Consejo de Derechos Humanos” del 23 de noviembre de 2006, párr. </w:t>
      </w:r>
      <w:r w:rsidRPr="00BF55AB">
        <w:rPr>
          <w:rFonts w:ascii="Cambria" w:hAnsi="Cambria"/>
          <w:sz w:val="16"/>
          <w:szCs w:val="16"/>
        </w:rPr>
        <w:t>147, y Final</w:t>
      </w:r>
      <w:r w:rsidRPr="00720683">
        <w:rPr>
          <w:rFonts w:ascii="Cambria" w:hAnsi="Cambria"/>
          <w:sz w:val="16"/>
          <w:szCs w:val="16"/>
        </w:rPr>
        <w:t xml:space="preserve"> Report to the Prosecutor by the Committee Established to Review the NATO Bombing Campaign Against the Federal</w:t>
      </w:r>
      <w:r>
        <w:rPr>
          <w:rFonts w:ascii="Cambria" w:hAnsi="Cambria"/>
          <w:sz w:val="16"/>
          <w:szCs w:val="16"/>
        </w:rPr>
        <w:t xml:space="preserve"> Republic of Yugoslavia, 13 de junio de</w:t>
      </w:r>
      <w:r w:rsidRPr="00720683">
        <w:rPr>
          <w:rFonts w:ascii="Cambria" w:hAnsi="Cambria"/>
          <w:sz w:val="16"/>
          <w:szCs w:val="16"/>
        </w:rPr>
        <w:t xml:space="preserve"> 2000, párrs. </w:t>
      </w:r>
      <w:r w:rsidRPr="0075298F">
        <w:rPr>
          <w:rFonts w:ascii="Cambria" w:hAnsi="Cambria"/>
          <w:sz w:val="16"/>
          <w:szCs w:val="16"/>
          <w:lang w:val="pt-BR"/>
        </w:rPr>
        <w:t>28, 48-50.</w:t>
      </w:r>
    </w:p>
  </w:footnote>
  <w:footnote w:id="640">
    <w:p w:rsidR="00C00F28" w:rsidRPr="003B3954" w:rsidRDefault="00C00F28" w:rsidP="00306A21">
      <w:pPr>
        <w:pStyle w:val="NoSpacing"/>
        <w:jc w:val="both"/>
        <w:rPr>
          <w:rFonts w:ascii="Cambria" w:hAnsi="Cambria"/>
          <w:sz w:val="16"/>
          <w:szCs w:val="16"/>
          <w:lang w:val="es-ES"/>
        </w:rPr>
      </w:pPr>
      <w:r w:rsidRPr="00BF55AB">
        <w:rPr>
          <w:rStyle w:val="FootnoteReference"/>
          <w:rFonts w:ascii="Cambria" w:hAnsi="Cambria"/>
          <w:sz w:val="16"/>
          <w:szCs w:val="16"/>
          <w:lang w:val="es-ES_tradnl"/>
        </w:rPr>
        <w:footnoteRef/>
      </w:r>
      <w:r w:rsidRPr="003B3954">
        <w:rPr>
          <w:rFonts w:ascii="Cambria" w:hAnsi="Cambria"/>
          <w:sz w:val="16"/>
          <w:szCs w:val="16"/>
          <w:lang w:val="pt-BR"/>
        </w:rPr>
        <w:t xml:space="preserve"> Protocolo Adicional I (1977), art. 51, párr. </w:t>
      </w:r>
      <w:r w:rsidRPr="0075298F">
        <w:rPr>
          <w:rFonts w:ascii="Cambria" w:hAnsi="Cambria"/>
          <w:sz w:val="16"/>
          <w:szCs w:val="16"/>
          <w:lang w:val="pt-BR"/>
        </w:rPr>
        <w:t xml:space="preserve">5, apdo. b) y art. 57, párr. </w:t>
      </w:r>
      <w:r w:rsidRPr="003B3954">
        <w:rPr>
          <w:rFonts w:ascii="Cambria" w:hAnsi="Cambria"/>
          <w:sz w:val="16"/>
          <w:szCs w:val="16"/>
          <w:lang w:val="es-ES"/>
        </w:rPr>
        <w:t>2, apdo. a), inciso iii).</w:t>
      </w:r>
    </w:p>
  </w:footnote>
  <w:footnote w:id="641">
    <w:p w:rsidR="00C00F28" w:rsidRPr="00BF55AB" w:rsidRDefault="00C00F28" w:rsidP="00B053C8">
      <w:pPr>
        <w:pStyle w:val="NoSpacing"/>
        <w:jc w:val="both"/>
        <w:rPr>
          <w:rFonts w:ascii="Cambria" w:hAnsi="Cambria" w:cs="Times"/>
          <w:sz w:val="16"/>
          <w:szCs w:val="16"/>
          <w:lang w:val="es-ES_tradnl"/>
        </w:rPr>
      </w:pPr>
      <w:r w:rsidRPr="00BF55AB">
        <w:rPr>
          <w:rStyle w:val="FootnoteReference"/>
          <w:rFonts w:ascii="Cambria" w:hAnsi="Cambria"/>
          <w:sz w:val="16"/>
          <w:szCs w:val="16"/>
          <w:lang w:val="es-ES_tradnl"/>
        </w:rPr>
        <w:footnoteRef/>
      </w:r>
      <w:r w:rsidRPr="003B3954">
        <w:rPr>
          <w:rFonts w:ascii="Cambria" w:hAnsi="Cambria"/>
          <w:sz w:val="16"/>
          <w:szCs w:val="16"/>
          <w:lang w:val="es-ES"/>
        </w:rPr>
        <w:t xml:space="preserve"> Protocolo II de la Convención sobre ciertas armas convencionales (1980), art. 3, párr. </w:t>
      </w:r>
      <w:r w:rsidRPr="00BF55AB">
        <w:rPr>
          <w:rFonts w:ascii="Cambria" w:hAnsi="Cambria"/>
          <w:sz w:val="16"/>
          <w:szCs w:val="16"/>
          <w:lang w:val="es-ES_tradnl"/>
        </w:rPr>
        <w:t>3.</w:t>
      </w:r>
    </w:p>
  </w:footnote>
  <w:footnote w:id="642">
    <w:p w:rsidR="00C00F28" w:rsidRPr="00713E68" w:rsidRDefault="00C00F28" w:rsidP="00B053C8">
      <w:pPr>
        <w:pStyle w:val="NoSpacing"/>
        <w:jc w:val="both"/>
        <w:rPr>
          <w:rFonts w:ascii="Cambria" w:hAnsi="Cambria"/>
          <w:sz w:val="16"/>
          <w:szCs w:val="16"/>
          <w:lang w:val="es-ES_tradnl"/>
        </w:rPr>
      </w:pPr>
      <w:r w:rsidRPr="00BF55AB">
        <w:rPr>
          <w:rStyle w:val="FootnoteReference"/>
          <w:rFonts w:ascii="Cambria" w:hAnsi="Cambria"/>
          <w:sz w:val="16"/>
          <w:szCs w:val="16"/>
          <w:lang w:val="es-ES_tradnl"/>
        </w:rPr>
        <w:footnoteRef/>
      </w:r>
      <w:r w:rsidRPr="00BF55AB">
        <w:rPr>
          <w:rFonts w:ascii="Cambria" w:hAnsi="Cambria"/>
          <w:sz w:val="16"/>
          <w:szCs w:val="16"/>
          <w:lang w:val="es-ES_tradnl"/>
        </w:rPr>
        <w:t xml:space="preserve"> Estatuto de la CPI (1998), art. 8, párr. 2, apdo. b), inciso iv) (</w:t>
      </w:r>
      <w:r w:rsidRPr="00BF55AB">
        <w:rPr>
          <w:rFonts w:ascii="Cambria" w:hAnsi="Cambria"/>
          <w:iCs/>
          <w:sz w:val="16"/>
          <w:szCs w:val="16"/>
          <w:lang w:val="es-ES_tradnl"/>
        </w:rPr>
        <w:t>ibíd.</w:t>
      </w:r>
      <w:r w:rsidRPr="00BF55AB">
        <w:rPr>
          <w:rFonts w:ascii="Cambria" w:hAnsi="Cambria"/>
          <w:sz w:val="16"/>
          <w:szCs w:val="16"/>
          <w:lang w:val="es-ES_tradnl"/>
        </w:rPr>
        <w:t xml:space="preserve">, párr. 5); v. también el Reglamento No. 2000/15 de la UNTAET, sección 6, párr. </w:t>
      </w:r>
      <w:r w:rsidRPr="00713E68">
        <w:rPr>
          <w:rFonts w:ascii="Cambria" w:hAnsi="Cambria"/>
          <w:sz w:val="16"/>
          <w:szCs w:val="16"/>
          <w:lang w:val="es-ES_tradnl"/>
        </w:rPr>
        <w:t>1, apdo.b, inciso iv)</w:t>
      </w:r>
      <w:r w:rsidRPr="00713E68">
        <w:rPr>
          <w:rFonts w:ascii="Cambria" w:eastAsia="MS Mincho" w:hAnsi="Cambria"/>
          <w:sz w:val="16"/>
          <w:szCs w:val="16"/>
          <w:lang w:val="es-ES_tradnl"/>
        </w:rPr>
        <w:t>.</w:t>
      </w:r>
    </w:p>
  </w:footnote>
  <w:footnote w:id="643">
    <w:p w:rsidR="00C00F28" w:rsidRPr="00BF55AB" w:rsidRDefault="00C00F28" w:rsidP="00B053C8">
      <w:pPr>
        <w:pStyle w:val="NoSpacing"/>
        <w:jc w:val="both"/>
        <w:rPr>
          <w:rFonts w:ascii="Cambria" w:hAnsi="Cambria"/>
          <w:sz w:val="16"/>
          <w:szCs w:val="16"/>
          <w:lang w:val="es-ES_tradnl"/>
        </w:rPr>
      </w:pPr>
      <w:r w:rsidRPr="00BF55AB">
        <w:rPr>
          <w:rStyle w:val="FootnoteReference"/>
          <w:rFonts w:ascii="Cambria" w:hAnsi="Cambria"/>
          <w:sz w:val="16"/>
          <w:szCs w:val="16"/>
          <w:lang w:val="es-ES_tradnl"/>
        </w:rPr>
        <w:footnoteRef/>
      </w:r>
      <w:r>
        <w:rPr>
          <w:rFonts w:ascii="Cambria" w:hAnsi="Cambria"/>
          <w:sz w:val="16"/>
          <w:szCs w:val="16"/>
          <w:lang w:val="es-ES_tradnl"/>
        </w:rPr>
        <w:t xml:space="preserve"> Henkaerts, Jean Marie, Doswald </w:t>
      </w:r>
      <w:r w:rsidRPr="00BF55AB">
        <w:rPr>
          <w:rFonts w:ascii="Cambria" w:hAnsi="Cambria"/>
          <w:sz w:val="16"/>
          <w:szCs w:val="16"/>
          <w:lang w:val="es-ES_tradnl"/>
        </w:rPr>
        <w:t xml:space="preserve"> Beck Louise, El Derecho Internacional Humanitario Consuetudinario, volumen I, normas, CICR, B</w:t>
      </w:r>
      <w:r>
        <w:rPr>
          <w:rFonts w:ascii="Cambria" w:hAnsi="Cambria"/>
          <w:sz w:val="16"/>
          <w:szCs w:val="16"/>
          <w:lang w:val="es-ES_tradnl"/>
        </w:rPr>
        <w:t>uenos Aires, 2007, p. 59, norma</w:t>
      </w:r>
      <w:r w:rsidRPr="00BF55AB">
        <w:rPr>
          <w:rFonts w:ascii="Cambria" w:hAnsi="Cambria"/>
          <w:sz w:val="16"/>
          <w:szCs w:val="16"/>
          <w:lang w:val="es-ES_tradnl"/>
        </w:rPr>
        <w:t xml:space="preserve"> 15.</w:t>
      </w:r>
    </w:p>
  </w:footnote>
  <w:footnote w:id="644">
    <w:p w:rsidR="00C00F28" w:rsidRPr="00BF55AB" w:rsidRDefault="00C00F28" w:rsidP="00B053C8">
      <w:pPr>
        <w:pStyle w:val="NoSpacing"/>
        <w:jc w:val="both"/>
        <w:rPr>
          <w:rFonts w:ascii="Cambria" w:hAnsi="Cambria"/>
          <w:sz w:val="16"/>
          <w:szCs w:val="16"/>
          <w:lang w:val="es-ES_tradnl"/>
        </w:rPr>
      </w:pPr>
      <w:r w:rsidRPr="00BF55AB">
        <w:rPr>
          <w:rStyle w:val="FootnoteReference"/>
          <w:rFonts w:ascii="Cambria" w:hAnsi="Cambria"/>
          <w:sz w:val="16"/>
          <w:szCs w:val="16"/>
          <w:lang w:val="es-ES_tradnl"/>
        </w:rPr>
        <w:footnoteRef/>
      </w:r>
      <w:r w:rsidRPr="00BF55AB">
        <w:rPr>
          <w:rFonts w:ascii="Cambria" w:hAnsi="Cambria"/>
          <w:sz w:val="16"/>
          <w:szCs w:val="16"/>
          <w:lang w:val="es-ES_tradnl"/>
        </w:rPr>
        <w:t xml:space="preserve"> Henkaerts, Jean Marie, Doswald Beck Louise, El Derecho Internacional Humanitario Consuetudinario, volumen I, normas, CICR, Buenos Aires, 2007, pp. 65 a 67, normas 17 y 18.</w:t>
      </w:r>
    </w:p>
  </w:footnote>
  <w:footnote w:id="645">
    <w:p w:rsidR="00C00F28" w:rsidRPr="00BF55AB" w:rsidRDefault="00C00F28" w:rsidP="00B053C8">
      <w:pPr>
        <w:pStyle w:val="FootnoteText"/>
        <w:jc w:val="both"/>
        <w:rPr>
          <w:rFonts w:ascii="Cambria" w:hAnsi="Cambria" w:cs="Times New Roman"/>
          <w:sz w:val="16"/>
          <w:szCs w:val="16"/>
          <w:lang w:val="pt-BR"/>
        </w:rPr>
      </w:pPr>
      <w:r w:rsidRPr="00BF55AB">
        <w:rPr>
          <w:rStyle w:val="FootnoteReference"/>
          <w:rFonts w:ascii="Cambria" w:hAnsi="Cambria" w:cs="Times New Roman"/>
          <w:sz w:val="16"/>
          <w:szCs w:val="16"/>
          <w:lang w:val="es-ES_tradnl"/>
        </w:rPr>
        <w:footnoteRef/>
      </w:r>
      <w:r w:rsidRPr="00BF55AB">
        <w:rPr>
          <w:rFonts w:ascii="Cambria" w:hAnsi="Cambria" w:cs="Times New Roman"/>
          <w:sz w:val="16"/>
          <w:szCs w:val="16"/>
          <w:lang w:val="pt-BR"/>
        </w:rPr>
        <w:t xml:space="preserve"> Protocolo adicional I (1977), art. 57, párr. 1.</w:t>
      </w:r>
    </w:p>
  </w:footnote>
  <w:footnote w:id="646">
    <w:p w:rsidR="00C00F28" w:rsidRPr="00720683" w:rsidRDefault="00C00F28" w:rsidP="00B053C8">
      <w:pPr>
        <w:pStyle w:val="FootnoteText"/>
        <w:jc w:val="both"/>
        <w:rPr>
          <w:rFonts w:ascii="Cambria" w:hAnsi="Cambria" w:cs="Times New Roman"/>
          <w:sz w:val="16"/>
          <w:szCs w:val="16"/>
          <w:lang w:val="pt-BR"/>
        </w:rPr>
      </w:pPr>
      <w:r w:rsidRPr="00BF55AB">
        <w:rPr>
          <w:rStyle w:val="FootnoteReference"/>
          <w:rFonts w:ascii="Cambria" w:hAnsi="Cambria" w:cs="Times New Roman"/>
          <w:sz w:val="16"/>
          <w:szCs w:val="16"/>
          <w:lang w:val="es-ES_tradnl"/>
        </w:rPr>
        <w:footnoteRef/>
      </w:r>
      <w:r w:rsidRPr="00BF55AB">
        <w:rPr>
          <w:rFonts w:ascii="Cambria" w:hAnsi="Cambria" w:cs="Times New Roman"/>
          <w:sz w:val="16"/>
          <w:szCs w:val="16"/>
          <w:lang w:val="pt-BR"/>
        </w:rPr>
        <w:t xml:space="preserve"> TPIY, </w:t>
      </w:r>
      <w:r w:rsidRPr="00BF55AB">
        <w:rPr>
          <w:rFonts w:ascii="Cambria" w:hAnsi="Cambria" w:cs="Times New Roman"/>
          <w:iCs/>
          <w:sz w:val="16"/>
          <w:szCs w:val="16"/>
          <w:lang w:val="pt-BR"/>
        </w:rPr>
        <w:t>Kupreskic case</w:t>
      </w:r>
      <w:r w:rsidRPr="00BF55AB">
        <w:rPr>
          <w:rFonts w:ascii="Cambria" w:hAnsi="Cambria" w:cs="Times New Roman"/>
          <w:sz w:val="16"/>
          <w:szCs w:val="16"/>
          <w:lang w:val="pt-BR"/>
        </w:rPr>
        <w:t>, fallo.</w:t>
      </w:r>
    </w:p>
  </w:footnote>
  <w:footnote w:id="647">
    <w:p w:rsidR="00C00F28" w:rsidRPr="00BF55AB" w:rsidRDefault="00C00F28" w:rsidP="00B053C8">
      <w:pPr>
        <w:pStyle w:val="FootnoteText"/>
        <w:jc w:val="both"/>
        <w:rPr>
          <w:rFonts w:ascii="Cambria" w:hAnsi="Cambria" w:cs="Times New Roman"/>
          <w:sz w:val="16"/>
          <w:szCs w:val="16"/>
          <w:lang w:val="pt-BR"/>
        </w:rPr>
      </w:pPr>
      <w:r w:rsidRPr="00720683">
        <w:rPr>
          <w:rStyle w:val="FootnoteReference"/>
          <w:rFonts w:ascii="Cambria" w:hAnsi="Cambria" w:cs="Times New Roman"/>
          <w:sz w:val="16"/>
          <w:szCs w:val="16"/>
          <w:lang w:val="es-ES_tradnl"/>
        </w:rPr>
        <w:footnoteRef/>
      </w:r>
      <w:r>
        <w:rPr>
          <w:rFonts w:ascii="Cambria" w:hAnsi="Cambria" w:cs="Times New Roman"/>
          <w:sz w:val="16"/>
          <w:szCs w:val="16"/>
          <w:lang w:val="pt-BR"/>
        </w:rPr>
        <w:t xml:space="preserve"> Henkaerts, Jean Marie, Doswald </w:t>
      </w:r>
      <w:r w:rsidRPr="00720683">
        <w:rPr>
          <w:rFonts w:ascii="Cambria" w:hAnsi="Cambria" w:cs="Times New Roman"/>
          <w:sz w:val="16"/>
          <w:szCs w:val="16"/>
          <w:lang w:val="pt-BR"/>
        </w:rPr>
        <w:t xml:space="preserve">Beck Louise, </w:t>
      </w:r>
      <w:r w:rsidRPr="00720683">
        <w:rPr>
          <w:rFonts w:ascii="Cambria" w:hAnsi="Cambria" w:cs="Times New Roman"/>
          <w:i/>
          <w:sz w:val="16"/>
          <w:szCs w:val="16"/>
          <w:lang w:val="pt-BR"/>
        </w:rPr>
        <w:t>El Derecho Internacional Humanitario Consuetudinario,</w:t>
      </w:r>
      <w:r w:rsidRPr="00720683">
        <w:rPr>
          <w:rFonts w:ascii="Cambria" w:hAnsi="Cambria" w:cs="Times New Roman"/>
          <w:sz w:val="16"/>
          <w:szCs w:val="16"/>
          <w:lang w:val="pt-BR"/>
        </w:rPr>
        <w:t xml:space="preserve"> volumen I, normas, CICR, Buenos Aires, </w:t>
      </w:r>
      <w:r w:rsidRPr="00BF55AB">
        <w:rPr>
          <w:rFonts w:ascii="Cambria" w:hAnsi="Cambria" w:cs="Times New Roman"/>
          <w:sz w:val="16"/>
          <w:szCs w:val="16"/>
          <w:lang w:val="pt-BR"/>
        </w:rPr>
        <w:t xml:space="preserve">2007, pp. 67. </w:t>
      </w:r>
    </w:p>
  </w:footnote>
  <w:footnote w:id="648">
    <w:p w:rsidR="00C00F28" w:rsidRPr="00BF55AB" w:rsidRDefault="00C00F28" w:rsidP="00B053C8">
      <w:pPr>
        <w:pStyle w:val="NoSpacing"/>
        <w:jc w:val="both"/>
        <w:rPr>
          <w:rFonts w:ascii="Cambria" w:hAnsi="Cambria"/>
          <w:sz w:val="16"/>
          <w:szCs w:val="16"/>
          <w:lang w:val="es-ES_tradnl"/>
        </w:rPr>
      </w:pPr>
      <w:r w:rsidRPr="00BF55AB">
        <w:rPr>
          <w:rStyle w:val="FootnoteReference"/>
          <w:rFonts w:ascii="Cambria" w:hAnsi="Cambria"/>
          <w:sz w:val="16"/>
          <w:szCs w:val="16"/>
          <w:lang w:val="es-ES_tradnl"/>
        </w:rPr>
        <w:footnoteRef/>
      </w:r>
      <w:r w:rsidRPr="00BF55AB">
        <w:rPr>
          <w:rFonts w:ascii="Cambria" w:hAnsi="Cambria"/>
          <w:sz w:val="16"/>
          <w:szCs w:val="16"/>
          <w:lang w:val="es-ES_tradnl"/>
        </w:rPr>
        <w:t xml:space="preserve"> Protocolo II de la Convención sobre ciertas armas convencionales (1980), art. 3, párr. 4; Protocolo III de la Convención sobre ciertas armas convencionales (1980), art. 1, párr. 5; Protocolo II enmendado de la Convención sobre ciertas armas convencionales (1996), art. 3, párr. 10.</w:t>
      </w:r>
    </w:p>
  </w:footnote>
  <w:footnote w:id="649">
    <w:p w:rsidR="00C00F28" w:rsidRPr="00BF55AB" w:rsidRDefault="00C00F28" w:rsidP="00B053C8">
      <w:pPr>
        <w:pStyle w:val="NoSpacing"/>
        <w:jc w:val="both"/>
        <w:rPr>
          <w:rFonts w:ascii="Cambria" w:hAnsi="Cambria"/>
          <w:sz w:val="16"/>
          <w:szCs w:val="16"/>
          <w:lang w:val="es-ES_tradnl"/>
        </w:rPr>
      </w:pPr>
      <w:r w:rsidRPr="00BF55AB">
        <w:rPr>
          <w:rStyle w:val="FootnoteReference"/>
          <w:rFonts w:ascii="Cambria" w:hAnsi="Cambria"/>
          <w:sz w:val="16"/>
          <w:szCs w:val="16"/>
          <w:lang w:val="es-ES_tradnl"/>
        </w:rPr>
        <w:footnoteRef/>
      </w:r>
      <w:r w:rsidRPr="003B3954">
        <w:rPr>
          <w:rFonts w:ascii="Cambria" w:hAnsi="Cambria"/>
          <w:sz w:val="16"/>
          <w:szCs w:val="16"/>
          <w:lang w:val="es-ES_tradnl"/>
        </w:rPr>
        <w:t xml:space="preserve"> Protocolo adicional I (1977), art. 57, párr. </w:t>
      </w:r>
      <w:r w:rsidRPr="00BF55AB">
        <w:rPr>
          <w:rFonts w:ascii="Cambria" w:hAnsi="Cambria"/>
          <w:sz w:val="16"/>
          <w:szCs w:val="16"/>
          <w:lang w:val="es-ES_tradnl"/>
        </w:rPr>
        <w:t>2, apdo. a).</w:t>
      </w:r>
    </w:p>
  </w:footnote>
  <w:footnote w:id="650">
    <w:p w:rsidR="00C00F28" w:rsidRPr="00BF55AB" w:rsidRDefault="00C00F28" w:rsidP="00B053C8">
      <w:pPr>
        <w:pStyle w:val="FootnoteText"/>
        <w:jc w:val="both"/>
        <w:rPr>
          <w:rFonts w:ascii="Cambria" w:hAnsi="Cambria" w:cs="Times New Roman"/>
          <w:sz w:val="16"/>
          <w:szCs w:val="16"/>
          <w:lang w:val="es-ES_tradnl"/>
        </w:rPr>
      </w:pPr>
      <w:r w:rsidRPr="00BF55AB">
        <w:rPr>
          <w:rStyle w:val="FootnoteReference"/>
          <w:rFonts w:ascii="Cambria" w:hAnsi="Cambria" w:cs="Times New Roman"/>
          <w:sz w:val="16"/>
          <w:szCs w:val="16"/>
          <w:lang w:val="es-ES_tradnl"/>
        </w:rPr>
        <w:footnoteRef/>
      </w:r>
      <w:r w:rsidRPr="00BF55AB">
        <w:rPr>
          <w:rFonts w:ascii="Cambria" w:hAnsi="Cambria" w:cs="Times New Roman"/>
          <w:sz w:val="16"/>
          <w:szCs w:val="16"/>
          <w:lang w:val="es-ES_tradnl"/>
        </w:rPr>
        <w:t xml:space="preserve"> Henkaerts, Jean Marie, Doswald Beck Louise, El Derecho Internacional Humanitario Consuetudinario, volumen I, normas, CICR, Buenos Aires, 2007, pp. 65. </w:t>
      </w:r>
    </w:p>
  </w:footnote>
  <w:footnote w:id="651">
    <w:p w:rsidR="00C00F28" w:rsidRPr="00BF55AB" w:rsidRDefault="00C00F28" w:rsidP="00B053C8">
      <w:pPr>
        <w:pStyle w:val="FootnoteText"/>
        <w:jc w:val="both"/>
        <w:rPr>
          <w:rFonts w:ascii="Cambria" w:hAnsi="Cambria" w:cs="Times New Roman"/>
          <w:sz w:val="16"/>
          <w:szCs w:val="16"/>
          <w:lang w:val="pt-BR"/>
        </w:rPr>
      </w:pPr>
      <w:r w:rsidRPr="00BF55AB">
        <w:rPr>
          <w:rStyle w:val="FootnoteReference"/>
          <w:rFonts w:ascii="Cambria" w:hAnsi="Cambria" w:cs="Times New Roman"/>
          <w:sz w:val="16"/>
          <w:szCs w:val="16"/>
          <w:lang w:val="es-ES_tradnl"/>
        </w:rPr>
        <w:footnoteRef/>
      </w:r>
      <w:r w:rsidRPr="00BF55AB">
        <w:rPr>
          <w:rFonts w:ascii="Cambria" w:hAnsi="Cambria" w:cs="Times New Roman"/>
          <w:sz w:val="16"/>
          <w:szCs w:val="16"/>
          <w:lang w:val="pt-BR"/>
        </w:rPr>
        <w:t xml:space="preserve"> Protocolo adicional I (1977), art. 57, párr. 2, apdo. a), inciso ii).</w:t>
      </w:r>
    </w:p>
  </w:footnote>
  <w:footnote w:id="652">
    <w:p w:rsidR="00C00F28" w:rsidRPr="00720683" w:rsidRDefault="00C00F28" w:rsidP="00B053C8">
      <w:pPr>
        <w:pStyle w:val="FootnoteText"/>
        <w:jc w:val="both"/>
        <w:rPr>
          <w:rFonts w:ascii="Cambria" w:hAnsi="Cambria"/>
          <w:sz w:val="16"/>
          <w:szCs w:val="16"/>
          <w:lang w:val="pt-BR"/>
        </w:rPr>
      </w:pPr>
      <w:r w:rsidRPr="00BF55AB">
        <w:rPr>
          <w:rStyle w:val="FootnoteReference"/>
          <w:rFonts w:ascii="Cambria" w:hAnsi="Cambria"/>
          <w:sz w:val="16"/>
          <w:szCs w:val="16"/>
          <w:lang w:val="es-ES_tradnl"/>
        </w:rPr>
        <w:footnoteRef/>
      </w:r>
      <w:r w:rsidRPr="00BF55AB">
        <w:rPr>
          <w:rFonts w:ascii="Cambria" w:hAnsi="Cambria"/>
          <w:sz w:val="16"/>
          <w:szCs w:val="16"/>
          <w:lang w:val="pt-BR"/>
        </w:rPr>
        <w:t xml:space="preserve"> </w:t>
      </w:r>
      <w:r w:rsidRPr="00BF55AB">
        <w:rPr>
          <w:rFonts w:ascii="Cambria" w:hAnsi="Cambria" w:cs="Times New Roman"/>
          <w:sz w:val="16"/>
          <w:szCs w:val="16"/>
          <w:lang w:val="pt-BR"/>
        </w:rPr>
        <w:t>Henkaerts, Jean Marie, Doswald Beck Louise, El Derecho Internacional Humanitario Consuetudinario, volumen I, normas, CICR, Buenos Aires, 2007, pp. 67.</w:t>
      </w:r>
      <w:r w:rsidRPr="00720683">
        <w:rPr>
          <w:rFonts w:ascii="Cambria" w:hAnsi="Cambria" w:cs="Times New Roman"/>
          <w:sz w:val="16"/>
          <w:szCs w:val="16"/>
          <w:lang w:val="pt-BR"/>
        </w:rPr>
        <w:t xml:space="preserve"> </w:t>
      </w:r>
    </w:p>
  </w:footnote>
  <w:footnote w:id="653">
    <w:p w:rsidR="00C00F28" w:rsidRPr="00BF55AB" w:rsidRDefault="00C00F28" w:rsidP="00B053C8">
      <w:pPr>
        <w:pStyle w:val="NoSpacing"/>
        <w:jc w:val="both"/>
        <w:rPr>
          <w:rFonts w:ascii="Cambria" w:hAnsi="Cambria"/>
          <w:sz w:val="16"/>
          <w:szCs w:val="16"/>
          <w:lang w:val="es-ES_tradnl"/>
        </w:rPr>
      </w:pPr>
      <w:r w:rsidRPr="00BF55AB">
        <w:rPr>
          <w:rStyle w:val="FootnoteReference"/>
          <w:rFonts w:ascii="Cambria" w:hAnsi="Cambria"/>
          <w:sz w:val="16"/>
          <w:szCs w:val="16"/>
          <w:lang w:val="es-ES_tradnl"/>
        </w:rPr>
        <w:footnoteRef/>
      </w:r>
      <w:r w:rsidRPr="00BF55AB">
        <w:rPr>
          <w:rFonts w:ascii="Cambria" w:hAnsi="Cambria"/>
          <w:sz w:val="16"/>
          <w:szCs w:val="16"/>
          <w:lang w:val="pt-BR"/>
        </w:rPr>
        <w:t xml:space="preserve"> Código de Lieber (1863), art. 19 (</w:t>
      </w:r>
      <w:r w:rsidRPr="00BF55AB">
        <w:rPr>
          <w:rFonts w:ascii="Cambria" w:hAnsi="Cambria"/>
          <w:iCs/>
          <w:sz w:val="16"/>
          <w:szCs w:val="16"/>
          <w:lang w:val="pt-BR"/>
        </w:rPr>
        <w:t>ibíd.</w:t>
      </w:r>
      <w:r w:rsidRPr="00BF55AB">
        <w:rPr>
          <w:rFonts w:ascii="Cambria" w:hAnsi="Cambria"/>
          <w:sz w:val="16"/>
          <w:szCs w:val="16"/>
          <w:lang w:val="pt-BR"/>
        </w:rPr>
        <w:t xml:space="preserve">, párr. </w:t>
      </w:r>
      <w:r w:rsidRPr="00BF55AB">
        <w:rPr>
          <w:rFonts w:ascii="Cambria" w:hAnsi="Cambria"/>
          <w:sz w:val="16"/>
          <w:szCs w:val="16"/>
          <w:lang w:val="es-ES_tradnl"/>
        </w:rPr>
        <w:t>424); Declaración de Bruselas (1874), art. 16 (</w:t>
      </w:r>
      <w:r w:rsidRPr="00BF55AB">
        <w:rPr>
          <w:rFonts w:ascii="Cambria" w:hAnsi="Cambria"/>
          <w:iCs/>
          <w:sz w:val="16"/>
          <w:szCs w:val="16"/>
          <w:lang w:val="es-ES_tradnl"/>
        </w:rPr>
        <w:t>ibíd.</w:t>
      </w:r>
      <w:r w:rsidRPr="00BF55AB">
        <w:rPr>
          <w:rFonts w:ascii="Cambria" w:hAnsi="Cambria"/>
          <w:sz w:val="16"/>
          <w:szCs w:val="16"/>
          <w:lang w:val="es-ES_tradnl"/>
        </w:rPr>
        <w:t>, párr. 425); Manual de Oxford (1880), art. 33 (</w:t>
      </w:r>
      <w:r w:rsidRPr="00BF55AB">
        <w:rPr>
          <w:rFonts w:ascii="Cambria" w:hAnsi="Cambria"/>
          <w:iCs/>
          <w:sz w:val="16"/>
          <w:szCs w:val="16"/>
          <w:lang w:val="es-ES_tradnl"/>
        </w:rPr>
        <w:t>ibíd.</w:t>
      </w:r>
      <w:r>
        <w:rPr>
          <w:rFonts w:ascii="Cambria" w:hAnsi="Cambria"/>
          <w:sz w:val="16"/>
          <w:szCs w:val="16"/>
          <w:lang w:val="es-ES_tradnl"/>
        </w:rPr>
        <w:t xml:space="preserve">, párr. 426). </w:t>
      </w:r>
    </w:p>
  </w:footnote>
  <w:footnote w:id="654">
    <w:p w:rsidR="00C00F28" w:rsidRPr="00BF55AB" w:rsidRDefault="00C00F28" w:rsidP="00B053C8">
      <w:pPr>
        <w:pStyle w:val="NoSpacing"/>
        <w:jc w:val="both"/>
        <w:rPr>
          <w:rFonts w:ascii="Cambria" w:hAnsi="Cambria"/>
          <w:color w:val="000000"/>
          <w:sz w:val="16"/>
          <w:szCs w:val="16"/>
          <w:lang w:val="es-ES_tradnl"/>
        </w:rPr>
      </w:pPr>
      <w:r w:rsidRPr="00BF55AB">
        <w:rPr>
          <w:rStyle w:val="FootnoteReference"/>
          <w:rFonts w:ascii="Cambria" w:hAnsi="Cambria"/>
          <w:sz w:val="16"/>
          <w:szCs w:val="16"/>
          <w:lang w:val="es-ES_tradnl"/>
        </w:rPr>
        <w:footnoteRef/>
      </w:r>
      <w:r w:rsidRPr="00BF55AB">
        <w:rPr>
          <w:rFonts w:ascii="Cambria" w:hAnsi="Cambria"/>
          <w:sz w:val="16"/>
          <w:szCs w:val="16"/>
          <w:lang w:val="es-ES_tradnl"/>
        </w:rPr>
        <w:t xml:space="preserve"> </w:t>
      </w:r>
      <w:r w:rsidRPr="00BF55AB">
        <w:rPr>
          <w:rFonts w:ascii="Cambria" w:hAnsi="Cambria"/>
          <w:color w:val="000000"/>
          <w:sz w:val="16"/>
          <w:szCs w:val="16"/>
          <w:lang w:val="es-ES_tradnl"/>
        </w:rPr>
        <w:t>Reglamento de La Haya (1907), art. 26; Protocolo adicional I (1977), art. 57, párr. 2, apdo. c).</w:t>
      </w:r>
    </w:p>
  </w:footnote>
  <w:footnote w:id="655">
    <w:p w:rsidR="00C00F28" w:rsidRPr="00C12879" w:rsidRDefault="00C00F28" w:rsidP="00C12879">
      <w:pPr>
        <w:pStyle w:val="FootnoteText"/>
        <w:jc w:val="both"/>
        <w:rPr>
          <w:rFonts w:ascii="Cambria" w:hAnsi="Cambria" w:cs="Times New Roman"/>
          <w:sz w:val="16"/>
          <w:szCs w:val="16"/>
          <w:lang w:val="es-ES_tradnl"/>
        </w:rPr>
      </w:pPr>
      <w:r w:rsidRPr="00BF55AB">
        <w:rPr>
          <w:rStyle w:val="FootnoteReference"/>
          <w:rFonts w:ascii="Cambria" w:hAnsi="Cambria" w:cs="Times New Roman"/>
          <w:sz w:val="16"/>
          <w:szCs w:val="16"/>
          <w:lang w:val="es-ES_tradnl"/>
        </w:rPr>
        <w:footnoteRef/>
      </w:r>
      <w:r w:rsidRPr="00BF55AB">
        <w:rPr>
          <w:rFonts w:ascii="Cambria" w:hAnsi="Cambria" w:cs="Times New Roman"/>
          <w:sz w:val="16"/>
          <w:szCs w:val="16"/>
          <w:lang w:val="es-ES_tradnl"/>
        </w:rPr>
        <w:t xml:space="preserve"> Al respecto el CICR indica que tan sólo existe un caso de práctica aparentemente contraria a dicha norma. En respuesta a un memorando del CICR sobre la aplicabilidad del derecho internacional humanitario en la región del Golfo, los Estados Unidos refutaron el carácter consuetudinario de esta norma, pero posteriormente con confirmaron la norma y reconocieron su validez. Henkaerts, Jean Marie, Doswald Beck Louise, El Derecho Internacional Humanitario Consuetudinario, volumen I, normas, CICR, Buenos Aires, 2007, pp. 76.</w:t>
      </w:r>
      <w:r w:rsidRPr="00C12879">
        <w:rPr>
          <w:rFonts w:ascii="Cambria" w:hAnsi="Cambria" w:cs="Times New Roman"/>
          <w:sz w:val="16"/>
          <w:szCs w:val="16"/>
          <w:lang w:val="es-ES_tradnl"/>
        </w:rPr>
        <w:t xml:space="preserve">  </w:t>
      </w:r>
    </w:p>
  </w:footnote>
  <w:footnote w:id="656">
    <w:p w:rsidR="00C00F28" w:rsidRPr="00720683" w:rsidRDefault="00C00F28" w:rsidP="00C12879">
      <w:pPr>
        <w:pStyle w:val="FootnoteText"/>
        <w:jc w:val="both"/>
        <w:rPr>
          <w:rFonts w:ascii="Cambria" w:hAnsi="Cambria"/>
          <w:sz w:val="16"/>
          <w:szCs w:val="16"/>
          <w:lang w:val="es-ES_tradnl"/>
        </w:rPr>
      </w:pPr>
      <w:r w:rsidRPr="00C12879">
        <w:rPr>
          <w:rStyle w:val="FootnoteReference"/>
          <w:rFonts w:ascii="Cambria" w:hAnsi="Cambria"/>
          <w:sz w:val="16"/>
          <w:szCs w:val="16"/>
          <w:lang w:val="es-ES_tradnl"/>
        </w:rPr>
        <w:footnoteRef/>
      </w:r>
      <w:r w:rsidRPr="00C12879">
        <w:rPr>
          <w:rFonts w:ascii="Cambria" w:hAnsi="Cambria"/>
          <w:sz w:val="16"/>
          <w:szCs w:val="16"/>
          <w:lang w:val="es-ES_tradnl"/>
        </w:rPr>
        <w:t xml:space="preserve"> </w:t>
      </w:r>
      <w:r w:rsidRPr="00C12879">
        <w:rPr>
          <w:rFonts w:ascii="Cambria" w:hAnsi="Cambria" w:cs="Times New Roman"/>
          <w:sz w:val="16"/>
          <w:szCs w:val="16"/>
          <w:lang w:val="es-ES_tradnl"/>
        </w:rPr>
        <w:t>Henka</w:t>
      </w:r>
      <w:r>
        <w:rPr>
          <w:rFonts w:ascii="Cambria" w:hAnsi="Cambria" w:cs="Times New Roman"/>
          <w:sz w:val="16"/>
          <w:szCs w:val="16"/>
          <w:lang w:val="es-ES_tradnl"/>
        </w:rPr>
        <w:t xml:space="preserve">erts, Jean Marie, Doswald </w:t>
      </w:r>
      <w:r w:rsidRPr="00720683">
        <w:rPr>
          <w:rFonts w:ascii="Cambria" w:hAnsi="Cambria" w:cs="Times New Roman"/>
          <w:sz w:val="16"/>
          <w:szCs w:val="16"/>
          <w:lang w:val="es-ES_tradnl"/>
        </w:rPr>
        <w:t>Beck Louise, El Derecho Internacional Humanitario Consuetudinario, volumen I, normas, CICR, Buenos Aires, 2007, pp. 79.</w:t>
      </w:r>
    </w:p>
  </w:footnote>
  <w:footnote w:id="657">
    <w:p w:rsidR="00C00F28" w:rsidRPr="00720683" w:rsidRDefault="00C00F28" w:rsidP="00B053C8">
      <w:pPr>
        <w:pStyle w:val="NoSpacing"/>
        <w:jc w:val="both"/>
        <w:rPr>
          <w:rFonts w:ascii="Cambria" w:hAnsi="Cambria" w:cs="Times"/>
          <w:color w:val="000000"/>
          <w:sz w:val="16"/>
          <w:szCs w:val="16"/>
          <w:lang w:val="es-ES_tradnl"/>
        </w:rPr>
      </w:pPr>
      <w:r w:rsidRPr="00720683">
        <w:rPr>
          <w:rStyle w:val="FootnoteReference"/>
          <w:rFonts w:ascii="Cambria" w:hAnsi="Cambria"/>
          <w:sz w:val="16"/>
          <w:szCs w:val="16"/>
          <w:lang w:val="es-ES_tradnl"/>
        </w:rPr>
        <w:footnoteRef/>
      </w:r>
      <w:r w:rsidRPr="00720683">
        <w:rPr>
          <w:rFonts w:ascii="Cambria" w:hAnsi="Cambria"/>
          <w:sz w:val="16"/>
          <w:szCs w:val="16"/>
          <w:lang w:val="es-ES_tradnl"/>
        </w:rPr>
        <w:t xml:space="preserve"> </w:t>
      </w:r>
      <w:r w:rsidRPr="00720683">
        <w:rPr>
          <w:rFonts w:ascii="Cambria" w:hAnsi="Cambria" w:cs="Times"/>
          <w:color w:val="000000"/>
          <w:sz w:val="16"/>
          <w:szCs w:val="16"/>
          <w:lang w:val="es-ES_tradnl"/>
        </w:rPr>
        <w:t xml:space="preserve">CDDH, Informe a la Comisión III sobre la labor del Grupo de Trabajo, párr. 65; </w:t>
      </w:r>
      <w:r>
        <w:rPr>
          <w:rFonts w:ascii="Cambria" w:hAnsi="Cambria"/>
          <w:sz w:val="16"/>
          <w:szCs w:val="16"/>
          <w:lang w:val="es-ES_tradnl"/>
        </w:rPr>
        <w:t>Henkaerts, Jean Marie, Doswald</w:t>
      </w:r>
      <w:r w:rsidRPr="00720683">
        <w:rPr>
          <w:rFonts w:ascii="Cambria" w:hAnsi="Cambria"/>
          <w:sz w:val="16"/>
          <w:szCs w:val="16"/>
          <w:lang w:val="es-ES_tradnl"/>
        </w:rPr>
        <w:t xml:space="preserve"> Beck Louise, El Derecho Internacional Humanitario Consuetudinario, volumen I, normas, CICR, Buenos Aires, 2007, pp. 80.</w:t>
      </w:r>
    </w:p>
  </w:footnote>
  <w:footnote w:id="658">
    <w:p w:rsidR="00C00F28" w:rsidRPr="00720683" w:rsidRDefault="00C00F28" w:rsidP="00B053C8">
      <w:pPr>
        <w:pStyle w:val="NoSpacing"/>
        <w:jc w:val="both"/>
        <w:rPr>
          <w:rFonts w:ascii="Cambria" w:hAnsi="Cambria"/>
          <w:sz w:val="16"/>
          <w:szCs w:val="16"/>
          <w:lang w:val="es-ES_tradnl"/>
        </w:rPr>
      </w:pPr>
      <w:r w:rsidRPr="00720683">
        <w:rPr>
          <w:rStyle w:val="FootnoteReference"/>
          <w:rFonts w:ascii="Cambria" w:hAnsi="Cambria"/>
          <w:sz w:val="16"/>
          <w:szCs w:val="16"/>
          <w:lang w:val="es-ES_tradnl"/>
        </w:rPr>
        <w:footnoteRef/>
      </w:r>
      <w:r w:rsidRPr="00720683">
        <w:rPr>
          <w:rFonts w:ascii="Cambria" w:hAnsi="Cambria"/>
          <w:sz w:val="16"/>
          <w:szCs w:val="16"/>
          <w:lang w:val="es-ES_tradnl"/>
        </w:rPr>
        <w:t xml:space="preserve"> Hen</w:t>
      </w:r>
      <w:r>
        <w:rPr>
          <w:rFonts w:ascii="Cambria" w:hAnsi="Cambria"/>
          <w:sz w:val="16"/>
          <w:szCs w:val="16"/>
          <w:lang w:val="es-ES_tradnl"/>
        </w:rPr>
        <w:t xml:space="preserve">kaerts, Jean Marie, Doswald </w:t>
      </w:r>
      <w:r w:rsidRPr="00720683">
        <w:rPr>
          <w:rFonts w:ascii="Cambria" w:hAnsi="Cambria"/>
          <w:sz w:val="16"/>
          <w:szCs w:val="16"/>
          <w:lang w:val="es-ES_tradnl"/>
        </w:rPr>
        <w:t>Beck Louise, El Derecho Internacional Humanitario Consuetudinario, volumen I, normas, CICR, Buenos Aires, 2007, pp. 81.</w:t>
      </w:r>
    </w:p>
  </w:footnote>
  <w:footnote w:id="659">
    <w:p w:rsidR="00C00F28" w:rsidRPr="003B3954" w:rsidRDefault="00C00F28" w:rsidP="00B053C8">
      <w:pPr>
        <w:pStyle w:val="NoSpacing"/>
        <w:jc w:val="both"/>
        <w:rPr>
          <w:rFonts w:ascii="Cambria" w:hAnsi="Cambria"/>
          <w:sz w:val="16"/>
          <w:szCs w:val="16"/>
          <w:lang w:val="es-ES"/>
        </w:rPr>
      </w:pPr>
      <w:r w:rsidRPr="00720683">
        <w:rPr>
          <w:rStyle w:val="FootnoteReference"/>
          <w:rFonts w:ascii="Cambria" w:hAnsi="Cambria"/>
          <w:sz w:val="16"/>
          <w:szCs w:val="16"/>
          <w:lang w:val="es-ES_tradnl"/>
        </w:rPr>
        <w:footnoteRef/>
      </w:r>
      <w:r w:rsidRPr="00720683">
        <w:rPr>
          <w:rFonts w:ascii="Cambria" w:hAnsi="Cambria"/>
          <w:sz w:val="16"/>
          <w:szCs w:val="16"/>
          <w:lang w:val="es-ES_tradnl"/>
        </w:rPr>
        <w:t xml:space="preserve"> ICR, Memorándum sobre el respeto del derecho internacional humanitario en Angola,</w:t>
      </w:r>
      <w:r>
        <w:rPr>
          <w:rFonts w:ascii="MS Mincho" w:eastAsia="MS Mincho" w:hAnsi="MS Mincho" w:cs="MS Mincho" w:hint="eastAsia"/>
          <w:sz w:val="16"/>
          <w:szCs w:val="16"/>
          <w:lang w:val="es-ES_tradnl"/>
        </w:rPr>
        <w:t xml:space="preserve"> </w:t>
      </w:r>
      <w:r w:rsidRPr="00720683">
        <w:rPr>
          <w:rFonts w:ascii="Cambria" w:hAnsi="Cambria"/>
          <w:sz w:val="16"/>
          <w:szCs w:val="16"/>
          <w:lang w:val="es-ES_tradnl"/>
        </w:rPr>
        <w:t xml:space="preserve">párr. </w:t>
      </w:r>
      <w:r w:rsidRPr="00720683">
        <w:rPr>
          <w:rFonts w:ascii="Cambria" w:hAnsi="Cambria"/>
          <w:sz w:val="16"/>
          <w:szCs w:val="16"/>
        </w:rPr>
        <w:t>180 y Memorandum on Compliance with International Humanitarian Law by the Forces Participating in Op</w:t>
      </w:r>
      <w:r>
        <w:rPr>
          <w:rFonts w:ascii="Cambria" w:hAnsi="Cambria"/>
          <w:sz w:val="16"/>
          <w:szCs w:val="16"/>
        </w:rPr>
        <w:t>e</w:t>
      </w:r>
      <w:r w:rsidRPr="00720683">
        <w:rPr>
          <w:rFonts w:ascii="Cambria" w:hAnsi="Cambria"/>
          <w:sz w:val="16"/>
          <w:szCs w:val="16"/>
        </w:rPr>
        <w:t xml:space="preserve">ration Turquoise, párr. </w:t>
      </w:r>
      <w:r w:rsidRPr="003B3954">
        <w:rPr>
          <w:rFonts w:ascii="Cambria" w:hAnsi="Cambria"/>
          <w:sz w:val="16"/>
          <w:szCs w:val="16"/>
          <w:lang w:val="es-ES"/>
        </w:rPr>
        <w:t>181.</w:t>
      </w:r>
    </w:p>
  </w:footnote>
  <w:footnote w:id="660">
    <w:p w:rsidR="00C00F28" w:rsidRPr="00720683" w:rsidRDefault="00C00F28" w:rsidP="00B053C8">
      <w:pPr>
        <w:pStyle w:val="FootnoteText"/>
        <w:tabs>
          <w:tab w:val="left" w:pos="720"/>
          <w:tab w:val="left" w:pos="900"/>
          <w:tab w:val="left" w:pos="1080"/>
        </w:tabs>
        <w:jc w:val="both"/>
        <w:rPr>
          <w:rFonts w:ascii="Cambria" w:hAnsi="Cambria"/>
          <w:sz w:val="16"/>
          <w:szCs w:val="16"/>
          <w:lang w:val="es-ES_tradnl"/>
        </w:rPr>
      </w:pPr>
      <w:r w:rsidRPr="00720683">
        <w:rPr>
          <w:rStyle w:val="FootnoteReference"/>
          <w:rFonts w:ascii="Cambria" w:hAnsi="Cambria"/>
          <w:sz w:val="16"/>
          <w:szCs w:val="16"/>
          <w:lang w:val="es-ES_tradnl"/>
        </w:rPr>
        <w:footnoteRef/>
      </w:r>
      <w:r w:rsidRPr="003B3954">
        <w:rPr>
          <w:rFonts w:ascii="Cambria" w:hAnsi="Cambria"/>
          <w:sz w:val="16"/>
          <w:szCs w:val="16"/>
          <w:lang w:val="es-ES"/>
        </w:rPr>
        <w:t xml:space="preserve"> </w:t>
      </w:r>
      <w:r w:rsidRPr="003B3954">
        <w:rPr>
          <w:rFonts w:ascii="Cambria" w:hAnsi="Cambria" w:cs="Verdana"/>
          <w:bCs/>
          <w:sz w:val="16"/>
          <w:szCs w:val="16"/>
          <w:lang w:val="es-ES"/>
        </w:rPr>
        <w:t xml:space="preserve">Corte IDH. </w:t>
      </w:r>
      <w:r w:rsidRPr="00720683">
        <w:rPr>
          <w:rFonts w:ascii="Cambria" w:hAnsi="Cambria" w:cs="Verdana"/>
          <w:bCs/>
          <w:sz w:val="16"/>
          <w:szCs w:val="16"/>
          <w:lang w:val="es-ES_tradnl"/>
        </w:rPr>
        <w:t xml:space="preserve">Caso Hermanos Landaeta Mejías y otros vs. Venezuela. Excepciones Preliminares, Fondo, Reparaciones y Costas. Sentencia de 27 de agosto de 2014. Serie C No. 281; párr. </w:t>
      </w:r>
      <w:r w:rsidRPr="00720683">
        <w:rPr>
          <w:rFonts w:ascii="Cambria" w:hAnsi="Cambria"/>
          <w:sz w:val="16"/>
          <w:szCs w:val="16"/>
          <w:lang w:val="es-ES_tradnl"/>
        </w:rPr>
        <w:t>124;</w:t>
      </w:r>
      <w:r>
        <w:rPr>
          <w:rFonts w:ascii="Cambria" w:hAnsi="Cambria"/>
          <w:sz w:val="16"/>
          <w:szCs w:val="16"/>
          <w:lang w:val="es-ES_tradnl"/>
        </w:rPr>
        <w:t xml:space="preserve"> Corte IDH. Caso Nadege Dorzema y otros v</w:t>
      </w:r>
      <w:r w:rsidRPr="00720683">
        <w:rPr>
          <w:rFonts w:ascii="Cambria" w:hAnsi="Cambria"/>
          <w:sz w:val="16"/>
          <w:szCs w:val="16"/>
          <w:lang w:val="es-ES_tradnl"/>
        </w:rPr>
        <w:t>s. República Dominicana. Fondo Reparaciones y Costas. Sentencia de 24 de octubre de 2012 Serie C No. 251, párr. 78;</w:t>
      </w:r>
      <w:r>
        <w:rPr>
          <w:rFonts w:ascii="Cambria" w:hAnsi="Cambria"/>
          <w:sz w:val="16"/>
          <w:szCs w:val="16"/>
          <w:lang w:val="es-ES_tradnl"/>
        </w:rPr>
        <w:t xml:space="preserve"> y CIDH</w:t>
      </w:r>
      <w:r w:rsidRPr="00720683">
        <w:rPr>
          <w:rFonts w:ascii="Cambria" w:hAnsi="Cambria"/>
          <w:sz w:val="16"/>
          <w:szCs w:val="16"/>
          <w:lang w:val="es-ES_tradnl"/>
        </w:rPr>
        <w:t>, Informe No. 90/14, Caso</w:t>
      </w:r>
      <w:r>
        <w:rPr>
          <w:rFonts w:ascii="Cambria" w:hAnsi="Cambria"/>
          <w:sz w:val="16"/>
          <w:szCs w:val="16"/>
          <w:lang w:val="es-ES_tradnl"/>
        </w:rPr>
        <w:t xml:space="preserve"> No.</w:t>
      </w:r>
      <w:r w:rsidRPr="00720683">
        <w:rPr>
          <w:rFonts w:ascii="Cambria" w:hAnsi="Cambria"/>
          <w:sz w:val="16"/>
          <w:szCs w:val="16"/>
          <w:lang w:val="es-ES_tradnl"/>
        </w:rPr>
        <w:t xml:space="preserve"> 11.442</w:t>
      </w:r>
      <w:r>
        <w:rPr>
          <w:rFonts w:ascii="Cambria" w:hAnsi="Cambria"/>
          <w:sz w:val="16"/>
          <w:szCs w:val="16"/>
          <w:lang w:val="es-ES_tradnl"/>
        </w:rPr>
        <w:t xml:space="preserve">, </w:t>
      </w:r>
      <w:r w:rsidRPr="00720683">
        <w:rPr>
          <w:rFonts w:ascii="Cambria" w:hAnsi="Cambria"/>
          <w:sz w:val="16"/>
          <w:szCs w:val="16"/>
          <w:lang w:val="es-ES_tradnl"/>
        </w:rPr>
        <w:t>Fondo, Luis Jorge Valencia Hinojosa, Ecuador, 4 de noviembre de 2014, párr. 189.</w:t>
      </w:r>
    </w:p>
  </w:footnote>
  <w:footnote w:id="661">
    <w:p w:rsidR="00C00F28" w:rsidRPr="00720683" w:rsidRDefault="00C00F28" w:rsidP="00B83B6D">
      <w:pPr>
        <w:rPr>
          <w:rFonts w:ascii="Cambria" w:hAnsi="Cambria"/>
          <w:sz w:val="16"/>
          <w:szCs w:val="16"/>
          <w:lang w:val="es-VE"/>
        </w:rPr>
      </w:pPr>
      <w:r w:rsidRPr="00720683">
        <w:rPr>
          <w:rStyle w:val="FootnoteReference"/>
          <w:rFonts w:ascii="Cambria" w:hAnsi="Cambria"/>
          <w:sz w:val="16"/>
          <w:szCs w:val="16"/>
        </w:rPr>
        <w:footnoteRef/>
      </w:r>
      <w:r w:rsidRPr="00720683">
        <w:rPr>
          <w:rFonts w:ascii="Cambria" w:hAnsi="Cambria"/>
          <w:sz w:val="16"/>
          <w:szCs w:val="16"/>
          <w:lang w:val="es-VE"/>
        </w:rPr>
        <w:t xml:space="preserve"> </w:t>
      </w:r>
      <w:r w:rsidRPr="009D5581">
        <w:rPr>
          <w:rFonts w:ascii="Cambria" w:hAnsi="Cambria"/>
          <w:sz w:val="16"/>
          <w:szCs w:val="16"/>
          <w:lang w:val="es-VE"/>
        </w:rPr>
        <w:t xml:space="preserve">Escrito de observaciones finales del Estado </w:t>
      </w:r>
      <w:r>
        <w:rPr>
          <w:rFonts w:ascii="Cambria" w:hAnsi="Cambria"/>
          <w:sz w:val="16"/>
          <w:szCs w:val="16"/>
          <w:lang w:val="es-VE"/>
        </w:rPr>
        <w:t>recibido el 29 de marzo de 1996</w:t>
      </w:r>
      <w:r w:rsidRPr="00720683">
        <w:rPr>
          <w:rFonts w:ascii="Cambria" w:hAnsi="Cambria"/>
          <w:sz w:val="16"/>
          <w:szCs w:val="16"/>
          <w:lang w:val="es-VE"/>
        </w:rPr>
        <w:t xml:space="preserve">, pág. 17. </w:t>
      </w:r>
    </w:p>
  </w:footnote>
  <w:footnote w:id="662">
    <w:p w:rsidR="00C00F28" w:rsidRPr="004C50B0" w:rsidRDefault="00C00F28" w:rsidP="00E0431A">
      <w:pPr>
        <w:pStyle w:val="FootnoteText"/>
        <w:jc w:val="both"/>
        <w:rPr>
          <w:rFonts w:ascii="Cambria" w:hAnsi="Cambria"/>
          <w:sz w:val="16"/>
          <w:szCs w:val="16"/>
          <w:lang w:val="es-VE"/>
        </w:rPr>
      </w:pPr>
      <w:r w:rsidRPr="004C50B0">
        <w:rPr>
          <w:rStyle w:val="FootnoteReference"/>
          <w:rFonts w:ascii="Cambria" w:hAnsi="Cambria"/>
          <w:sz w:val="16"/>
          <w:szCs w:val="16"/>
        </w:rPr>
        <w:footnoteRef/>
      </w:r>
      <w:r w:rsidRPr="004C50B0">
        <w:rPr>
          <w:rFonts w:ascii="Cambria" w:hAnsi="Cambria"/>
          <w:sz w:val="16"/>
          <w:szCs w:val="16"/>
          <w:lang w:val="es-VE"/>
        </w:rPr>
        <w:t xml:space="preserve"> </w:t>
      </w:r>
      <w:r w:rsidRPr="004C50B0">
        <w:rPr>
          <w:rFonts w:ascii="Cambria" w:hAnsi="Cambria"/>
          <w:sz w:val="16"/>
          <w:szCs w:val="16"/>
          <w:lang w:val="es-ES_tradnl"/>
        </w:rPr>
        <w:t>Henkaerts, Jean Marie, Doswald Beck Louise, El Derecho Internacional Humanitario Consuetudinario, volumen I, normas, CICR, Buenos Aires, 2007, norma 140.</w:t>
      </w:r>
    </w:p>
  </w:footnote>
  <w:footnote w:id="663">
    <w:p w:rsidR="00C00F28" w:rsidRPr="00720683" w:rsidRDefault="00C00F28" w:rsidP="00B053C8">
      <w:pPr>
        <w:pStyle w:val="FootnoteText"/>
        <w:jc w:val="both"/>
        <w:rPr>
          <w:rFonts w:ascii="Cambria" w:hAnsi="Cambria"/>
          <w:sz w:val="16"/>
          <w:szCs w:val="16"/>
          <w:lang w:val="es-VE"/>
        </w:rPr>
      </w:pPr>
      <w:r w:rsidRPr="00720683">
        <w:rPr>
          <w:rStyle w:val="FootnoteReference"/>
          <w:rFonts w:ascii="Cambria" w:hAnsi="Cambria"/>
          <w:sz w:val="16"/>
          <w:szCs w:val="16"/>
        </w:rPr>
        <w:footnoteRef/>
      </w:r>
      <w:r w:rsidRPr="00720683">
        <w:rPr>
          <w:rFonts w:ascii="Cambria" w:hAnsi="Cambria"/>
          <w:sz w:val="16"/>
          <w:szCs w:val="16"/>
          <w:lang w:val="es-VE"/>
        </w:rPr>
        <w:t xml:space="preserve"> </w:t>
      </w:r>
      <w:r>
        <w:rPr>
          <w:rFonts w:ascii="Cambria" w:hAnsi="Cambria"/>
          <w:sz w:val="16"/>
          <w:szCs w:val="16"/>
          <w:lang w:val="es-VE"/>
        </w:rPr>
        <w:t>Corte EDH. Caso Pisari v</w:t>
      </w:r>
      <w:r w:rsidRPr="00720683">
        <w:rPr>
          <w:rFonts w:ascii="Cambria" w:hAnsi="Cambria"/>
          <w:sz w:val="16"/>
          <w:szCs w:val="16"/>
          <w:lang w:val="es-VE"/>
        </w:rPr>
        <w:t xml:space="preserve">. la </w:t>
      </w:r>
      <w:r>
        <w:rPr>
          <w:rFonts w:ascii="Cambria" w:hAnsi="Cambria"/>
          <w:sz w:val="16"/>
          <w:szCs w:val="16"/>
          <w:lang w:val="es-VE"/>
        </w:rPr>
        <w:t>República de Moldovia y Rusia. Aplicación No. 42139/12</w:t>
      </w:r>
      <w:r w:rsidRPr="00720683">
        <w:rPr>
          <w:rFonts w:ascii="Cambria" w:hAnsi="Cambria"/>
          <w:sz w:val="16"/>
          <w:szCs w:val="16"/>
          <w:lang w:val="es-VE"/>
        </w:rPr>
        <w:t xml:space="preserve"> Sentencia del 19 de octubre de 2015, párr. 55.</w:t>
      </w:r>
    </w:p>
  </w:footnote>
  <w:footnote w:id="664">
    <w:p w:rsidR="00C00F28" w:rsidRPr="00720683" w:rsidRDefault="00C00F28" w:rsidP="00B053C8">
      <w:pPr>
        <w:pStyle w:val="FootnoteText"/>
        <w:jc w:val="both"/>
        <w:rPr>
          <w:rFonts w:ascii="Cambria" w:hAnsi="Cambria"/>
          <w:sz w:val="16"/>
          <w:szCs w:val="16"/>
          <w:lang w:val="es-VE"/>
        </w:rPr>
      </w:pPr>
      <w:r w:rsidRPr="00720683">
        <w:rPr>
          <w:rStyle w:val="FootnoteReference"/>
          <w:rFonts w:ascii="Cambria" w:hAnsi="Cambria"/>
          <w:sz w:val="16"/>
          <w:szCs w:val="16"/>
        </w:rPr>
        <w:footnoteRef/>
      </w:r>
      <w:r w:rsidRPr="00720683">
        <w:rPr>
          <w:rFonts w:ascii="Cambria" w:hAnsi="Cambria"/>
          <w:sz w:val="16"/>
          <w:szCs w:val="16"/>
          <w:lang w:val="es-VE"/>
        </w:rPr>
        <w:t xml:space="preserve"> Corte </w:t>
      </w:r>
      <w:r>
        <w:rPr>
          <w:rFonts w:ascii="Cambria" w:hAnsi="Cambria"/>
          <w:sz w:val="16"/>
          <w:szCs w:val="16"/>
          <w:lang w:val="es-VE"/>
        </w:rPr>
        <w:t>EDH</w:t>
      </w:r>
      <w:r w:rsidRPr="00720683">
        <w:rPr>
          <w:rFonts w:ascii="Cambria" w:hAnsi="Cambria"/>
          <w:sz w:val="16"/>
          <w:szCs w:val="16"/>
          <w:lang w:val="es-VE"/>
        </w:rPr>
        <w:t xml:space="preserve">. Caso Pisari v. la República de Moldovia y Rusia. </w:t>
      </w:r>
      <w:r>
        <w:rPr>
          <w:rFonts w:ascii="Cambria" w:hAnsi="Cambria"/>
          <w:sz w:val="16"/>
          <w:szCs w:val="16"/>
          <w:lang w:val="es-VE"/>
        </w:rPr>
        <w:t>Aplicación No. 42139/12</w:t>
      </w:r>
      <w:r w:rsidRPr="00720683">
        <w:rPr>
          <w:rFonts w:ascii="Cambria" w:hAnsi="Cambria"/>
          <w:sz w:val="16"/>
          <w:szCs w:val="16"/>
          <w:lang w:val="es-VE"/>
        </w:rPr>
        <w:t xml:space="preserve"> Sentencia del 19 de octubre de 2015, párr. 56.</w:t>
      </w:r>
    </w:p>
  </w:footnote>
  <w:footnote w:id="665">
    <w:p w:rsidR="00C00F28" w:rsidRPr="00720683" w:rsidRDefault="00C00F28" w:rsidP="00B053C8">
      <w:pPr>
        <w:pStyle w:val="FootnoteText"/>
        <w:jc w:val="both"/>
        <w:rPr>
          <w:rFonts w:ascii="Cambria" w:hAnsi="Cambria"/>
          <w:sz w:val="16"/>
          <w:szCs w:val="16"/>
          <w:lang w:val="es-VE"/>
        </w:rPr>
      </w:pPr>
      <w:r w:rsidRPr="00720683">
        <w:rPr>
          <w:rStyle w:val="FootnoteReference"/>
          <w:rFonts w:ascii="Cambria" w:hAnsi="Cambria"/>
          <w:sz w:val="16"/>
          <w:szCs w:val="16"/>
        </w:rPr>
        <w:footnoteRef/>
      </w:r>
      <w:r w:rsidRPr="00720683">
        <w:rPr>
          <w:rFonts w:ascii="Cambria" w:hAnsi="Cambria"/>
          <w:sz w:val="16"/>
          <w:szCs w:val="16"/>
          <w:lang w:val="es-VE"/>
        </w:rPr>
        <w:t xml:space="preserve"> Corte</w:t>
      </w:r>
      <w:r>
        <w:rPr>
          <w:rFonts w:ascii="Cambria" w:hAnsi="Cambria"/>
          <w:sz w:val="16"/>
          <w:szCs w:val="16"/>
          <w:lang w:val="es-VE"/>
        </w:rPr>
        <w:t xml:space="preserve"> EDH</w:t>
      </w:r>
      <w:r w:rsidRPr="00720683">
        <w:rPr>
          <w:rFonts w:ascii="Cambria" w:hAnsi="Cambria"/>
          <w:sz w:val="16"/>
          <w:szCs w:val="16"/>
          <w:lang w:val="es-VE"/>
        </w:rPr>
        <w:t>. Caso Pisari v. la República de Moldo</w:t>
      </w:r>
      <w:r>
        <w:rPr>
          <w:rFonts w:ascii="Cambria" w:hAnsi="Cambria"/>
          <w:sz w:val="16"/>
          <w:szCs w:val="16"/>
          <w:lang w:val="es-VE"/>
        </w:rPr>
        <w:t xml:space="preserve">via y Rusia. </w:t>
      </w:r>
      <w:r w:rsidRPr="00720683">
        <w:rPr>
          <w:rFonts w:ascii="Cambria" w:hAnsi="Cambria"/>
          <w:sz w:val="16"/>
          <w:szCs w:val="16"/>
          <w:lang w:val="es-VE"/>
        </w:rPr>
        <w:t>Aplicación No. 42139/12 Sentencia del 19 de octubre de 2015, párr. 57.</w:t>
      </w:r>
    </w:p>
  </w:footnote>
  <w:footnote w:id="666">
    <w:p w:rsidR="00C00F28" w:rsidRPr="00720683" w:rsidRDefault="00C00F28" w:rsidP="00B053C8">
      <w:pPr>
        <w:pStyle w:val="FootnoteText"/>
        <w:jc w:val="both"/>
        <w:rPr>
          <w:rFonts w:ascii="Cambria" w:hAnsi="Cambria"/>
          <w:sz w:val="16"/>
          <w:szCs w:val="16"/>
          <w:lang w:val="es-VE"/>
        </w:rPr>
      </w:pPr>
      <w:r w:rsidRPr="00720683">
        <w:rPr>
          <w:rStyle w:val="FootnoteReference"/>
          <w:rFonts w:ascii="Cambria" w:hAnsi="Cambria"/>
          <w:sz w:val="16"/>
          <w:szCs w:val="16"/>
        </w:rPr>
        <w:footnoteRef/>
      </w:r>
      <w:r w:rsidRPr="00720683">
        <w:rPr>
          <w:rFonts w:ascii="Cambria" w:hAnsi="Cambria"/>
          <w:sz w:val="16"/>
          <w:szCs w:val="16"/>
          <w:lang w:val="es-VE"/>
        </w:rPr>
        <w:t xml:space="preserve"> CIDH, Info</w:t>
      </w:r>
      <w:r>
        <w:rPr>
          <w:rFonts w:ascii="Cambria" w:hAnsi="Cambria"/>
          <w:sz w:val="16"/>
          <w:szCs w:val="16"/>
          <w:lang w:val="es-VE"/>
        </w:rPr>
        <w:t xml:space="preserve">rme No. 31/11, Caso No. 12.416. Fondo. </w:t>
      </w:r>
      <w:r w:rsidRPr="00720683">
        <w:rPr>
          <w:rFonts w:ascii="Cambria" w:hAnsi="Cambria"/>
          <w:sz w:val="16"/>
          <w:szCs w:val="16"/>
          <w:lang w:val="es-VE"/>
        </w:rPr>
        <w:t xml:space="preserve">Masacre de Santo Domingo </w:t>
      </w:r>
      <w:r>
        <w:rPr>
          <w:rFonts w:ascii="Cambria" w:hAnsi="Cambria"/>
          <w:sz w:val="16"/>
          <w:szCs w:val="16"/>
          <w:lang w:val="es-VE"/>
        </w:rPr>
        <w:t>(</w:t>
      </w:r>
      <w:r w:rsidRPr="00720683">
        <w:rPr>
          <w:rFonts w:ascii="Cambria" w:hAnsi="Cambria"/>
          <w:sz w:val="16"/>
          <w:szCs w:val="16"/>
          <w:lang w:val="es-VE"/>
        </w:rPr>
        <w:t>Colombia</w:t>
      </w:r>
      <w:r>
        <w:rPr>
          <w:rFonts w:ascii="Cambria" w:hAnsi="Cambria"/>
          <w:sz w:val="16"/>
          <w:szCs w:val="16"/>
          <w:lang w:val="es-VE"/>
        </w:rPr>
        <w:t>). 24 de marzo de 2011, párr. 129</w:t>
      </w:r>
      <w:r w:rsidRPr="00720683">
        <w:rPr>
          <w:rFonts w:ascii="Cambria" w:hAnsi="Cambria"/>
          <w:sz w:val="16"/>
          <w:szCs w:val="16"/>
          <w:lang w:val="es-VE"/>
        </w:rPr>
        <w:t>.</w:t>
      </w:r>
    </w:p>
  </w:footnote>
  <w:footnote w:id="667">
    <w:p w:rsidR="00C00F28" w:rsidRPr="00720683" w:rsidRDefault="00C00F28" w:rsidP="00B053C8">
      <w:pPr>
        <w:pStyle w:val="FootnoteText"/>
        <w:jc w:val="both"/>
        <w:rPr>
          <w:rFonts w:ascii="Cambria" w:hAnsi="Cambria"/>
          <w:sz w:val="16"/>
          <w:szCs w:val="16"/>
          <w:lang w:val="es-VE"/>
        </w:rPr>
      </w:pPr>
      <w:r w:rsidRPr="00720683">
        <w:rPr>
          <w:rStyle w:val="FootnoteReference"/>
          <w:rFonts w:ascii="Cambria" w:hAnsi="Cambria"/>
          <w:sz w:val="16"/>
          <w:szCs w:val="16"/>
        </w:rPr>
        <w:footnoteRef/>
      </w:r>
      <w:r w:rsidRPr="00720683">
        <w:rPr>
          <w:rFonts w:ascii="Cambria" w:hAnsi="Cambria"/>
          <w:sz w:val="16"/>
          <w:szCs w:val="16"/>
          <w:lang w:val="es-VE"/>
        </w:rPr>
        <w:t xml:space="preserve"> </w:t>
      </w:r>
      <w:r>
        <w:rPr>
          <w:rFonts w:ascii="Cambria" w:hAnsi="Cambria"/>
          <w:sz w:val="16"/>
          <w:szCs w:val="16"/>
          <w:lang w:val="es-VE"/>
        </w:rPr>
        <w:t>Corte EDH. Caso</w:t>
      </w:r>
      <w:r w:rsidRPr="00720683">
        <w:rPr>
          <w:rFonts w:ascii="Cambria" w:hAnsi="Cambria"/>
          <w:sz w:val="16"/>
          <w:szCs w:val="16"/>
          <w:lang w:val="es-VE"/>
        </w:rPr>
        <w:t xml:space="preserve"> X. v. </w:t>
      </w:r>
      <w:r>
        <w:rPr>
          <w:rFonts w:ascii="Cambria" w:hAnsi="Cambria"/>
          <w:sz w:val="16"/>
          <w:szCs w:val="16"/>
          <w:lang w:val="es-VE"/>
        </w:rPr>
        <w:t>Alemania</w:t>
      </w:r>
      <w:r w:rsidRPr="00720683">
        <w:rPr>
          <w:rFonts w:ascii="Cambria" w:hAnsi="Cambria"/>
          <w:sz w:val="16"/>
          <w:szCs w:val="16"/>
          <w:lang w:val="es-VE"/>
        </w:rPr>
        <w:t xml:space="preserve">, </w:t>
      </w:r>
      <w:r>
        <w:rPr>
          <w:rFonts w:ascii="Cambria" w:hAnsi="Cambria"/>
          <w:sz w:val="16"/>
          <w:szCs w:val="16"/>
          <w:lang w:val="es-VE"/>
        </w:rPr>
        <w:t>Aplicación No. 7705/76</w:t>
      </w:r>
      <w:r w:rsidRPr="00720683">
        <w:rPr>
          <w:rFonts w:ascii="Cambria" w:hAnsi="Cambria"/>
          <w:sz w:val="16"/>
          <w:szCs w:val="16"/>
          <w:lang w:val="es-VE"/>
        </w:rPr>
        <w:t xml:space="preserve">, </w:t>
      </w:r>
      <w:r>
        <w:rPr>
          <w:rFonts w:ascii="Cambria" w:hAnsi="Cambria"/>
          <w:sz w:val="16"/>
          <w:szCs w:val="16"/>
          <w:lang w:val="es-VE"/>
        </w:rPr>
        <w:t>Sentencia</w:t>
      </w:r>
      <w:r w:rsidRPr="00720683">
        <w:rPr>
          <w:rFonts w:ascii="Cambria" w:hAnsi="Cambria"/>
          <w:sz w:val="16"/>
          <w:szCs w:val="16"/>
          <w:lang w:val="es-VE"/>
        </w:rPr>
        <w:t xml:space="preserve"> </w:t>
      </w:r>
      <w:r>
        <w:rPr>
          <w:rFonts w:ascii="Cambria" w:hAnsi="Cambria"/>
          <w:sz w:val="16"/>
          <w:szCs w:val="16"/>
          <w:lang w:val="es-VE"/>
        </w:rPr>
        <w:t xml:space="preserve">de </w:t>
      </w:r>
      <w:r w:rsidRPr="00720683">
        <w:rPr>
          <w:rFonts w:ascii="Cambria" w:hAnsi="Cambria"/>
          <w:sz w:val="16"/>
          <w:szCs w:val="16"/>
          <w:lang w:val="es-VE"/>
        </w:rPr>
        <w:t xml:space="preserve">5 de julio de 1977. </w:t>
      </w:r>
    </w:p>
  </w:footnote>
  <w:footnote w:id="668">
    <w:p w:rsidR="00C00F28" w:rsidRPr="00713E68" w:rsidRDefault="00C00F28" w:rsidP="00B053C8">
      <w:pPr>
        <w:pStyle w:val="FootnoteText"/>
        <w:jc w:val="both"/>
        <w:rPr>
          <w:rFonts w:ascii="Cambria" w:hAnsi="Cambria"/>
          <w:sz w:val="16"/>
          <w:szCs w:val="16"/>
          <w:lang w:val="pt-BR"/>
        </w:rPr>
      </w:pPr>
      <w:r w:rsidRPr="00720683">
        <w:rPr>
          <w:rStyle w:val="FootnoteReference"/>
          <w:rFonts w:ascii="Cambria" w:hAnsi="Cambria"/>
          <w:sz w:val="16"/>
          <w:szCs w:val="16"/>
        </w:rPr>
        <w:footnoteRef/>
      </w:r>
      <w:r w:rsidRPr="00720683">
        <w:rPr>
          <w:rFonts w:ascii="Cambria" w:hAnsi="Cambria"/>
          <w:sz w:val="16"/>
          <w:szCs w:val="16"/>
          <w:lang w:val="es-VE"/>
        </w:rPr>
        <w:t xml:space="preserve"> </w:t>
      </w:r>
      <w:r>
        <w:rPr>
          <w:rFonts w:ascii="Cambria" w:hAnsi="Cambria"/>
          <w:sz w:val="16"/>
          <w:szCs w:val="16"/>
          <w:lang w:val="es-VE"/>
        </w:rPr>
        <w:t xml:space="preserve">Corte EDH. Caso </w:t>
      </w:r>
      <w:r w:rsidRPr="00720683">
        <w:rPr>
          <w:rFonts w:ascii="Cambria" w:hAnsi="Cambria"/>
          <w:iCs/>
          <w:sz w:val="16"/>
          <w:szCs w:val="16"/>
          <w:lang w:val="es-VE"/>
        </w:rPr>
        <w:t xml:space="preserve">Marckx v. </w:t>
      </w:r>
      <w:r>
        <w:rPr>
          <w:rFonts w:ascii="Cambria" w:hAnsi="Cambria"/>
          <w:iCs/>
          <w:sz w:val="16"/>
          <w:szCs w:val="16"/>
          <w:lang w:val="es-VE"/>
        </w:rPr>
        <w:t>Bélgica</w:t>
      </w:r>
      <w:r>
        <w:rPr>
          <w:rFonts w:ascii="Cambria" w:hAnsi="Cambria"/>
          <w:sz w:val="16"/>
          <w:szCs w:val="16"/>
          <w:lang w:val="es-VE"/>
        </w:rPr>
        <w:t>, A</w:t>
      </w:r>
      <w:r w:rsidRPr="00720683">
        <w:rPr>
          <w:rFonts w:ascii="Cambria" w:hAnsi="Cambria"/>
          <w:sz w:val="16"/>
          <w:szCs w:val="16"/>
          <w:lang w:val="es-VE"/>
        </w:rPr>
        <w:t>p</w:t>
      </w:r>
      <w:r>
        <w:rPr>
          <w:rFonts w:ascii="Cambria" w:hAnsi="Cambria"/>
          <w:sz w:val="16"/>
          <w:szCs w:val="16"/>
          <w:lang w:val="es-VE"/>
        </w:rPr>
        <w:t xml:space="preserve">licación No. 6833/74. </w:t>
      </w:r>
      <w:r w:rsidRPr="00713E68">
        <w:rPr>
          <w:rFonts w:ascii="Cambria" w:hAnsi="Cambria"/>
          <w:sz w:val="16"/>
          <w:szCs w:val="16"/>
          <w:lang w:val="pt-BR"/>
        </w:rPr>
        <w:t>Sentencia de 13 de Julio de 1979.</w:t>
      </w:r>
    </w:p>
  </w:footnote>
  <w:footnote w:id="669">
    <w:p w:rsidR="00C00F28" w:rsidRPr="00650603" w:rsidRDefault="00C00F28" w:rsidP="00B053C8">
      <w:pPr>
        <w:jc w:val="both"/>
        <w:rPr>
          <w:rFonts w:ascii="Cambria" w:eastAsia="Times New Roman" w:hAnsi="Cambria"/>
          <w:iCs/>
          <w:color w:val="000000"/>
          <w:sz w:val="16"/>
          <w:szCs w:val="16"/>
          <w:lang w:val="es-VE"/>
        </w:rPr>
      </w:pPr>
      <w:r w:rsidRPr="00720683">
        <w:rPr>
          <w:rStyle w:val="FootnoteReference"/>
          <w:rFonts w:ascii="Cambria" w:hAnsi="Cambria"/>
          <w:color w:val="000000"/>
          <w:sz w:val="16"/>
          <w:szCs w:val="16"/>
        </w:rPr>
        <w:footnoteRef/>
      </w:r>
      <w:r w:rsidRPr="00713E68">
        <w:rPr>
          <w:rFonts w:ascii="Cambria" w:hAnsi="Cambria"/>
          <w:color w:val="000000"/>
          <w:sz w:val="16"/>
          <w:szCs w:val="16"/>
          <w:lang w:val="pt-BR"/>
        </w:rPr>
        <w:t xml:space="preserve"> Corte EDH. </w:t>
      </w:r>
      <w:r w:rsidRPr="00650603">
        <w:rPr>
          <w:rFonts w:ascii="Cambria" w:hAnsi="Cambria"/>
          <w:color w:val="000000"/>
          <w:sz w:val="16"/>
          <w:szCs w:val="16"/>
          <w:lang w:val="es-VE"/>
        </w:rPr>
        <w:t xml:space="preserve">Caso </w:t>
      </w:r>
      <w:r w:rsidRPr="00650603">
        <w:rPr>
          <w:rFonts w:ascii="Cambria" w:eastAsia="Times New Roman" w:hAnsi="Cambria"/>
          <w:iCs/>
          <w:color w:val="000000"/>
          <w:sz w:val="16"/>
          <w:szCs w:val="16"/>
          <w:lang w:val="es-VE"/>
        </w:rPr>
        <w:t>The Holy Monasteries v. Grecia</w:t>
      </w:r>
      <w:r w:rsidRPr="00650603">
        <w:rPr>
          <w:rFonts w:ascii="Cambria" w:eastAsia="Times New Roman" w:hAnsi="Cambria"/>
          <w:color w:val="000000"/>
          <w:sz w:val="16"/>
          <w:szCs w:val="16"/>
          <w:shd w:val="clear" w:color="auto" w:fill="F9F9F9"/>
          <w:lang w:val="es-VE"/>
        </w:rPr>
        <w:t xml:space="preserve">, Aplicación No. </w:t>
      </w:r>
      <w:r w:rsidRPr="00650603">
        <w:rPr>
          <w:rFonts w:ascii="Cambria" w:eastAsia="Times New Roman" w:hAnsi="Cambria"/>
          <w:iCs/>
          <w:color w:val="000000"/>
          <w:sz w:val="16"/>
          <w:szCs w:val="16"/>
          <w:lang w:val="es-VE"/>
        </w:rPr>
        <w:t>10/1993/405/483-484, Sentencia de 21 de noviembre</w:t>
      </w:r>
      <w:r>
        <w:rPr>
          <w:rFonts w:ascii="Cambria" w:eastAsia="Times New Roman" w:hAnsi="Cambria"/>
          <w:iCs/>
          <w:color w:val="000000"/>
          <w:sz w:val="16"/>
          <w:szCs w:val="16"/>
          <w:lang w:val="es-VE"/>
        </w:rPr>
        <w:t xml:space="preserve"> de</w:t>
      </w:r>
      <w:r w:rsidRPr="00650603">
        <w:rPr>
          <w:rFonts w:ascii="Cambria" w:eastAsia="Times New Roman" w:hAnsi="Cambria"/>
          <w:iCs/>
          <w:color w:val="000000"/>
          <w:sz w:val="16"/>
          <w:szCs w:val="16"/>
          <w:lang w:val="es-VE"/>
        </w:rPr>
        <w:t xml:space="preserve"> 1994</w:t>
      </w:r>
      <w:r w:rsidRPr="00650603">
        <w:rPr>
          <w:rFonts w:ascii="Cambria" w:hAnsi="Cambria"/>
          <w:sz w:val="16"/>
          <w:szCs w:val="16"/>
          <w:lang w:val="es-VE"/>
        </w:rPr>
        <w:t>.</w:t>
      </w:r>
    </w:p>
  </w:footnote>
  <w:footnote w:id="670">
    <w:p w:rsidR="00C00F28" w:rsidRPr="00720683" w:rsidRDefault="00C00F28" w:rsidP="00B053C8">
      <w:pPr>
        <w:pStyle w:val="FootnoteText"/>
        <w:jc w:val="both"/>
        <w:rPr>
          <w:rFonts w:ascii="Cambria" w:hAnsi="Cambria"/>
          <w:sz w:val="16"/>
          <w:szCs w:val="16"/>
          <w:lang w:val="es-US"/>
        </w:rPr>
      </w:pPr>
      <w:r w:rsidRPr="00720683">
        <w:rPr>
          <w:rStyle w:val="FootnoteReference"/>
          <w:rFonts w:ascii="Cambria" w:hAnsi="Cambria"/>
          <w:sz w:val="16"/>
          <w:szCs w:val="16"/>
        </w:rPr>
        <w:footnoteRef/>
      </w:r>
      <w:r w:rsidRPr="00713E68">
        <w:rPr>
          <w:rFonts w:ascii="Cambria" w:hAnsi="Cambria"/>
          <w:sz w:val="16"/>
          <w:szCs w:val="16"/>
          <w:lang w:val="es-ES"/>
        </w:rPr>
        <w:t xml:space="preserve"> Corte EDH. Caso James v. Reino Unido, Aplicación No. 98 /1986, párr. </w:t>
      </w:r>
      <w:r w:rsidRPr="00720683">
        <w:rPr>
          <w:rFonts w:ascii="Cambria" w:hAnsi="Cambria"/>
          <w:sz w:val="16"/>
          <w:szCs w:val="16"/>
          <w:lang w:val="es-US"/>
        </w:rPr>
        <w:t>46.</w:t>
      </w:r>
    </w:p>
  </w:footnote>
  <w:footnote w:id="671">
    <w:p w:rsidR="00C00F28" w:rsidRPr="00720683" w:rsidRDefault="00C00F28" w:rsidP="00B053C8">
      <w:pPr>
        <w:pStyle w:val="FootnoteText"/>
        <w:jc w:val="both"/>
        <w:rPr>
          <w:rFonts w:ascii="Cambria" w:hAnsi="Cambria"/>
          <w:sz w:val="16"/>
          <w:szCs w:val="16"/>
          <w:lang w:val="es-VE"/>
        </w:rPr>
      </w:pPr>
      <w:r w:rsidRPr="00720683">
        <w:rPr>
          <w:rStyle w:val="FootnoteReference"/>
          <w:rFonts w:ascii="Cambria" w:hAnsi="Cambria"/>
          <w:sz w:val="16"/>
          <w:szCs w:val="16"/>
        </w:rPr>
        <w:footnoteRef/>
      </w:r>
      <w:r w:rsidRPr="00720683">
        <w:rPr>
          <w:rFonts w:ascii="Cambria" w:hAnsi="Cambria"/>
          <w:sz w:val="16"/>
          <w:szCs w:val="16"/>
          <w:lang w:val="es-VE"/>
        </w:rPr>
        <w:t xml:space="preserve"> </w:t>
      </w:r>
      <w:bookmarkStart w:id="43" w:name="_Hlk499638957"/>
      <w:r w:rsidRPr="00720683">
        <w:rPr>
          <w:rFonts w:ascii="Cambria" w:hAnsi="Cambria"/>
          <w:sz w:val="16"/>
          <w:szCs w:val="16"/>
          <w:lang w:val="es-VE"/>
        </w:rPr>
        <w:t>Tribunal Permanente de los Pueblos, Aspectos Arquitectónicos sobre los efectos de la invasión en el Barrio El Chorillo, 8 de enero de 1991. Anexo al Commissioner’s Notebook presentado por la parte peticionaria.</w:t>
      </w:r>
      <w:bookmarkEnd w:id="43"/>
    </w:p>
  </w:footnote>
  <w:footnote w:id="672">
    <w:p w:rsidR="00C00F28" w:rsidRPr="00A20B20" w:rsidRDefault="00C00F28" w:rsidP="00B053C8">
      <w:pPr>
        <w:pStyle w:val="FootnoteText"/>
        <w:jc w:val="both"/>
        <w:rPr>
          <w:rFonts w:ascii="Cambria" w:hAnsi="Cambria"/>
          <w:sz w:val="16"/>
          <w:szCs w:val="16"/>
          <w:lang w:val="es-VE"/>
        </w:rPr>
      </w:pPr>
      <w:r w:rsidRPr="00720683">
        <w:rPr>
          <w:rStyle w:val="FootnoteReference"/>
          <w:rFonts w:ascii="Cambria" w:hAnsi="Cambria"/>
          <w:sz w:val="16"/>
          <w:szCs w:val="16"/>
        </w:rPr>
        <w:footnoteRef/>
      </w:r>
      <w:r w:rsidRPr="00720683">
        <w:rPr>
          <w:rFonts w:ascii="Cambria" w:hAnsi="Cambria"/>
          <w:sz w:val="16"/>
          <w:szCs w:val="16"/>
          <w:lang w:val="es-VE"/>
        </w:rPr>
        <w:t xml:space="preserve"> </w:t>
      </w:r>
      <w:r>
        <w:rPr>
          <w:rFonts w:ascii="Cambria" w:hAnsi="Cambria"/>
          <w:sz w:val="16"/>
          <w:szCs w:val="16"/>
          <w:lang w:val="es-VE"/>
        </w:rPr>
        <w:t>Corte EDH.</w:t>
      </w:r>
      <w:r w:rsidRPr="00720683">
        <w:rPr>
          <w:rFonts w:ascii="Cambria" w:hAnsi="Cambria"/>
          <w:sz w:val="16"/>
          <w:szCs w:val="16"/>
          <w:lang w:val="es-VE"/>
        </w:rPr>
        <w:t xml:space="preserve"> Cas</w:t>
      </w:r>
      <w:r>
        <w:rPr>
          <w:rFonts w:ascii="Cambria" w:hAnsi="Cambria"/>
          <w:sz w:val="16"/>
          <w:szCs w:val="16"/>
          <w:lang w:val="es-VE"/>
        </w:rPr>
        <w:t>o</w:t>
      </w:r>
      <w:r w:rsidRPr="00720683">
        <w:rPr>
          <w:rFonts w:ascii="Cambria" w:hAnsi="Cambria"/>
          <w:sz w:val="16"/>
          <w:szCs w:val="16"/>
          <w:lang w:val="es-VE"/>
        </w:rPr>
        <w:t xml:space="preserve"> James v. </w:t>
      </w:r>
      <w:r>
        <w:rPr>
          <w:rFonts w:ascii="Cambria" w:hAnsi="Cambria"/>
          <w:sz w:val="16"/>
          <w:szCs w:val="16"/>
          <w:lang w:val="es-VE"/>
        </w:rPr>
        <w:t>Reino Unido</w:t>
      </w:r>
      <w:r w:rsidRPr="00720683">
        <w:rPr>
          <w:rFonts w:ascii="Cambria" w:hAnsi="Cambria"/>
          <w:sz w:val="16"/>
          <w:szCs w:val="16"/>
          <w:lang w:val="es-VE"/>
        </w:rPr>
        <w:t xml:space="preserve">, </w:t>
      </w:r>
      <w:r>
        <w:rPr>
          <w:rFonts w:ascii="Cambria" w:hAnsi="Cambria"/>
          <w:sz w:val="16"/>
          <w:szCs w:val="16"/>
          <w:lang w:val="es-VE"/>
        </w:rPr>
        <w:t xml:space="preserve">Aplicación No. </w:t>
      </w:r>
      <w:r w:rsidRPr="00720683">
        <w:rPr>
          <w:rFonts w:ascii="Cambria" w:hAnsi="Cambria"/>
          <w:sz w:val="16"/>
          <w:szCs w:val="16"/>
          <w:lang w:val="es-VE"/>
        </w:rPr>
        <w:t>98</w:t>
      </w:r>
      <w:r>
        <w:rPr>
          <w:rFonts w:ascii="Cambria" w:hAnsi="Cambria"/>
          <w:sz w:val="16"/>
          <w:szCs w:val="16"/>
          <w:lang w:val="es-VE"/>
        </w:rPr>
        <w:t>/1986</w:t>
      </w:r>
      <w:r w:rsidRPr="00720683">
        <w:rPr>
          <w:rFonts w:ascii="Cambria" w:hAnsi="Cambria"/>
          <w:sz w:val="16"/>
          <w:szCs w:val="16"/>
          <w:lang w:val="es-VE"/>
        </w:rPr>
        <w:t xml:space="preserve">; </w:t>
      </w:r>
      <w:r>
        <w:rPr>
          <w:rFonts w:ascii="Cambria" w:hAnsi="Cambria"/>
          <w:sz w:val="16"/>
          <w:szCs w:val="16"/>
          <w:lang w:val="es-VE"/>
        </w:rPr>
        <w:t>Corte EDH</w:t>
      </w:r>
      <w:r w:rsidRPr="00720683">
        <w:rPr>
          <w:rFonts w:ascii="Cambria" w:hAnsi="Cambria"/>
          <w:sz w:val="16"/>
          <w:szCs w:val="16"/>
          <w:lang w:val="es-VE"/>
        </w:rPr>
        <w:t xml:space="preserve">, </w:t>
      </w:r>
      <w:r w:rsidRPr="00720683">
        <w:rPr>
          <w:rFonts w:ascii="Cambria" w:hAnsi="Cambria"/>
          <w:bCs/>
          <w:sz w:val="16"/>
          <w:szCs w:val="16"/>
          <w:lang w:val="es-VE"/>
        </w:rPr>
        <w:t>Cas</w:t>
      </w:r>
      <w:r>
        <w:rPr>
          <w:rFonts w:ascii="Cambria" w:hAnsi="Cambria"/>
          <w:bCs/>
          <w:sz w:val="16"/>
          <w:szCs w:val="16"/>
          <w:lang w:val="es-VE"/>
        </w:rPr>
        <w:t>o</w:t>
      </w:r>
      <w:r w:rsidRPr="00720683">
        <w:rPr>
          <w:rFonts w:ascii="Cambria" w:hAnsi="Cambria"/>
          <w:bCs/>
          <w:sz w:val="16"/>
          <w:szCs w:val="16"/>
          <w:lang w:val="es-VE"/>
        </w:rPr>
        <w:t xml:space="preserve"> </w:t>
      </w:r>
      <w:r>
        <w:rPr>
          <w:rFonts w:ascii="Cambria" w:hAnsi="Cambria"/>
          <w:bCs/>
          <w:sz w:val="16"/>
          <w:szCs w:val="16"/>
          <w:lang w:val="es-VE"/>
        </w:rPr>
        <w:t>de</w:t>
      </w:r>
      <w:r w:rsidRPr="00720683">
        <w:rPr>
          <w:rFonts w:ascii="Cambria" w:hAnsi="Cambria"/>
          <w:bCs/>
          <w:sz w:val="16"/>
          <w:szCs w:val="16"/>
          <w:lang w:val="es-VE"/>
        </w:rPr>
        <w:t xml:space="preserve"> C</w:t>
      </w:r>
      <w:r>
        <w:rPr>
          <w:rFonts w:ascii="Cambria" w:hAnsi="Cambria"/>
          <w:bCs/>
          <w:sz w:val="16"/>
          <w:szCs w:val="16"/>
          <w:lang w:val="es-VE"/>
        </w:rPr>
        <w:t>hipre v. Turquía</w:t>
      </w:r>
      <w:r w:rsidRPr="00720683">
        <w:rPr>
          <w:rFonts w:ascii="Cambria" w:hAnsi="Cambria"/>
          <w:sz w:val="16"/>
          <w:szCs w:val="16"/>
          <w:lang w:val="es-VE"/>
        </w:rPr>
        <w:t xml:space="preserve">, </w:t>
      </w:r>
      <w:r w:rsidRPr="00720683">
        <w:rPr>
          <w:rFonts w:ascii="Cambria" w:hAnsi="Cambria"/>
          <w:iCs/>
          <w:sz w:val="16"/>
          <w:szCs w:val="16"/>
          <w:lang w:val="es-VE"/>
        </w:rPr>
        <w:t>Ap</w:t>
      </w:r>
      <w:r>
        <w:rPr>
          <w:rFonts w:ascii="Cambria" w:hAnsi="Cambria"/>
          <w:iCs/>
          <w:sz w:val="16"/>
          <w:szCs w:val="16"/>
          <w:lang w:val="es-VE"/>
        </w:rPr>
        <w:t>licación No. 2578/94</w:t>
      </w:r>
      <w:r w:rsidRPr="00A20B20">
        <w:rPr>
          <w:rFonts w:ascii="Cambria" w:hAnsi="Cambria"/>
          <w:sz w:val="16"/>
          <w:szCs w:val="16"/>
          <w:lang w:val="es-VE"/>
        </w:rPr>
        <w:t xml:space="preserve">, </w:t>
      </w:r>
      <w:r>
        <w:rPr>
          <w:rFonts w:ascii="Cambria" w:hAnsi="Cambria"/>
          <w:sz w:val="16"/>
          <w:szCs w:val="16"/>
          <w:lang w:val="es-VE"/>
        </w:rPr>
        <w:t xml:space="preserve">Sentencia del </w:t>
      </w:r>
      <w:r w:rsidRPr="00A20B20">
        <w:rPr>
          <w:rFonts w:ascii="Cambria" w:hAnsi="Cambria"/>
          <w:sz w:val="16"/>
          <w:szCs w:val="16"/>
          <w:lang w:val="es-VE"/>
        </w:rPr>
        <w:t xml:space="preserve">10 </w:t>
      </w:r>
      <w:r>
        <w:rPr>
          <w:rFonts w:ascii="Cambria" w:hAnsi="Cambria"/>
          <w:sz w:val="16"/>
          <w:szCs w:val="16"/>
          <w:lang w:val="es-VE"/>
        </w:rPr>
        <w:t>de m</w:t>
      </w:r>
      <w:r w:rsidRPr="00A20B20">
        <w:rPr>
          <w:rFonts w:ascii="Cambria" w:hAnsi="Cambria"/>
          <w:sz w:val="16"/>
          <w:szCs w:val="16"/>
          <w:lang w:val="es-VE"/>
        </w:rPr>
        <w:t>ay</w:t>
      </w:r>
      <w:r>
        <w:rPr>
          <w:rFonts w:ascii="Cambria" w:hAnsi="Cambria"/>
          <w:sz w:val="16"/>
          <w:szCs w:val="16"/>
          <w:lang w:val="es-VE"/>
        </w:rPr>
        <w:t>o de</w:t>
      </w:r>
      <w:r w:rsidRPr="00A20B20">
        <w:rPr>
          <w:rFonts w:ascii="Cambria" w:hAnsi="Cambria"/>
          <w:sz w:val="16"/>
          <w:szCs w:val="16"/>
          <w:lang w:val="es-VE"/>
        </w:rPr>
        <w:t xml:space="preserve"> 2001. </w:t>
      </w:r>
    </w:p>
  </w:footnote>
  <w:footnote w:id="673">
    <w:p w:rsidR="00C00F28" w:rsidRPr="00A20B20" w:rsidRDefault="00C00F28" w:rsidP="00B053C8">
      <w:pPr>
        <w:pStyle w:val="FootnoteText"/>
        <w:jc w:val="both"/>
        <w:rPr>
          <w:rFonts w:ascii="Cambria" w:hAnsi="Cambria"/>
          <w:sz w:val="16"/>
          <w:szCs w:val="16"/>
          <w:lang w:val="es-VE"/>
        </w:rPr>
      </w:pPr>
      <w:r w:rsidRPr="00720683">
        <w:rPr>
          <w:rStyle w:val="FootnoteReference"/>
          <w:rFonts w:ascii="Cambria" w:hAnsi="Cambria"/>
          <w:sz w:val="16"/>
          <w:szCs w:val="16"/>
        </w:rPr>
        <w:footnoteRef/>
      </w:r>
      <w:r w:rsidRPr="00A20B20">
        <w:rPr>
          <w:rFonts w:ascii="Cambria" w:hAnsi="Cambria"/>
          <w:sz w:val="16"/>
          <w:szCs w:val="16"/>
          <w:lang w:val="es-VE"/>
        </w:rPr>
        <w:t xml:space="preserve"> </w:t>
      </w:r>
      <w:r>
        <w:rPr>
          <w:rFonts w:ascii="Cambria" w:hAnsi="Cambria"/>
          <w:sz w:val="16"/>
          <w:szCs w:val="16"/>
          <w:lang w:val="es-VE"/>
        </w:rPr>
        <w:t>Corte EDH. Caso</w:t>
      </w:r>
      <w:r w:rsidRPr="00720683">
        <w:rPr>
          <w:rFonts w:ascii="Cambria" w:hAnsi="Cambria"/>
          <w:sz w:val="16"/>
          <w:szCs w:val="16"/>
          <w:lang w:val="es-VE"/>
        </w:rPr>
        <w:t xml:space="preserve"> X. v. </w:t>
      </w:r>
      <w:r>
        <w:rPr>
          <w:rFonts w:ascii="Cambria" w:hAnsi="Cambria"/>
          <w:sz w:val="16"/>
          <w:szCs w:val="16"/>
          <w:lang w:val="es-VE"/>
        </w:rPr>
        <w:t>Alemania</w:t>
      </w:r>
      <w:r w:rsidRPr="00720683">
        <w:rPr>
          <w:rFonts w:ascii="Cambria" w:hAnsi="Cambria"/>
          <w:sz w:val="16"/>
          <w:szCs w:val="16"/>
          <w:lang w:val="es-VE"/>
        </w:rPr>
        <w:t xml:space="preserve">, </w:t>
      </w:r>
      <w:r>
        <w:rPr>
          <w:rFonts w:ascii="Cambria" w:hAnsi="Cambria"/>
          <w:sz w:val="16"/>
          <w:szCs w:val="16"/>
          <w:lang w:val="es-VE"/>
        </w:rPr>
        <w:t>Aplicación No. 7705/76</w:t>
      </w:r>
      <w:r w:rsidRPr="00720683">
        <w:rPr>
          <w:rFonts w:ascii="Cambria" w:hAnsi="Cambria"/>
          <w:sz w:val="16"/>
          <w:szCs w:val="16"/>
          <w:lang w:val="es-VE"/>
        </w:rPr>
        <w:t xml:space="preserve">, </w:t>
      </w:r>
      <w:r>
        <w:rPr>
          <w:rFonts w:ascii="Cambria" w:hAnsi="Cambria"/>
          <w:sz w:val="16"/>
          <w:szCs w:val="16"/>
          <w:lang w:val="es-VE"/>
        </w:rPr>
        <w:t>Sentencia</w:t>
      </w:r>
      <w:r w:rsidRPr="00720683">
        <w:rPr>
          <w:rFonts w:ascii="Cambria" w:hAnsi="Cambria"/>
          <w:sz w:val="16"/>
          <w:szCs w:val="16"/>
          <w:lang w:val="es-VE"/>
        </w:rPr>
        <w:t xml:space="preserve"> </w:t>
      </w:r>
      <w:r>
        <w:rPr>
          <w:rFonts w:ascii="Cambria" w:hAnsi="Cambria"/>
          <w:sz w:val="16"/>
          <w:szCs w:val="16"/>
          <w:lang w:val="es-VE"/>
        </w:rPr>
        <w:t>de 5 de julio de 1977</w:t>
      </w:r>
      <w:r w:rsidRPr="00A20B20">
        <w:rPr>
          <w:rFonts w:ascii="Cambria" w:hAnsi="Cambria"/>
          <w:sz w:val="16"/>
          <w:szCs w:val="16"/>
          <w:lang w:val="es-VE"/>
        </w:rPr>
        <w:t xml:space="preserve">. </w:t>
      </w:r>
    </w:p>
  </w:footnote>
  <w:footnote w:id="674">
    <w:p w:rsidR="00C00F28" w:rsidRPr="00720683" w:rsidRDefault="00C00F28" w:rsidP="00477CF7">
      <w:pPr>
        <w:pStyle w:val="NormalWeb"/>
        <w:spacing w:before="0" w:beforeAutospacing="0" w:after="0" w:afterAutospacing="0"/>
        <w:jc w:val="both"/>
        <w:rPr>
          <w:rFonts w:ascii="Cambria" w:hAnsi="Cambria"/>
          <w:sz w:val="16"/>
          <w:szCs w:val="16"/>
          <w:lang w:val="es-US"/>
        </w:rPr>
      </w:pPr>
      <w:r w:rsidRPr="00720683">
        <w:rPr>
          <w:rStyle w:val="FootnoteReference"/>
          <w:rFonts w:ascii="Cambria" w:hAnsi="Cambria"/>
          <w:sz w:val="16"/>
          <w:szCs w:val="16"/>
        </w:rPr>
        <w:footnoteRef/>
      </w:r>
      <w:r w:rsidRPr="00720683">
        <w:rPr>
          <w:rFonts w:ascii="Cambria" w:hAnsi="Cambria"/>
          <w:sz w:val="16"/>
          <w:szCs w:val="16"/>
          <w:lang w:val="es-VE"/>
        </w:rPr>
        <w:t xml:space="preserve"> </w:t>
      </w:r>
      <w:r w:rsidRPr="00720683">
        <w:rPr>
          <w:rFonts w:ascii="Cambria" w:hAnsi="Cambria"/>
          <w:sz w:val="16"/>
          <w:szCs w:val="16"/>
          <w:lang w:val="es-ES"/>
        </w:rPr>
        <w:t xml:space="preserve">CIDH, Informe No. 71/15. Caso No. 12.879. Fondo. Vladimir Herzog y otros. </w:t>
      </w:r>
      <w:r>
        <w:rPr>
          <w:rFonts w:ascii="Cambria" w:hAnsi="Cambria"/>
          <w:sz w:val="16"/>
          <w:szCs w:val="16"/>
          <w:lang w:val="es-ES"/>
        </w:rPr>
        <w:t>(</w:t>
      </w:r>
      <w:r w:rsidRPr="00720683">
        <w:rPr>
          <w:rFonts w:ascii="Cambria" w:hAnsi="Cambria"/>
          <w:sz w:val="16"/>
          <w:szCs w:val="16"/>
          <w:lang w:val="es-ES"/>
        </w:rPr>
        <w:t>Brasil</w:t>
      </w:r>
      <w:r>
        <w:rPr>
          <w:rFonts w:ascii="Cambria" w:hAnsi="Cambria"/>
          <w:sz w:val="16"/>
          <w:szCs w:val="16"/>
          <w:lang w:val="es-ES"/>
        </w:rPr>
        <w:t>)</w:t>
      </w:r>
      <w:r w:rsidRPr="00720683">
        <w:rPr>
          <w:rFonts w:ascii="Cambria" w:hAnsi="Cambria"/>
          <w:sz w:val="16"/>
          <w:szCs w:val="16"/>
          <w:lang w:val="es-ES"/>
        </w:rPr>
        <w:t xml:space="preserve">. 28 de octubre de 2015, párr.192; CIDH, Informe No. 40/04, Caso No. 12.053, Comunidad Indígena Maya (Belice), Informe Anual de la CIDH 2004, párr. </w:t>
      </w:r>
      <w:r w:rsidRPr="00720683">
        <w:rPr>
          <w:rFonts w:ascii="Cambria" w:hAnsi="Cambria"/>
          <w:sz w:val="16"/>
          <w:szCs w:val="16"/>
          <w:lang w:val="pt-BR"/>
        </w:rPr>
        <w:t xml:space="preserve">174; </w:t>
      </w:r>
      <w:r>
        <w:rPr>
          <w:rFonts w:ascii="Cambria" w:hAnsi="Cambria"/>
          <w:sz w:val="16"/>
          <w:szCs w:val="16"/>
          <w:lang w:val="pt-BR"/>
        </w:rPr>
        <w:t xml:space="preserve">y </w:t>
      </w:r>
      <w:r w:rsidRPr="00720683">
        <w:rPr>
          <w:rFonts w:ascii="Cambria" w:hAnsi="Cambria"/>
          <w:sz w:val="16"/>
          <w:szCs w:val="16"/>
          <w:lang w:val="pt-BR"/>
        </w:rPr>
        <w:t>CIDH, Inf</w:t>
      </w:r>
      <w:r>
        <w:rPr>
          <w:rFonts w:ascii="Cambria" w:hAnsi="Cambria"/>
          <w:sz w:val="16"/>
          <w:szCs w:val="16"/>
          <w:lang w:val="pt-BR"/>
        </w:rPr>
        <w:t>orme No. 54/01, Caso No. 12.051.</w:t>
      </w:r>
      <w:r w:rsidRPr="00720683">
        <w:rPr>
          <w:rFonts w:ascii="Cambria" w:hAnsi="Cambria"/>
          <w:sz w:val="16"/>
          <w:szCs w:val="16"/>
          <w:lang w:val="pt-BR"/>
        </w:rPr>
        <w:t xml:space="preserve"> Maria Da Penha Fernandes (Brasil), 16 de abril de 2001, párr. </w:t>
      </w:r>
      <w:r w:rsidRPr="00720683">
        <w:rPr>
          <w:rFonts w:ascii="Cambria" w:hAnsi="Cambria"/>
          <w:sz w:val="16"/>
          <w:szCs w:val="16"/>
          <w:lang w:val="es-US"/>
        </w:rPr>
        <w:t>37.</w:t>
      </w:r>
      <w:r w:rsidRPr="00720683">
        <w:rPr>
          <w:rFonts w:ascii="Cambria" w:hAnsi="Cambria" w:cs="Arial"/>
          <w:sz w:val="16"/>
          <w:szCs w:val="16"/>
          <w:lang w:val="es-US"/>
        </w:rPr>
        <w:t xml:space="preserve"> </w:t>
      </w:r>
    </w:p>
  </w:footnote>
  <w:footnote w:id="675">
    <w:p w:rsidR="00C00F28" w:rsidRPr="00720683" w:rsidRDefault="00C00F28" w:rsidP="00477CF7">
      <w:pPr>
        <w:pStyle w:val="FootnoteText"/>
        <w:jc w:val="both"/>
        <w:rPr>
          <w:rFonts w:ascii="Cambria" w:hAnsi="Cambria"/>
          <w:sz w:val="16"/>
          <w:szCs w:val="16"/>
          <w:lang w:val="es-VE"/>
        </w:rPr>
      </w:pPr>
      <w:r w:rsidRPr="00720683">
        <w:rPr>
          <w:rStyle w:val="FootnoteReference"/>
          <w:rFonts w:ascii="Cambria" w:hAnsi="Cambria"/>
          <w:sz w:val="16"/>
          <w:szCs w:val="16"/>
        </w:rPr>
        <w:footnoteRef/>
      </w:r>
      <w:r w:rsidRPr="00720683">
        <w:rPr>
          <w:rFonts w:ascii="Cambria" w:hAnsi="Cambria"/>
          <w:sz w:val="16"/>
          <w:szCs w:val="16"/>
          <w:lang w:val="es-VE"/>
        </w:rPr>
        <w:t xml:space="preserve"> </w:t>
      </w:r>
      <w:r>
        <w:rPr>
          <w:rFonts w:ascii="Cambria" w:hAnsi="Cambria"/>
          <w:sz w:val="16"/>
          <w:szCs w:val="16"/>
          <w:lang w:val="es-ES"/>
        </w:rPr>
        <w:t xml:space="preserve">CIDH. Informe N˚ 55/97. Fondo. </w:t>
      </w:r>
      <w:r w:rsidRPr="00720683">
        <w:rPr>
          <w:rFonts w:ascii="Cambria" w:hAnsi="Cambria"/>
          <w:sz w:val="16"/>
          <w:szCs w:val="16"/>
          <w:lang w:val="es-ES"/>
        </w:rPr>
        <w:t xml:space="preserve">Juan Carlos Abella y Otros (Argentina), 18 de noviembre de 1997, párr. </w:t>
      </w:r>
      <w:r w:rsidRPr="00720683">
        <w:rPr>
          <w:rFonts w:ascii="Cambria" w:hAnsi="Cambria"/>
          <w:sz w:val="16"/>
          <w:szCs w:val="16"/>
          <w:lang w:val="es-US"/>
        </w:rPr>
        <w:t>412.</w:t>
      </w:r>
    </w:p>
  </w:footnote>
  <w:footnote w:id="676">
    <w:p w:rsidR="00C00F28" w:rsidRPr="00720683" w:rsidRDefault="00C00F28" w:rsidP="00B053C8">
      <w:pPr>
        <w:pStyle w:val="FootnoteText"/>
        <w:jc w:val="both"/>
        <w:rPr>
          <w:rFonts w:ascii="Cambria" w:hAnsi="Cambria"/>
          <w:color w:val="auto"/>
          <w:sz w:val="16"/>
          <w:szCs w:val="18"/>
          <w:lang w:val="es-VE"/>
        </w:rPr>
      </w:pPr>
      <w:r w:rsidRPr="00720683">
        <w:rPr>
          <w:rStyle w:val="FootnoteReference"/>
          <w:rFonts w:ascii="Cambria" w:hAnsi="Cambria"/>
          <w:sz w:val="16"/>
          <w:szCs w:val="18"/>
        </w:rPr>
        <w:footnoteRef/>
      </w:r>
      <w:r w:rsidRPr="00720683">
        <w:rPr>
          <w:rFonts w:ascii="Cambria" w:hAnsi="Cambria"/>
          <w:sz w:val="16"/>
          <w:szCs w:val="18"/>
          <w:lang w:val="es-VE"/>
        </w:rPr>
        <w:t xml:space="preserve"> CIDH. Derecho a la verdad en la</w:t>
      </w:r>
      <w:r w:rsidRPr="00720683">
        <w:rPr>
          <w:rFonts w:ascii="Cambria" w:hAnsi="Cambria"/>
          <w:color w:val="auto"/>
          <w:sz w:val="16"/>
          <w:szCs w:val="18"/>
          <w:lang w:val="es-VE"/>
        </w:rPr>
        <w:t xml:space="preserve">s Américas. </w:t>
      </w:r>
      <w:r w:rsidRPr="00713E68">
        <w:rPr>
          <w:rFonts w:ascii="Cambria" w:hAnsi="Cambria"/>
          <w:color w:val="auto"/>
          <w:sz w:val="16"/>
          <w:szCs w:val="18"/>
          <w:lang w:val="es-ES"/>
        </w:rPr>
        <w:t xml:space="preserve">OEA/Ser.L/V/II.152 Doc.2. 13 agosto 2014, párr. </w:t>
      </w:r>
      <w:r w:rsidRPr="00720683">
        <w:rPr>
          <w:rFonts w:ascii="Cambria" w:hAnsi="Cambria"/>
          <w:color w:val="auto"/>
          <w:sz w:val="16"/>
          <w:szCs w:val="18"/>
          <w:lang w:val="es-VE"/>
        </w:rPr>
        <w:t>4.</w:t>
      </w:r>
    </w:p>
  </w:footnote>
  <w:footnote w:id="677">
    <w:p w:rsidR="00C00F28" w:rsidRPr="00720683" w:rsidRDefault="00C00F28" w:rsidP="00B053C8">
      <w:pPr>
        <w:pStyle w:val="FootnoteText"/>
        <w:jc w:val="both"/>
        <w:rPr>
          <w:rFonts w:ascii="Cambria" w:hAnsi="Cambria"/>
          <w:color w:val="auto"/>
          <w:sz w:val="16"/>
          <w:szCs w:val="18"/>
          <w:lang w:val="es-VE"/>
        </w:rPr>
      </w:pPr>
      <w:r w:rsidRPr="00720683">
        <w:rPr>
          <w:rStyle w:val="FootnoteReference"/>
          <w:rFonts w:ascii="Cambria" w:hAnsi="Cambria"/>
          <w:color w:val="auto"/>
          <w:sz w:val="16"/>
          <w:szCs w:val="18"/>
        </w:rPr>
        <w:footnoteRef/>
      </w:r>
      <w:r w:rsidRPr="00720683">
        <w:rPr>
          <w:rFonts w:ascii="Cambria" w:hAnsi="Cambria"/>
          <w:color w:val="auto"/>
          <w:sz w:val="16"/>
          <w:szCs w:val="18"/>
          <w:lang w:val="es-VE"/>
        </w:rPr>
        <w:t xml:space="preserve"> CIDH. Derecho a la verdad en las Américas. OEA/Ser.L/V/II.152 Do</w:t>
      </w:r>
      <w:r>
        <w:rPr>
          <w:rFonts w:ascii="Cambria" w:hAnsi="Cambria"/>
          <w:color w:val="auto"/>
          <w:sz w:val="16"/>
          <w:szCs w:val="18"/>
          <w:lang w:val="es-VE"/>
        </w:rPr>
        <w:t>c.2. 13 agosto 2014, párr. 53.</w:t>
      </w:r>
    </w:p>
  </w:footnote>
  <w:footnote w:id="678">
    <w:p w:rsidR="00C00F28" w:rsidRPr="00720683" w:rsidRDefault="00C00F28" w:rsidP="00B053C8">
      <w:pPr>
        <w:pStyle w:val="FootnoteText"/>
        <w:jc w:val="both"/>
        <w:rPr>
          <w:rFonts w:ascii="Cambria" w:hAnsi="Cambria"/>
          <w:color w:val="auto"/>
          <w:sz w:val="16"/>
          <w:szCs w:val="18"/>
          <w:lang w:val="es-US"/>
        </w:rPr>
      </w:pPr>
      <w:r w:rsidRPr="00720683">
        <w:rPr>
          <w:rStyle w:val="FootnoteReference"/>
          <w:rFonts w:ascii="Cambria" w:hAnsi="Cambria"/>
          <w:color w:val="auto"/>
          <w:sz w:val="16"/>
          <w:szCs w:val="18"/>
        </w:rPr>
        <w:footnoteRef/>
      </w:r>
      <w:r w:rsidRPr="00720683">
        <w:rPr>
          <w:rFonts w:ascii="Cambria" w:hAnsi="Cambria"/>
          <w:color w:val="auto"/>
          <w:sz w:val="16"/>
          <w:szCs w:val="18"/>
          <w:lang w:val="es-VE"/>
        </w:rPr>
        <w:t xml:space="preserve"> CIDH. Derecho a la verdad en las Américas. OEA/Ser.L/V/II.152 Doc.2. 13 agosto 2014, párr. 75.</w:t>
      </w:r>
    </w:p>
  </w:footnote>
  <w:footnote w:id="679">
    <w:p w:rsidR="00C00F28" w:rsidRPr="00720683" w:rsidRDefault="00C00F28" w:rsidP="00B053C8">
      <w:pPr>
        <w:pStyle w:val="FootnoteText"/>
        <w:jc w:val="both"/>
        <w:rPr>
          <w:rFonts w:ascii="Cambria" w:hAnsi="Cambria"/>
          <w:color w:val="auto"/>
          <w:sz w:val="16"/>
          <w:szCs w:val="18"/>
          <w:lang w:val="es-VE"/>
        </w:rPr>
      </w:pPr>
      <w:r w:rsidRPr="00720683">
        <w:rPr>
          <w:rStyle w:val="FootnoteReference"/>
          <w:rFonts w:ascii="Cambria" w:hAnsi="Cambria"/>
          <w:color w:val="auto"/>
          <w:sz w:val="16"/>
          <w:szCs w:val="18"/>
        </w:rPr>
        <w:footnoteRef/>
      </w:r>
      <w:r w:rsidRPr="00720683">
        <w:rPr>
          <w:rFonts w:ascii="Cambria" w:hAnsi="Cambria"/>
          <w:color w:val="auto"/>
          <w:sz w:val="16"/>
          <w:szCs w:val="18"/>
          <w:lang w:val="es-VE"/>
        </w:rPr>
        <w:t xml:space="preserve"> CIDH. Derecho a la verdad en las Américas. </w:t>
      </w:r>
      <w:r w:rsidRPr="00713E68">
        <w:rPr>
          <w:rFonts w:ascii="Cambria" w:hAnsi="Cambria"/>
          <w:color w:val="auto"/>
          <w:sz w:val="16"/>
          <w:szCs w:val="18"/>
          <w:lang w:val="es-ES"/>
        </w:rPr>
        <w:t xml:space="preserve">OEA/Ser.L/V/II.152 Doc.2. 13 agosto 2014, párr. </w:t>
      </w:r>
      <w:r w:rsidRPr="00720683">
        <w:rPr>
          <w:rFonts w:ascii="Cambria" w:hAnsi="Cambria"/>
          <w:color w:val="auto"/>
          <w:sz w:val="16"/>
          <w:szCs w:val="18"/>
          <w:lang w:val="es-VE"/>
        </w:rPr>
        <w:t xml:space="preserve">70. Véase también, inter alia, CIDH, Informe No. 1/99, Caso </w:t>
      </w:r>
      <w:r>
        <w:rPr>
          <w:rFonts w:ascii="Cambria" w:hAnsi="Cambria"/>
          <w:color w:val="auto"/>
          <w:sz w:val="16"/>
          <w:szCs w:val="18"/>
          <w:lang w:val="es-VE"/>
        </w:rPr>
        <w:t xml:space="preserve">No. </w:t>
      </w:r>
      <w:r w:rsidRPr="00720683">
        <w:rPr>
          <w:rFonts w:ascii="Cambria" w:hAnsi="Cambria"/>
          <w:color w:val="auto"/>
          <w:sz w:val="16"/>
          <w:szCs w:val="18"/>
          <w:lang w:val="es-VE"/>
        </w:rPr>
        <w:t xml:space="preserve">10.480, Lucio Parada Cea, Héctor Joaquín Miranda Marroquín, Fausto García Funes, Andrés Hernández Carpio, José Catalino Meléndez y Carlos Antonio Martínez, </w:t>
      </w:r>
      <w:r>
        <w:rPr>
          <w:rFonts w:ascii="Cambria" w:hAnsi="Cambria"/>
          <w:color w:val="auto"/>
          <w:sz w:val="16"/>
          <w:szCs w:val="18"/>
          <w:lang w:val="es-VE"/>
        </w:rPr>
        <w:t>(</w:t>
      </w:r>
      <w:r w:rsidRPr="00720683">
        <w:rPr>
          <w:rFonts w:ascii="Cambria" w:hAnsi="Cambria"/>
          <w:color w:val="auto"/>
          <w:sz w:val="16"/>
          <w:szCs w:val="18"/>
          <w:lang w:val="es-VE"/>
        </w:rPr>
        <w:t>El Salvador</w:t>
      </w:r>
      <w:r>
        <w:rPr>
          <w:rFonts w:ascii="Cambria" w:hAnsi="Cambria"/>
          <w:color w:val="auto"/>
          <w:sz w:val="16"/>
          <w:szCs w:val="18"/>
          <w:lang w:val="es-VE"/>
        </w:rPr>
        <w:t>)</w:t>
      </w:r>
      <w:r w:rsidRPr="00720683">
        <w:rPr>
          <w:rFonts w:ascii="Cambria" w:hAnsi="Cambria"/>
          <w:color w:val="auto"/>
          <w:sz w:val="16"/>
          <w:szCs w:val="18"/>
          <w:lang w:val="es-VE"/>
        </w:rPr>
        <w:t xml:space="preserve">, 27 de enero de 1999, párr. 147; CIDH, Informe No. 136/99, Caso </w:t>
      </w:r>
      <w:r>
        <w:rPr>
          <w:rFonts w:ascii="Cambria" w:hAnsi="Cambria"/>
          <w:color w:val="auto"/>
          <w:sz w:val="16"/>
          <w:szCs w:val="18"/>
          <w:lang w:val="es-VE"/>
        </w:rPr>
        <w:t xml:space="preserve">No. </w:t>
      </w:r>
      <w:r w:rsidRPr="00720683">
        <w:rPr>
          <w:rFonts w:ascii="Cambria" w:hAnsi="Cambria"/>
          <w:color w:val="auto"/>
          <w:sz w:val="16"/>
          <w:szCs w:val="18"/>
          <w:lang w:val="es-VE"/>
        </w:rPr>
        <w:t xml:space="preserve">10.488, Ignacio Ellacuría, S.J.; Segundo Montes, S.J.; Armando López, S.J.; Ignacio Martín Baró, S.J.; Joaquín López y López, S.J.; Juan Ramón Moreno, S.J.; Julia Elba Ramos; y Celina Mariceth Ramos, </w:t>
      </w:r>
      <w:r>
        <w:rPr>
          <w:rFonts w:ascii="Cambria" w:hAnsi="Cambria"/>
          <w:color w:val="auto"/>
          <w:sz w:val="16"/>
          <w:szCs w:val="18"/>
          <w:lang w:val="es-VE"/>
        </w:rPr>
        <w:t>(</w:t>
      </w:r>
      <w:r w:rsidRPr="00720683">
        <w:rPr>
          <w:rFonts w:ascii="Cambria" w:hAnsi="Cambria"/>
          <w:color w:val="auto"/>
          <w:sz w:val="16"/>
          <w:szCs w:val="18"/>
          <w:lang w:val="es-VE"/>
        </w:rPr>
        <w:t>El Salvador</w:t>
      </w:r>
      <w:r>
        <w:rPr>
          <w:rFonts w:ascii="Cambria" w:hAnsi="Cambria"/>
          <w:color w:val="auto"/>
          <w:sz w:val="16"/>
          <w:szCs w:val="18"/>
          <w:lang w:val="es-VE"/>
        </w:rPr>
        <w:t>)</w:t>
      </w:r>
      <w:r w:rsidRPr="00720683">
        <w:rPr>
          <w:rFonts w:ascii="Cambria" w:hAnsi="Cambria"/>
          <w:color w:val="auto"/>
          <w:sz w:val="16"/>
          <w:szCs w:val="18"/>
          <w:lang w:val="es-VE"/>
        </w:rPr>
        <w:t>, 22 de diciembre de 1999, párr. 221;</w:t>
      </w:r>
      <w:r>
        <w:rPr>
          <w:rFonts w:ascii="Cambria" w:hAnsi="Cambria"/>
          <w:color w:val="auto"/>
          <w:sz w:val="16"/>
          <w:szCs w:val="18"/>
          <w:lang w:val="es-VE"/>
        </w:rPr>
        <w:t xml:space="preserve"> y CIDH.</w:t>
      </w:r>
      <w:r w:rsidRPr="00720683">
        <w:rPr>
          <w:rFonts w:ascii="Cambria" w:hAnsi="Cambria"/>
          <w:color w:val="auto"/>
          <w:sz w:val="16"/>
          <w:szCs w:val="18"/>
          <w:lang w:val="es-VE"/>
        </w:rPr>
        <w:t xml:space="preserve"> Informe N</w:t>
      </w:r>
      <w:r>
        <w:rPr>
          <w:rFonts w:ascii="Cambria" w:hAnsi="Cambria"/>
          <w:color w:val="auto"/>
          <w:sz w:val="16"/>
          <w:szCs w:val="18"/>
          <w:lang w:val="es-VE"/>
        </w:rPr>
        <w:t xml:space="preserve">o. </w:t>
      </w:r>
      <w:r w:rsidRPr="00720683">
        <w:rPr>
          <w:rFonts w:ascii="Cambria" w:hAnsi="Cambria"/>
          <w:color w:val="auto"/>
          <w:sz w:val="16"/>
          <w:szCs w:val="18"/>
          <w:lang w:val="es-VE"/>
        </w:rPr>
        <w:t xml:space="preserve">37/00, Caso </w:t>
      </w:r>
      <w:r>
        <w:rPr>
          <w:rFonts w:ascii="Cambria" w:hAnsi="Cambria"/>
          <w:color w:val="auto"/>
          <w:sz w:val="16"/>
          <w:szCs w:val="18"/>
          <w:lang w:val="es-VE"/>
        </w:rPr>
        <w:t xml:space="preserve">No. </w:t>
      </w:r>
      <w:r w:rsidRPr="00720683">
        <w:rPr>
          <w:rFonts w:ascii="Cambria" w:hAnsi="Cambria"/>
          <w:color w:val="auto"/>
          <w:sz w:val="16"/>
          <w:szCs w:val="18"/>
          <w:lang w:val="es-VE"/>
        </w:rPr>
        <w:t xml:space="preserve">11.481, Monseñor Oscar Arnulfo Romero y Galdámez, </w:t>
      </w:r>
      <w:r>
        <w:rPr>
          <w:rFonts w:ascii="Cambria" w:hAnsi="Cambria"/>
          <w:color w:val="auto"/>
          <w:sz w:val="16"/>
          <w:szCs w:val="18"/>
          <w:lang w:val="es-VE"/>
        </w:rPr>
        <w:t>(</w:t>
      </w:r>
      <w:r w:rsidRPr="00720683">
        <w:rPr>
          <w:rFonts w:ascii="Cambria" w:hAnsi="Cambria"/>
          <w:color w:val="auto"/>
          <w:sz w:val="16"/>
          <w:szCs w:val="18"/>
          <w:lang w:val="es-VE"/>
        </w:rPr>
        <w:t>El Salvador</w:t>
      </w:r>
      <w:r>
        <w:rPr>
          <w:rFonts w:ascii="Cambria" w:hAnsi="Cambria"/>
          <w:color w:val="auto"/>
          <w:sz w:val="16"/>
          <w:szCs w:val="18"/>
          <w:lang w:val="es-VE"/>
        </w:rPr>
        <w:t>)</w:t>
      </w:r>
      <w:r w:rsidRPr="00720683">
        <w:rPr>
          <w:rFonts w:ascii="Cambria" w:hAnsi="Cambria"/>
          <w:color w:val="auto"/>
          <w:sz w:val="16"/>
          <w:szCs w:val="18"/>
          <w:lang w:val="es-VE"/>
        </w:rPr>
        <w:t xml:space="preserve">, 13 de abril de 2000, párr. 142. </w:t>
      </w:r>
    </w:p>
  </w:footnote>
  <w:footnote w:id="680">
    <w:p w:rsidR="00C00F28" w:rsidRPr="00720683" w:rsidRDefault="00C00F28" w:rsidP="00B053C8">
      <w:pPr>
        <w:pStyle w:val="FootnoteText"/>
        <w:jc w:val="both"/>
        <w:rPr>
          <w:rFonts w:ascii="Cambria" w:hAnsi="Cambria"/>
          <w:b/>
          <w:color w:val="auto"/>
          <w:sz w:val="16"/>
          <w:szCs w:val="18"/>
          <w:lang w:val="es-VE"/>
        </w:rPr>
      </w:pPr>
      <w:r w:rsidRPr="00720683">
        <w:rPr>
          <w:rStyle w:val="FootnoteReference"/>
          <w:rFonts w:ascii="Cambria" w:hAnsi="Cambria"/>
          <w:color w:val="auto"/>
          <w:sz w:val="16"/>
          <w:szCs w:val="18"/>
        </w:rPr>
        <w:footnoteRef/>
      </w:r>
      <w:r w:rsidRPr="00720683">
        <w:rPr>
          <w:rFonts w:ascii="Cambria" w:hAnsi="Cambria"/>
          <w:color w:val="auto"/>
          <w:sz w:val="16"/>
          <w:szCs w:val="18"/>
          <w:lang w:val="es-VE"/>
        </w:rPr>
        <w:t xml:space="preserve"> CIDH. Derecho a la verdad en las Américas. OEA/Ser.L/V/II.152 Doc.2. 13 agosto 2014, párr. 69.</w:t>
      </w:r>
    </w:p>
  </w:footnote>
  <w:footnote w:id="681">
    <w:p w:rsidR="00C00F28" w:rsidRPr="00AA6F56" w:rsidRDefault="00C00F28" w:rsidP="00B053C8">
      <w:pPr>
        <w:pStyle w:val="FootnoteText"/>
        <w:jc w:val="both"/>
        <w:rPr>
          <w:rFonts w:ascii="Cambria" w:hAnsi="Cambria"/>
          <w:sz w:val="16"/>
          <w:szCs w:val="18"/>
          <w:lang w:val="es-VE"/>
        </w:rPr>
      </w:pPr>
      <w:r w:rsidRPr="00720683">
        <w:rPr>
          <w:rStyle w:val="FootnoteReference"/>
          <w:rFonts w:ascii="Cambria" w:hAnsi="Cambria"/>
          <w:color w:val="auto"/>
          <w:sz w:val="16"/>
          <w:szCs w:val="18"/>
        </w:rPr>
        <w:footnoteRef/>
      </w:r>
      <w:r w:rsidRPr="00720683">
        <w:rPr>
          <w:rFonts w:ascii="Cambria" w:hAnsi="Cambria"/>
          <w:color w:val="auto"/>
          <w:sz w:val="16"/>
          <w:szCs w:val="18"/>
          <w:lang w:val="es-VE"/>
        </w:rPr>
        <w:t xml:space="preserve"> CIDH, </w:t>
      </w:r>
      <w:r w:rsidRPr="00AA6F56">
        <w:rPr>
          <w:rFonts w:ascii="Cambria" w:hAnsi="Cambria"/>
          <w:color w:val="auto"/>
          <w:sz w:val="16"/>
          <w:szCs w:val="18"/>
          <w:lang w:val="es-VE"/>
        </w:rPr>
        <w:t xml:space="preserve">Informe sobre Terrorismo y Derechos Humanos, OEA/Ser.L/V/ll.116, 22 de octubre de 2002, párr. </w:t>
      </w:r>
      <w:r w:rsidRPr="00AA6F56">
        <w:rPr>
          <w:rFonts w:ascii="Cambria" w:hAnsi="Cambria"/>
          <w:color w:val="auto"/>
          <w:sz w:val="16"/>
          <w:szCs w:val="18"/>
          <w:lang w:val="es-US"/>
        </w:rPr>
        <w:t>291.</w:t>
      </w:r>
    </w:p>
  </w:footnote>
  <w:footnote w:id="682">
    <w:p w:rsidR="00C00F28" w:rsidRPr="00720683" w:rsidRDefault="00C00F28" w:rsidP="00B053C8">
      <w:pPr>
        <w:pStyle w:val="FootnoteText"/>
        <w:jc w:val="both"/>
        <w:rPr>
          <w:rFonts w:ascii="Cambria" w:hAnsi="Cambria"/>
          <w:sz w:val="16"/>
          <w:szCs w:val="18"/>
          <w:lang w:val="es-ES"/>
        </w:rPr>
      </w:pPr>
      <w:r w:rsidRPr="00AA6F56">
        <w:rPr>
          <w:rStyle w:val="FootnoteReference"/>
          <w:rFonts w:ascii="Cambria" w:hAnsi="Cambria"/>
          <w:sz w:val="16"/>
          <w:szCs w:val="16"/>
        </w:rPr>
        <w:footnoteRef/>
      </w:r>
      <w:r w:rsidRPr="00AA6F56">
        <w:rPr>
          <w:rFonts w:ascii="Cambria" w:hAnsi="Cambria"/>
          <w:sz w:val="16"/>
          <w:szCs w:val="16"/>
          <w:lang w:val="es-ES"/>
        </w:rPr>
        <w:t xml:space="preserve"> </w:t>
      </w:r>
      <w:r w:rsidRPr="00AA6F56">
        <w:rPr>
          <w:rFonts w:ascii="Cambria" w:hAnsi="Cambria"/>
          <w:sz w:val="16"/>
          <w:szCs w:val="16"/>
          <w:lang w:val="es-ES_tradnl"/>
        </w:rPr>
        <w:t>Henkaerts, Jean Marie, Doswald Beck Louise, El Derecho Internacional Humanitario Consuetudinario, volumen I, normas, CICR, Buenos Aires, 2007, p. 46, Norma</w:t>
      </w:r>
      <w:r w:rsidRPr="00AA6F56">
        <w:rPr>
          <w:rFonts w:ascii="Cambria" w:hAnsi="Cambria"/>
          <w:sz w:val="16"/>
          <w:szCs w:val="16"/>
          <w:lang w:val="es-ES"/>
        </w:rPr>
        <w:t xml:space="preserve"> 150.</w:t>
      </w:r>
    </w:p>
  </w:footnote>
  <w:footnote w:id="683">
    <w:p w:rsidR="00C00F28" w:rsidRPr="00720683" w:rsidRDefault="00C00F28" w:rsidP="00B053C8">
      <w:pPr>
        <w:pStyle w:val="FootnoteText"/>
        <w:jc w:val="both"/>
        <w:rPr>
          <w:rFonts w:ascii="Cambria" w:hAnsi="Cambria"/>
          <w:sz w:val="16"/>
          <w:szCs w:val="18"/>
          <w:lang w:val="es-VE"/>
        </w:rPr>
      </w:pPr>
      <w:r w:rsidRPr="00720683">
        <w:rPr>
          <w:rStyle w:val="FootnoteReference"/>
          <w:rFonts w:ascii="Cambria" w:hAnsi="Cambria"/>
          <w:sz w:val="16"/>
          <w:szCs w:val="18"/>
        </w:rPr>
        <w:footnoteRef/>
      </w:r>
      <w:r w:rsidRPr="00720683">
        <w:rPr>
          <w:rFonts w:ascii="Cambria" w:hAnsi="Cambria"/>
          <w:sz w:val="16"/>
          <w:szCs w:val="18"/>
          <w:lang w:val="es-VE"/>
        </w:rPr>
        <w:t xml:space="preserve"> Asamblea General de la ONU. Resolución No. 60/147. Principios y directrices básicos sobre el derecho de las víctimas de violaciones manifiestas de las normas internacionales de derechos humanos y de violaciones graves del derecho internacional humanitario a interponer recursos y obtener reparaciones. A/RES/60/147. 21 de marzo de 2006, párr. 4. </w:t>
      </w:r>
    </w:p>
  </w:footnote>
  <w:footnote w:id="684">
    <w:p w:rsidR="00C00F28" w:rsidRPr="00720683" w:rsidRDefault="00C00F28" w:rsidP="00B053C8">
      <w:pPr>
        <w:pStyle w:val="FootnoteText"/>
        <w:jc w:val="both"/>
        <w:rPr>
          <w:rFonts w:ascii="Cambria" w:hAnsi="Cambria"/>
          <w:color w:val="auto"/>
          <w:sz w:val="16"/>
          <w:szCs w:val="16"/>
          <w:lang w:val="es-VE"/>
        </w:rPr>
      </w:pPr>
      <w:r w:rsidRPr="00720683">
        <w:rPr>
          <w:rStyle w:val="FootnoteReference"/>
          <w:rFonts w:ascii="Cambria" w:hAnsi="Cambria"/>
          <w:sz w:val="16"/>
          <w:szCs w:val="16"/>
        </w:rPr>
        <w:footnoteRef/>
      </w:r>
      <w:r w:rsidRPr="00720683">
        <w:rPr>
          <w:rFonts w:ascii="Cambria" w:hAnsi="Cambria"/>
          <w:sz w:val="16"/>
          <w:szCs w:val="16"/>
          <w:lang w:val="es-VE"/>
        </w:rPr>
        <w:t xml:space="preserve"> Asamblea General de la ONU. Resolución No. 60/147. Principios y directrices básicos sobre el derecho de las víctimas de violaciones manifiestas de las normas internacionales de derechos humanos y de violaciones graves del derecho internacional humanitario a interponer recursos y obtener reparaciones. A/RES/60/147. 21 de marzo de 2006, párr. 11. Ver también: Comisión de derechos humanos, Promoción y protección de los derechos humanos: Conjunto de Principios actualizado para la protección y promoción de los derechos humanos mediante la lucha contra la impunidad. E/CN.4/2005/102/Add.1 8 de febrero de 2005, principio 2 (el derecho inalienable a la verdad), principio 4 (el derecho de las víctimas a saber), principio 5 (garantías para hacer efectivo el derecho a saber), principio 19 (deberes de los Est</w:t>
      </w:r>
      <w:r w:rsidRPr="00720683">
        <w:rPr>
          <w:rFonts w:ascii="Cambria" w:hAnsi="Cambria"/>
          <w:color w:val="auto"/>
          <w:sz w:val="16"/>
          <w:szCs w:val="16"/>
          <w:lang w:val="es-VE"/>
        </w:rPr>
        <w:t>ados en materia de administración de justicia), y principio 31 (derechos y deberes dimanantes de la obligación de reparar).</w:t>
      </w:r>
    </w:p>
  </w:footnote>
  <w:footnote w:id="685">
    <w:p w:rsidR="00C00F28" w:rsidRPr="00720683" w:rsidRDefault="00C00F28" w:rsidP="00B053C8">
      <w:pPr>
        <w:pStyle w:val="FootnoteText"/>
        <w:jc w:val="both"/>
        <w:rPr>
          <w:rFonts w:ascii="Cambria" w:hAnsi="Cambria"/>
          <w:color w:val="auto"/>
          <w:sz w:val="16"/>
          <w:szCs w:val="16"/>
          <w:lang w:val="es-VE"/>
        </w:rPr>
      </w:pPr>
      <w:r w:rsidRPr="00720683">
        <w:rPr>
          <w:rStyle w:val="FootnoteReference"/>
          <w:rFonts w:ascii="Cambria" w:hAnsi="Cambria"/>
          <w:color w:val="auto"/>
          <w:sz w:val="16"/>
          <w:szCs w:val="16"/>
        </w:rPr>
        <w:footnoteRef/>
      </w:r>
      <w:r w:rsidRPr="00720683">
        <w:rPr>
          <w:rFonts w:ascii="Cambria" w:hAnsi="Cambria"/>
          <w:color w:val="auto"/>
          <w:sz w:val="16"/>
          <w:szCs w:val="16"/>
          <w:lang w:val="es-VE"/>
        </w:rPr>
        <w:t xml:space="preserve"> Asamblea General de la ONU. Resolución No. 60/147. Principios y directrices básicos sobre el derecho de las víctimas de violaciones manifiestas de las normas internacionales de derechos humanos y de violaciones graves del derecho internacional humanitario a interponer recursos y obtener reparaciones. A/RES/60/147. 21 de marzo de 2006, párr. 15.</w:t>
      </w:r>
    </w:p>
  </w:footnote>
  <w:footnote w:id="686">
    <w:p w:rsidR="00C00F28" w:rsidRPr="00720683" w:rsidRDefault="00C00F28" w:rsidP="00B83B6D">
      <w:pPr>
        <w:rPr>
          <w:rFonts w:ascii="Cambria" w:hAnsi="Cambria"/>
          <w:sz w:val="16"/>
          <w:szCs w:val="18"/>
          <w:lang w:val="es-VE"/>
        </w:rPr>
      </w:pPr>
      <w:r w:rsidRPr="00720683">
        <w:rPr>
          <w:rStyle w:val="FootnoteReference"/>
          <w:rFonts w:ascii="Cambria" w:hAnsi="Cambria"/>
          <w:sz w:val="16"/>
          <w:szCs w:val="16"/>
        </w:rPr>
        <w:footnoteRef/>
      </w:r>
      <w:r w:rsidRPr="00720683">
        <w:rPr>
          <w:rFonts w:ascii="Cambria" w:hAnsi="Cambria"/>
          <w:sz w:val="16"/>
          <w:szCs w:val="16"/>
          <w:lang w:val="es-VE"/>
        </w:rPr>
        <w:t xml:space="preserve"> </w:t>
      </w:r>
      <w:r w:rsidRPr="009D5581">
        <w:rPr>
          <w:rFonts w:ascii="Cambria" w:hAnsi="Cambria"/>
          <w:sz w:val="16"/>
          <w:szCs w:val="16"/>
          <w:lang w:val="es-VE"/>
        </w:rPr>
        <w:t>Anex</w:t>
      </w:r>
      <w:r>
        <w:rPr>
          <w:rFonts w:ascii="Cambria" w:hAnsi="Cambria"/>
          <w:sz w:val="16"/>
          <w:szCs w:val="16"/>
          <w:lang w:val="es-VE"/>
        </w:rPr>
        <w:t>o 60</w:t>
      </w:r>
      <w:r w:rsidRPr="009D5581">
        <w:rPr>
          <w:rFonts w:ascii="Cambria" w:hAnsi="Cambria"/>
          <w:sz w:val="16"/>
          <w:szCs w:val="16"/>
          <w:lang w:val="es-VE"/>
        </w:rPr>
        <w:t>. Escrito de observaciones finales del Estado recibido el 29 de marzo de 1996</w:t>
      </w:r>
      <w:r w:rsidRPr="00720683">
        <w:rPr>
          <w:rFonts w:ascii="Cambria" w:hAnsi="Cambria"/>
          <w:sz w:val="16"/>
          <w:szCs w:val="16"/>
          <w:lang w:val="es-VE"/>
        </w:rPr>
        <w:t>, pág. 13.</w:t>
      </w:r>
    </w:p>
  </w:footnote>
  <w:footnote w:id="687">
    <w:p w:rsidR="00C00F28" w:rsidRPr="00713E68" w:rsidRDefault="00C00F28" w:rsidP="00B83B6D">
      <w:pPr>
        <w:rPr>
          <w:rFonts w:ascii="Cambria" w:hAnsi="Cambria"/>
          <w:sz w:val="16"/>
          <w:szCs w:val="16"/>
          <w:lang w:val="es-ES"/>
        </w:rPr>
      </w:pPr>
      <w:r w:rsidRPr="00720683">
        <w:rPr>
          <w:rStyle w:val="FootnoteReference"/>
          <w:rFonts w:ascii="Cambria" w:hAnsi="Cambria"/>
          <w:sz w:val="16"/>
          <w:szCs w:val="18"/>
        </w:rPr>
        <w:footnoteRef/>
      </w:r>
      <w:r w:rsidRPr="00720683">
        <w:rPr>
          <w:rFonts w:ascii="Cambria" w:hAnsi="Cambria"/>
          <w:sz w:val="16"/>
          <w:szCs w:val="18"/>
          <w:lang w:val="es-VE"/>
        </w:rPr>
        <w:t xml:space="preserve"> </w:t>
      </w:r>
      <w:r w:rsidRPr="009D5581">
        <w:rPr>
          <w:rFonts w:ascii="Cambria" w:hAnsi="Cambria"/>
          <w:sz w:val="16"/>
          <w:szCs w:val="16"/>
          <w:lang w:val="es-VE"/>
        </w:rPr>
        <w:t>Anex</w:t>
      </w:r>
      <w:r>
        <w:rPr>
          <w:rFonts w:ascii="Cambria" w:hAnsi="Cambria"/>
          <w:sz w:val="16"/>
          <w:szCs w:val="16"/>
          <w:lang w:val="es-VE"/>
        </w:rPr>
        <w:t>o 60</w:t>
      </w:r>
      <w:r w:rsidRPr="009D5581">
        <w:rPr>
          <w:rFonts w:ascii="Cambria" w:hAnsi="Cambria"/>
          <w:sz w:val="16"/>
          <w:szCs w:val="16"/>
          <w:lang w:val="es-VE"/>
        </w:rPr>
        <w:t xml:space="preserve">. Escrito de observaciones finales del Estado </w:t>
      </w:r>
      <w:r>
        <w:rPr>
          <w:rFonts w:ascii="Cambria" w:hAnsi="Cambria"/>
          <w:sz w:val="16"/>
          <w:szCs w:val="16"/>
          <w:lang w:val="es-VE"/>
        </w:rPr>
        <w:t>recibido el 29 de marzo de 1996,</w:t>
      </w:r>
      <w:r w:rsidRPr="00720683">
        <w:rPr>
          <w:rFonts w:ascii="Cambria" w:hAnsi="Cambria"/>
          <w:sz w:val="16"/>
          <w:szCs w:val="18"/>
          <w:lang w:val="es-VE"/>
        </w:rPr>
        <w:t xml:space="preserve"> pág. 16. </w:t>
      </w:r>
    </w:p>
  </w:footnote>
  <w:footnote w:id="688">
    <w:p w:rsidR="00C00F28" w:rsidRPr="00720683" w:rsidRDefault="00C00F28" w:rsidP="00B053C8">
      <w:pPr>
        <w:pStyle w:val="FootnoteText"/>
        <w:jc w:val="both"/>
        <w:rPr>
          <w:rFonts w:ascii="Cambria" w:hAnsi="Cambria"/>
          <w:sz w:val="16"/>
          <w:szCs w:val="18"/>
          <w:lang w:val="es-VE"/>
        </w:rPr>
      </w:pPr>
      <w:r w:rsidRPr="00720683">
        <w:rPr>
          <w:rStyle w:val="FootnoteReference"/>
          <w:rFonts w:ascii="Cambria" w:hAnsi="Cambria"/>
          <w:sz w:val="16"/>
          <w:szCs w:val="18"/>
        </w:rPr>
        <w:footnoteRef/>
      </w:r>
      <w:r w:rsidRPr="00720683">
        <w:rPr>
          <w:rFonts w:ascii="Cambria" w:hAnsi="Cambria"/>
          <w:sz w:val="16"/>
          <w:szCs w:val="18"/>
          <w:lang w:val="pt-BR"/>
        </w:rPr>
        <w:t xml:space="preserve"> CIDH. Informe No. 50/16 Caso No. 12.834. </w:t>
      </w:r>
      <w:r w:rsidRPr="00720683">
        <w:rPr>
          <w:rFonts w:ascii="Cambria" w:hAnsi="Cambria"/>
          <w:sz w:val="16"/>
          <w:szCs w:val="18"/>
          <w:lang w:val="es-US"/>
        </w:rPr>
        <w:t xml:space="preserve">Fondo. Trabajadores Indocumentados (Estados Unidos), 30 de noviembre de 2016, párr. 101; CIDH, Informe No. 80/11, Caso </w:t>
      </w:r>
      <w:r>
        <w:rPr>
          <w:rFonts w:ascii="Cambria" w:hAnsi="Cambria"/>
          <w:sz w:val="16"/>
          <w:szCs w:val="18"/>
          <w:lang w:val="es-US"/>
        </w:rPr>
        <w:t xml:space="preserve">No. 12.626, Jessica Lenahan </w:t>
      </w:r>
      <w:r w:rsidRPr="00720683">
        <w:rPr>
          <w:rFonts w:ascii="Cambria" w:hAnsi="Cambria"/>
          <w:sz w:val="16"/>
          <w:szCs w:val="18"/>
          <w:lang w:val="es-US"/>
        </w:rPr>
        <w:t>Gonzales y otros (Estados Unidos), 21 de julio de 2011, párr. 173; CIDH, Situación de los derechos de la mujer en Ciudad Juárez, Méxic</w:t>
      </w:r>
      <w:r>
        <w:rPr>
          <w:rFonts w:ascii="Cambria" w:hAnsi="Cambria"/>
          <w:sz w:val="16"/>
          <w:szCs w:val="18"/>
          <w:lang w:val="es-US"/>
        </w:rPr>
        <w:t xml:space="preserve">o, OEA/Ser. L/V/II.117. Doc. 44. </w:t>
      </w:r>
      <w:r w:rsidRPr="00720683">
        <w:rPr>
          <w:rFonts w:ascii="Cambria" w:hAnsi="Cambria"/>
          <w:sz w:val="16"/>
          <w:szCs w:val="18"/>
          <w:lang w:val="es-US"/>
        </w:rPr>
        <w:t>7 de marzo de 2003, párr. 51.</w:t>
      </w:r>
    </w:p>
  </w:footnote>
  <w:footnote w:id="689">
    <w:p w:rsidR="00C00F28" w:rsidRPr="00720683" w:rsidRDefault="00C00F28" w:rsidP="00B053C8">
      <w:pPr>
        <w:pStyle w:val="FootnoteText"/>
        <w:jc w:val="both"/>
        <w:rPr>
          <w:rFonts w:ascii="Cambria" w:hAnsi="Cambria"/>
          <w:sz w:val="16"/>
          <w:szCs w:val="18"/>
          <w:lang w:val="es-VE"/>
        </w:rPr>
      </w:pPr>
      <w:r w:rsidRPr="00720683">
        <w:rPr>
          <w:rStyle w:val="FootnoteReference"/>
          <w:rFonts w:ascii="Cambria" w:hAnsi="Cambria"/>
          <w:sz w:val="16"/>
          <w:szCs w:val="18"/>
        </w:rPr>
        <w:footnoteRef/>
      </w:r>
      <w:r w:rsidRPr="00720683">
        <w:rPr>
          <w:rFonts w:ascii="Cambria" w:hAnsi="Cambria"/>
          <w:sz w:val="16"/>
          <w:szCs w:val="18"/>
          <w:lang w:val="es-VE"/>
        </w:rPr>
        <w:t xml:space="preserve"> CIDH. </w:t>
      </w:r>
      <w:r w:rsidRPr="00720683">
        <w:rPr>
          <w:rFonts w:ascii="Cambria" w:hAnsi="Cambria"/>
          <w:sz w:val="16"/>
          <w:szCs w:val="18"/>
          <w:lang w:val="es-US"/>
        </w:rPr>
        <w:t>Verdad, justicia y reparación: Cuarto</w:t>
      </w:r>
      <w:r>
        <w:rPr>
          <w:rFonts w:ascii="Cambria" w:hAnsi="Cambria"/>
          <w:sz w:val="16"/>
          <w:szCs w:val="18"/>
          <w:lang w:val="es-US"/>
        </w:rPr>
        <w:t xml:space="preserve"> informe sobre la situación de </w:t>
      </w:r>
      <w:r w:rsidRPr="00720683">
        <w:rPr>
          <w:rFonts w:ascii="Cambria" w:hAnsi="Cambria"/>
          <w:sz w:val="16"/>
          <w:szCs w:val="18"/>
          <w:lang w:val="es-US"/>
        </w:rPr>
        <w:t xml:space="preserve">los derechos humanos en Colombia. </w:t>
      </w:r>
      <w:r w:rsidRPr="00720683">
        <w:rPr>
          <w:rFonts w:ascii="Cambria" w:hAnsi="Cambria"/>
          <w:sz w:val="16"/>
          <w:szCs w:val="18"/>
          <w:lang w:val="es-VE"/>
        </w:rPr>
        <w:t>OEA/Ser.L/V/II. Doc.49/13, párr. 231.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F28" w:rsidRDefault="00C00F28" w:rsidP="00451B0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00F28" w:rsidRDefault="00C00F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F28" w:rsidRDefault="00C00F28" w:rsidP="00A50FCF">
    <w:pPr>
      <w:pStyle w:val="Header"/>
      <w:tabs>
        <w:tab w:val="clear" w:pos="4320"/>
        <w:tab w:val="clear" w:pos="8640"/>
      </w:tabs>
      <w:jc w:val="center"/>
      <w:rPr>
        <w:sz w:val="22"/>
        <w:szCs w:val="22"/>
      </w:rPr>
    </w:pPr>
    <w:r>
      <w:rPr>
        <w:noProof/>
        <w:sz w:val="22"/>
        <w:szCs w:val="22"/>
      </w:rPr>
      <w:drawing>
        <wp:inline distT="0" distB="0" distL="0" distR="0" wp14:anchorId="67FC8B8B" wp14:editId="5E8244A3">
          <wp:extent cx="1972237" cy="104775"/>
          <wp:effectExtent l="0" t="0" r="9525" b="0"/>
          <wp:docPr id="19" name="Picture 19"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C00F28" w:rsidRPr="00EC7D62" w:rsidRDefault="00285BC9" w:rsidP="00A50FCF">
    <w:pPr>
      <w:pStyle w:val="Header"/>
      <w:tabs>
        <w:tab w:val="clear" w:pos="4320"/>
        <w:tab w:val="clear" w:pos="8640"/>
      </w:tabs>
      <w:jc w:val="center"/>
      <w:rPr>
        <w:sz w:val="22"/>
        <w:szCs w:val="22"/>
      </w:rPr>
    </w:pPr>
    <w:r>
      <w:rPr>
        <w:sz w:val="22"/>
        <w:szCs w:val="22"/>
      </w:rPr>
      <w:pict w14:anchorId="4F03030F">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2BE" w:rsidRDefault="00551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2457"/>
    <w:multiLevelType w:val="hybridMultilevel"/>
    <w:tmpl w:val="5B565052"/>
    <w:lvl w:ilvl="0" w:tplc="E1EEF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8E27F54"/>
    <w:multiLevelType w:val="hybridMultilevel"/>
    <w:tmpl w:val="3FF6559A"/>
    <w:lvl w:ilvl="0" w:tplc="04090015">
      <w:start w:val="1"/>
      <w:numFmt w:val="upperLetter"/>
      <w:lvlText w:val="%1."/>
      <w:lvlJc w:val="left"/>
      <w:pPr>
        <w:ind w:left="720" w:hanging="360"/>
      </w:pPr>
      <w:rPr>
        <w:rFonts w:hint="default"/>
        <w:sz w:val="20"/>
      </w:rPr>
    </w:lvl>
    <w:lvl w:ilvl="1" w:tplc="7840BFF4">
      <w:start w:val="1"/>
      <w:numFmt w:val="decimal"/>
      <w:lvlText w:val="%2."/>
      <w:lvlJc w:val="left"/>
      <w:pPr>
        <w:ind w:left="1440" w:hanging="360"/>
      </w:pPr>
      <w:rPr>
        <w:rFonts w:ascii="Cambria" w:eastAsia="Cambria" w:hAnsi="Cambria"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BD76973"/>
    <w:multiLevelType w:val="hybridMultilevel"/>
    <w:tmpl w:val="169A8200"/>
    <w:lvl w:ilvl="0" w:tplc="CEAAE9C2">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F0F5D96"/>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9977494"/>
    <w:multiLevelType w:val="hybridMultilevel"/>
    <w:tmpl w:val="561CFE5E"/>
    <w:lvl w:ilvl="0" w:tplc="79FEA302">
      <w:start w:val="104"/>
      <w:numFmt w:val="decimal"/>
      <w:lvlText w:val="%1."/>
      <w:lvlJc w:val="left"/>
      <w:pPr>
        <w:ind w:left="720" w:hanging="360"/>
      </w:pPr>
      <w:rPr>
        <w:rFonts w:ascii="Cambria" w:hAnsi="Cambria"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13F20A2"/>
    <w:multiLevelType w:val="multilevel"/>
    <w:tmpl w:val="29366CEC"/>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8E6830"/>
    <w:multiLevelType w:val="multilevel"/>
    <w:tmpl w:val="5418AE3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6BE5711"/>
    <w:multiLevelType w:val="hybridMultilevel"/>
    <w:tmpl w:val="9022EE92"/>
    <w:lvl w:ilvl="0" w:tplc="86D40E56">
      <w:start w:val="132"/>
      <w:numFmt w:val="decimal"/>
      <w:lvlText w:val="%1."/>
      <w:lvlJc w:val="left"/>
      <w:pPr>
        <w:ind w:left="1080" w:hanging="360"/>
      </w:pPr>
      <w:rPr>
        <w:rFonts w:ascii="Cambria" w:hAnsi="Cambria" w:hint="default"/>
        <w:b w:val="0"/>
        <w:i w:val="0"/>
      </w:rPr>
    </w:lvl>
    <w:lvl w:ilvl="1" w:tplc="5966FB2E">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3B920853"/>
    <w:multiLevelType w:val="multilevel"/>
    <w:tmpl w:val="04709A24"/>
    <w:lvl w:ilvl="0">
      <w:start w:val="1"/>
      <w:numFmt w:val="decimal"/>
      <w:lvlText w:val="%1."/>
      <w:lvlJc w:val="left"/>
      <w:pPr>
        <w:ind w:left="1800" w:hanging="360"/>
      </w:pPr>
      <w:rPr>
        <w:rFonts w:ascii="Cambria" w:eastAsia="Arial Unicode MS" w:hAnsi="Cambria" w:cs="Times New Roman" w:hint="default"/>
        <w:b/>
        <w:sz w:val="20"/>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5"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BA53D34"/>
    <w:multiLevelType w:val="hybridMultilevel"/>
    <w:tmpl w:val="1F5EC702"/>
    <w:lvl w:ilvl="0" w:tplc="52A858F4">
      <w:start w:val="2"/>
      <w:numFmt w:val="upperLetter"/>
      <w:lvlText w:val="%1."/>
      <w:lvlJc w:val="left"/>
      <w:pPr>
        <w:ind w:left="720" w:hanging="360"/>
      </w:pPr>
      <w:rPr>
        <w:rFonts w:hint="default"/>
        <w:sz w:val="20"/>
        <w:lang w:val="es-V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ED0C32"/>
    <w:multiLevelType w:val="hybridMultilevel"/>
    <w:tmpl w:val="D29C5BCC"/>
    <w:lvl w:ilvl="0" w:tplc="694276F8">
      <w:start w:val="85"/>
      <w:numFmt w:val="decimal"/>
      <w:lvlText w:val="%1."/>
      <w:lvlJc w:val="left"/>
      <w:pPr>
        <w:ind w:left="720" w:hanging="360"/>
      </w:pPr>
      <w:rPr>
        <w:rFonts w:ascii="Cambria" w:hAnsi="Cambria"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DC074DD"/>
    <w:multiLevelType w:val="hybridMultilevel"/>
    <w:tmpl w:val="47A29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897CC1"/>
    <w:multiLevelType w:val="multilevel"/>
    <w:tmpl w:val="4E50E6FA"/>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280" w:hanging="720"/>
      </w:pPr>
      <w:rPr>
        <w:rFonts w:hint="default"/>
        <w:b/>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2281734"/>
    <w:multiLevelType w:val="hybridMultilevel"/>
    <w:tmpl w:val="E054AE6C"/>
    <w:lvl w:ilvl="0" w:tplc="8C5C3ACC">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59DB7440"/>
    <w:multiLevelType w:val="multilevel"/>
    <w:tmpl w:val="3FF6559A"/>
    <w:lvl w:ilvl="0">
      <w:start w:val="1"/>
      <w:numFmt w:val="upperLetter"/>
      <w:lvlText w:val="%1."/>
      <w:lvlJc w:val="left"/>
      <w:pPr>
        <w:ind w:left="720" w:hanging="360"/>
      </w:pPr>
      <w:rPr>
        <w:rFonts w:hint="default"/>
        <w:sz w:val="20"/>
      </w:rPr>
    </w:lvl>
    <w:lvl w:ilvl="1">
      <w:start w:val="1"/>
      <w:numFmt w:val="decimal"/>
      <w:lvlText w:val="%2."/>
      <w:lvlJc w:val="left"/>
      <w:pPr>
        <w:ind w:left="1440" w:hanging="360"/>
      </w:pPr>
      <w:rPr>
        <w:rFonts w:ascii="Cambria" w:eastAsia="Cambria" w:hAnsi="Cambria" w:hint="default"/>
        <w:b/>
        <w:sz w:val="2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7" w15:restartNumberingAfterBreak="0">
    <w:nsid w:val="5D7D4B9D"/>
    <w:multiLevelType w:val="hybridMultilevel"/>
    <w:tmpl w:val="D702F856"/>
    <w:lvl w:ilvl="0" w:tplc="9E0CAF0C">
      <w:start w:val="1"/>
      <w:numFmt w:val="decimal"/>
      <w:lvlText w:val="%1."/>
      <w:lvlJc w:val="left"/>
      <w:pPr>
        <w:ind w:left="72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0786ED7"/>
    <w:multiLevelType w:val="hybridMultilevel"/>
    <w:tmpl w:val="7CA08BD4"/>
    <w:lvl w:ilvl="0" w:tplc="E3945D36">
      <w:start w:val="1"/>
      <w:numFmt w:val="upperRoman"/>
      <w:pStyle w:val="Heading1"/>
      <w:lvlText w:val="%1."/>
      <w:lvlJc w:val="left"/>
      <w:pPr>
        <w:ind w:left="720" w:hanging="360"/>
      </w:pPr>
      <w:rPr>
        <w:rFonts w:ascii="Cambria" w:hAnsi="Cambria"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D1613E"/>
    <w:multiLevelType w:val="multilevel"/>
    <w:tmpl w:val="04709A24"/>
    <w:lvl w:ilvl="0">
      <w:start w:val="1"/>
      <w:numFmt w:val="decimal"/>
      <w:lvlText w:val="%1."/>
      <w:lvlJc w:val="left"/>
      <w:pPr>
        <w:ind w:left="1800" w:hanging="360"/>
      </w:pPr>
      <w:rPr>
        <w:rFonts w:ascii="Cambria" w:eastAsia="Arial Unicode MS" w:hAnsi="Cambria" w:cs="Times New Roman" w:hint="default"/>
        <w:b/>
        <w:sz w:val="20"/>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4" w15:restartNumberingAfterBreak="0">
    <w:nsid w:val="73F124A6"/>
    <w:multiLevelType w:val="hybridMultilevel"/>
    <w:tmpl w:val="E7C653E2"/>
    <w:lvl w:ilvl="0" w:tplc="668A25CC">
      <w:start w:val="113"/>
      <w:numFmt w:val="decimal"/>
      <w:lvlText w:val="%1."/>
      <w:lvlJc w:val="left"/>
      <w:pPr>
        <w:ind w:left="1080" w:hanging="360"/>
      </w:pPr>
      <w:rPr>
        <w:rFonts w:ascii="Cambria" w:hAnsi="Cambria" w:hint="default"/>
        <w:b w:val="0"/>
        <w:i w:val="0"/>
        <w:color w:val="auto"/>
        <w:sz w:val="20"/>
        <w:szCs w:val="20"/>
      </w:rPr>
    </w:lvl>
    <w:lvl w:ilvl="1" w:tplc="034852A0">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344087"/>
    <w:multiLevelType w:val="hybridMultilevel"/>
    <w:tmpl w:val="AB4AC48C"/>
    <w:lvl w:ilvl="0" w:tplc="D6A87340">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86A4A21"/>
    <w:multiLevelType w:val="hybridMultilevel"/>
    <w:tmpl w:val="4BDE0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7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8"/>
  </w:num>
  <w:num w:numId="3">
    <w:abstractNumId w:val="69"/>
  </w:num>
  <w:num w:numId="4">
    <w:abstractNumId w:val="25"/>
  </w:num>
  <w:num w:numId="5">
    <w:abstractNumId w:val="59"/>
  </w:num>
  <w:num w:numId="6">
    <w:abstractNumId w:val="32"/>
  </w:num>
  <w:num w:numId="7">
    <w:abstractNumId w:val="10"/>
  </w:num>
  <w:num w:numId="8">
    <w:abstractNumId w:val="21"/>
  </w:num>
  <w:num w:numId="9">
    <w:abstractNumId w:val="52"/>
  </w:num>
  <w:num w:numId="10">
    <w:abstractNumId w:val="1"/>
  </w:num>
  <w:num w:numId="11">
    <w:abstractNumId w:val="44"/>
  </w:num>
  <w:num w:numId="12">
    <w:abstractNumId w:val="45"/>
  </w:num>
  <w:num w:numId="13">
    <w:abstractNumId w:val="55"/>
  </w:num>
  <w:num w:numId="14">
    <w:abstractNumId w:val="2"/>
  </w:num>
  <w:num w:numId="15">
    <w:abstractNumId w:val="4"/>
  </w:num>
  <w:num w:numId="16">
    <w:abstractNumId w:val="11"/>
  </w:num>
  <w:num w:numId="17">
    <w:abstractNumId w:val="12"/>
  </w:num>
  <w:num w:numId="18">
    <w:abstractNumId w:val="13"/>
  </w:num>
  <w:num w:numId="19">
    <w:abstractNumId w:val="14"/>
  </w:num>
  <w:num w:numId="20">
    <w:abstractNumId w:val="15"/>
  </w:num>
  <w:num w:numId="21">
    <w:abstractNumId w:val="17"/>
  </w:num>
  <w:num w:numId="22">
    <w:abstractNumId w:val="18"/>
  </w:num>
  <w:num w:numId="23">
    <w:abstractNumId w:val="19"/>
  </w:num>
  <w:num w:numId="24">
    <w:abstractNumId w:val="20"/>
  </w:num>
  <w:num w:numId="25">
    <w:abstractNumId w:val="22"/>
  </w:num>
  <w:num w:numId="26">
    <w:abstractNumId w:val="23"/>
  </w:num>
  <w:num w:numId="27">
    <w:abstractNumId w:val="26"/>
  </w:num>
  <w:num w:numId="28">
    <w:abstractNumId w:val="27"/>
  </w:num>
  <w:num w:numId="29">
    <w:abstractNumId w:val="28"/>
  </w:num>
  <w:num w:numId="30">
    <w:abstractNumId w:val="31"/>
  </w:num>
  <w:num w:numId="31">
    <w:abstractNumId w:val="33"/>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8"/>
  </w:num>
  <w:num w:numId="40">
    <w:abstractNumId w:val="49"/>
  </w:num>
  <w:num w:numId="41">
    <w:abstractNumId w:val="58"/>
  </w:num>
  <w:num w:numId="42">
    <w:abstractNumId w:val="60"/>
  </w:num>
  <w:num w:numId="43">
    <w:abstractNumId w:val="61"/>
  </w:num>
  <w:num w:numId="44">
    <w:abstractNumId w:val="66"/>
  </w:num>
  <w:num w:numId="45">
    <w:abstractNumId w:val="68"/>
  </w:num>
  <w:num w:numId="46">
    <w:abstractNumId w:val="70"/>
  </w:num>
  <w:num w:numId="47">
    <w:abstractNumId w:val="71"/>
  </w:num>
  <w:num w:numId="48">
    <w:abstractNumId w:val="72"/>
  </w:num>
  <w:num w:numId="49">
    <w:abstractNumId w:val="73"/>
  </w:num>
  <w:num w:numId="50">
    <w:abstractNumId w:val="74"/>
  </w:num>
  <w:num w:numId="51">
    <w:abstractNumId w:val="24"/>
  </w:num>
  <w:num w:numId="52">
    <w:abstractNumId w:val="50"/>
  </w:num>
  <w:num w:numId="53">
    <w:abstractNumId w:val="62"/>
  </w:num>
  <w:num w:numId="54">
    <w:abstractNumId w:val="56"/>
  </w:num>
  <w:num w:numId="55">
    <w:abstractNumId w:val="57"/>
  </w:num>
  <w:num w:numId="56">
    <w:abstractNumId w:val="43"/>
  </w:num>
  <w:num w:numId="57">
    <w:abstractNumId w:val="9"/>
  </w:num>
  <w:num w:numId="58">
    <w:abstractNumId w:val="64"/>
  </w:num>
  <w:num w:numId="59">
    <w:abstractNumId w:val="30"/>
  </w:num>
  <w:num w:numId="60">
    <w:abstractNumId w:val="47"/>
  </w:num>
  <w:num w:numId="61">
    <w:abstractNumId w:val="16"/>
  </w:num>
  <w:num w:numId="62">
    <w:abstractNumId w:val="63"/>
  </w:num>
  <w:num w:numId="63">
    <w:abstractNumId w:val="29"/>
  </w:num>
  <w:num w:numId="64">
    <w:abstractNumId w:val="54"/>
  </w:num>
  <w:num w:numId="65">
    <w:abstractNumId w:val="51"/>
  </w:num>
  <w:num w:numId="66">
    <w:abstractNumId w:val="3"/>
  </w:num>
  <w:num w:numId="67">
    <w:abstractNumId w:val="65"/>
  </w:num>
  <w:num w:numId="68">
    <w:abstractNumId w:val="0"/>
  </w:num>
  <w:num w:numId="69">
    <w:abstractNumId w:val="5"/>
  </w:num>
  <w:num w:numId="70">
    <w:abstractNumId w:val="46"/>
  </w:num>
  <w:num w:numId="71">
    <w:abstractNumId w:val="42"/>
  </w:num>
  <w:num w:numId="72">
    <w:abstractNumId w:val="67"/>
  </w:num>
  <w:num w:numId="73">
    <w:abstractNumId w:val="34"/>
  </w:num>
  <w:num w:numId="74">
    <w:abstractNumId w:val="53"/>
  </w:num>
  <w:num w:numId="75">
    <w:abstractNumId w:val="7"/>
  </w:num>
  <w:num w:numId="76">
    <w:abstractNumId w:val="62"/>
    <w:lvlOverride w:ilvl="0">
      <w:startOverride w:val="1"/>
    </w:lvlOverride>
  </w:num>
  <w:num w:numId="77">
    <w:abstractNumId w:val="62"/>
  </w:num>
  <w:num w:numId="78">
    <w:abstractNumId w:val="6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45D"/>
    <w:rsid w:val="00002926"/>
    <w:rsid w:val="000035C2"/>
    <w:rsid w:val="00006896"/>
    <w:rsid w:val="00006E1F"/>
    <w:rsid w:val="000070D7"/>
    <w:rsid w:val="0000750F"/>
    <w:rsid w:val="000158FD"/>
    <w:rsid w:val="0001788C"/>
    <w:rsid w:val="00021F34"/>
    <w:rsid w:val="00031EC7"/>
    <w:rsid w:val="00032E9F"/>
    <w:rsid w:val="00033BB5"/>
    <w:rsid w:val="00033FA6"/>
    <w:rsid w:val="00040C3A"/>
    <w:rsid w:val="0004197D"/>
    <w:rsid w:val="00044E2A"/>
    <w:rsid w:val="00046A69"/>
    <w:rsid w:val="00052098"/>
    <w:rsid w:val="0005222F"/>
    <w:rsid w:val="00067A5D"/>
    <w:rsid w:val="000716C5"/>
    <w:rsid w:val="00072AAD"/>
    <w:rsid w:val="00075E23"/>
    <w:rsid w:val="0008768F"/>
    <w:rsid w:val="00087B03"/>
    <w:rsid w:val="0009272D"/>
    <w:rsid w:val="00093046"/>
    <w:rsid w:val="0009344A"/>
    <w:rsid w:val="00093CC1"/>
    <w:rsid w:val="0009739F"/>
    <w:rsid w:val="000A392E"/>
    <w:rsid w:val="000A575F"/>
    <w:rsid w:val="000A576A"/>
    <w:rsid w:val="000A7022"/>
    <w:rsid w:val="000B5D67"/>
    <w:rsid w:val="000D10DB"/>
    <w:rsid w:val="000D77A8"/>
    <w:rsid w:val="000E0FAB"/>
    <w:rsid w:val="000E2F0E"/>
    <w:rsid w:val="000E3CD4"/>
    <w:rsid w:val="000E43F4"/>
    <w:rsid w:val="000E5EB5"/>
    <w:rsid w:val="000E62C3"/>
    <w:rsid w:val="000F35ED"/>
    <w:rsid w:val="000F7789"/>
    <w:rsid w:val="00105E88"/>
    <w:rsid w:val="00107131"/>
    <w:rsid w:val="0010736F"/>
    <w:rsid w:val="001120B3"/>
    <w:rsid w:val="00113329"/>
    <w:rsid w:val="00113C5B"/>
    <w:rsid w:val="00113F73"/>
    <w:rsid w:val="00115F12"/>
    <w:rsid w:val="00121CC2"/>
    <w:rsid w:val="00122D3E"/>
    <w:rsid w:val="00123AFC"/>
    <w:rsid w:val="00124E8B"/>
    <w:rsid w:val="001308E1"/>
    <w:rsid w:val="00131B6B"/>
    <w:rsid w:val="00131D58"/>
    <w:rsid w:val="0013213F"/>
    <w:rsid w:val="00133EE5"/>
    <w:rsid w:val="00143016"/>
    <w:rsid w:val="00144598"/>
    <w:rsid w:val="00146E6F"/>
    <w:rsid w:val="00146FB9"/>
    <w:rsid w:val="00152329"/>
    <w:rsid w:val="00153DA4"/>
    <w:rsid w:val="0015730E"/>
    <w:rsid w:val="0016414F"/>
    <w:rsid w:val="00166189"/>
    <w:rsid w:val="00167A34"/>
    <w:rsid w:val="00175298"/>
    <w:rsid w:val="00175E64"/>
    <w:rsid w:val="00177DF2"/>
    <w:rsid w:val="00181974"/>
    <w:rsid w:val="00181F34"/>
    <w:rsid w:val="00183ECC"/>
    <w:rsid w:val="001869AC"/>
    <w:rsid w:val="00187F9C"/>
    <w:rsid w:val="00194943"/>
    <w:rsid w:val="0019553C"/>
    <w:rsid w:val="001A105A"/>
    <w:rsid w:val="001A179E"/>
    <w:rsid w:val="001A6CA9"/>
    <w:rsid w:val="001A7870"/>
    <w:rsid w:val="001B264B"/>
    <w:rsid w:val="001B4BC2"/>
    <w:rsid w:val="001C103F"/>
    <w:rsid w:val="001C1B41"/>
    <w:rsid w:val="001C324E"/>
    <w:rsid w:val="001D18C7"/>
    <w:rsid w:val="001D2F46"/>
    <w:rsid w:val="001D65EF"/>
    <w:rsid w:val="001E027C"/>
    <w:rsid w:val="001E15B6"/>
    <w:rsid w:val="001E45EC"/>
    <w:rsid w:val="001E7159"/>
    <w:rsid w:val="001F31E0"/>
    <w:rsid w:val="001F3B60"/>
    <w:rsid w:val="001F5A98"/>
    <w:rsid w:val="00204B61"/>
    <w:rsid w:val="00210A42"/>
    <w:rsid w:val="0021344F"/>
    <w:rsid w:val="00214172"/>
    <w:rsid w:val="00223829"/>
    <w:rsid w:val="002250A3"/>
    <w:rsid w:val="00232550"/>
    <w:rsid w:val="00232729"/>
    <w:rsid w:val="00233879"/>
    <w:rsid w:val="00235217"/>
    <w:rsid w:val="00236EFE"/>
    <w:rsid w:val="002418BE"/>
    <w:rsid w:val="0024374D"/>
    <w:rsid w:val="00244727"/>
    <w:rsid w:val="00246D1F"/>
    <w:rsid w:val="00247403"/>
    <w:rsid w:val="00247542"/>
    <w:rsid w:val="00251024"/>
    <w:rsid w:val="00254FA4"/>
    <w:rsid w:val="00260858"/>
    <w:rsid w:val="00266573"/>
    <w:rsid w:val="00266B61"/>
    <w:rsid w:val="0026712A"/>
    <w:rsid w:val="002704BE"/>
    <w:rsid w:val="002704DB"/>
    <w:rsid w:val="002736B1"/>
    <w:rsid w:val="00275F0F"/>
    <w:rsid w:val="00276DF8"/>
    <w:rsid w:val="0027760D"/>
    <w:rsid w:val="00277EF9"/>
    <w:rsid w:val="00281485"/>
    <w:rsid w:val="002827DD"/>
    <w:rsid w:val="0028476D"/>
    <w:rsid w:val="00284B23"/>
    <w:rsid w:val="002851D8"/>
    <w:rsid w:val="00285BC9"/>
    <w:rsid w:val="002873F4"/>
    <w:rsid w:val="00293B47"/>
    <w:rsid w:val="0029617A"/>
    <w:rsid w:val="002967A9"/>
    <w:rsid w:val="002A0AAE"/>
    <w:rsid w:val="002A30EA"/>
    <w:rsid w:val="002A5764"/>
    <w:rsid w:val="002A5820"/>
    <w:rsid w:val="002A6593"/>
    <w:rsid w:val="002B2DCA"/>
    <w:rsid w:val="002B3CA9"/>
    <w:rsid w:val="002C1174"/>
    <w:rsid w:val="002C280D"/>
    <w:rsid w:val="002C4227"/>
    <w:rsid w:val="002D12AA"/>
    <w:rsid w:val="002D25AA"/>
    <w:rsid w:val="002D2B26"/>
    <w:rsid w:val="002D7EA2"/>
    <w:rsid w:val="002E187C"/>
    <w:rsid w:val="002E4AEA"/>
    <w:rsid w:val="002F1C15"/>
    <w:rsid w:val="002F1F15"/>
    <w:rsid w:val="002F4E26"/>
    <w:rsid w:val="002F72E7"/>
    <w:rsid w:val="002F7A96"/>
    <w:rsid w:val="0030145E"/>
    <w:rsid w:val="00301BC0"/>
    <w:rsid w:val="00302733"/>
    <w:rsid w:val="00303D52"/>
    <w:rsid w:val="00303F89"/>
    <w:rsid w:val="00305777"/>
    <w:rsid w:val="00306A21"/>
    <w:rsid w:val="003076C9"/>
    <w:rsid w:val="00307ABC"/>
    <w:rsid w:val="00307EA2"/>
    <w:rsid w:val="00310D09"/>
    <w:rsid w:val="00314078"/>
    <w:rsid w:val="0031535D"/>
    <w:rsid w:val="003174EC"/>
    <w:rsid w:val="0033028D"/>
    <w:rsid w:val="0033169F"/>
    <w:rsid w:val="003320EB"/>
    <w:rsid w:val="00335F60"/>
    <w:rsid w:val="00346C95"/>
    <w:rsid w:val="003472C0"/>
    <w:rsid w:val="00350390"/>
    <w:rsid w:val="00356185"/>
    <w:rsid w:val="00360380"/>
    <w:rsid w:val="00360602"/>
    <w:rsid w:val="00361415"/>
    <w:rsid w:val="00365872"/>
    <w:rsid w:val="00366A8E"/>
    <w:rsid w:val="00372D8B"/>
    <w:rsid w:val="0037519E"/>
    <w:rsid w:val="003757E0"/>
    <w:rsid w:val="00376225"/>
    <w:rsid w:val="00381CC9"/>
    <w:rsid w:val="00386660"/>
    <w:rsid w:val="00386CF0"/>
    <w:rsid w:val="00395649"/>
    <w:rsid w:val="003A01AC"/>
    <w:rsid w:val="003A11A3"/>
    <w:rsid w:val="003A2DF3"/>
    <w:rsid w:val="003A65FC"/>
    <w:rsid w:val="003A79CB"/>
    <w:rsid w:val="003B1EC8"/>
    <w:rsid w:val="003B2745"/>
    <w:rsid w:val="003B3954"/>
    <w:rsid w:val="003B6A9B"/>
    <w:rsid w:val="003C53B6"/>
    <w:rsid w:val="003C5F84"/>
    <w:rsid w:val="003C676B"/>
    <w:rsid w:val="003D3841"/>
    <w:rsid w:val="003D3BC2"/>
    <w:rsid w:val="003D67C7"/>
    <w:rsid w:val="003D7C03"/>
    <w:rsid w:val="003E432F"/>
    <w:rsid w:val="003E54A1"/>
    <w:rsid w:val="003E6CA1"/>
    <w:rsid w:val="003F2ADB"/>
    <w:rsid w:val="003F31F5"/>
    <w:rsid w:val="003F3CE1"/>
    <w:rsid w:val="004005C6"/>
    <w:rsid w:val="00403AEA"/>
    <w:rsid w:val="00404D99"/>
    <w:rsid w:val="00407F81"/>
    <w:rsid w:val="00415098"/>
    <w:rsid w:val="004165C2"/>
    <w:rsid w:val="00420019"/>
    <w:rsid w:val="00422A0D"/>
    <w:rsid w:val="00424E3A"/>
    <w:rsid w:val="00426114"/>
    <w:rsid w:val="00430938"/>
    <w:rsid w:val="00432D24"/>
    <w:rsid w:val="00434627"/>
    <w:rsid w:val="00434DA4"/>
    <w:rsid w:val="0043737B"/>
    <w:rsid w:val="00437655"/>
    <w:rsid w:val="00440480"/>
    <w:rsid w:val="00441ECB"/>
    <w:rsid w:val="004507F0"/>
    <w:rsid w:val="00451B0F"/>
    <w:rsid w:val="00451EC5"/>
    <w:rsid w:val="00453F69"/>
    <w:rsid w:val="00455231"/>
    <w:rsid w:val="00456D44"/>
    <w:rsid w:val="00461761"/>
    <w:rsid w:val="004645AE"/>
    <w:rsid w:val="00467B7E"/>
    <w:rsid w:val="00473B79"/>
    <w:rsid w:val="00476D88"/>
    <w:rsid w:val="00477592"/>
    <w:rsid w:val="00477CF7"/>
    <w:rsid w:val="0048249D"/>
    <w:rsid w:val="00482729"/>
    <w:rsid w:val="00482EC8"/>
    <w:rsid w:val="00486F1C"/>
    <w:rsid w:val="00492F79"/>
    <w:rsid w:val="0049419D"/>
    <w:rsid w:val="004A11F7"/>
    <w:rsid w:val="004A3CAE"/>
    <w:rsid w:val="004A3FE0"/>
    <w:rsid w:val="004A41B5"/>
    <w:rsid w:val="004A5155"/>
    <w:rsid w:val="004A5E83"/>
    <w:rsid w:val="004A6C66"/>
    <w:rsid w:val="004B0DD0"/>
    <w:rsid w:val="004B2273"/>
    <w:rsid w:val="004C20D2"/>
    <w:rsid w:val="004C3025"/>
    <w:rsid w:val="004C44B9"/>
    <w:rsid w:val="004C4A1D"/>
    <w:rsid w:val="004C4B62"/>
    <w:rsid w:val="004C50B0"/>
    <w:rsid w:val="004C54C9"/>
    <w:rsid w:val="004C790D"/>
    <w:rsid w:val="004D195F"/>
    <w:rsid w:val="004D2720"/>
    <w:rsid w:val="004D2784"/>
    <w:rsid w:val="004D6025"/>
    <w:rsid w:val="004D6618"/>
    <w:rsid w:val="004E1CB0"/>
    <w:rsid w:val="004E2649"/>
    <w:rsid w:val="004E3ECE"/>
    <w:rsid w:val="004E7F71"/>
    <w:rsid w:val="004F47A6"/>
    <w:rsid w:val="004F5A6B"/>
    <w:rsid w:val="004F627D"/>
    <w:rsid w:val="004F7E8B"/>
    <w:rsid w:val="005005B0"/>
    <w:rsid w:val="00501399"/>
    <w:rsid w:val="005039C5"/>
    <w:rsid w:val="00503EEC"/>
    <w:rsid w:val="0050633D"/>
    <w:rsid w:val="00507BC4"/>
    <w:rsid w:val="00511D86"/>
    <w:rsid w:val="005128E4"/>
    <w:rsid w:val="005133DB"/>
    <w:rsid w:val="005177AF"/>
    <w:rsid w:val="005206CF"/>
    <w:rsid w:val="00525560"/>
    <w:rsid w:val="00530BBD"/>
    <w:rsid w:val="00531A69"/>
    <w:rsid w:val="005338B0"/>
    <w:rsid w:val="00534CD5"/>
    <w:rsid w:val="005354F3"/>
    <w:rsid w:val="00536923"/>
    <w:rsid w:val="00537BDB"/>
    <w:rsid w:val="005430CE"/>
    <w:rsid w:val="005443B4"/>
    <w:rsid w:val="00544855"/>
    <w:rsid w:val="00544C49"/>
    <w:rsid w:val="005452E8"/>
    <w:rsid w:val="005503A7"/>
    <w:rsid w:val="005512BE"/>
    <w:rsid w:val="005516A1"/>
    <w:rsid w:val="00553970"/>
    <w:rsid w:val="00554C47"/>
    <w:rsid w:val="00560751"/>
    <w:rsid w:val="00560D63"/>
    <w:rsid w:val="005615CB"/>
    <w:rsid w:val="00561F99"/>
    <w:rsid w:val="00565744"/>
    <w:rsid w:val="00566236"/>
    <w:rsid w:val="00567476"/>
    <w:rsid w:val="0057402A"/>
    <w:rsid w:val="00574159"/>
    <w:rsid w:val="00574781"/>
    <w:rsid w:val="005771D0"/>
    <w:rsid w:val="00580139"/>
    <w:rsid w:val="00582FE2"/>
    <w:rsid w:val="0058400E"/>
    <w:rsid w:val="0059191A"/>
    <w:rsid w:val="005921FF"/>
    <w:rsid w:val="005937F1"/>
    <w:rsid w:val="00593F9C"/>
    <w:rsid w:val="005950B0"/>
    <w:rsid w:val="005954EB"/>
    <w:rsid w:val="00595C1D"/>
    <w:rsid w:val="005A0A88"/>
    <w:rsid w:val="005A1E34"/>
    <w:rsid w:val="005A2909"/>
    <w:rsid w:val="005A2EB4"/>
    <w:rsid w:val="005A5FB4"/>
    <w:rsid w:val="005A6D0E"/>
    <w:rsid w:val="005A6D84"/>
    <w:rsid w:val="005B52B0"/>
    <w:rsid w:val="005B6806"/>
    <w:rsid w:val="005C381D"/>
    <w:rsid w:val="005C4225"/>
    <w:rsid w:val="005C4CA5"/>
    <w:rsid w:val="005C7A07"/>
    <w:rsid w:val="005D0DB1"/>
    <w:rsid w:val="005D3F87"/>
    <w:rsid w:val="005D5CB1"/>
    <w:rsid w:val="005E13EC"/>
    <w:rsid w:val="005E24A0"/>
    <w:rsid w:val="005E2ED1"/>
    <w:rsid w:val="005E318F"/>
    <w:rsid w:val="005E46AF"/>
    <w:rsid w:val="005F0CCE"/>
    <w:rsid w:val="005F0DAD"/>
    <w:rsid w:val="005F0F33"/>
    <w:rsid w:val="005F17C8"/>
    <w:rsid w:val="005F1FD8"/>
    <w:rsid w:val="005F309E"/>
    <w:rsid w:val="005F4DC5"/>
    <w:rsid w:val="005F6AE8"/>
    <w:rsid w:val="006002C5"/>
    <w:rsid w:val="00600DEB"/>
    <w:rsid w:val="00603C9C"/>
    <w:rsid w:val="00604BBE"/>
    <w:rsid w:val="00605F3A"/>
    <w:rsid w:val="006125C3"/>
    <w:rsid w:val="00612BB4"/>
    <w:rsid w:val="00612DD3"/>
    <w:rsid w:val="00613F83"/>
    <w:rsid w:val="00614C87"/>
    <w:rsid w:val="00616071"/>
    <w:rsid w:val="006214B4"/>
    <w:rsid w:val="00621E34"/>
    <w:rsid w:val="00625585"/>
    <w:rsid w:val="00627C9F"/>
    <w:rsid w:val="006311E9"/>
    <w:rsid w:val="00632354"/>
    <w:rsid w:val="006351CA"/>
    <w:rsid w:val="00637BF3"/>
    <w:rsid w:val="00640791"/>
    <w:rsid w:val="00641ED7"/>
    <w:rsid w:val="00642810"/>
    <w:rsid w:val="006430A2"/>
    <w:rsid w:val="00650603"/>
    <w:rsid w:val="00652333"/>
    <w:rsid w:val="006536DD"/>
    <w:rsid w:val="00654757"/>
    <w:rsid w:val="006601B0"/>
    <w:rsid w:val="006643C6"/>
    <w:rsid w:val="006711E0"/>
    <w:rsid w:val="00673334"/>
    <w:rsid w:val="006748BE"/>
    <w:rsid w:val="0068009E"/>
    <w:rsid w:val="00681DE0"/>
    <w:rsid w:val="006848F9"/>
    <w:rsid w:val="00686E7B"/>
    <w:rsid w:val="00687F3F"/>
    <w:rsid w:val="0069099C"/>
    <w:rsid w:val="00690B0F"/>
    <w:rsid w:val="00692219"/>
    <w:rsid w:val="00693FC9"/>
    <w:rsid w:val="0069680C"/>
    <w:rsid w:val="00696D72"/>
    <w:rsid w:val="0069704C"/>
    <w:rsid w:val="006A0786"/>
    <w:rsid w:val="006A17D2"/>
    <w:rsid w:val="006A4B39"/>
    <w:rsid w:val="006A4E59"/>
    <w:rsid w:val="006A73E6"/>
    <w:rsid w:val="006B1999"/>
    <w:rsid w:val="006B2D5C"/>
    <w:rsid w:val="006B4D40"/>
    <w:rsid w:val="006C1A20"/>
    <w:rsid w:val="006C41A1"/>
    <w:rsid w:val="006C4EB1"/>
    <w:rsid w:val="006C5BC1"/>
    <w:rsid w:val="006C72B9"/>
    <w:rsid w:val="006D123A"/>
    <w:rsid w:val="006D1A96"/>
    <w:rsid w:val="006D612F"/>
    <w:rsid w:val="006D72EB"/>
    <w:rsid w:val="006E0166"/>
    <w:rsid w:val="006E1FB6"/>
    <w:rsid w:val="006E7B34"/>
    <w:rsid w:val="006F4714"/>
    <w:rsid w:val="006F6720"/>
    <w:rsid w:val="00700040"/>
    <w:rsid w:val="007017A2"/>
    <w:rsid w:val="007034F1"/>
    <w:rsid w:val="00705F9D"/>
    <w:rsid w:val="0070697F"/>
    <w:rsid w:val="0071273E"/>
    <w:rsid w:val="00713E68"/>
    <w:rsid w:val="0071501F"/>
    <w:rsid w:val="0072199C"/>
    <w:rsid w:val="00722891"/>
    <w:rsid w:val="00722C9F"/>
    <w:rsid w:val="0072316F"/>
    <w:rsid w:val="007253B8"/>
    <w:rsid w:val="007321E7"/>
    <w:rsid w:val="0073631B"/>
    <w:rsid w:val="0073741F"/>
    <w:rsid w:val="00737A45"/>
    <w:rsid w:val="00740E63"/>
    <w:rsid w:val="0074220E"/>
    <w:rsid w:val="00743DC1"/>
    <w:rsid w:val="007448D7"/>
    <w:rsid w:val="007519CC"/>
    <w:rsid w:val="0075298F"/>
    <w:rsid w:val="00755D42"/>
    <w:rsid w:val="0075649A"/>
    <w:rsid w:val="00757A93"/>
    <w:rsid w:val="007631F9"/>
    <w:rsid w:val="007652AC"/>
    <w:rsid w:val="007658DA"/>
    <w:rsid w:val="0076643F"/>
    <w:rsid w:val="00776802"/>
    <w:rsid w:val="00777014"/>
    <w:rsid w:val="0077770A"/>
    <w:rsid w:val="007779F5"/>
    <w:rsid w:val="00777F63"/>
    <w:rsid w:val="00781C9E"/>
    <w:rsid w:val="00784871"/>
    <w:rsid w:val="007877CE"/>
    <w:rsid w:val="00792C78"/>
    <w:rsid w:val="007970F5"/>
    <w:rsid w:val="007972F6"/>
    <w:rsid w:val="007A5817"/>
    <w:rsid w:val="007B37C0"/>
    <w:rsid w:val="007B44EB"/>
    <w:rsid w:val="007B60E9"/>
    <w:rsid w:val="007B6385"/>
    <w:rsid w:val="007B6CC3"/>
    <w:rsid w:val="007C0D11"/>
    <w:rsid w:val="007C2AA2"/>
    <w:rsid w:val="007C30CF"/>
    <w:rsid w:val="007C3334"/>
    <w:rsid w:val="007C39F0"/>
    <w:rsid w:val="007C3A33"/>
    <w:rsid w:val="007C756A"/>
    <w:rsid w:val="007D2317"/>
    <w:rsid w:val="007D2B98"/>
    <w:rsid w:val="007D2EFE"/>
    <w:rsid w:val="007D4518"/>
    <w:rsid w:val="007D4DB0"/>
    <w:rsid w:val="007E21BC"/>
    <w:rsid w:val="007E39B6"/>
    <w:rsid w:val="007E39C8"/>
    <w:rsid w:val="007E3C22"/>
    <w:rsid w:val="007E4C91"/>
    <w:rsid w:val="007E76AD"/>
    <w:rsid w:val="007F0498"/>
    <w:rsid w:val="007F3CA8"/>
    <w:rsid w:val="007F43C3"/>
    <w:rsid w:val="007F7E9A"/>
    <w:rsid w:val="00800BC4"/>
    <w:rsid w:val="0080273F"/>
    <w:rsid w:val="008032E8"/>
    <w:rsid w:val="00803F1C"/>
    <w:rsid w:val="00805B20"/>
    <w:rsid w:val="0080600E"/>
    <w:rsid w:val="00815021"/>
    <w:rsid w:val="00816B42"/>
    <w:rsid w:val="00817612"/>
    <w:rsid w:val="008217E6"/>
    <w:rsid w:val="00821E26"/>
    <w:rsid w:val="0082242B"/>
    <w:rsid w:val="00823DC6"/>
    <w:rsid w:val="0082461F"/>
    <w:rsid w:val="008266A7"/>
    <w:rsid w:val="008338A4"/>
    <w:rsid w:val="00834F7A"/>
    <w:rsid w:val="008351E6"/>
    <w:rsid w:val="00836C80"/>
    <w:rsid w:val="00837C45"/>
    <w:rsid w:val="00844730"/>
    <w:rsid w:val="0084475F"/>
    <w:rsid w:val="00844765"/>
    <w:rsid w:val="008457C2"/>
    <w:rsid w:val="0084785F"/>
    <w:rsid w:val="008503B8"/>
    <w:rsid w:val="0085454C"/>
    <w:rsid w:val="00857A82"/>
    <w:rsid w:val="00862F6E"/>
    <w:rsid w:val="008640B9"/>
    <w:rsid w:val="008656E7"/>
    <w:rsid w:val="00865DFE"/>
    <w:rsid w:val="00873836"/>
    <w:rsid w:val="008767DA"/>
    <w:rsid w:val="00881914"/>
    <w:rsid w:val="00885737"/>
    <w:rsid w:val="00885E93"/>
    <w:rsid w:val="0088701A"/>
    <w:rsid w:val="008873AB"/>
    <w:rsid w:val="008876D0"/>
    <w:rsid w:val="00887706"/>
    <w:rsid w:val="00890650"/>
    <w:rsid w:val="00895796"/>
    <w:rsid w:val="00895F53"/>
    <w:rsid w:val="00897E12"/>
    <w:rsid w:val="008A0A18"/>
    <w:rsid w:val="008A2A90"/>
    <w:rsid w:val="008A2E32"/>
    <w:rsid w:val="008A5210"/>
    <w:rsid w:val="008A7E0F"/>
    <w:rsid w:val="008B12F5"/>
    <w:rsid w:val="008C0E31"/>
    <w:rsid w:val="008C2F63"/>
    <w:rsid w:val="008C3098"/>
    <w:rsid w:val="008C4041"/>
    <w:rsid w:val="008C72BC"/>
    <w:rsid w:val="008D0182"/>
    <w:rsid w:val="008D03DE"/>
    <w:rsid w:val="008D247D"/>
    <w:rsid w:val="008D2862"/>
    <w:rsid w:val="008D46E6"/>
    <w:rsid w:val="008D4E5B"/>
    <w:rsid w:val="008D61DA"/>
    <w:rsid w:val="008D768D"/>
    <w:rsid w:val="008E3759"/>
    <w:rsid w:val="008E7DA6"/>
    <w:rsid w:val="008F1912"/>
    <w:rsid w:val="008F1B28"/>
    <w:rsid w:val="008F4753"/>
    <w:rsid w:val="008F4830"/>
    <w:rsid w:val="008F4EA8"/>
    <w:rsid w:val="008F4F26"/>
    <w:rsid w:val="008F604B"/>
    <w:rsid w:val="009014A4"/>
    <w:rsid w:val="0090270B"/>
    <w:rsid w:val="009041DC"/>
    <w:rsid w:val="009079A5"/>
    <w:rsid w:val="009101F9"/>
    <w:rsid w:val="00917B5A"/>
    <w:rsid w:val="00920A4B"/>
    <w:rsid w:val="00920A58"/>
    <w:rsid w:val="00920A8C"/>
    <w:rsid w:val="0092111F"/>
    <w:rsid w:val="00921C8D"/>
    <w:rsid w:val="009302BF"/>
    <w:rsid w:val="00934A2C"/>
    <w:rsid w:val="00941DE2"/>
    <w:rsid w:val="009421A8"/>
    <w:rsid w:val="00946479"/>
    <w:rsid w:val="00946B98"/>
    <w:rsid w:val="00947133"/>
    <w:rsid w:val="009506C5"/>
    <w:rsid w:val="00951CBC"/>
    <w:rsid w:val="00951D77"/>
    <w:rsid w:val="00955C8E"/>
    <w:rsid w:val="00964C54"/>
    <w:rsid w:val="0096706E"/>
    <w:rsid w:val="009712EB"/>
    <w:rsid w:val="00971ACE"/>
    <w:rsid w:val="00975C4E"/>
    <w:rsid w:val="009777BE"/>
    <w:rsid w:val="00981FBA"/>
    <w:rsid w:val="0098644E"/>
    <w:rsid w:val="0099069E"/>
    <w:rsid w:val="00992E29"/>
    <w:rsid w:val="0099706A"/>
    <w:rsid w:val="00997BC5"/>
    <w:rsid w:val="009A0701"/>
    <w:rsid w:val="009A0B1B"/>
    <w:rsid w:val="009A0BE3"/>
    <w:rsid w:val="009A292B"/>
    <w:rsid w:val="009A4AC8"/>
    <w:rsid w:val="009A4F41"/>
    <w:rsid w:val="009A681A"/>
    <w:rsid w:val="009B381B"/>
    <w:rsid w:val="009B57E3"/>
    <w:rsid w:val="009C2754"/>
    <w:rsid w:val="009C4EAA"/>
    <w:rsid w:val="009C74D9"/>
    <w:rsid w:val="009D1753"/>
    <w:rsid w:val="009D5581"/>
    <w:rsid w:val="009D5B0A"/>
    <w:rsid w:val="009D7611"/>
    <w:rsid w:val="009E0B61"/>
    <w:rsid w:val="009E1491"/>
    <w:rsid w:val="009E53DE"/>
    <w:rsid w:val="009E6A03"/>
    <w:rsid w:val="009E7DE3"/>
    <w:rsid w:val="009F09B7"/>
    <w:rsid w:val="009F2933"/>
    <w:rsid w:val="009F785A"/>
    <w:rsid w:val="00A02400"/>
    <w:rsid w:val="00A062F9"/>
    <w:rsid w:val="00A07436"/>
    <w:rsid w:val="00A07D4A"/>
    <w:rsid w:val="00A12EEB"/>
    <w:rsid w:val="00A13400"/>
    <w:rsid w:val="00A1365E"/>
    <w:rsid w:val="00A15831"/>
    <w:rsid w:val="00A20B20"/>
    <w:rsid w:val="00A22746"/>
    <w:rsid w:val="00A234B0"/>
    <w:rsid w:val="00A25564"/>
    <w:rsid w:val="00A2598E"/>
    <w:rsid w:val="00A27010"/>
    <w:rsid w:val="00A30974"/>
    <w:rsid w:val="00A3196C"/>
    <w:rsid w:val="00A328B3"/>
    <w:rsid w:val="00A32D84"/>
    <w:rsid w:val="00A33B1E"/>
    <w:rsid w:val="00A404A4"/>
    <w:rsid w:val="00A4228D"/>
    <w:rsid w:val="00A425C3"/>
    <w:rsid w:val="00A45A9A"/>
    <w:rsid w:val="00A50FCF"/>
    <w:rsid w:val="00A524EB"/>
    <w:rsid w:val="00A528D1"/>
    <w:rsid w:val="00A537E8"/>
    <w:rsid w:val="00A56B2F"/>
    <w:rsid w:val="00A60349"/>
    <w:rsid w:val="00A610CD"/>
    <w:rsid w:val="00A65641"/>
    <w:rsid w:val="00A66714"/>
    <w:rsid w:val="00A67157"/>
    <w:rsid w:val="00A71C15"/>
    <w:rsid w:val="00A729C6"/>
    <w:rsid w:val="00A754A5"/>
    <w:rsid w:val="00A75E63"/>
    <w:rsid w:val="00A814FA"/>
    <w:rsid w:val="00A83A45"/>
    <w:rsid w:val="00A8449F"/>
    <w:rsid w:val="00A8535F"/>
    <w:rsid w:val="00A87043"/>
    <w:rsid w:val="00A951BD"/>
    <w:rsid w:val="00A952E0"/>
    <w:rsid w:val="00A95746"/>
    <w:rsid w:val="00A97CC5"/>
    <w:rsid w:val="00AA09A2"/>
    <w:rsid w:val="00AA22EA"/>
    <w:rsid w:val="00AA346D"/>
    <w:rsid w:val="00AA39A4"/>
    <w:rsid w:val="00AA47B6"/>
    <w:rsid w:val="00AA6F56"/>
    <w:rsid w:val="00AA7996"/>
    <w:rsid w:val="00AB1C02"/>
    <w:rsid w:val="00AC19CB"/>
    <w:rsid w:val="00AC3D81"/>
    <w:rsid w:val="00AC481C"/>
    <w:rsid w:val="00AC55D4"/>
    <w:rsid w:val="00AC715E"/>
    <w:rsid w:val="00AD0D31"/>
    <w:rsid w:val="00AD2CEF"/>
    <w:rsid w:val="00AD3A64"/>
    <w:rsid w:val="00AD417D"/>
    <w:rsid w:val="00AE304B"/>
    <w:rsid w:val="00AE3BF5"/>
    <w:rsid w:val="00AE5488"/>
    <w:rsid w:val="00AE6F91"/>
    <w:rsid w:val="00AE7A5A"/>
    <w:rsid w:val="00AF0C6D"/>
    <w:rsid w:val="00AF18DB"/>
    <w:rsid w:val="00AF4975"/>
    <w:rsid w:val="00AF529E"/>
    <w:rsid w:val="00AF5571"/>
    <w:rsid w:val="00AF5757"/>
    <w:rsid w:val="00AF5B56"/>
    <w:rsid w:val="00AF68A7"/>
    <w:rsid w:val="00AF7988"/>
    <w:rsid w:val="00B0187A"/>
    <w:rsid w:val="00B02F84"/>
    <w:rsid w:val="00B053C8"/>
    <w:rsid w:val="00B07184"/>
    <w:rsid w:val="00B07341"/>
    <w:rsid w:val="00B1190A"/>
    <w:rsid w:val="00B11DAD"/>
    <w:rsid w:val="00B1577C"/>
    <w:rsid w:val="00B169A3"/>
    <w:rsid w:val="00B173C5"/>
    <w:rsid w:val="00B17EA1"/>
    <w:rsid w:val="00B20A25"/>
    <w:rsid w:val="00B30539"/>
    <w:rsid w:val="00B312D1"/>
    <w:rsid w:val="00B314DB"/>
    <w:rsid w:val="00B34CE7"/>
    <w:rsid w:val="00B34FE4"/>
    <w:rsid w:val="00B361F2"/>
    <w:rsid w:val="00B3718B"/>
    <w:rsid w:val="00B40263"/>
    <w:rsid w:val="00B405AB"/>
    <w:rsid w:val="00B40B6A"/>
    <w:rsid w:val="00B41B10"/>
    <w:rsid w:val="00B43A40"/>
    <w:rsid w:val="00B4632A"/>
    <w:rsid w:val="00B47EA8"/>
    <w:rsid w:val="00B513B1"/>
    <w:rsid w:val="00B530F1"/>
    <w:rsid w:val="00B54A0C"/>
    <w:rsid w:val="00B565AB"/>
    <w:rsid w:val="00B60135"/>
    <w:rsid w:val="00B632D6"/>
    <w:rsid w:val="00B71F45"/>
    <w:rsid w:val="00B76656"/>
    <w:rsid w:val="00B83B6D"/>
    <w:rsid w:val="00BA1E16"/>
    <w:rsid w:val="00BA276C"/>
    <w:rsid w:val="00BA461E"/>
    <w:rsid w:val="00BA5CFE"/>
    <w:rsid w:val="00BB1552"/>
    <w:rsid w:val="00BB306F"/>
    <w:rsid w:val="00BB52A6"/>
    <w:rsid w:val="00BC1180"/>
    <w:rsid w:val="00BC234D"/>
    <w:rsid w:val="00BC7AD8"/>
    <w:rsid w:val="00BD3147"/>
    <w:rsid w:val="00BD3E80"/>
    <w:rsid w:val="00BD4B89"/>
    <w:rsid w:val="00BE1342"/>
    <w:rsid w:val="00BE51C3"/>
    <w:rsid w:val="00BE6FE3"/>
    <w:rsid w:val="00BE72D1"/>
    <w:rsid w:val="00BF02CB"/>
    <w:rsid w:val="00BF11D3"/>
    <w:rsid w:val="00BF412E"/>
    <w:rsid w:val="00BF4593"/>
    <w:rsid w:val="00BF55AB"/>
    <w:rsid w:val="00BF6FD8"/>
    <w:rsid w:val="00C00F28"/>
    <w:rsid w:val="00C02D09"/>
    <w:rsid w:val="00C03680"/>
    <w:rsid w:val="00C03FA2"/>
    <w:rsid w:val="00C0537F"/>
    <w:rsid w:val="00C054DF"/>
    <w:rsid w:val="00C057C8"/>
    <w:rsid w:val="00C07B4B"/>
    <w:rsid w:val="00C12879"/>
    <w:rsid w:val="00C13C84"/>
    <w:rsid w:val="00C16CB8"/>
    <w:rsid w:val="00C21762"/>
    <w:rsid w:val="00C22CA4"/>
    <w:rsid w:val="00C22F6E"/>
    <w:rsid w:val="00C24543"/>
    <w:rsid w:val="00C256A2"/>
    <w:rsid w:val="00C306FD"/>
    <w:rsid w:val="00C348D0"/>
    <w:rsid w:val="00C40266"/>
    <w:rsid w:val="00C40789"/>
    <w:rsid w:val="00C45D15"/>
    <w:rsid w:val="00C46426"/>
    <w:rsid w:val="00C46EE5"/>
    <w:rsid w:val="00C47E7F"/>
    <w:rsid w:val="00C51515"/>
    <w:rsid w:val="00C540F7"/>
    <w:rsid w:val="00C5660B"/>
    <w:rsid w:val="00C60105"/>
    <w:rsid w:val="00C607E2"/>
    <w:rsid w:val="00C62A75"/>
    <w:rsid w:val="00C646B9"/>
    <w:rsid w:val="00C65D71"/>
    <w:rsid w:val="00C66B72"/>
    <w:rsid w:val="00C74E6F"/>
    <w:rsid w:val="00C810D8"/>
    <w:rsid w:val="00C8126E"/>
    <w:rsid w:val="00C812E0"/>
    <w:rsid w:val="00C83C0E"/>
    <w:rsid w:val="00C87609"/>
    <w:rsid w:val="00C925A4"/>
    <w:rsid w:val="00C937F3"/>
    <w:rsid w:val="00C9567A"/>
    <w:rsid w:val="00C96A8A"/>
    <w:rsid w:val="00C97129"/>
    <w:rsid w:val="00C9738F"/>
    <w:rsid w:val="00CA1A26"/>
    <w:rsid w:val="00CA2CB4"/>
    <w:rsid w:val="00CA315C"/>
    <w:rsid w:val="00CA4B45"/>
    <w:rsid w:val="00CB212D"/>
    <w:rsid w:val="00CB2583"/>
    <w:rsid w:val="00CB2660"/>
    <w:rsid w:val="00CC533C"/>
    <w:rsid w:val="00CC53A9"/>
    <w:rsid w:val="00CC5E90"/>
    <w:rsid w:val="00CC63CF"/>
    <w:rsid w:val="00CC6AB2"/>
    <w:rsid w:val="00CD046C"/>
    <w:rsid w:val="00CD1CE0"/>
    <w:rsid w:val="00CD49F1"/>
    <w:rsid w:val="00CD5676"/>
    <w:rsid w:val="00CE076C"/>
    <w:rsid w:val="00CE397B"/>
    <w:rsid w:val="00CE5199"/>
    <w:rsid w:val="00CE66D5"/>
    <w:rsid w:val="00CF0A8A"/>
    <w:rsid w:val="00CF0D85"/>
    <w:rsid w:val="00CF30F9"/>
    <w:rsid w:val="00CF5A71"/>
    <w:rsid w:val="00CF637A"/>
    <w:rsid w:val="00CF73A8"/>
    <w:rsid w:val="00D0041E"/>
    <w:rsid w:val="00D01836"/>
    <w:rsid w:val="00D059DE"/>
    <w:rsid w:val="00D12193"/>
    <w:rsid w:val="00D13FCE"/>
    <w:rsid w:val="00D2422C"/>
    <w:rsid w:val="00D2506F"/>
    <w:rsid w:val="00D25612"/>
    <w:rsid w:val="00D306D1"/>
    <w:rsid w:val="00D34786"/>
    <w:rsid w:val="00D34806"/>
    <w:rsid w:val="00D37BFC"/>
    <w:rsid w:val="00D42282"/>
    <w:rsid w:val="00D42CF1"/>
    <w:rsid w:val="00D47561"/>
    <w:rsid w:val="00D47A8E"/>
    <w:rsid w:val="00D529F8"/>
    <w:rsid w:val="00D52D14"/>
    <w:rsid w:val="00D55998"/>
    <w:rsid w:val="00D56551"/>
    <w:rsid w:val="00D621B5"/>
    <w:rsid w:val="00D650AD"/>
    <w:rsid w:val="00D70837"/>
    <w:rsid w:val="00D712D3"/>
    <w:rsid w:val="00D71422"/>
    <w:rsid w:val="00D71768"/>
    <w:rsid w:val="00D717CE"/>
    <w:rsid w:val="00D72DC6"/>
    <w:rsid w:val="00D7558D"/>
    <w:rsid w:val="00D81D92"/>
    <w:rsid w:val="00D83A6D"/>
    <w:rsid w:val="00D83D17"/>
    <w:rsid w:val="00D83D27"/>
    <w:rsid w:val="00D83D73"/>
    <w:rsid w:val="00D90527"/>
    <w:rsid w:val="00D94CE9"/>
    <w:rsid w:val="00D96E66"/>
    <w:rsid w:val="00DA5C85"/>
    <w:rsid w:val="00DA7B5F"/>
    <w:rsid w:val="00DB44D3"/>
    <w:rsid w:val="00DB72EC"/>
    <w:rsid w:val="00DB7C7D"/>
    <w:rsid w:val="00DC11E7"/>
    <w:rsid w:val="00DC373E"/>
    <w:rsid w:val="00DC3D17"/>
    <w:rsid w:val="00DC3D8D"/>
    <w:rsid w:val="00DC52F7"/>
    <w:rsid w:val="00DC67AB"/>
    <w:rsid w:val="00DC6A6F"/>
    <w:rsid w:val="00DC7023"/>
    <w:rsid w:val="00DC769A"/>
    <w:rsid w:val="00DD1CFC"/>
    <w:rsid w:val="00DD278E"/>
    <w:rsid w:val="00DD3D86"/>
    <w:rsid w:val="00DD6728"/>
    <w:rsid w:val="00DD7A1D"/>
    <w:rsid w:val="00DF107C"/>
    <w:rsid w:val="00DF1EC4"/>
    <w:rsid w:val="00DF448C"/>
    <w:rsid w:val="00DF46E5"/>
    <w:rsid w:val="00DF542C"/>
    <w:rsid w:val="00DF63CA"/>
    <w:rsid w:val="00DF7DB8"/>
    <w:rsid w:val="00E0340B"/>
    <w:rsid w:val="00E0431A"/>
    <w:rsid w:val="00E04515"/>
    <w:rsid w:val="00E04A90"/>
    <w:rsid w:val="00E073CB"/>
    <w:rsid w:val="00E14A18"/>
    <w:rsid w:val="00E15370"/>
    <w:rsid w:val="00E219C7"/>
    <w:rsid w:val="00E21B4A"/>
    <w:rsid w:val="00E24D15"/>
    <w:rsid w:val="00E266C4"/>
    <w:rsid w:val="00E32967"/>
    <w:rsid w:val="00E35B1E"/>
    <w:rsid w:val="00E36457"/>
    <w:rsid w:val="00E37A10"/>
    <w:rsid w:val="00E41501"/>
    <w:rsid w:val="00E42B6F"/>
    <w:rsid w:val="00E43157"/>
    <w:rsid w:val="00E45169"/>
    <w:rsid w:val="00E4580E"/>
    <w:rsid w:val="00E461CE"/>
    <w:rsid w:val="00E4631A"/>
    <w:rsid w:val="00E4786C"/>
    <w:rsid w:val="00E619D3"/>
    <w:rsid w:val="00E6407E"/>
    <w:rsid w:val="00E647CF"/>
    <w:rsid w:val="00E70A7A"/>
    <w:rsid w:val="00E71067"/>
    <w:rsid w:val="00E720CA"/>
    <w:rsid w:val="00E74D69"/>
    <w:rsid w:val="00E77541"/>
    <w:rsid w:val="00E810C3"/>
    <w:rsid w:val="00E84EB5"/>
    <w:rsid w:val="00E85662"/>
    <w:rsid w:val="00E859BC"/>
    <w:rsid w:val="00E8789F"/>
    <w:rsid w:val="00E909AA"/>
    <w:rsid w:val="00E910D2"/>
    <w:rsid w:val="00E95797"/>
    <w:rsid w:val="00E97B71"/>
    <w:rsid w:val="00EA0F0A"/>
    <w:rsid w:val="00EA1107"/>
    <w:rsid w:val="00EA3D34"/>
    <w:rsid w:val="00EA5902"/>
    <w:rsid w:val="00EA68E3"/>
    <w:rsid w:val="00EB454D"/>
    <w:rsid w:val="00EC012A"/>
    <w:rsid w:val="00EC4478"/>
    <w:rsid w:val="00EC4A0D"/>
    <w:rsid w:val="00EC5E87"/>
    <w:rsid w:val="00ED1626"/>
    <w:rsid w:val="00ED37E8"/>
    <w:rsid w:val="00ED76BE"/>
    <w:rsid w:val="00EE03CD"/>
    <w:rsid w:val="00EE39F0"/>
    <w:rsid w:val="00EF3E63"/>
    <w:rsid w:val="00EF619B"/>
    <w:rsid w:val="00EF656B"/>
    <w:rsid w:val="00F00B55"/>
    <w:rsid w:val="00F0142F"/>
    <w:rsid w:val="00F024DC"/>
    <w:rsid w:val="00F02AD1"/>
    <w:rsid w:val="00F04936"/>
    <w:rsid w:val="00F05756"/>
    <w:rsid w:val="00F05E40"/>
    <w:rsid w:val="00F06A30"/>
    <w:rsid w:val="00F06AA9"/>
    <w:rsid w:val="00F1372D"/>
    <w:rsid w:val="00F14D96"/>
    <w:rsid w:val="00F171B1"/>
    <w:rsid w:val="00F253CC"/>
    <w:rsid w:val="00F307AF"/>
    <w:rsid w:val="00F31DE9"/>
    <w:rsid w:val="00F37106"/>
    <w:rsid w:val="00F46679"/>
    <w:rsid w:val="00F519CF"/>
    <w:rsid w:val="00F540DD"/>
    <w:rsid w:val="00F550FD"/>
    <w:rsid w:val="00F56BA5"/>
    <w:rsid w:val="00F5728F"/>
    <w:rsid w:val="00F57979"/>
    <w:rsid w:val="00F600F0"/>
    <w:rsid w:val="00F60E22"/>
    <w:rsid w:val="00F667B9"/>
    <w:rsid w:val="00F72E40"/>
    <w:rsid w:val="00F73104"/>
    <w:rsid w:val="00F805FB"/>
    <w:rsid w:val="00F81395"/>
    <w:rsid w:val="00F82589"/>
    <w:rsid w:val="00F8455E"/>
    <w:rsid w:val="00F86C00"/>
    <w:rsid w:val="00F902EB"/>
    <w:rsid w:val="00F90E25"/>
    <w:rsid w:val="00F917D1"/>
    <w:rsid w:val="00F9526F"/>
    <w:rsid w:val="00F9653B"/>
    <w:rsid w:val="00F969F2"/>
    <w:rsid w:val="00FA5953"/>
    <w:rsid w:val="00FB10E2"/>
    <w:rsid w:val="00FB5FDD"/>
    <w:rsid w:val="00FB62CF"/>
    <w:rsid w:val="00FB6D13"/>
    <w:rsid w:val="00FC56EC"/>
    <w:rsid w:val="00FC6B48"/>
    <w:rsid w:val="00FC6B5E"/>
    <w:rsid w:val="00FC71AE"/>
    <w:rsid w:val="00FC76B9"/>
    <w:rsid w:val="00FD3C3B"/>
    <w:rsid w:val="00FD5A99"/>
    <w:rsid w:val="00FE03F6"/>
    <w:rsid w:val="00FE07DD"/>
    <w:rsid w:val="00FE5424"/>
    <w:rsid w:val="00FE6B45"/>
    <w:rsid w:val="00FF002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EC5E87"/>
    <w:pPr>
      <w:tabs>
        <w:tab w:val="left" w:pos="1440"/>
        <w:tab w:val="right" w:leader="dot" w:pos="9350"/>
      </w:tabs>
      <w:spacing w:after="100"/>
      <w:jc w:val="both"/>
    </w:pPr>
    <w:rPr>
      <w:rFonts w:asciiTheme="minorHAnsi" w:hAnsiTheme="minorHAnsi"/>
      <w:sz w:val="22"/>
    </w:rPr>
  </w:style>
  <w:style w:type="paragraph" w:styleId="TOC3">
    <w:name w:val="toc 3"/>
    <w:basedOn w:val="Normal"/>
    <w:next w:val="Normal"/>
    <w:autoRedefine/>
    <w:uiPriority w:val="39"/>
    <w:unhideWhenUsed/>
    <w:rsid w:val="00EC5E87"/>
    <w:pPr>
      <w:tabs>
        <w:tab w:val="left" w:pos="880"/>
        <w:tab w:val="left" w:pos="2160"/>
        <w:tab w:val="right" w:leader="dot" w:pos="9350"/>
      </w:tabs>
      <w:spacing w:after="100"/>
      <w:ind w:left="2160" w:hanging="720"/>
    </w:pPr>
    <w:rPr>
      <w:rFonts w:ascii="Cambria" w:hAnsi="Cambria"/>
      <w:noProof/>
      <w:lang w:val="es-ES_tradnl"/>
    </w:r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99"/>
    <w:locked/>
    <w:rsid w:val="002E4AEA"/>
    <w:rPr>
      <w:rFonts w:ascii="Cambria" w:eastAsia="Cambria" w:hAnsi="Cambria" w:cs="Cambria"/>
      <w:color w:val="000000"/>
      <w:sz w:val="24"/>
      <w:szCs w:val="24"/>
      <w:u w:color="000000"/>
      <w:lang w:val="en-US"/>
    </w:rPr>
  </w:style>
  <w:style w:type="paragraph" w:styleId="HTMLPreformatted">
    <w:name w:val="HTML Preformatted"/>
    <w:basedOn w:val="Normal"/>
    <w:link w:val="HTMLPreformattedChar"/>
    <w:uiPriority w:val="99"/>
    <w:semiHidden/>
    <w:unhideWhenUsed/>
    <w:rsid w:val="00A062F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onsolas" w:eastAsia="MS Mincho" w:hAnsi="Consolas" w:cstheme="minorBidi"/>
      <w:sz w:val="20"/>
      <w:szCs w:val="20"/>
      <w:bdr w:val="none" w:sz="0" w:space="0" w:color="auto"/>
    </w:rPr>
  </w:style>
  <w:style w:type="character" w:customStyle="1" w:styleId="HTMLPreformattedChar">
    <w:name w:val="HTML Preformatted Char"/>
    <w:basedOn w:val="DefaultParagraphFont"/>
    <w:link w:val="HTMLPreformatted"/>
    <w:uiPriority w:val="99"/>
    <w:semiHidden/>
    <w:rsid w:val="00A062F9"/>
    <w:rPr>
      <w:rFonts w:ascii="Consolas" w:eastAsia="MS Mincho" w:hAnsi="Consolas" w:cstheme="minorBidi"/>
      <w:bdr w:val="none" w:sz="0" w:space="0" w:color="auto"/>
      <w:lang w:val="en-US" w:eastAsia="en-US"/>
    </w:rPr>
  </w:style>
  <w:style w:type="character" w:styleId="CommentReference">
    <w:name w:val="annotation reference"/>
    <w:basedOn w:val="DefaultParagraphFont"/>
    <w:uiPriority w:val="99"/>
    <w:semiHidden/>
    <w:unhideWhenUsed/>
    <w:rsid w:val="009A0701"/>
    <w:rPr>
      <w:sz w:val="18"/>
      <w:szCs w:val="18"/>
    </w:rPr>
  </w:style>
  <w:style w:type="paragraph" w:styleId="CommentText">
    <w:name w:val="annotation text"/>
    <w:basedOn w:val="Normal"/>
    <w:link w:val="CommentTextChar"/>
    <w:uiPriority w:val="99"/>
    <w:semiHidden/>
    <w:unhideWhenUsed/>
    <w:rsid w:val="009A0701"/>
  </w:style>
  <w:style w:type="character" w:customStyle="1" w:styleId="CommentTextChar">
    <w:name w:val="Comment Text Char"/>
    <w:basedOn w:val="DefaultParagraphFont"/>
    <w:link w:val="CommentText"/>
    <w:uiPriority w:val="99"/>
    <w:semiHidden/>
    <w:rsid w:val="009A0701"/>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9A0701"/>
    <w:rPr>
      <w:b/>
      <w:bCs/>
      <w:sz w:val="20"/>
      <w:szCs w:val="20"/>
    </w:rPr>
  </w:style>
  <w:style w:type="character" w:customStyle="1" w:styleId="CommentSubjectChar">
    <w:name w:val="Comment Subject Char"/>
    <w:basedOn w:val="CommentTextChar"/>
    <w:link w:val="CommentSubject"/>
    <w:uiPriority w:val="99"/>
    <w:semiHidden/>
    <w:rsid w:val="009A0701"/>
    <w:rPr>
      <w:b/>
      <w:bCs/>
      <w:sz w:val="24"/>
      <w:szCs w:val="24"/>
      <w:lang w:val="en-US" w:eastAsia="en-US"/>
    </w:rPr>
  </w:style>
  <w:style w:type="paragraph" w:styleId="NormalWeb">
    <w:name w:val="Normal (Web)"/>
    <w:aliases w:val="Normal (Web) Char1,Normal (Web) Char Char,Normal (Web) Char1 Char,Normal (Web) Char Char Char"/>
    <w:basedOn w:val="Normal"/>
    <w:unhideWhenUsed/>
    <w:rsid w:val="00C053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paragraph" w:styleId="NoSpacing">
    <w:name w:val="No Spacing"/>
    <w:uiPriority w:val="1"/>
    <w:qFormat/>
    <w:rsid w:val="00C0537F"/>
    <w:rPr>
      <w:sz w:val="24"/>
      <w:szCs w:val="24"/>
      <w:lang w:val="en-US" w:eastAsia="en-US"/>
    </w:rPr>
  </w:style>
  <w:style w:type="character" w:customStyle="1" w:styleId="normalchar1">
    <w:name w:val="normal__char1"/>
    <w:rsid w:val="00B053C8"/>
    <w:rPr>
      <w:rFonts w:ascii="Times New Roman" w:hAnsi="Times New Roman" w:cs="Times New Roman" w:hint="default"/>
      <w:sz w:val="24"/>
      <w:szCs w:val="24"/>
    </w:rPr>
  </w:style>
  <w:style w:type="paragraph" w:styleId="TOCHeading">
    <w:name w:val="TOC Heading"/>
    <w:basedOn w:val="Heading1"/>
    <w:next w:val="Normal"/>
    <w:uiPriority w:val="39"/>
    <w:unhideWhenUsed/>
    <w:qFormat/>
    <w:rsid w:val="00EC5E87"/>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b w:val="0"/>
      <w:bCs w:val="0"/>
      <w:sz w:val="32"/>
      <w:szCs w:val="3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32550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javascript:parent.onLocalLink('footnote127',window.frameE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revistamarina.cl/revistas/2009/3/lopez.pdf" TargetMode="External"/><Relationship Id="rId3" Type="http://schemas.openxmlformats.org/officeDocument/2006/relationships/hyperlink" Target="https://www.icrc.org/spa/resources/documents/misc/63xknp.htm" TargetMode="External"/><Relationship Id="rId7" Type="http://schemas.openxmlformats.org/officeDocument/2006/relationships/hyperlink" Target="https://www.icrc.org/spa/resources/documents/misc/desarrollo_y_principios.htm" TargetMode="External"/><Relationship Id="rId2" Type="http://schemas.openxmlformats.org/officeDocument/2006/relationships/hyperlink" Target="https://www.icrc.org/spa/resources/documents/misc/63xknp.htm" TargetMode="External"/><Relationship Id="rId1" Type="http://schemas.openxmlformats.org/officeDocument/2006/relationships/hyperlink" Target="https://www.youtube.com/watch?v=MDZMseL6G10" TargetMode="External"/><Relationship Id="rId6" Type="http://schemas.openxmlformats.org/officeDocument/2006/relationships/hyperlink" Target="http://www.cruzroja.es/portal/page?_pageid=878,12647079&amp;_dad=portal30&amp;_schema=PORTAL30" TargetMode="External"/><Relationship Id="rId5" Type="http://schemas.openxmlformats.org/officeDocument/2006/relationships/hyperlink" Target="https://www.icrc.org/spa/resources/documents/publication/p4094.htm" TargetMode="External"/><Relationship Id="rId4" Type="http://schemas.openxmlformats.org/officeDocument/2006/relationships/hyperlink" Target="https://www.icrc.org/spa/resources/documents/publication/p4094.htm" TargetMode="External"/><Relationship Id="rId9" Type="http://schemas.openxmlformats.org/officeDocument/2006/relationships/hyperlink" Target="https://ihl-databases.icrc.org/applic/ihl/ihl.nsf/States.xsp?xp_viewStates=XPages_NORMStatesSign&amp;xp_treatySelected=47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E4709-957B-493C-B35F-0574FD3D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46015</Words>
  <Characters>240661</Characters>
  <Application>Microsoft Office Word</Application>
  <DocSecurity>0</DocSecurity>
  <Lines>3591</Lines>
  <Paragraphs>697</Paragraphs>
  <ScaleCrop>false</ScaleCrop>
  <Company/>
  <LinksUpToDate>false</LinksUpToDate>
  <CharactersWithSpaces>285979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121/18</dc:title>
  <dc:creator/>
  <cp:lastModifiedBy/>
  <cp:revision>1</cp:revision>
  <dcterms:created xsi:type="dcterms:W3CDTF">2018-11-15T17:23:00Z</dcterms:created>
  <dcterms:modified xsi:type="dcterms:W3CDTF">2018-11-15T17:33:00Z</dcterms:modified>
</cp:coreProperties>
</file>