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2E6C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E37C6">
                              <w:rPr>
                                <w:rFonts w:asciiTheme="majorHAnsi" w:hAnsiTheme="majorHAnsi" w:cs="Arial"/>
                                <w:b/>
                                <w:bCs/>
                                <w:color w:val="0D0D0D" w:themeColor="text1" w:themeTint="F2"/>
                                <w:sz w:val="36"/>
                                <w:szCs w:val="22"/>
                                <w:lang w:val="es-ES_tradnl"/>
                              </w:rPr>
                              <w:t>127</w:t>
                            </w:r>
                            <w:r w:rsidR="007B05C4">
                              <w:rPr>
                                <w:rFonts w:asciiTheme="majorHAnsi" w:hAnsiTheme="majorHAnsi" w:cs="Arial"/>
                                <w:b/>
                                <w:bCs/>
                                <w:color w:val="0D0D0D" w:themeColor="text1" w:themeTint="F2"/>
                                <w:sz w:val="36"/>
                                <w:szCs w:val="22"/>
                                <w:lang w:val="es-ES_tradnl"/>
                              </w:rPr>
                              <w:t>/1</w:t>
                            </w:r>
                            <w:r w:rsidR="00221FA4">
                              <w:rPr>
                                <w:rFonts w:asciiTheme="majorHAnsi" w:hAnsiTheme="majorHAnsi" w:cs="Arial"/>
                                <w:b/>
                                <w:bCs/>
                                <w:color w:val="0D0D0D" w:themeColor="text1" w:themeTint="F2"/>
                                <w:sz w:val="36"/>
                                <w:szCs w:val="22"/>
                                <w:lang w:val="es-ES_tradnl"/>
                              </w:rPr>
                              <w:t>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93AEA">
                              <w:rPr>
                                <w:rFonts w:asciiTheme="majorHAnsi" w:hAnsiTheme="majorHAnsi" w:cs="Arial"/>
                                <w:b/>
                                <w:color w:val="0D0D0D" w:themeColor="text1" w:themeTint="F2"/>
                                <w:sz w:val="36"/>
                                <w:szCs w:val="22"/>
                                <w:lang w:val="es-ES_tradnl"/>
                              </w:rPr>
                              <w:t>1804</w:t>
                            </w:r>
                            <w:r w:rsidR="00246D1F" w:rsidRPr="004E2649">
                              <w:rPr>
                                <w:rFonts w:asciiTheme="majorHAnsi" w:hAnsiTheme="majorHAnsi" w:cs="Arial"/>
                                <w:b/>
                                <w:color w:val="0D0D0D" w:themeColor="text1" w:themeTint="F2"/>
                                <w:sz w:val="36"/>
                                <w:szCs w:val="22"/>
                                <w:lang w:val="es-ES_tradnl"/>
                              </w:rPr>
                              <w:t>-</w:t>
                            </w:r>
                            <w:r w:rsidR="00893AEA">
                              <w:rPr>
                                <w:rFonts w:asciiTheme="majorHAnsi" w:hAnsiTheme="majorHAnsi" w:cs="Arial"/>
                                <w:b/>
                                <w:color w:val="0D0D0D" w:themeColor="text1" w:themeTint="F2"/>
                                <w:sz w:val="36"/>
                                <w:szCs w:val="22"/>
                                <w:lang w:val="es-ES_tradnl"/>
                              </w:rPr>
                              <w:t>10</w:t>
                            </w:r>
                            <w:r w:rsidR="00893AEA"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82DB5">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221F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NATALIO GUILLERMO PERÉS</w:t>
                            </w:r>
                          </w:p>
                          <w:bookmarkEnd w:id="1"/>
                          <w:p w:rsidR="005B52B0" w:rsidRPr="0010736F" w:rsidRDefault="00221FA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E37C6">
                        <w:rPr>
                          <w:rFonts w:asciiTheme="majorHAnsi" w:hAnsiTheme="majorHAnsi" w:cs="Arial"/>
                          <w:b/>
                          <w:bCs/>
                          <w:color w:val="0D0D0D" w:themeColor="text1" w:themeTint="F2"/>
                          <w:sz w:val="36"/>
                          <w:szCs w:val="22"/>
                          <w:lang w:val="es-ES_tradnl"/>
                        </w:rPr>
                        <w:t>127</w:t>
                      </w:r>
                      <w:r w:rsidR="007B05C4">
                        <w:rPr>
                          <w:rFonts w:asciiTheme="majorHAnsi" w:hAnsiTheme="majorHAnsi" w:cs="Arial"/>
                          <w:b/>
                          <w:bCs/>
                          <w:color w:val="0D0D0D" w:themeColor="text1" w:themeTint="F2"/>
                          <w:sz w:val="36"/>
                          <w:szCs w:val="22"/>
                          <w:lang w:val="es-ES_tradnl"/>
                        </w:rPr>
                        <w:t>/1</w:t>
                      </w:r>
                      <w:r w:rsidR="00221FA4">
                        <w:rPr>
                          <w:rFonts w:asciiTheme="majorHAnsi" w:hAnsiTheme="majorHAnsi" w:cs="Arial"/>
                          <w:b/>
                          <w:bCs/>
                          <w:color w:val="0D0D0D" w:themeColor="text1" w:themeTint="F2"/>
                          <w:sz w:val="36"/>
                          <w:szCs w:val="22"/>
                          <w:lang w:val="es-ES_tradnl"/>
                        </w:rPr>
                        <w:t>9</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93AEA">
                        <w:rPr>
                          <w:rFonts w:asciiTheme="majorHAnsi" w:hAnsiTheme="majorHAnsi" w:cs="Arial"/>
                          <w:b/>
                          <w:color w:val="0D0D0D" w:themeColor="text1" w:themeTint="F2"/>
                          <w:sz w:val="36"/>
                          <w:szCs w:val="22"/>
                          <w:lang w:val="es-ES_tradnl"/>
                        </w:rPr>
                        <w:t>1804</w:t>
                      </w:r>
                      <w:r w:rsidR="00246D1F" w:rsidRPr="004E2649">
                        <w:rPr>
                          <w:rFonts w:asciiTheme="majorHAnsi" w:hAnsiTheme="majorHAnsi" w:cs="Arial"/>
                          <w:b/>
                          <w:color w:val="0D0D0D" w:themeColor="text1" w:themeTint="F2"/>
                          <w:sz w:val="36"/>
                          <w:szCs w:val="22"/>
                          <w:lang w:val="es-ES_tradnl"/>
                        </w:rPr>
                        <w:t>-</w:t>
                      </w:r>
                      <w:r w:rsidR="00893AEA">
                        <w:rPr>
                          <w:rFonts w:asciiTheme="majorHAnsi" w:hAnsiTheme="majorHAnsi" w:cs="Arial"/>
                          <w:b/>
                          <w:color w:val="0D0D0D" w:themeColor="text1" w:themeTint="F2"/>
                          <w:sz w:val="36"/>
                          <w:szCs w:val="22"/>
                          <w:lang w:val="es-ES_tradnl"/>
                        </w:rPr>
                        <w:t>10</w:t>
                      </w:r>
                      <w:r w:rsidR="00893AEA"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82DB5">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rsidR="005B52B0" w:rsidRPr="0010736F" w:rsidRDefault="00221FA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NATALIO GUILLERMO PERÉS</w:t>
                      </w:r>
                    </w:p>
                    <w:bookmarkEnd w:id="2"/>
                    <w:p w:rsidR="005B52B0" w:rsidRPr="0010736F" w:rsidRDefault="00221FA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E31B7A" w:rsidRDefault="00627C9F" w:rsidP="007A5817">
                            <w:pPr>
                              <w:spacing w:line="276" w:lineRule="auto"/>
                              <w:jc w:val="right"/>
                              <w:rPr>
                                <w:rFonts w:asciiTheme="minorHAnsi" w:hAnsiTheme="minorHAnsi"/>
                                <w:color w:val="FFFFFF" w:themeColor="background1"/>
                                <w:sz w:val="22"/>
                                <w:lang w:val="pt-BR"/>
                              </w:rPr>
                            </w:pPr>
                            <w:r w:rsidRPr="00E31B7A">
                              <w:rPr>
                                <w:rFonts w:asciiTheme="minorHAnsi" w:hAnsiTheme="minorHAnsi"/>
                                <w:color w:val="FFFFFF" w:themeColor="background1"/>
                                <w:sz w:val="22"/>
                                <w:lang w:val="pt-BR"/>
                              </w:rPr>
                              <w:t xml:space="preserve">Doc. </w:t>
                            </w:r>
                            <w:r w:rsidR="009E37C6" w:rsidRPr="00E31B7A">
                              <w:rPr>
                                <w:rFonts w:asciiTheme="minorHAnsi" w:hAnsiTheme="minorHAnsi"/>
                                <w:color w:val="FFFFFF" w:themeColor="background1"/>
                                <w:sz w:val="22"/>
                                <w:lang w:val="pt-BR"/>
                              </w:rPr>
                              <w:t>136</w:t>
                            </w:r>
                          </w:p>
                          <w:p w:rsidR="00627C9F" w:rsidRPr="00DC16EF" w:rsidRDefault="009E37C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14 agosto</w:t>
                            </w:r>
                            <w:r w:rsidR="00627C9F" w:rsidRPr="00DC16EF">
                              <w:rPr>
                                <w:rFonts w:asciiTheme="minorHAnsi" w:hAnsiTheme="minorHAnsi"/>
                                <w:color w:val="FFFFFF" w:themeColor="background1"/>
                                <w:sz w:val="22"/>
                                <w:lang w:val="es-ES"/>
                              </w:rPr>
                              <w:t xml:space="preserve"> 201</w:t>
                            </w:r>
                            <w:r w:rsidR="00221FA4" w:rsidRPr="00DC16EF">
                              <w:rPr>
                                <w:rFonts w:asciiTheme="minorHAnsi" w:hAnsiTheme="minorHAnsi"/>
                                <w:color w:val="FFFFFF" w:themeColor="background1"/>
                                <w:sz w:val="22"/>
                                <w:lang w:val="es-ES"/>
                              </w:rPr>
                              <w:t>9</w:t>
                            </w:r>
                          </w:p>
                          <w:p w:rsidR="00627C9F" w:rsidRPr="00DC16EF" w:rsidRDefault="00E0340B" w:rsidP="007A5817">
                            <w:pPr>
                              <w:spacing w:line="276" w:lineRule="auto"/>
                              <w:jc w:val="right"/>
                              <w:rPr>
                                <w:rFonts w:asciiTheme="minorHAnsi" w:hAnsiTheme="minorHAnsi"/>
                                <w:color w:val="FFFFFF" w:themeColor="background1"/>
                                <w:sz w:val="22"/>
                                <w:lang w:val="es-ES"/>
                              </w:rPr>
                            </w:pPr>
                            <w:r w:rsidRPr="00DC16EF">
                              <w:rPr>
                                <w:rFonts w:asciiTheme="minorHAnsi" w:hAnsiTheme="minorHAnsi"/>
                                <w:color w:val="FFFFFF" w:themeColor="background1"/>
                                <w:sz w:val="22"/>
                                <w:lang w:val="es-ES"/>
                              </w:rPr>
                              <w:t xml:space="preserve">Original: </w:t>
                            </w:r>
                            <w:r w:rsidR="008B12F5" w:rsidRPr="00DC16EF">
                              <w:rPr>
                                <w:rFonts w:asciiTheme="minorHAnsi" w:hAnsiTheme="minorHAnsi"/>
                                <w:color w:val="FFFFFF" w:themeColor="background1"/>
                                <w:sz w:val="22"/>
                                <w:lang w:val="es-ES"/>
                              </w:rPr>
                              <w:t>e</w:t>
                            </w:r>
                            <w:r w:rsidR="00627C9F" w:rsidRPr="00DC16EF">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627C9F" w:rsidRPr="00E31B7A" w:rsidRDefault="00627C9F" w:rsidP="007A5817">
                      <w:pPr>
                        <w:spacing w:line="276" w:lineRule="auto"/>
                        <w:jc w:val="right"/>
                        <w:rPr>
                          <w:rFonts w:asciiTheme="minorHAnsi" w:hAnsiTheme="minorHAnsi"/>
                          <w:color w:val="FFFFFF" w:themeColor="background1"/>
                          <w:sz w:val="22"/>
                          <w:lang w:val="pt-BR"/>
                        </w:rPr>
                      </w:pPr>
                      <w:r w:rsidRPr="00E31B7A">
                        <w:rPr>
                          <w:rFonts w:asciiTheme="minorHAnsi" w:hAnsiTheme="minorHAnsi"/>
                          <w:color w:val="FFFFFF" w:themeColor="background1"/>
                          <w:sz w:val="22"/>
                          <w:lang w:val="pt-BR"/>
                        </w:rPr>
                        <w:t xml:space="preserve">Doc. </w:t>
                      </w:r>
                      <w:r w:rsidR="009E37C6" w:rsidRPr="00E31B7A">
                        <w:rPr>
                          <w:rFonts w:asciiTheme="minorHAnsi" w:hAnsiTheme="minorHAnsi"/>
                          <w:color w:val="FFFFFF" w:themeColor="background1"/>
                          <w:sz w:val="22"/>
                          <w:lang w:val="pt-BR"/>
                        </w:rPr>
                        <w:t>136</w:t>
                      </w:r>
                    </w:p>
                    <w:p w:rsidR="00627C9F" w:rsidRPr="00DC16EF" w:rsidRDefault="009E37C6"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14 agosto</w:t>
                      </w:r>
                      <w:r w:rsidR="00627C9F" w:rsidRPr="00DC16EF">
                        <w:rPr>
                          <w:rFonts w:asciiTheme="minorHAnsi" w:hAnsiTheme="minorHAnsi"/>
                          <w:color w:val="FFFFFF" w:themeColor="background1"/>
                          <w:sz w:val="22"/>
                          <w:lang w:val="es-ES"/>
                        </w:rPr>
                        <w:t xml:space="preserve"> 201</w:t>
                      </w:r>
                      <w:r w:rsidR="00221FA4" w:rsidRPr="00DC16EF">
                        <w:rPr>
                          <w:rFonts w:asciiTheme="minorHAnsi" w:hAnsiTheme="minorHAnsi"/>
                          <w:color w:val="FFFFFF" w:themeColor="background1"/>
                          <w:sz w:val="22"/>
                          <w:lang w:val="es-ES"/>
                        </w:rPr>
                        <w:t>9</w:t>
                      </w:r>
                    </w:p>
                    <w:p w:rsidR="00627C9F" w:rsidRPr="00DC16EF" w:rsidRDefault="00E0340B" w:rsidP="007A5817">
                      <w:pPr>
                        <w:spacing w:line="276" w:lineRule="auto"/>
                        <w:jc w:val="right"/>
                        <w:rPr>
                          <w:rFonts w:asciiTheme="minorHAnsi" w:hAnsiTheme="minorHAnsi"/>
                          <w:color w:val="FFFFFF" w:themeColor="background1"/>
                          <w:sz w:val="22"/>
                          <w:lang w:val="es-ES"/>
                        </w:rPr>
                      </w:pPr>
                      <w:r w:rsidRPr="00DC16EF">
                        <w:rPr>
                          <w:rFonts w:asciiTheme="minorHAnsi" w:hAnsiTheme="minorHAnsi"/>
                          <w:color w:val="FFFFFF" w:themeColor="background1"/>
                          <w:sz w:val="22"/>
                          <w:lang w:val="es-ES"/>
                        </w:rPr>
                        <w:t xml:space="preserve">Original: </w:t>
                      </w:r>
                      <w:r w:rsidR="008B12F5" w:rsidRPr="00DC16EF">
                        <w:rPr>
                          <w:rFonts w:asciiTheme="minorHAnsi" w:hAnsiTheme="minorHAnsi"/>
                          <w:color w:val="FFFFFF" w:themeColor="background1"/>
                          <w:sz w:val="22"/>
                          <w:lang w:val="es-ES"/>
                        </w:rPr>
                        <w:t>e</w:t>
                      </w:r>
                      <w:r w:rsidR="00627C9F" w:rsidRPr="00DC16EF">
                        <w:rPr>
                          <w:rFonts w:asciiTheme="minorHAnsi" w:hAnsiTheme="minorHAnsi"/>
                          <w:color w:val="FFFFFF" w:themeColor="background1"/>
                          <w:sz w:val="22"/>
                          <w:lang w:val="es-ES"/>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E37C6">
                              <w:rPr>
                                <w:rFonts w:asciiTheme="majorHAnsi" w:hAnsiTheme="majorHAnsi"/>
                                <w:color w:val="0D0D0D" w:themeColor="text1" w:themeTint="F2"/>
                                <w:sz w:val="18"/>
                                <w:szCs w:val="22"/>
                                <w:lang w:val="es-ES"/>
                              </w:rPr>
                              <w:t>14</w:t>
                            </w:r>
                            <w:r w:rsidRPr="00890650">
                              <w:rPr>
                                <w:rFonts w:asciiTheme="majorHAnsi" w:hAnsiTheme="majorHAnsi"/>
                                <w:color w:val="0D0D0D" w:themeColor="text1" w:themeTint="F2"/>
                                <w:sz w:val="18"/>
                                <w:szCs w:val="22"/>
                                <w:lang w:val="es-ES"/>
                              </w:rPr>
                              <w:t xml:space="preserve"> de </w:t>
                            </w:r>
                            <w:r w:rsidR="009E37C6">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091991">
                              <w:rPr>
                                <w:rFonts w:asciiTheme="majorHAnsi" w:hAnsiTheme="majorHAnsi"/>
                                <w:color w:val="0D0D0D" w:themeColor="text1" w:themeTint="F2"/>
                                <w:sz w:val="18"/>
                                <w:szCs w:val="22"/>
                                <w:lang w:val="es-ES"/>
                              </w:rPr>
                              <w:t>9</w:t>
                            </w:r>
                            <w:r w:rsidR="00DC16EF">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E37C6">
                        <w:rPr>
                          <w:rFonts w:asciiTheme="majorHAnsi" w:hAnsiTheme="majorHAnsi"/>
                          <w:color w:val="0D0D0D" w:themeColor="text1" w:themeTint="F2"/>
                          <w:sz w:val="18"/>
                          <w:szCs w:val="22"/>
                          <w:lang w:val="es-ES"/>
                        </w:rPr>
                        <w:t>14</w:t>
                      </w:r>
                      <w:r w:rsidRPr="00890650">
                        <w:rPr>
                          <w:rFonts w:asciiTheme="majorHAnsi" w:hAnsiTheme="majorHAnsi"/>
                          <w:color w:val="0D0D0D" w:themeColor="text1" w:themeTint="F2"/>
                          <w:sz w:val="18"/>
                          <w:szCs w:val="22"/>
                          <w:lang w:val="es-ES"/>
                        </w:rPr>
                        <w:t xml:space="preserve"> de </w:t>
                      </w:r>
                      <w:r w:rsidR="009E37C6">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091991">
                        <w:rPr>
                          <w:rFonts w:asciiTheme="majorHAnsi" w:hAnsiTheme="majorHAnsi"/>
                          <w:color w:val="0D0D0D" w:themeColor="text1" w:themeTint="F2"/>
                          <w:sz w:val="18"/>
                          <w:szCs w:val="22"/>
                          <w:lang w:val="es-ES"/>
                        </w:rPr>
                        <w:t>9</w:t>
                      </w:r>
                      <w:r w:rsidR="00DC16EF">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E37C6">
                              <w:rPr>
                                <w:rFonts w:asciiTheme="majorHAnsi" w:hAnsiTheme="majorHAnsi"/>
                                <w:color w:val="595959" w:themeColor="text1" w:themeTint="A6"/>
                                <w:sz w:val="18"/>
                                <w:szCs w:val="18"/>
                                <w:lang w:val="pt-BR"/>
                              </w:rPr>
                              <w:t>127</w:t>
                            </w:r>
                            <w:r w:rsidR="006D0BD8" w:rsidRPr="009E37C6">
                              <w:rPr>
                                <w:rFonts w:asciiTheme="majorHAnsi" w:hAnsiTheme="majorHAnsi"/>
                                <w:color w:val="595959" w:themeColor="text1" w:themeTint="A6"/>
                                <w:sz w:val="18"/>
                                <w:szCs w:val="18"/>
                                <w:lang w:val="pt-BR"/>
                              </w:rPr>
                              <w:t>/19</w:t>
                            </w:r>
                            <w:r w:rsidRPr="009E37C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D0BD8">
                              <w:rPr>
                                <w:rFonts w:asciiTheme="majorHAnsi" w:hAnsiTheme="majorHAnsi"/>
                                <w:color w:val="595959" w:themeColor="text1" w:themeTint="A6"/>
                                <w:sz w:val="18"/>
                                <w:szCs w:val="18"/>
                                <w:lang w:val="es-ES"/>
                              </w:rPr>
                              <w:t xml:space="preserve">1804-10. </w:t>
                            </w:r>
                            <w:r w:rsidRPr="00890650">
                              <w:rPr>
                                <w:rFonts w:asciiTheme="majorHAnsi" w:hAnsiTheme="majorHAnsi"/>
                                <w:color w:val="595959" w:themeColor="text1" w:themeTint="A6"/>
                                <w:sz w:val="18"/>
                                <w:szCs w:val="18"/>
                                <w:lang w:val="es-ES_tradnl"/>
                              </w:rPr>
                              <w:t xml:space="preserve">Inadmisibilidad. </w:t>
                            </w:r>
                            <w:r w:rsidR="00091991">
                              <w:rPr>
                                <w:rFonts w:asciiTheme="majorHAnsi" w:hAnsiTheme="majorHAnsi"/>
                                <w:color w:val="595959" w:themeColor="text1" w:themeTint="A6"/>
                                <w:sz w:val="18"/>
                                <w:szCs w:val="18"/>
                                <w:lang w:val="es-ES_tradnl"/>
                              </w:rPr>
                              <w:t>Natalio Guillermo Perés</w:t>
                            </w:r>
                            <w:r w:rsidRPr="00890650">
                              <w:rPr>
                                <w:rFonts w:asciiTheme="majorHAnsi" w:hAnsiTheme="majorHAnsi"/>
                                <w:color w:val="595959" w:themeColor="text1" w:themeTint="A6"/>
                                <w:sz w:val="18"/>
                                <w:szCs w:val="18"/>
                                <w:lang w:val="es-ES_tradnl"/>
                              </w:rPr>
                              <w:t xml:space="preserve">. </w:t>
                            </w:r>
                            <w:r w:rsidR="00091991">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9E37C6">
                              <w:rPr>
                                <w:rFonts w:asciiTheme="majorHAnsi" w:hAnsiTheme="majorHAnsi"/>
                                <w:color w:val="595959" w:themeColor="text1" w:themeTint="A6"/>
                                <w:sz w:val="18"/>
                                <w:szCs w:val="18"/>
                                <w:lang w:val="es-ES"/>
                              </w:rPr>
                              <w:t>14 de agosto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E37C6">
                        <w:rPr>
                          <w:rFonts w:asciiTheme="majorHAnsi" w:hAnsiTheme="majorHAnsi"/>
                          <w:color w:val="595959" w:themeColor="text1" w:themeTint="A6"/>
                          <w:sz w:val="18"/>
                          <w:szCs w:val="18"/>
                          <w:lang w:val="pt-BR"/>
                        </w:rPr>
                        <w:t>127</w:t>
                      </w:r>
                      <w:r w:rsidR="006D0BD8" w:rsidRPr="009E37C6">
                        <w:rPr>
                          <w:rFonts w:asciiTheme="majorHAnsi" w:hAnsiTheme="majorHAnsi"/>
                          <w:color w:val="595959" w:themeColor="text1" w:themeTint="A6"/>
                          <w:sz w:val="18"/>
                          <w:szCs w:val="18"/>
                          <w:lang w:val="pt-BR"/>
                        </w:rPr>
                        <w:t>/19</w:t>
                      </w:r>
                      <w:r w:rsidRPr="009E37C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D0BD8">
                        <w:rPr>
                          <w:rFonts w:asciiTheme="majorHAnsi" w:hAnsiTheme="majorHAnsi"/>
                          <w:color w:val="595959" w:themeColor="text1" w:themeTint="A6"/>
                          <w:sz w:val="18"/>
                          <w:szCs w:val="18"/>
                          <w:lang w:val="es-ES"/>
                        </w:rPr>
                        <w:t xml:space="preserve">1804-10. </w:t>
                      </w:r>
                      <w:r w:rsidRPr="00890650">
                        <w:rPr>
                          <w:rFonts w:asciiTheme="majorHAnsi" w:hAnsiTheme="majorHAnsi"/>
                          <w:color w:val="595959" w:themeColor="text1" w:themeTint="A6"/>
                          <w:sz w:val="18"/>
                          <w:szCs w:val="18"/>
                          <w:lang w:val="es-ES_tradnl"/>
                        </w:rPr>
                        <w:t xml:space="preserve">Inadmisibilidad. </w:t>
                      </w:r>
                      <w:r w:rsidR="00091991">
                        <w:rPr>
                          <w:rFonts w:asciiTheme="majorHAnsi" w:hAnsiTheme="majorHAnsi"/>
                          <w:color w:val="595959" w:themeColor="text1" w:themeTint="A6"/>
                          <w:sz w:val="18"/>
                          <w:szCs w:val="18"/>
                          <w:lang w:val="es-ES_tradnl"/>
                        </w:rPr>
                        <w:t>Natalio Guillermo Perés</w:t>
                      </w:r>
                      <w:r w:rsidRPr="00890650">
                        <w:rPr>
                          <w:rFonts w:asciiTheme="majorHAnsi" w:hAnsiTheme="majorHAnsi"/>
                          <w:color w:val="595959" w:themeColor="text1" w:themeTint="A6"/>
                          <w:sz w:val="18"/>
                          <w:szCs w:val="18"/>
                          <w:lang w:val="es-ES_tradnl"/>
                        </w:rPr>
                        <w:t xml:space="preserve">. </w:t>
                      </w:r>
                      <w:r w:rsidR="00091991">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9E37C6">
                        <w:rPr>
                          <w:rFonts w:asciiTheme="majorHAnsi" w:hAnsiTheme="majorHAnsi"/>
                          <w:color w:val="595959" w:themeColor="text1" w:themeTint="A6"/>
                          <w:sz w:val="18"/>
                          <w:szCs w:val="18"/>
                          <w:lang w:val="es-ES"/>
                        </w:rPr>
                        <w:t>14 de agosto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737CFE" w:rsidRDefault="003239B8" w:rsidP="004A6A54">
      <w:pPr>
        <w:spacing w:after="240"/>
        <w:ind w:firstLine="720"/>
        <w:jc w:val="both"/>
        <w:rPr>
          <w:rFonts w:asciiTheme="majorHAnsi" w:hAnsiTheme="majorHAnsi"/>
          <w:b/>
          <w:bCs/>
          <w:sz w:val="19"/>
          <w:szCs w:val="19"/>
          <w:lang w:val="es-ES"/>
        </w:rPr>
      </w:pPr>
      <w:r w:rsidRPr="00737CFE">
        <w:rPr>
          <w:rFonts w:asciiTheme="majorHAnsi" w:hAnsiTheme="majorHAnsi"/>
          <w:b/>
          <w:bCs/>
          <w:sz w:val="19"/>
          <w:szCs w:val="19"/>
          <w:lang w:val="es-ES"/>
        </w:rPr>
        <w:lastRenderedPageBreak/>
        <w:t>I.</w:t>
      </w:r>
      <w:r w:rsidRPr="00737CFE">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37CFE" w:rsidTr="004A6A54">
        <w:tc>
          <w:tcPr>
            <w:tcW w:w="3600" w:type="dxa"/>
            <w:tcBorders>
              <w:top w:val="single" w:sz="4" w:space="0" w:color="auto"/>
              <w:bottom w:val="single" w:sz="6" w:space="0" w:color="auto"/>
            </w:tcBorders>
            <w:shd w:val="clear" w:color="auto" w:fill="386294"/>
            <w:vAlign w:val="center"/>
          </w:tcPr>
          <w:p w:rsidR="003239B8" w:rsidRPr="00737CFE" w:rsidRDefault="003239B8" w:rsidP="008D2290">
            <w:pPr>
              <w:jc w:val="center"/>
              <w:rPr>
                <w:rFonts w:asciiTheme="majorHAnsi" w:hAnsiTheme="majorHAnsi"/>
                <w:b/>
                <w:bCs/>
                <w:color w:val="FFFFFF" w:themeColor="background1"/>
                <w:sz w:val="19"/>
                <w:szCs w:val="19"/>
              </w:rPr>
            </w:pPr>
            <w:r w:rsidRPr="00737CFE">
              <w:rPr>
                <w:rFonts w:asciiTheme="majorHAnsi" w:hAnsiTheme="majorHAnsi"/>
                <w:b/>
                <w:bCs/>
                <w:color w:val="FFFFFF" w:themeColor="background1"/>
                <w:sz w:val="19"/>
                <w:szCs w:val="19"/>
              </w:rPr>
              <w:t>Parte peticionaria:</w:t>
            </w:r>
          </w:p>
        </w:tc>
        <w:tc>
          <w:tcPr>
            <w:tcW w:w="5760" w:type="dxa"/>
            <w:vAlign w:val="center"/>
          </w:tcPr>
          <w:p w:rsidR="003239B8" w:rsidRPr="00737CFE" w:rsidRDefault="006D0BD8" w:rsidP="008D2290">
            <w:pPr>
              <w:jc w:val="both"/>
              <w:rPr>
                <w:rFonts w:asciiTheme="majorHAnsi" w:hAnsiTheme="majorHAnsi"/>
                <w:bCs/>
                <w:sz w:val="19"/>
                <w:szCs w:val="19"/>
              </w:rPr>
            </w:pPr>
            <w:r w:rsidRPr="00737CFE">
              <w:rPr>
                <w:rFonts w:asciiTheme="majorHAnsi" w:hAnsiTheme="majorHAnsi"/>
                <w:bCs/>
                <w:sz w:val="19"/>
                <w:szCs w:val="19"/>
              </w:rPr>
              <w:t>Natalio Guillermo Perés</w:t>
            </w:r>
          </w:p>
        </w:tc>
      </w:tr>
      <w:tr w:rsidR="003239B8" w:rsidRPr="00737CFE" w:rsidTr="004A6A54">
        <w:tc>
          <w:tcPr>
            <w:tcW w:w="3600" w:type="dxa"/>
            <w:tcBorders>
              <w:top w:val="single" w:sz="6" w:space="0" w:color="auto"/>
              <w:bottom w:val="single" w:sz="6" w:space="0" w:color="auto"/>
            </w:tcBorders>
            <w:shd w:val="clear" w:color="auto" w:fill="386294"/>
            <w:vAlign w:val="center"/>
          </w:tcPr>
          <w:p w:rsidR="003239B8" w:rsidRPr="00737CFE" w:rsidRDefault="00B971B8" w:rsidP="008D2290">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737CFE">
                  <w:rPr>
                    <w:rFonts w:asciiTheme="majorHAnsi" w:hAnsiTheme="majorHAnsi"/>
                    <w:b/>
                    <w:bCs/>
                    <w:color w:val="FFFFFF" w:themeColor="background1"/>
                    <w:sz w:val="19"/>
                    <w:szCs w:val="19"/>
                  </w:rPr>
                  <w:t>Presunta víctima</w:t>
                </w:r>
              </w:sdtContent>
            </w:sdt>
            <w:r w:rsidR="003239B8" w:rsidRPr="00737CFE">
              <w:rPr>
                <w:rFonts w:asciiTheme="majorHAnsi" w:hAnsiTheme="majorHAnsi"/>
                <w:b/>
                <w:bCs/>
                <w:color w:val="FFFFFF" w:themeColor="background1"/>
                <w:sz w:val="19"/>
                <w:szCs w:val="19"/>
              </w:rPr>
              <w:t>:</w:t>
            </w:r>
          </w:p>
        </w:tc>
        <w:tc>
          <w:tcPr>
            <w:tcW w:w="5760" w:type="dxa"/>
            <w:vAlign w:val="center"/>
          </w:tcPr>
          <w:p w:rsidR="003239B8" w:rsidRPr="00737CFE" w:rsidRDefault="006D0BD8" w:rsidP="008D2290">
            <w:pPr>
              <w:jc w:val="both"/>
              <w:rPr>
                <w:rFonts w:asciiTheme="majorHAnsi" w:hAnsiTheme="majorHAnsi"/>
                <w:bCs/>
                <w:sz w:val="19"/>
                <w:szCs w:val="19"/>
                <w:lang w:val="es-ES"/>
              </w:rPr>
            </w:pPr>
            <w:r w:rsidRPr="00737CFE">
              <w:rPr>
                <w:rFonts w:asciiTheme="majorHAnsi" w:hAnsiTheme="majorHAnsi"/>
                <w:bCs/>
                <w:sz w:val="19"/>
                <w:szCs w:val="19"/>
                <w:lang w:val="es-ES"/>
              </w:rPr>
              <w:t>Natalio Guillermo Perés</w:t>
            </w:r>
          </w:p>
        </w:tc>
      </w:tr>
      <w:tr w:rsidR="003239B8" w:rsidRPr="00737CFE" w:rsidTr="004A6A54">
        <w:tc>
          <w:tcPr>
            <w:tcW w:w="3600" w:type="dxa"/>
            <w:tcBorders>
              <w:top w:val="single" w:sz="6" w:space="0" w:color="auto"/>
              <w:bottom w:val="single" w:sz="6" w:space="0" w:color="auto"/>
            </w:tcBorders>
            <w:shd w:val="clear" w:color="auto" w:fill="386294"/>
            <w:vAlign w:val="center"/>
          </w:tcPr>
          <w:p w:rsidR="003239B8" w:rsidRPr="00737CFE" w:rsidRDefault="003239B8" w:rsidP="008D2290">
            <w:pPr>
              <w:jc w:val="center"/>
              <w:rPr>
                <w:rFonts w:asciiTheme="majorHAnsi" w:hAnsiTheme="majorHAnsi"/>
                <w:b/>
                <w:bCs/>
                <w:color w:val="FFFFFF" w:themeColor="background1"/>
                <w:sz w:val="19"/>
                <w:szCs w:val="19"/>
              </w:rPr>
            </w:pPr>
            <w:r w:rsidRPr="00737CFE">
              <w:rPr>
                <w:rFonts w:asciiTheme="majorHAnsi" w:hAnsiTheme="majorHAnsi"/>
                <w:b/>
                <w:bCs/>
                <w:color w:val="FFFFFF" w:themeColor="background1"/>
                <w:sz w:val="19"/>
                <w:szCs w:val="19"/>
              </w:rPr>
              <w:t>Estado denunciado:</w:t>
            </w:r>
          </w:p>
        </w:tc>
        <w:tc>
          <w:tcPr>
            <w:tcW w:w="5760" w:type="dxa"/>
            <w:vAlign w:val="center"/>
          </w:tcPr>
          <w:p w:rsidR="003239B8" w:rsidRPr="00737CFE" w:rsidRDefault="006D0BD8" w:rsidP="008C028A">
            <w:pPr>
              <w:jc w:val="both"/>
              <w:rPr>
                <w:rFonts w:asciiTheme="majorHAnsi" w:hAnsiTheme="majorHAnsi"/>
                <w:bCs/>
                <w:sz w:val="19"/>
                <w:szCs w:val="19"/>
              </w:rPr>
            </w:pPr>
            <w:r w:rsidRPr="00737CFE">
              <w:rPr>
                <w:rFonts w:asciiTheme="majorHAnsi" w:hAnsiTheme="majorHAnsi"/>
                <w:bCs/>
                <w:sz w:val="19"/>
                <w:szCs w:val="19"/>
              </w:rPr>
              <w:t>Argentina</w:t>
            </w:r>
          </w:p>
        </w:tc>
      </w:tr>
      <w:tr w:rsidR="00223A29" w:rsidRPr="00E31B7A" w:rsidTr="004A6A54">
        <w:tc>
          <w:tcPr>
            <w:tcW w:w="3600" w:type="dxa"/>
            <w:tcBorders>
              <w:top w:val="single" w:sz="6" w:space="0" w:color="auto"/>
              <w:bottom w:val="single" w:sz="6" w:space="0" w:color="auto"/>
            </w:tcBorders>
            <w:shd w:val="clear" w:color="auto" w:fill="386294"/>
            <w:vAlign w:val="center"/>
          </w:tcPr>
          <w:p w:rsidR="00223A29" w:rsidRPr="00737CFE" w:rsidRDefault="001B3A00" w:rsidP="00E4118C">
            <w:pPr>
              <w:jc w:val="center"/>
              <w:rPr>
                <w:rFonts w:asciiTheme="majorHAnsi" w:hAnsiTheme="majorHAnsi"/>
                <w:b/>
                <w:bCs/>
                <w:color w:val="FFFFFF" w:themeColor="background1"/>
                <w:sz w:val="19"/>
                <w:szCs w:val="19"/>
              </w:rPr>
            </w:pPr>
            <w:r w:rsidRPr="00737CFE">
              <w:rPr>
                <w:rFonts w:asciiTheme="majorHAnsi" w:hAnsiTheme="majorHAnsi"/>
                <w:b/>
                <w:bCs/>
                <w:color w:val="FFFFFF" w:themeColor="background1"/>
                <w:sz w:val="19"/>
                <w:szCs w:val="19"/>
              </w:rPr>
              <w:t xml:space="preserve">Derechos </w:t>
            </w:r>
            <w:r w:rsidR="00E4118C" w:rsidRPr="00737CFE">
              <w:rPr>
                <w:rFonts w:asciiTheme="majorHAnsi" w:hAnsiTheme="majorHAnsi"/>
                <w:b/>
                <w:bCs/>
                <w:color w:val="FFFFFF" w:themeColor="background1"/>
                <w:sz w:val="19"/>
                <w:szCs w:val="19"/>
              </w:rPr>
              <w:t>invocados</w:t>
            </w:r>
            <w:r w:rsidRPr="00737CFE">
              <w:rPr>
                <w:rFonts w:asciiTheme="majorHAnsi" w:hAnsiTheme="majorHAnsi"/>
                <w:b/>
                <w:bCs/>
                <w:color w:val="FFFFFF" w:themeColor="background1"/>
                <w:sz w:val="19"/>
                <w:szCs w:val="19"/>
              </w:rPr>
              <w:t>:</w:t>
            </w:r>
          </w:p>
        </w:tc>
        <w:tc>
          <w:tcPr>
            <w:tcW w:w="5760" w:type="dxa"/>
            <w:vAlign w:val="center"/>
          </w:tcPr>
          <w:p w:rsidR="00223A29" w:rsidRPr="00737CFE" w:rsidRDefault="00FB4BF3" w:rsidP="006B6B4D">
            <w:pPr>
              <w:jc w:val="both"/>
              <w:rPr>
                <w:rFonts w:asciiTheme="majorHAnsi" w:hAnsiTheme="majorHAnsi"/>
                <w:bCs/>
                <w:sz w:val="19"/>
                <w:szCs w:val="19"/>
                <w:lang w:val="es-AR"/>
              </w:rPr>
            </w:pPr>
            <w:r w:rsidRPr="00737CFE">
              <w:rPr>
                <w:rFonts w:asciiTheme="majorHAnsi" w:hAnsiTheme="majorHAnsi"/>
                <w:bCs/>
                <w:sz w:val="19"/>
                <w:szCs w:val="19"/>
                <w:lang w:val="es-AR"/>
              </w:rPr>
              <w:t xml:space="preserve">8 (garantías judiciales), </w:t>
            </w:r>
            <w:r w:rsidR="00865A09" w:rsidRPr="00737CFE">
              <w:rPr>
                <w:rFonts w:asciiTheme="majorHAnsi" w:hAnsiTheme="majorHAnsi"/>
                <w:bCs/>
                <w:sz w:val="19"/>
                <w:szCs w:val="19"/>
                <w:lang w:val="es-AR"/>
              </w:rPr>
              <w:t>9 (legalidad y retroactividad)</w:t>
            </w:r>
            <w:r w:rsidR="006A2DBE" w:rsidRPr="00737CFE">
              <w:rPr>
                <w:rFonts w:asciiTheme="majorHAnsi" w:hAnsiTheme="majorHAnsi"/>
                <w:bCs/>
                <w:sz w:val="19"/>
                <w:szCs w:val="19"/>
                <w:lang w:val="es-AR"/>
              </w:rPr>
              <w:t>,</w:t>
            </w:r>
            <w:r w:rsidR="00E0774E" w:rsidRPr="00737CFE">
              <w:rPr>
                <w:rFonts w:asciiTheme="majorHAnsi" w:hAnsiTheme="majorHAnsi"/>
                <w:bCs/>
                <w:sz w:val="19"/>
                <w:szCs w:val="19"/>
                <w:lang w:val="es-AR"/>
              </w:rPr>
              <w:t xml:space="preserve"> </w:t>
            </w:r>
            <w:r w:rsidR="00CC7023" w:rsidRPr="00737CFE">
              <w:rPr>
                <w:rFonts w:asciiTheme="majorHAnsi" w:hAnsiTheme="majorHAnsi"/>
                <w:bCs/>
                <w:sz w:val="19"/>
                <w:szCs w:val="19"/>
                <w:lang w:val="es-AR"/>
              </w:rPr>
              <w:t xml:space="preserve">21 (propiedad privada), </w:t>
            </w:r>
            <w:r w:rsidRPr="00737CFE">
              <w:rPr>
                <w:rFonts w:asciiTheme="majorHAnsi" w:hAnsiTheme="majorHAnsi"/>
                <w:bCs/>
                <w:sz w:val="19"/>
                <w:szCs w:val="19"/>
                <w:lang w:val="es-AR"/>
              </w:rPr>
              <w:t>24 (igualdad ante la ley),</w:t>
            </w:r>
            <w:r w:rsidR="00CC7023" w:rsidRPr="00737CFE">
              <w:rPr>
                <w:rFonts w:asciiTheme="majorHAnsi" w:hAnsiTheme="majorHAnsi"/>
                <w:bCs/>
                <w:sz w:val="19"/>
                <w:szCs w:val="19"/>
                <w:lang w:val="es-AR"/>
              </w:rPr>
              <w:t xml:space="preserve"> 25 (protección judicial)</w:t>
            </w:r>
            <w:r w:rsidRPr="00737CFE">
              <w:rPr>
                <w:rFonts w:asciiTheme="majorHAnsi" w:hAnsiTheme="majorHAnsi"/>
                <w:bCs/>
                <w:sz w:val="19"/>
                <w:szCs w:val="19"/>
                <w:lang w:val="es-AR"/>
              </w:rPr>
              <w:t xml:space="preserve"> de la Convención Americana sobre Derechos Humanos</w:t>
            </w:r>
            <w:r w:rsidRPr="00737CFE">
              <w:rPr>
                <w:rStyle w:val="FootnoteReference"/>
                <w:rFonts w:asciiTheme="majorHAnsi" w:hAnsiTheme="majorHAnsi"/>
                <w:b/>
                <w:sz w:val="19"/>
                <w:szCs w:val="19"/>
              </w:rPr>
              <w:footnoteReference w:id="2"/>
            </w:r>
            <w:r w:rsidRPr="00737CFE">
              <w:rPr>
                <w:rFonts w:asciiTheme="majorHAnsi" w:hAnsiTheme="majorHAnsi"/>
                <w:bCs/>
                <w:sz w:val="19"/>
                <w:szCs w:val="19"/>
                <w:lang w:val="es-AR"/>
              </w:rPr>
              <w:t xml:space="preserve"> </w:t>
            </w:r>
            <w:r w:rsidR="004805E9" w:rsidRPr="00737CFE">
              <w:rPr>
                <w:rFonts w:asciiTheme="majorHAnsi" w:hAnsiTheme="majorHAnsi"/>
                <w:bCs/>
                <w:sz w:val="19"/>
                <w:szCs w:val="19"/>
                <w:lang w:val="es-US"/>
              </w:rPr>
              <w:t xml:space="preserve">en relación con los </w:t>
            </w:r>
            <w:r w:rsidRPr="00737CFE">
              <w:rPr>
                <w:rFonts w:asciiTheme="majorHAnsi" w:hAnsiTheme="majorHAnsi"/>
                <w:bCs/>
                <w:sz w:val="19"/>
                <w:szCs w:val="19"/>
                <w:lang w:val="es-US"/>
              </w:rPr>
              <w:t>artículo</w:t>
            </w:r>
            <w:r w:rsidR="004805E9" w:rsidRPr="00737CFE">
              <w:rPr>
                <w:rFonts w:asciiTheme="majorHAnsi" w:hAnsiTheme="majorHAnsi"/>
                <w:bCs/>
                <w:sz w:val="19"/>
                <w:szCs w:val="19"/>
                <w:lang w:val="es-US"/>
              </w:rPr>
              <w:t>s</w:t>
            </w:r>
            <w:r w:rsidRPr="00737CFE">
              <w:rPr>
                <w:rFonts w:asciiTheme="majorHAnsi" w:hAnsiTheme="majorHAnsi"/>
                <w:bCs/>
                <w:sz w:val="19"/>
                <w:szCs w:val="19"/>
                <w:lang w:val="es-US"/>
              </w:rPr>
              <w:t xml:space="preserve"> 1 (obligación de respetar los derechos)</w:t>
            </w:r>
            <w:r w:rsidR="004805E9" w:rsidRPr="00737CFE">
              <w:rPr>
                <w:rFonts w:asciiTheme="majorHAnsi" w:hAnsiTheme="majorHAnsi"/>
                <w:bCs/>
                <w:sz w:val="19"/>
                <w:szCs w:val="19"/>
                <w:lang w:val="es-US"/>
              </w:rPr>
              <w:t xml:space="preserve"> y </w:t>
            </w:r>
            <w:r w:rsidR="004805E9" w:rsidRPr="00737CFE">
              <w:rPr>
                <w:rFonts w:asciiTheme="majorHAnsi" w:hAnsiTheme="majorHAnsi"/>
                <w:bCs/>
                <w:sz w:val="19"/>
                <w:szCs w:val="19"/>
                <w:lang w:val="es-AR"/>
              </w:rPr>
              <w:t>Artículos 2 (deber de adoptar disposiciones de derecho interno)</w:t>
            </w:r>
            <w:r w:rsidRPr="00737CFE">
              <w:rPr>
                <w:rFonts w:asciiTheme="majorHAnsi" w:hAnsiTheme="majorHAnsi"/>
                <w:bCs/>
                <w:sz w:val="19"/>
                <w:szCs w:val="19"/>
                <w:lang w:val="es-US"/>
              </w:rPr>
              <w:t xml:space="preserve">; </w:t>
            </w:r>
            <w:r w:rsidR="009829F1" w:rsidRPr="00737CFE">
              <w:rPr>
                <w:rFonts w:asciiTheme="majorHAnsi" w:hAnsiTheme="majorHAnsi"/>
                <w:bCs/>
                <w:sz w:val="19"/>
                <w:szCs w:val="19"/>
                <w:lang w:val="es-AR"/>
              </w:rPr>
              <w:t>XVIII (Justicia), XXVI</w:t>
            </w:r>
            <w:r w:rsidRPr="00737CFE">
              <w:rPr>
                <w:rFonts w:asciiTheme="majorHAnsi" w:hAnsiTheme="majorHAnsi"/>
                <w:bCs/>
                <w:sz w:val="19"/>
                <w:szCs w:val="19"/>
                <w:lang w:val="es-AR"/>
              </w:rPr>
              <w:t xml:space="preserve"> (</w:t>
            </w:r>
            <w:r w:rsidR="009829F1" w:rsidRPr="00737CFE">
              <w:rPr>
                <w:rFonts w:asciiTheme="majorHAnsi" w:hAnsiTheme="majorHAnsi"/>
                <w:bCs/>
                <w:sz w:val="19"/>
                <w:szCs w:val="19"/>
                <w:lang w:val="es-AR"/>
              </w:rPr>
              <w:t>proceso regular</w:t>
            </w:r>
            <w:r w:rsidRPr="00737CFE">
              <w:rPr>
                <w:rFonts w:asciiTheme="majorHAnsi" w:hAnsiTheme="majorHAnsi"/>
                <w:bCs/>
                <w:sz w:val="19"/>
                <w:szCs w:val="19"/>
                <w:lang w:val="es-AR"/>
              </w:rPr>
              <w:t xml:space="preserve">) de la Declaración Americana </w:t>
            </w:r>
            <w:r w:rsidR="00B96709" w:rsidRPr="00737CFE">
              <w:rPr>
                <w:rFonts w:asciiTheme="majorHAnsi" w:hAnsiTheme="majorHAnsi"/>
                <w:bCs/>
                <w:sz w:val="19"/>
                <w:szCs w:val="19"/>
                <w:lang w:val="es-AR"/>
              </w:rPr>
              <w:t>de Derechos y Deberes del Hombre</w:t>
            </w:r>
            <w:r w:rsidRPr="00737CFE">
              <w:rPr>
                <w:rStyle w:val="FootnoteReference"/>
                <w:rFonts w:asciiTheme="majorHAnsi" w:hAnsiTheme="majorHAnsi"/>
                <w:b/>
                <w:sz w:val="19"/>
                <w:szCs w:val="19"/>
              </w:rPr>
              <w:footnoteReference w:id="3"/>
            </w:r>
            <w:r w:rsidRPr="00737CFE">
              <w:rPr>
                <w:rFonts w:asciiTheme="majorHAnsi" w:hAnsiTheme="majorHAnsi"/>
                <w:bCs/>
                <w:sz w:val="19"/>
                <w:szCs w:val="19"/>
                <w:lang w:val="es-AR"/>
              </w:rPr>
              <w:t>; y</w:t>
            </w:r>
            <w:r w:rsidRPr="00737CFE">
              <w:rPr>
                <w:rFonts w:asciiTheme="majorHAnsi" w:hAnsiTheme="majorHAnsi"/>
                <w:bCs/>
                <w:sz w:val="19"/>
                <w:szCs w:val="19"/>
                <w:lang w:val="es-US"/>
              </w:rPr>
              <w:t xml:space="preserve"> </w:t>
            </w:r>
            <w:r w:rsidR="009829F1" w:rsidRPr="00737CFE">
              <w:rPr>
                <w:rFonts w:asciiTheme="majorHAnsi" w:hAnsiTheme="majorHAnsi"/>
                <w:bCs/>
                <w:sz w:val="19"/>
                <w:szCs w:val="19"/>
                <w:lang w:val="es-US"/>
              </w:rPr>
              <w:t xml:space="preserve">otros </w:t>
            </w:r>
            <w:r w:rsidR="006B6B4D" w:rsidRPr="00737CFE">
              <w:rPr>
                <w:rFonts w:asciiTheme="majorHAnsi" w:hAnsiTheme="majorHAnsi"/>
                <w:bCs/>
                <w:sz w:val="19"/>
                <w:szCs w:val="19"/>
                <w:lang w:val="es-US"/>
              </w:rPr>
              <w:t>instrumentos internacionales</w:t>
            </w:r>
            <w:r w:rsidR="009829F1" w:rsidRPr="00737CFE">
              <w:rPr>
                <w:rStyle w:val="FootnoteReference"/>
                <w:rFonts w:asciiTheme="majorHAnsi" w:hAnsiTheme="majorHAnsi"/>
                <w:bCs/>
                <w:sz w:val="19"/>
                <w:szCs w:val="19"/>
              </w:rPr>
              <w:footnoteReference w:id="4"/>
            </w:r>
          </w:p>
        </w:tc>
      </w:tr>
    </w:tbl>
    <w:p w:rsidR="003239B8" w:rsidRPr="00737CFE" w:rsidRDefault="003239B8" w:rsidP="003239B8">
      <w:pPr>
        <w:spacing w:before="240" w:after="240"/>
        <w:ind w:firstLine="720"/>
        <w:jc w:val="both"/>
        <w:rPr>
          <w:rFonts w:asciiTheme="majorHAnsi" w:hAnsiTheme="majorHAnsi"/>
          <w:b/>
          <w:bCs/>
          <w:sz w:val="19"/>
          <w:szCs w:val="19"/>
          <w:lang w:val="es-AR"/>
        </w:rPr>
      </w:pPr>
      <w:r w:rsidRPr="00737CFE">
        <w:rPr>
          <w:rFonts w:asciiTheme="majorHAnsi" w:hAnsiTheme="majorHAnsi"/>
          <w:b/>
          <w:bCs/>
          <w:sz w:val="19"/>
          <w:szCs w:val="19"/>
          <w:lang w:val="es-ES"/>
        </w:rPr>
        <w:t>II.</w:t>
      </w:r>
      <w:r w:rsidRPr="00737CFE">
        <w:rPr>
          <w:rFonts w:asciiTheme="majorHAnsi" w:hAnsiTheme="majorHAnsi"/>
          <w:b/>
          <w:bCs/>
          <w:sz w:val="19"/>
          <w:szCs w:val="19"/>
          <w:lang w:val="es-ES"/>
        </w:rPr>
        <w:tab/>
        <w:t>TRÁMITE ANTE LA CIDH</w:t>
      </w:r>
      <w:r w:rsidR="008E3BFE" w:rsidRPr="00737CFE">
        <w:rPr>
          <w:rStyle w:val="FootnoteReference"/>
          <w:rFonts w:asciiTheme="majorHAnsi" w:hAnsiTheme="majorHAnsi"/>
          <w:b/>
          <w:sz w:val="19"/>
          <w:szCs w:val="19"/>
        </w:rPr>
        <w:footnoteReference w:id="5"/>
      </w:r>
      <w:r w:rsidR="009829F1" w:rsidRPr="00737CFE">
        <w:rPr>
          <w:rFonts w:asciiTheme="majorHAnsi" w:hAnsiTheme="majorHAnsi" w:cs="Tahoma"/>
          <w:color w:val="333333"/>
          <w:spacing w:val="-3"/>
          <w:sz w:val="19"/>
          <w:szCs w:val="19"/>
          <w:shd w:val="clear" w:color="auto" w:fill="EFF4FC"/>
          <w:lang w:val="es-AR"/>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737CFE" w:rsidTr="004A6A54">
        <w:tc>
          <w:tcPr>
            <w:tcW w:w="3600" w:type="dxa"/>
            <w:tcBorders>
              <w:top w:val="single" w:sz="6" w:space="0" w:color="auto"/>
              <w:bottom w:val="single" w:sz="6" w:space="0" w:color="auto"/>
            </w:tcBorders>
            <w:shd w:val="clear" w:color="auto" w:fill="386294"/>
            <w:vAlign w:val="center"/>
          </w:tcPr>
          <w:p w:rsidR="004C2312" w:rsidRPr="00737CFE" w:rsidRDefault="004A6A54" w:rsidP="004A6A54">
            <w:pPr>
              <w:jc w:val="center"/>
              <w:rPr>
                <w:rFonts w:asciiTheme="majorHAnsi" w:hAnsiTheme="majorHAnsi"/>
                <w:b/>
                <w:bCs/>
                <w:color w:val="FFFFFF" w:themeColor="background1"/>
                <w:sz w:val="19"/>
                <w:szCs w:val="19"/>
                <w:lang w:val="es-ES"/>
              </w:rPr>
            </w:pPr>
            <w:r w:rsidRPr="00737CFE">
              <w:rPr>
                <w:rFonts w:asciiTheme="majorHAnsi" w:hAnsiTheme="majorHAnsi"/>
                <w:b/>
                <w:bCs/>
                <w:color w:val="FFFFFF" w:themeColor="background1"/>
                <w:sz w:val="19"/>
                <w:szCs w:val="19"/>
                <w:lang w:val="es-ES"/>
              </w:rPr>
              <w:t>P</w:t>
            </w:r>
            <w:r w:rsidR="004C2312" w:rsidRPr="00737CFE">
              <w:rPr>
                <w:rFonts w:asciiTheme="majorHAnsi" w:hAnsiTheme="majorHAnsi"/>
                <w:b/>
                <w:bCs/>
                <w:color w:val="FFFFFF" w:themeColor="background1"/>
                <w:sz w:val="19"/>
                <w:szCs w:val="19"/>
                <w:lang w:val="es-ES"/>
              </w:rPr>
              <w:t>resentación de la petición:</w:t>
            </w:r>
          </w:p>
        </w:tc>
        <w:tc>
          <w:tcPr>
            <w:tcW w:w="5760" w:type="dxa"/>
            <w:vAlign w:val="center"/>
          </w:tcPr>
          <w:p w:rsidR="004C2312" w:rsidRPr="00737CFE" w:rsidRDefault="005E0749" w:rsidP="002625EA">
            <w:pPr>
              <w:jc w:val="both"/>
              <w:rPr>
                <w:rFonts w:asciiTheme="majorHAnsi" w:hAnsiTheme="majorHAnsi"/>
                <w:bCs/>
                <w:sz w:val="19"/>
                <w:szCs w:val="19"/>
                <w:lang w:val="es-ES"/>
              </w:rPr>
            </w:pPr>
            <w:r w:rsidRPr="00737CFE">
              <w:rPr>
                <w:rFonts w:asciiTheme="majorHAnsi" w:hAnsiTheme="majorHAnsi"/>
                <w:bCs/>
                <w:sz w:val="19"/>
                <w:szCs w:val="19"/>
                <w:lang w:val="es-ES"/>
              </w:rPr>
              <w:t>16 de diciembre de 2010</w:t>
            </w:r>
          </w:p>
        </w:tc>
      </w:tr>
      <w:tr w:rsidR="001E49E7" w:rsidRPr="00E31B7A" w:rsidTr="004A6A54">
        <w:tc>
          <w:tcPr>
            <w:tcW w:w="3600" w:type="dxa"/>
            <w:tcBorders>
              <w:top w:val="single" w:sz="6" w:space="0" w:color="auto"/>
              <w:bottom w:val="single" w:sz="6" w:space="0" w:color="auto"/>
            </w:tcBorders>
            <w:shd w:val="clear" w:color="auto" w:fill="386294"/>
            <w:vAlign w:val="center"/>
          </w:tcPr>
          <w:p w:rsidR="001E49E7" w:rsidRPr="00737CFE" w:rsidRDefault="001E49E7" w:rsidP="001E49E7">
            <w:pPr>
              <w:jc w:val="center"/>
              <w:rPr>
                <w:rFonts w:asciiTheme="majorHAnsi" w:hAnsiTheme="majorHAnsi"/>
                <w:b/>
                <w:bCs/>
                <w:color w:val="FFFFFF" w:themeColor="background1"/>
                <w:sz w:val="19"/>
                <w:szCs w:val="19"/>
                <w:lang w:val="es-ES"/>
              </w:rPr>
            </w:pPr>
            <w:r w:rsidRPr="00737CFE">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rsidR="001E49E7" w:rsidRPr="00737CFE" w:rsidRDefault="005E0749" w:rsidP="00CA1E58">
            <w:pPr>
              <w:jc w:val="both"/>
              <w:rPr>
                <w:rFonts w:asciiTheme="majorHAnsi" w:hAnsiTheme="majorHAnsi"/>
                <w:bCs/>
                <w:color w:val="FFFFFF" w:themeColor="background1"/>
                <w:sz w:val="19"/>
                <w:szCs w:val="19"/>
                <w:lang w:val="es-AR"/>
              </w:rPr>
            </w:pPr>
            <w:r w:rsidRPr="00737CFE">
              <w:rPr>
                <w:rFonts w:asciiTheme="majorHAnsi" w:hAnsiTheme="majorHAnsi"/>
                <w:bCs/>
                <w:sz w:val="19"/>
                <w:szCs w:val="19"/>
                <w:lang w:val="es-ES"/>
              </w:rPr>
              <w:t xml:space="preserve">13 de enero </w:t>
            </w:r>
            <w:r w:rsidR="00A860D1" w:rsidRPr="00737CFE">
              <w:rPr>
                <w:rFonts w:asciiTheme="majorHAnsi" w:hAnsiTheme="majorHAnsi"/>
                <w:bCs/>
                <w:sz w:val="19"/>
                <w:szCs w:val="19"/>
                <w:lang w:val="es-ES"/>
              </w:rPr>
              <w:t>y</w:t>
            </w:r>
            <w:r w:rsidRPr="00737CFE">
              <w:rPr>
                <w:rFonts w:asciiTheme="majorHAnsi" w:hAnsiTheme="majorHAnsi"/>
                <w:bCs/>
                <w:sz w:val="19"/>
                <w:szCs w:val="19"/>
                <w:lang w:val="es-ES"/>
              </w:rPr>
              <w:t xml:space="preserve"> </w:t>
            </w:r>
            <w:r w:rsidR="00865A09" w:rsidRPr="00737CFE">
              <w:rPr>
                <w:rFonts w:asciiTheme="majorHAnsi" w:hAnsiTheme="majorHAnsi"/>
                <w:bCs/>
                <w:sz w:val="19"/>
                <w:szCs w:val="19"/>
                <w:lang w:val="es-AR"/>
              </w:rPr>
              <w:t>20 de abril de 2011</w:t>
            </w:r>
            <w:r w:rsidR="000247C9" w:rsidRPr="00737CFE">
              <w:rPr>
                <w:rFonts w:asciiTheme="majorHAnsi" w:hAnsiTheme="majorHAnsi"/>
                <w:bCs/>
                <w:sz w:val="19"/>
                <w:szCs w:val="19"/>
                <w:lang w:val="es-AR"/>
              </w:rPr>
              <w:t>, 22 de noviembre de 2016</w:t>
            </w:r>
            <w:r w:rsidR="00D04C4A" w:rsidRPr="00737CFE">
              <w:rPr>
                <w:rFonts w:asciiTheme="majorHAnsi" w:hAnsiTheme="majorHAnsi"/>
                <w:bCs/>
                <w:sz w:val="19"/>
                <w:szCs w:val="19"/>
                <w:lang w:val="es-AR"/>
              </w:rPr>
              <w:t>, 31 de enero de 2017</w:t>
            </w:r>
          </w:p>
        </w:tc>
      </w:tr>
      <w:tr w:rsidR="004C2312" w:rsidRPr="00737CFE" w:rsidTr="004A6A54">
        <w:tc>
          <w:tcPr>
            <w:tcW w:w="3600" w:type="dxa"/>
            <w:tcBorders>
              <w:top w:val="single" w:sz="6" w:space="0" w:color="auto"/>
              <w:bottom w:val="single" w:sz="6" w:space="0" w:color="auto"/>
            </w:tcBorders>
            <w:shd w:val="clear" w:color="auto" w:fill="386294"/>
            <w:vAlign w:val="center"/>
          </w:tcPr>
          <w:p w:rsidR="004C2312" w:rsidRPr="00737CFE" w:rsidRDefault="004A6A54" w:rsidP="004A6A54">
            <w:pPr>
              <w:jc w:val="center"/>
              <w:rPr>
                <w:rFonts w:asciiTheme="majorHAnsi" w:hAnsiTheme="majorHAnsi"/>
                <w:b/>
                <w:bCs/>
                <w:color w:val="FFFFFF" w:themeColor="background1"/>
                <w:sz w:val="19"/>
                <w:szCs w:val="19"/>
                <w:lang w:val="es-ES"/>
              </w:rPr>
            </w:pPr>
            <w:r w:rsidRPr="00737CFE">
              <w:rPr>
                <w:rFonts w:asciiTheme="majorHAnsi" w:hAnsiTheme="majorHAnsi"/>
                <w:b/>
                <w:color w:val="FFFFFF" w:themeColor="background1"/>
                <w:sz w:val="19"/>
                <w:szCs w:val="19"/>
                <w:lang w:val="es-ES"/>
              </w:rPr>
              <w:t>N</w:t>
            </w:r>
            <w:r w:rsidR="004C2312" w:rsidRPr="00737CFE">
              <w:rPr>
                <w:rFonts w:asciiTheme="majorHAnsi" w:hAnsiTheme="majorHAnsi"/>
                <w:b/>
                <w:color w:val="FFFFFF" w:themeColor="background1"/>
                <w:sz w:val="19"/>
                <w:szCs w:val="19"/>
                <w:lang w:val="es-ES"/>
              </w:rPr>
              <w:t>otificación de la petición al Estado:</w:t>
            </w:r>
          </w:p>
        </w:tc>
        <w:tc>
          <w:tcPr>
            <w:tcW w:w="5760" w:type="dxa"/>
            <w:vAlign w:val="center"/>
          </w:tcPr>
          <w:p w:rsidR="004C2312" w:rsidRPr="00737CFE" w:rsidRDefault="00EB273F" w:rsidP="008D2290">
            <w:pPr>
              <w:jc w:val="both"/>
              <w:rPr>
                <w:rFonts w:asciiTheme="majorHAnsi" w:hAnsiTheme="majorHAnsi"/>
                <w:bCs/>
                <w:sz w:val="19"/>
                <w:szCs w:val="19"/>
                <w:lang w:val="es-ES"/>
              </w:rPr>
            </w:pPr>
            <w:r w:rsidRPr="00737CFE">
              <w:rPr>
                <w:rFonts w:asciiTheme="majorHAnsi" w:hAnsiTheme="majorHAnsi"/>
                <w:bCs/>
                <w:sz w:val="19"/>
                <w:szCs w:val="19"/>
                <w:lang w:val="es-ES"/>
              </w:rPr>
              <w:t>31 de enero de 2017</w:t>
            </w:r>
          </w:p>
        </w:tc>
      </w:tr>
      <w:tr w:rsidR="004C2312" w:rsidRPr="00737CFE" w:rsidTr="004A6A54">
        <w:tc>
          <w:tcPr>
            <w:tcW w:w="3600" w:type="dxa"/>
            <w:tcBorders>
              <w:top w:val="single" w:sz="6" w:space="0" w:color="auto"/>
              <w:bottom w:val="single" w:sz="6" w:space="0" w:color="auto"/>
            </w:tcBorders>
            <w:shd w:val="clear" w:color="auto" w:fill="386294"/>
            <w:vAlign w:val="center"/>
          </w:tcPr>
          <w:p w:rsidR="004C2312" w:rsidRPr="00737CFE" w:rsidRDefault="004A6A54" w:rsidP="004A6A54">
            <w:pPr>
              <w:jc w:val="center"/>
              <w:rPr>
                <w:rFonts w:asciiTheme="majorHAnsi" w:hAnsiTheme="majorHAnsi"/>
                <w:b/>
                <w:bCs/>
                <w:color w:val="FFFFFF" w:themeColor="background1"/>
                <w:sz w:val="19"/>
                <w:szCs w:val="19"/>
                <w:lang w:val="es-ES"/>
              </w:rPr>
            </w:pPr>
            <w:r w:rsidRPr="00737CFE">
              <w:rPr>
                <w:rFonts w:asciiTheme="majorHAnsi" w:hAnsiTheme="majorHAnsi"/>
                <w:b/>
                <w:color w:val="FFFFFF" w:themeColor="background1"/>
                <w:sz w:val="19"/>
                <w:szCs w:val="19"/>
                <w:lang w:val="es-ES"/>
              </w:rPr>
              <w:t>P</w:t>
            </w:r>
            <w:r w:rsidR="004C2312" w:rsidRPr="00737CFE">
              <w:rPr>
                <w:rFonts w:asciiTheme="majorHAnsi" w:hAnsiTheme="majorHAnsi"/>
                <w:b/>
                <w:color w:val="FFFFFF" w:themeColor="background1"/>
                <w:sz w:val="19"/>
                <w:szCs w:val="19"/>
                <w:lang w:val="es-ES"/>
              </w:rPr>
              <w:t>rimera respuesta del Estado:</w:t>
            </w:r>
          </w:p>
        </w:tc>
        <w:tc>
          <w:tcPr>
            <w:tcW w:w="5760" w:type="dxa"/>
            <w:vAlign w:val="center"/>
          </w:tcPr>
          <w:p w:rsidR="004C2312" w:rsidRPr="00737CFE" w:rsidRDefault="00732910" w:rsidP="00BD5B64">
            <w:pPr>
              <w:jc w:val="both"/>
              <w:rPr>
                <w:rFonts w:asciiTheme="majorHAnsi" w:hAnsiTheme="majorHAnsi"/>
                <w:bCs/>
                <w:sz w:val="19"/>
                <w:szCs w:val="19"/>
                <w:lang w:val="es-ES"/>
              </w:rPr>
            </w:pPr>
            <w:r w:rsidRPr="00737CFE">
              <w:rPr>
                <w:rFonts w:asciiTheme="majorHAnsi" w:hAnsiTheme="majorHAnsi"/>
                <w:bCs/>
                <w:sz w:val="19"/>
                <w:szCs w:val="19"/>
                <w:lang w:val="es-ES"/>
              </w:rPr>
              <w:t>12 de junio de 2017</w:t>
            </w:r>
          </w:p>
        </w:tc>
      </w:tr>
      <w:tr w:rsidR="004C2312" w:rsidRPr="00737CFE" w:rsidTr="004A6A54">
        <w:tc>
          <w:tcPr>
            <w:tcW w:w="3600" w:type="dxa"/>
            <w:tcBorders>
              <w:top w:val="single" w:sz="6" w:space="0" w:color="auto"/>
              <w:bottom w:val="single" w:sz="6" w:space="0" w:color="auto"/>
            </w:tcBorders>
            <w:shd w:val="clear" w:color="auto" w:fill="386294"/>
            <w:vAlign w:val="center"/>
          </w:tcPr>
          <w:p w:rsidR="004C2312" w:rsidRPr="00737CFE" w:rsidRDefault="008E3BFE" w:rsidP="008E3BFE">
            <w:pPr>
              <w:jc w:val="center"/>
              <w:rPr>
                <w:rFonts w:asciiTheme="majorHAnsi" w:hAnsiTheme="majorHAnsi"/>
                <w:b/>
                <w:bCs/>
                <w:color w:val="FFFFFF" w:themeColor="background1"/>
                <w:sz w:val="19"/>
                <w:szCs w:val="19"/>
                <w:lang w:val="es-ES"/>
              </w:rPr>
            </w:pPr>
            <w:r w:rsidRPr="00737CFE">
              <w:rPr>
                <w:rFonts w:asciiTheme="majorHAnsi" w:hAnsiTheme="majorHAnsi"/>
                <w:b/>
                <w:bCs/>
                <w:color w:val="FFFFFF" w:themeColor="background1"/>
                <w:sz w:val="19"/>
                <w:szCs w:val="19"/>
                <w:lang w:val="es-ES"/>
              </w:rPr>
              <w:t>Observaciones adicionales de la parte peticionaria:</w:t>
            </w:r>
          </w:p>
        </w:tc>
        <w:tc>
          <w:tcPr>
            <w:tcW w:w="5760" w:type="dxa"/>
            <w:vAlign w:val="center"/>
          </w:tcPr>
          <w:p w:rsidR="004C2312" w:rsidRPr="00737CFE" w:rsidRDefault="007E6739" w:rsidP="00756DA8">
            <w:pPr>
              <w:jc w:val="both"/>
              <w:rPr>
                <w:rFonts w:asciiTheme="majorHAnsi" w:hAnsiTheme="majorHAnsi"/>
                <w:bCs/>
                <w:sz w:val="19"/>
                <w:szCs w:val="19"/>
                <w:lang w:val="es-ES"/>
              </w:rPr>
            </w:pPr>
            <w:r w:rsidRPr="00737CFE">
              <w:rPr>
                <w:rFonts w:asciiTheme="majorHAnsi" w:hAnsiTheme="majorHAnsi"/>
                <w:bCs/>
                <w:sz w:val="19"/>
                <w:szCs w:val="19"/>
                <w:lang w:val="es-ES"/>
              </w:rPr>
              <w:t xml:space="preserve">2 </w:t>
            </w:r>
            <w:r w:rsidR="00567B66" w:rsidRPr="00737CFE">
              <w:rPr>
                <w:rFonts w:asciiTheme="majorHAnsi" w:hAnsiTheme="majorHAnsi"/>
                <w:bCs/>
                <w:sz w:val="19"/>
                <w:szCs w:val="19"/>
                <w:lang w:val="es-ES"/>
              </w:rPr>
              <w:t>de octubre de 2017</w:t>
            </w:r>
            <w:r w:rsidR="006928C5" w:rsidRPr="00737CFE">
              <w:rPr>
                <w:rStyle w:val="FootnoteReference"/>
                <w:rFonts w:asciiTheme="majorHAnsi" w:hAnsiTheme="majorHAnsi"/>
                <w:sz w:val="19"/>
                <w:szCs w:val="19"/>
                <w:lang w:val="es-AR"/>
              </w:rPr>
              <w:footnoteReference w:id="6"/>
            </w:r>
          </w:p>
        </w:tc>
      </w:tr>
      <w:tr w:rsidR="004C2312" w:rsidRPr="00E31B7A" w:rsidTr="004A6A54">
        <w:tc>
          <w:tcPr>
            <w:tcW w:w="3600" w:type="dxa"/>
            <w:tcBorders>
              <w:top w:val="single" w:sz="6" w:space="0" w:color="auto"/>
              <w:bottom w:val="single" w:sz="6" w:space="0" w:color="auto"/>
            </w:tcBorders>
            <w:shd w:val="clear" w:color="auto" w:fill="386294"/>
            <w:vAlign w:val="center"/>
          </w:tcPr>
          <w:p w:rsidR="004C2312" w:rsidRPr="00737CFE" w:rsidRDefault="004C2312" w:rsidP="008E3BFE">
            <w:pPr>
              <w:jc w:val="center"/>
              <w:rPr>
                <w:rFonts w:asciiTheme="majorHAnsi" w:hAnsiTheme="majorHAnsi"/>
                <w:b/>
                <w:bCs/>
                <w:color w:val="FFFFFF" w:themeColor="background1"/>
                <w:sz w:val="19"/>
                <w:szCs w:val="19"/>
              </w:rPr>
            </w:pPr>
            <w:r w:rsidRPr="00737CFE">
              <w:rPr>
                <w:rFonts w:asciiTheme="majorHAnsi" w:hAnsiTheme="majorHAnsi"/>
                <w:b/>
                <w:bCs/>
                <w:color w:val="FFFFFF" w:themeColor="background1"/>
                <w:sz w:val="19"/>
                <w:szCs w:val="19"/>
              </w:rPr>
              <w:t>Observaciones adicionales del Estado:</w:t>
            </w:r>
          </w:p>
        </w:tc>
        <w:tc>
          <w:tcPr>
            <w:tcW w:w="5760" w:type="dxa"/>
            <w:vAlign w:val="center"/>
          </w:tcPr>
          <w:p w:rsidR="004C2312" w:rsidRPr="00737CFE" w:rsidRDefault="00C4446C" w:rsidP="00CE14E0">
            <w:pPr>
              <w:jc w:val="both"/>
              <w:rPr>
                <w:rFonts w:asciiTheme="majorHAnsi" w:hAnsiTheme="majorHAnsi"/>
                <w:bCs/>
                <w:color w:val="FF0000"/>
                <w:sz w:val="19"/>
                <w:szCs w:val="19"/>
                <w:lang w:val="es-AR"/>
              </w:rPr>
            </w:pPr>
            <w:r w:rsidRPr="00737CFE">
              <w:rPr>
                <w:rFonts w:asciiTheme="majorHAnsi" w:hAnsiTheme="majorHAnsi"/>
                <w:bCs/>
                <w:sz w:val="19"/>
                <w:szCs w:val="19"/>
                <w:lang w:val="es-ES"/>
              </w:rPr>
              <w:t>8 de septiembre de 2017</w:t>
            </w:r>
            <w:r w:rsidR="004B1DBE" w:rsidRPr="00737CFE">
              <w:rPr>
                <w:rFonts w:asciiTheme="majorHAnsi" w:hAnsiTheme="majorHAnsi"/>
                <w:bCs/>
                <w:sz w:val="19"/>
                <w:szCs w:val="19"/>
                <w:lang w:val="es-ES"/>
              </w:rPr>
              <w:t xml:space="preserve">, </w:t>
            </w:r>
            <w:r w:rsidR="00756DA8" w:rsidRPr="00737CFE">
              <w:rPr>
                <w:rFonts w:asciiTheme="majorHAnsi" w:hAnsiTheme="majorHAnsi"/>
                <w:bCs/>
                <w:sz w:val="19"/>
                <w:szCs w:val="19"/>
                <w:lang w:val="es-ES"/>
              </w:rPr>
              <w:t>29 de junio de 2018</w:t>
            </w:r>
            <w:r w:rsidR="00255C57" w:rsidRPr="00737CFE">
              <w:rPr>
                <w:rFonts w:asciiTheme="majorHAnsi" w:hAnsiTheme="majorHAnsi"/>
                <w:bCs/>
                <w:sz w:val="19"/>
                <w:szCs w:val="19"/>
                <w:lang w:val="es-AR"/>
              </w:rPr>
              <w:t xml:space="preserve"> </w:t>
            </w:r>
            <w:r w:rsidR="004B1DBE" w:rsidRPr="00737CFE">
              <w:rPr>
                <w:rFonts w:asciiTheme="majorHAnsi" w:hAnsiTheme="majorHAnsi"/>
                <w:bCs/>
                <w:sz w:val="19"/>
                <w:szCs w:val="19"/>
                <w:lang w:val="es-AR"/>
              </w:rPr>
              <w:t xml:space="preserve">y </w:t>
            </w:r>
            <w:r w:rsidR="00CE14E0" w:rsidRPr="00737CFE">
              <w:rPr>
                <w:rFonts w:asciiTheme="majorHAnsi" w:hAnsiTheme="majorHAnsi"/>
                <w:bCs/>
                <w:sz w:val="19"/>
                <w:szCs w:val="19"/>
                <w:lang w:val="es-AR"/>
              </w:rPr>
              <w:t xml:space="preserve">6 </w:t>
            </w:r>
            <w:r w:rsidR="004B1DBE" w:rsidRPr="00737CFE">
              <w:rPr>
                <w:rFonts w:asciiTheme="majorHAnsi" w:hAnsiTheme="majorHAnsi"/>
                <w:bCs/>
                <w:sz w:val="19"/>
                <w:szCs w:val="19"/>
                <w:lang w:val="es-AR"/>
              </w:rPr>
              <w:t>de</w:t>
            </w:r>
            <w:r w:rsidR="00CE14E0" w:rsidRPr="00737CFE">
              <w:rPr>
                <w:rFonts w:asciiTheme="majorHAnsi" w:hAnsiTheme="majorHAnsi"/>
                <w:bCs/>
                <w:sz w:val="19"/>
                <w:szCs w:val="19"/>
                <w:lang w:val="es-AR"/>
              </w:rPr>
              <w:t xml:space="preserve"> marzo de</w:t>
            </w:r>
            <w:r w:rsidR="004B1DBE" w:rsidRPr="00737CFE">
              <w:rPr>
                <w:rFonts w:asciiTheme="majorHAnsi" w:hAnsiTheme="majorHAnsi"/>
                <w:bCs/>
                <w:sz w:val="19"/>
                <w:szCs w:val="19"/>
                <w:lang w:val="es-AR"/>
              </w:rPr>
              <w:t xml:space="preserve"> 2019</w:t>
            </w:r>
          </w:p>
        </w:tc>
      </w:tr>
    </w:tbl>
    <w:p w:rsidR="003239B8" w:rsidRPr="00737CFE" w:rsidRDefault="003239B8" w:rsidP="003239B8">
      <w:pPr>
        <w:spacing w:before="240" w:after="240"/>
        <w:ind w:firstLine="720"/>
        <w:jc w:val="both"/>
        <w:rPr>
          <w:rFonts w:asciiTheme="majorHAnsi" w:hAnsiTheme="majorHAnsi"/>
          <w:b/>
          <w:bCs/>
          <w:sz w:val="19"/>
          <w:szCs w:val="19"/>
          <w:lang w:val="es-ES"/>
        </w:rPr>
      </w:pPr>
      <w:r w:rsidRPr="00737CFE">
        <w:rPr>
          <w:rFonts w:asciiTheme="majorHAnsi" w:hAnsiTheme="majorHAnsi"/>
          <w:b/>
          <w:bCs/>
          <w:sz w:val="19"/>
          <w:szCs w:val="19"/>
          <w:lang w:val="es-ES"/>
        </w:rPr>
        <w:t xml:space="preserve">III. </w:t>
      </w:r>
      <w:r w:rsidRPr="00737CFE">
        <w:rPr>
          <w:rFonts w:asciiTheme="majorHAnsi" w:hAnsiTheme="majorHAnsi"/>
          <w:b/>
          <w:bCs/>
          <w:sz w:val="19"/>
          <w:szCs w:val="19"/>
          <w:lang w:val="es-ES"/>
        </w:rPr>
        <w:tab/>
        <w:t>COMPETENCIA</w:t>
      </w:r>
      <w:r w:rsidR="00EE00E9" w:rsidRPr="00737CFE">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37CFE" w:rsidTr="004A6A54">
        <w:trPr>
          <w:cantSplit/>
        </w:trPr>
        <w:tc>
          <w:tcPr>
            <w:tcW w:w="3600" w:type="dxa"/>
            <w:tcBorders>
              <w:top w:val="single" w:sz="4" w:space="0" w:color="auto"/>
              <w:bottom w:val="single" w:sz="6" w:space="0" w:color="auto"/>
            </w:tcBorders>
            <w:shd w:val="clear" w:color="auto" w:fill="386294"/>
            <w:vAlign w:val="center"/>
          </w:tcPr>
          <w:p w:rsidR="003239B8" w:rsidRPr="00737CFE" w:rsidRDefault="003239B8" w:rsidP="008D2290">
            <w:pPr>
              <w:jc w:val="center"/>
              <w:rPr>
                <w:rFonts w:asciiTheme="majorHAnsi" w:hAnsiTheme="majorHAnsi"/>
                <w:b/>
                <w:bCs/>
                <w:i/>
                <w:color w:val="FFFFFF" w:themeColor="background1"/>
                <w:sz w:val="19"/>
                <w:szCs w:val="19"/>
              </w:rPr>
            </w:pPr>
            <w:r w:rsidRPr="00737CFE">
              <w:rPr>
                <w:rFonts w:asciiTheme="majorHAnsi" w:hAnsiTheme="majorHAnsi"/>
                <w:b/>
                <w:bCs/>
                <w:color w:val="FFFFFF" w:themeColor="background1"/>
                <w:sz w:val="19"/>
                <w:szCs w:val="19"/>
              </w:rPr>
              <w:t>Competencia</w:t>
            </w:r>
            <w:r w:rsidRPr="00737CFE">
              <w:rPr>
                <w:rFonts w:asciiTheme="majorHAnsi" w:hAnsiTheme="majorHAnsi"/>
                <w:b/>
                <w:bCs/>
                <w:i/>
                <w:color w:val="FFFFFF" w:themeColor="background1"/>
                <w:sz w:val="19"/>
                <w:szCs w:val="19"/>
              </w:rPr>
              <w:t xml:space="preserve"> Ratione personae:</w:t>
            </w:r>
          </w:p>
        </w:tc>
        <w:tc>
          <w:tcPr>
            <w:tcW w:w="5760" w:type="dxa"/>
            <w:vAlign w:val="center"/>
          </w:tcPr>
          <w:p w:rsidR="003239B8" w:rsidRPr="00737CFE" w:rsidRDefault="00245C63" w:rsidP="008D2290">
            <w:pPr>
              <w:rPr>
                <w:rFonts w:asciiTheme="majorHAnsi" w:hAnsiTheme="majorHAnsi"/>
                <w:bCs/>
                <w:sz w:val="19"/>
                <w:szCs w:val="19"/>
              </w:rPr>
            </w:pPr>
            <w:r w:rsidRPr="00737CFE">
              <w:rPr>
                <w:rFonts w:asciiTheme="majorHAnsi" w:hAnsiTheme="majorHAnsi"/>
                <w:bCs/>
                <w:sz w:val="19"/>
                <w:szCs w:val="19"/>
              </w:rPr>
              <w:t>Sí</w:t>
            </w:r>
          </w:p>
        </w:tc>
      </w:tr>
      <w:tr w:rsidR="003239B8" w:rsidRPr="00737CFE" w:rsidTr="004A6A54">
        <w:trPr>
          <w:cantSplit/>
        </w:trPr>
        <w:tc>
          <w:tcPr>
            <w:tcW w:w="3600" w:type="dxa"/>
            <w:tcBorders>
              <w:top w:val="single" w:sz="6" w:space="0" w:color="auto"/>
              <w:bottom w:val="single" w:sz="6" w:space="0" w:color="auto"/>
            </w:tcBorders>
            <w:shd w:val="clear" w:color="auto" w:fill="386294"/>
            <w:vAlign w:val="center"/>
          </w:tcPr>
          <w:p w:rsidR="003239B8" w:rsidRPr="00737CFE" w:rsidRDefault="003239B8" w:rsidP="008D2290">
            <w:pPr>
              <w:jc w:val="center"/>
              <w:rPr>
                <w:rFonts w:asciiTheme="majorHAnsi" w:hAnsiTheme="majorHAnsi"/>
                <w:b/>
                <w:bCs/>
                <w:color w:val="FFFFFF" w:themeColor="background1"/>
                <w:sz w:val="19"/>
                <w:szCs w:val="19"/>
              </w:rPr>
            </w:pPr>
            <w:r w:rsidRPr="00737CFE">
              <w:rPr>
                <w:rFonts w:asciiTheme="majorHAnsi" w:hAnsiTheme="majorHAnsi"/>
                <w:b/>
                <w:bCs/>
                <w:color w:val="FFFFFF" w:themeColor="background1"/>
                <w:sz w:val="19"/>
                <w:szCs w:val="19"/>
              </w:rPr>
              <w:t>Competencia</w:t>
            </w:r>
            <w:r w:rsidRPr="00737CFE">
              <w:rPr>
                <w:rFonts w:asciiTheme="majorHAnsi" w:hAnsiTheme="majorHAnsi"/>
                <w:b/>
                <w:bCs/>
                <w:i/>
                <w:color w:val="FFFFFF" w:themeColor="background1"/>
                <w:sz w:val="19"/>
                <w:szCs w:val="19"/>
              </w:rPr>
              <w:t xml:space="preserve"> Ratione loci</w:t>
            </w:r>
            <w:r w:rsidRPr="00737CFE">
              <w:rPr>
                <w:rFonts w:asciiTheme="majorHAnsi" w:hAnsiTheme="majorHAnsi"/>
                <w:b/>
                <w:bCs/>
                <w:color w:val="FFFFFF" w:themeColor="background1"/>
                <w:sz w:val="19"/>
                <w:szCs w:val="19"/>
              </w:rPr>
              <w:t>:</w:t>
            </w:r>
          </w:p>
        </w:tc>
        <w:tc>
          <w:tcPr>
            <w:tcW w:w="5760" w:type="dxa"/>
            <w:vAlign w:val="center"/>
          </w:tcPr>
          <w:p w:rsidR="003239B8" w:rsidRPr="00737CFE" w:rsidRDefault="00245C63" w:rsidP="008D2290">
            <w:pPr>
              <w:rPr>
                <w:rFonts w:asciiTheme="majorHAnsi" w:hAnsiTheme="majorHAnsi"/>
                <w:bCs/>
                <w:sz w:val="19"/>
                <w:szCs w:val="19"/>
              </w:rPr>
            </w:pPr>
            <w:r w:rsidRPr="00737CFE">
              <w:rPr>
                <w:rFonts w:asciiTheme="majorHAnsi" w:hAnsiTheme="majorHAnsi"/>
                <w:bCs/>
                <w:sz w:val="19"/>
                <w:szCs w:val="19"/>
              </w:rPr>
              <w:t>Sí</w:t>
            </w:r>
          </w:p>
        </w:tc>
      </w:tr>
      <w:tr w:rsidR="003239B8" w:rsidRPr="00737CFE" w:rsidTr="004A6A54">
        <w:trPr>
          <w:cantSplit/>
        </w:trPr>
        <w:tc>
          <w:tcPr>
            <w:tcW w:w="3600" w:type="dxa"/>
            <w:tcBorders>
              <w:top w:val="single" w:sz="6" w:space="0" w:color="auto"/>
              <w:bottom w:val="single" w:sz="6" w:space="0" w:color="auto"/>
            </w:tcBorders>
            <w:shd w:val="clear" w:color="auto" w:fill="386294"/>
            <w:vAlign w:val="center"/>
          </w:tcPr>
          <w:p w:rsidR="003239B8" w:rsidRPr="00737CFE" w:rsidRDefault="003239B8" w:rsidP="008D2290">
            <w:pPr>
              <w:jc w:val="center"/>
              <w:rPr>
                <w:rFonts w:asciiTheme="majorHAnsi" w:hAnsiTheme="majorHAnsi"/>
                <w:b/>
                <w:bCs/>
                <w:color w:val="FFFFFF" w:themeColor="background1"/>
                <w:sz w:val="19"/>
                <w:szCs w:val="19"/>
              </w:rPr>
            </w:pPr>
            <w:r w:rsidRPr="00737CFE">
              <w:rPr>
                <w:rFonts w:asciiTheme="majorHAnsi" w:hAnsiTheme="majorHAnsi"/>
                <w:b/>
                <w:bCs/>
                <w:color w:val="FFFFFF" w:themeColor="background1"/>
                <w:sz w:val="19"/>
                <w:szCs w:val="19"/>
              </w:rPr>
              <w:t>Competencia</w:t>
            </w:r>
            <w:r w:rsidRPr="00737CFE">
              <w:rPr>
                <w:rFonts w:asciiTheme="majorHAnsi" w:hAnsiTheme="majorHAnsi"/>
                <w:b/>
                <w:bCs/>
                <w:i/>
                <w:color w:val="FFFFFF" w:themeColor="background1"/>
                <w:sz w:val="19"/>
                <w:szCs w:val="19"/>
              </w:rPr>
              <w:t xml:space="preserve"> Ratione temporis</w:t>
            </w:r>
            <w:r w:rsidRPr="00737CFE">
              <w:rPr>
                <w:rFonts w:asciiTheme="majorHAnsi" w:hAnsiTheme="majorHAnsi"/>
                <w:b/>
                <w:bCs/>
                <w:color w:val="FFFFFF" w:themeColor="background1"/>
                <w:sz w:val="19"/>
                <w:szCs w:val="19"/>
              </w:rPr>
              <w:t>:</w:t>
            </w:r>
          </w:p>
        </w:tc>
        <w:tc>
          <w:tcPr>
            <w:tcW w:w="5760" w:type="dxa"/>
            <w:vAlign w:val="center"/>
          </w:tcPr>
          <w:p w:rsidR="003239B8" w:rsidRPr="00737CFE" w:rsidRDefault="00245C63" w:rsidP="008D2290">
            <w:pPr>
              <w:rPr>
                <w:rFonts w:asciiTheme="majorHAnsi" w:hAnsiTheme="majorHAnsi"/>
                <w:bCs/>
                <w:sz w:val="19"/>
                <w:szCs w:val="19"/>
              </w:rPr>
            </w:pPr>
            <w:r w:rsidRPr="00737CFE">
              <w:rPr>
                <w:rFonts w:asciiTheme="majorHAnsi" w:hAnsiTheme="majorHAnsi"/>
                <w:bCs/>
                <w:sz w:val="19"/>
                <w:szCs w:val="19"/>
              </w:rPr>
              <w:t>Sí</w:t>
            </w:r>
          </w:p>
        </w:tc>
      </w:tr>
      <w:tr w:rsidR="003239B8" w:rsidRPr="00E31B7A" w:rsidTr="004A6A54">
        <w:trPr>
          <w:cantSplit/>
        </w:trPr>
        <w:tc>
          <w:tcPr>
            <w:tcW w:w="3600" w:type="dxa"/>
            <w:tcBorders>
              <w:top w:val="single" w:sz="6" w:space="0" w:color="auto"/>
              <w:bottom w:val="single" w:sz="6" w:space="0" w:color="auto"/>
            </w:tcBorders>
            <w:shd w:val="clear" w:color="auto" w:fill="386294"/>
            <w:vAlign w:val="center"/>
          </w:tcPr>
          <w:p w:rsidR="003239B8" w:rsidRPr="00737CFE" w:rsidRDefault="003239B8" w:rsidP="008D2290">
            <w:pPr>
              <w:jc w:val="center"/>
              <w:rPr>
                <w:rFonts w:asciiTheme="majorHAnsi" w:hAnsiTheme="majorHAnsi"/>
                <w:b/>
                <w:bCs/>
                <w:color w:val="FFFFFF" w:themeColor="background1"/>
                <w:sz w:val="19"/>
                <w:szCs w:val="19"/>
              </w:rPr>
            </w:pPr>
            <w:r w:rsidRPr="00737CFE">
              <w:rPr>
                <w:rFonts w:asciiTheme="majorHAnsi" w:hAnsiTheme="majorHAnsi"/>
                <w:b/>
                <w:bCs/>
                <w:color w:val="FFFFFF" w:themeColor="background1"/>
                <w:sz w:val="19"/>
                <w:szCs w:val="19"/>
              </w:rPr>
              <w:t>Competencia</w:t>
            </w:r>
            <w:r w:rsidRPr="00737CFE">
              <w:rPr>
                <w:rFonts w:asciiTheme="majorHAnsi" w:hAnsiTheme="majorHAnsi"/>
                <w:b/>
                <w:bCs/>
                <w:i/>
                <w:color w:val="FFFFFF" w:themeColor="background1"/>
                <w:sz w:val="19"/>
                <w:szCs w:val="19"/>
              </w:rPr>
              <w:t xml:space="preserve"> Ratione materia</w:t>
            </w:r>
            <w:r w:rsidR="00EE00E9" w:rsidRPr="00737CFE">
              <w:rPr>
                <w:rFonts w:asciiTheme="majorHAnsi" w:hAnsiTheme="majorHAnsi"/>
                <w:b/>
                <w:bCs/>
                <w:i/>
                <w:color w:val="FFFFFF" w:themeColor="background1"/>
                <w:sz w:val="19"/>
                <w:szCs w:val="19"/>
              </w:rPr>
              <w:t>e</w:t>
            </w:r>
            <w:r w:rsidRPr="00737CFE">
              <w:rPr>
                <w:rFonts w:asciiTheme="majorHAnsi" w:hAnsiTheme="majorHAnsi"/>
                <w:b/>
                <w:bCs/>
                <w:color w:val="FFFFFF" w:themeColor="background1"/>
                <w:sz w:val="19"/>
                <w:szCs w:val="19"/>
              </w:rPr>
              <w:t>:</w:t>
            </w:r>
          </w:p>
        </w:tc>
        <w:tc>
          <w:tcPr>
            <w:tcW w:w="5760" w:type="dxa"/>
            <w:vAlign w:val="center"/>
          </w:tcPr>
          <w:p w:rsidR="003239B8" w:rsidRPr="00737CFE" w:rsidRDefault="00245C63" w:rsidP="008D2290">
            <w:pPr>
              <w:jc w:val="both"/>
              <w:rPr>
                <w:rFonts w:asciiTheme="majorHAnsi" w:hAnsiTheme="majorHAnsi"/>
                <w:bCs/>
                <w:sz w:val="19"/>
                <w:szCs w:val="19"/>
                <w:lang w:val="es-ES"/>
              </w:rPr>
            </w:pPr>
            <w:r w:rsidRPr="00737CFE">
              <w:rPr>
                <w:rFonts w:asciiTheme="majorHAnsi" w:hAnsiTheme="majorHAnsi"/>
                <w:bCs/>
                <w:sz w:val="19"/>
                <w:szCs w:val="19"/>
                <w:lang w:val="es-ES"/>
              </w:rPr>
              <w:t>Sí, Convención Americana (depósito de instrumento realizado el 5 de septiembre de 1984)</w:t>
            </w:r>
          </w:p>
        </w:tc>
      </w:tr>
    </w:tbl>
    <w:p w:rsidR="003239B8" w:rsidRPr="00737CFE" w:rsidRDefault="003239B8" w:rsidP="003239B8">
      <w:pPr>
        <w:spacing w:before="240" w:after="240"/>
        <w:ind w:firstLine="720"/>
        <w:jc w:val="both"/>
        <w:rPr>
          <w:rFonts w:asciiTheme="majorHAnsi" w:hAnsiTheme="majorHAnsi"/>
          <w:b/>
          <w:bCs/>
          <w:sz w:val="19"/>
          <w:szCs w:val="19"/>
          <w:lang w:val="es-ES"/>
        </w:rPr>
      </w:pPr>
      <w:r w:rsidRPr="00737CFE">
        <w:rPr>
          <w:rFonts w:asciiTheme="majorHAnsi" w:hAnsiTheme="majorHAnsi"/>
          <w:b/>
          <w:bCs/>
          <w:sz w:val="19"/>
          <w:szCs w:val="19"/>
          <w:lang w:val="es-ES"/>
        </w:rPr>
        <w:t xml:space="preserve">IV. </w:t>
      </w:r>
      <w:r w:rsidRPr="00737CFE">
        <w:rPr>
          <w:rFonts w:asciiTheme="majorHAnsi" w:hAnsiTheme="majorHAnsi"/>
          <w:b/>
          <w:bCs/>
          <w:sz w:val="19"/>
          <w:szCs w:val="19"/>
          <w:lang w:val="es-ES"/>
        </w:rPr>
        <w:tab/>
      </w:r>
      <w:r w:rsidR="00EE00E9" w:rsidRPr="00737CFE">
        <w:rPr>
          <w:rFonts w:asciiTheme="majorHAnsi" w:hAnsiTheme="majorHAnsi"/>
          <w:b/>
          <w:bCs/>
          <w:sz w:val="19"/>
          <w:szCs w:val="19"/>
          <w:lang w:val="es-ES"/>
        </w:rPr>
        <w:t>DUPLICACIÓN</w:t>
      </w:r>
      <w:r w:rsidR="00EE00E9" w:rsidRPr="00737CFE">
        <w:rPr>
          <w:rFonts w:asciiTheme="majorHAnsi" w:hAnsiTheme="majorHAnsi"/>
          <w:b/>
          <w:bCs/>
          <w:color w:val="FFFFFF" w:themeColor="background1"/>
          <w:sz w:val="19"/>
          <w:szCs w:val="19"/>
          <w:lang w:val="es-ES"/>
        </w:rPr>
        <w:t xml:space="preserve"> </w:t>
      </w:r>
      <w:r w:rsidR="00EE00E9" w:rsidRPr="00737CFE">
        <w:rPr>
          <w:rFonts w:asciiTheme="majorHAnsi" w:hAnsiTheme="majorHAnsi"/>
          <w:b/>
          <w:bCs/>
          <w:sz w:val="19"/>
          <w:szCs w:val="19"/>
          <w:lang w:val="es-ES"/>
        </w:rPr>
        <w:t>DE PROCEDIMIENTOS Y COSA JUZGADA</w:t>
      </w:r>
      <w:r w:rsidR="00EE00E9" w:rsidRPr="00737CFE">
        <w:rPr>
          <w:rFonts w:asciiTheme="majorHAnsi" w:hAnsiTheme="majorHAnsi"/>
          <w:b/>
          <w:bCs/>
          <w:i/>
          <w:sz w:val="19"/>
          <w:szCs w:val="19"/>
          <w:lang w:val="es-ES"/>
        </w:rPr>
        <w:t xml:space="preserve"> </w:t>
      </w:r>
      <w:r w:rsidR="00EE00E9" w:rsidRPr="00737CFE">
        <w:rPr>
          <w:rFonts w:asciiTheme="majorHAnsi" w:hAnsiTheme="majorHAnsi"/>
          <w:b/>
          <w:bCs/>
          <w:sz w:val="19"/>
          <w:szCs w:val="19"/>
          <w:lang w:val="es-ES"/>
        </w:rPr>
        <w:t xml:space="preserve">INTERNACIONAL, </w:t>
      </w:r>
      <w:r w:rsidRPr="00737CFE">
        <w:rPr>
          <w:rFonts w:asciiTheme="majorHAnsi" w:hAnsiTheme="majorHAnsi"/>
          <w:b/>
          <w:bCs/>
          <w:sz w:val="19"/>
          <w:szCs w:val="19"/>
          <w:lang w:val="es-ES"/>
        </w:rPr>
        <w:t xml:space="preserve"> CARACTERIZACIÓN, </w:t>
      </w:r>
      <w:r w:rsidRPr="00737CFE">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737CFE" w:rsidTr="004A6A54">
        <w:trPr>
          <w:cantSplit/>
        </w:trPr>
        <w:tc>
          <w:tcPr>
            <w:tcW w:w="3600" w:type="dxa"/>
            <w:tcBorders>
              <w:top w:val="single" w:sz="4" w:space="0" w:color="auto"/>
              <w:bottom w:val="single" w:sz="6" w:space="0" w:color="auto"/>
            </w:tcBorders>
            <w:shd w:val="clear" w:color="auto" w:fill="386294"/>
            <w:vAlign w:val="center"/>
          </w:tcPr>
          <w:p w:rsidR="00EE00E9" w:rsidRPr="00737CFE" w:rsidRDefault="00EE00E9" w:rsidP="008D2290">
            <w:pPr>
              <w:jc w:val="center"/>
              <w:rPr>
                <w:rFonts w:asciiTheme="majorHAnsi" w:hAnsiTheme="majorHAnsi"/>
                <w:b/>
                <w:bCs/>
                <w:color w:val="FFFFFF" w:themeColor="background1"/>
                <w:sz w:val="19"/>
                <w:szCs w:val="19"/>
                <w:lang w:val="es-ES"/>
              </w:rPr>
            </w:pPr>
            <w:r w:rsidRPr="00737CFE">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737CFE" w:rsidRDefault="00CD5495" w:rsidP="008D2290">
            <w:pPr>
              <w:jc w:val="both"/>
              <w:rPr>
                <w:rFonts w:asciiTheme="majorHAnsi" w:hAnsiTheme="majorHAnsi"/>
                <w:bCs/>
                <w:sz w:val="19"/>
                <w:szCs w:val="19"/>
                <w:lang w:val="es-ES"/>
              </w:rPr>
            </w:pPr>
            <w:r w:rsidRPr="00737CFE">
              <w:rPr>
                <w:rFonts w:asciiTheme="majorHAnsi" w:hAnsiTheme="majorHAnsi"/>
                <w:bCs/>
                <w:sz w:val="19"/>
                <w:szCs w:val="19"/>
                <w:lang w:val="es-ES"/>
              </w:rPr>
              <w:t>No</w:t>
            </w:r>
          </w:p>
        </w:tc>
      </w:tr>
      <w:tr w:rsidR="003239B8" w:rsidRPr="00737CFE" w:rsidTr="004A6A54">
        <w:trPr>
          <w:cantSplit/>
        </w:trPr>
        <w:tc>
          <w:tcPr>
            <w:tcW w:w="3600" w:type="dxa"/>
            <w:tcBorders>
              <w:top w:val="single" w:sz="4" w:space="0" w:color="auto"/>
              <w:bottom w:val="single" w:sz="6" w:space="0" w:color="auto"/>
            </w:tcBorders>
            <w:shd w:val="clear" w:color="auto" w:fill="386294"/>
            <w:vAlign w:val="center"/>
          </w:tcPr>
          <w:p w:rsidR="003239B8" w:rsidRPr="00737CFE" w:rsidRDefault="003239B8" w:rsidP="008D2290">
            <w:pPr>
              <w:jc w:val="center"/>
              <w:rPr>
                <w:rFonts w:asciiTheme="majorHAnsi" w:hAnsiTheme="majorHAnsi"/>
                <w:b/>
                <w:bCs/>
                <w:i/>
                <w:color w:val="FFFFFF" w:themeColor="background1"/>
                <w:sz w:val="19"/>
                <w:szCs w:val="19"/>
              </w:rPr>
            </w:pPr>
            <w:r w:rsidRPr="00737CFE">
              <w:rPr>
                <w:rFonts w:asciiTheme="majorHAnsi" w:hAnsiTheme="majorHAnsi"/>
                <w:b/>
                <w:bCs/>
                <w:color w:val="FFFFFF" w:themeColor="background1"/>
                <w:sz w:val="19"/>
                <w:szCs w:val="19"/>
              </w:rPr>
              <w:t>Derechos declarados admisibles</w:t>
            </w:r>
            <w:r w:rsidRPr="00737CFE">
              <w:rPr>
                <w:rFonts w:asciiTheme="majorHAnsi" w:hAnsiTheme="majorHAnsi"/>
                <w:b/>
                <w:bCs/>
                <w:i/>
                <w:color w:val="FFFFFF" w:themeColor="background1"/>
                <w:sz w:val="19"/>
                <w:szCs w:val="19"/>
              </w:rPr>
              <w:t>:</w:t>
            </w:r>
          </w:p>
        </w:tc>
        <w:tc>
          <w:tcPr>
            <w:tcW w:w="5760" w:type="dxa"/>
            <w:vAlign w:val="center"/>
          </w:tcPr>
          <w:p w:rsidR="003239B8" w:rsidRPr="00737CFE" w:rsidRDefault="00E82DB5" w:rsidP="006A2DBE">
            <w:pPr>
              <w:jc w:val="both"/>
              <w:rPr>
                <w:rFonts w:asciiTheme="majorHAnsi" w:hAnsiTheme="majorHAnsi"/>
                <w:bCs/>
                <w:sz w:val="19"/>
                <w:szCs w:val="19"/>
                <w:lang w:val="es-AR"/>
              </w:rPr>
            </w:pPr>
            <w:r>
              <w:rPr>
                <w:rFonts w:asciiTheme="majorHAnsi" w:hAnsiTheme="majorHAnsi"/>
                <w:sz w:val="19"/>
                <w:szCs w:val="19"/>
                <w:lang w:val="es-ES"/>
              </w:rPr>
              <w:t>Ninguno</w:t>
            </w:r>
          </w:p>
        </w:tc>
      </w:tr>
      <w:tr w:rsidR="003239B8" w:rsidRPr="00E31B7A" w:rsidTr="004A6A54">
        <w:trPr>
          <w:cantSplit/>
        </w:trPr>
        <w:tc>
          <w:tcPr>
            <w:tcW w:w="3600" w:type="dxa"/>
            <w:tcBorders>
              <w:top w:val="single" w:sz="6" w:space="0" w:color="auto"/>
              <w:bottom w:val="single" w:sz="6" w:space="0" w:color="auto"/>
            </w:tcBorders>
            <w:shd w:val="clear" w:color="auto" w:fill="386294"/>
            <w:vAlign w:val="center"/>
          </w:tcPr>
          <w:p w:rsidR="003239B8" w:rsidRPr="00737CFE" w:rsidRDefault="003239B8" w:rsidP="008D2290">
            <w:pPr>
              <w:jc w:val="center"/>
              <w:rPr>
                <w:rFonts w:asciiTheme="majorHAnsi" w:hAnsiTheme="majorHAnsi"/>
                <w:b/>
                <w:bCs/>
                <w:color w:val="FFFFFF" w:themeColor="background1"/>
                <w:sz w:val="19"/>
                <w:szCs w:val="19"/>
                <w:lang w:val="es-ES"/>
              </w:rPr>
            </w:pPr>
            <w:r w:rsidRPr="00737CFE">
              <w:rPr>
                <w:rFonts w:asciiTheme="majorHAnsi" w:hAnsiTheme="majorHAnsi"/>
                <w:b/>
                <w:bCs/>
                <w:color w:val="FFFFFF" w:themeColor="background1"/>
                <w:sz w:val="19"/>
                <w:szCs w:val="19"/>
                <w:lang w:val="es-ES"/>
              </w:rPr>
              <w:t>Agotamiento de recursos internos</w:t>
            </w:r>
            <w:r w:rsidR="00EE00E9" w:rsidRPr="00737CFE">
              <w:rPr>
                <w:rFonts w:asciiTheme="majorHAnsi" w:hAnsiTheme="majorHAnsi"/>
                <w:b/>
                <w:bCs/>
                <w:color w:val="FFFFFF" w:themeColor="background1"/>
                <w:sz w:val="19"/>
                <w:szCs w:val="19"/>
                <w:lang w:val="es-ES"/>
              </w:rPr>
              <w:t xml:space="preserve"> o procedencia de una excepción</w:t>
            </w:r>
            <w:r w:rsidRPr="00737CFE">
              <w:rPr>
                <w:rFonts w:asciiTheme="majorHAnsi" w:hAnsiTheme="majorHAnsi"/>
                <w:b/>
                <w:bCs/>
                <w:color w:val="FFFFFF" w:themeColor="background1"/>
                <w:sz w:val="19"/>
                <w:szCs w:val="19"/>
                <w:lang w:val="es-ES"/>
              </w:rPr>
              <w:t>:</w:t>
            </w:r>
          </w:p>
        </w:tc>
        <w:tc>
          <w:tcPr>
            <w:tcW w:w="5760" w:type="dxa"/>
            <w:vAlign w:val="center"/>
          </w:tcPr>
          <w:p w:rsidR="003239B8" w:rsidRPr="00C30EA5" w:rsidRDefault="0088734D" w:rsidP="00C30EA5">
            <w:pPr>
              <w:rPr>
                <w:rFonts w:asciiTheme="majorHAnsi" w:hAnsiTheme="majorHAnsi"/>
                <w:bCs/>
                <w:sz w:val="19"/>
                <w:szCs w:val="19"/>
                <w:lang w:val="es-PA"/>
              </w:rPr>
            </w:pPr>
            <w:r w:rsidRPr="00737CFE">
              <w:rPr>
                <w:rFonts w:asciiTheme="majorHAnsi" w:hAnsiTheme="majorHAnsi"/>
                <w:bCs/>
                <w:sz w:val="19"/>
                <w:szCs w:val="19"/>
                <w:lang w:val="es-ES"/>
              </w:rPr>
              <w:t xml:space="preserve">Sí, </w:t>
            </w:r>
            <w:r w:rsidR="00C30EA5">
              <w:rPr>
                <w:rFonts w:asciiTheme="majorHAnsi" w:hAnsiTheme="majorHAnsi"/>
                <w:bCs/>
                <w:sz w:val="19"/>
                <w:szCs w:val="19"/>
                <w:lang w:val="es-ES"/>
              </w:rPr>
              <w:t>en los términos de la Sección VI</w:t>
            </w:r>
          </w:p>
        </w:tc>
      </w:tr>
      <w:tr w:rsidR="003239B8" w:rsidRPr="00737CFE" w:rsidTr="004A6A54">
        <w:trPr>
          <w:cantSplit/>
        </w:trPr>
        <w:tc>
          <w:tcPr>
            <w:tcW w:w="3600" w:type="dxa"/>
            <w:tcBorders>
              <w:top w:val="single" w:sz="6" w:space="0" w:color="auto"/>
              <w:bottom w:val="single" w:sz="6" w:space="0" w:color="auto"/>
            </w:tcBorders>
            <w:shd w:val="clear" w:color="auto" w:fill="386294"/>
            <w:vAlign w:val="center"/>
          </w:tcPr>
          <w:p w:rsidR="003239B8" w:rsidRPr="00737CFE" w:rsidRDefault="003239B8" w:rsidP="008D2290">
            <w:pPr>
              <w:jc w:val="center"/>
              <w:rPr>
                <w:rFonts w:asciiTheme="majorHAnsi" w:hAnsiTheme="majorHAnsi"/>
                <w:b/>
                <w:bCs/>
                <w:color w:val="FFFFFF" w:themeColor="background1"/>
                <w:sz w:val="19"/>
                <w:szCs w:val="19"/>
                <w:lang w:val="es-PA"/>
              </w:rPr>
            </w:pPr>
            <w:r w:rsidRPr="00737CFE">
              <w:rPr>
                <w:rFonts w:asciiTheme="majorHAnsi" w:hAnsiTheme="majorHAnsi"/>
                <w:b/>
                <w:bCs/>
                <w:color w:val="FFFFFF" w:themeColor="background1"/>
                <w:sz w:val="19"/>
                <w:szCs w:val="19"/>
                <w:lang w:val="es-PA"/>
              </w:rPr>
              <w:t>Presentación dentro de plazo:</w:t>
            </w:r>
          </w:p>
        </w:tc>
        <w:tc>
          <w:tcPr>
            <w:tcW w:w="5760" w:type="dxa"/>
            <w:vAlign w:val="center"/>
          </w:tcPr>
          <w:p w:rsidR="003239B8" w:rsidRPr="00737CFE" w:rsidRDefault="0088734D" w:rsidP="008D2290">
            <w:pPr>
              <w:rPr>
                <w:rFonts w:asciiTheme="majorHAnsi" w:hAnsiTheme="majorHAnsi"/>
                <w:bCs/>
                <w:sz w:val="19"/>
                <w:szCs w:val="19"/>
              </w:rPr>
            </w:pPr>
            <w:r w:rsidRPr="00737CFE">
              <w:rPr>
                <w:rFonts w:asciiTheme="majorHAnsi" w:hAnsiTheme="majorHAnsi"/>
                <w:bCs/>
                <w:sz w:val="19"/>
                <w:szCs w:val="19"/>
                <w:lang w:val="es-ES"/>
              </w:rPr>
              <w:t xml:space="preserve">Sí, 16 de diciembre de 2010 </w:t>
            </w:r>
          </w:p>
        </w:tc>
      </w:tr>
    </w:tbl>
    <w:p w:rsidR="00496756" w:rsidRDefault="00496756" w:rsidP="003239B8">
      <w:pPr>
        <w:spacing w:before="240" w:after="240"/>
        <w:ind w:firstLine="720"/>
        <w:jc w:val="both"/>
        <w:rPr>
          <w:rFonts w:asciiTheme="majorHAnsi" w:hAnsiTheme="majorHAnsi"/>
          <w:b/>
          <w:sz w:val="20"/>
          <w:szCs w:val="20"/>
          <w:lang w:val="es-UY"/>
        </w:rPr>
      </w:pPr>
    </w:p>
    <w:p w:rsidR="009E37C6" w:rsidRDefault="009E37C6" w:rsidP="003239B8">
      <w:pPr>
        <w:spacing w:before="240" w:after="240"/>
        <w:ind w:firstLine="720"/>
        <w:jc w:val="both"/>
        <w:rPr>
          <w:rFonts w:asciiTheme="majorHAnsi" w:hAnsiTheme="majorHAnsi"/>
          <w:b/>
          <w:sz w:val="20"/>
          <w:szCs w:val="20"/>
          <w:lang w:val="es-UY"/>
        </w:rPr>
      </w:pPr>
    </w:p>
    <w:p w:rsidR="009E37C6" w:rsidRDefault="009E37C6" w:rsidP="003239B8">
      <w:pPr>
        <w:spacing w:before="240" w:after="240"/>
        <w:ind w:firstLine="720"/>
        <w:jc w:val="both"/>
        <w:rPr>
          <w:rFonts w:asciiTheme="majorHAnsi" w:hAnsiTheme="majorHAnsi"/>
          <w:b/>
          <w:sz w:val="20"/>
          <w:szCs w:val="20"/>
          <w:lang w:val="es-UY"/>
        </w:rPr>
      </w:pPr>
    </w:p>
    <w:p w:rsidR="003239B8" w:rsidRPr="00F7063D"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sidRPr="00F7063D">
        <w:rPr>
          <w:rFonts w:asciiTheme="majorHAnsi" w:hAnsiTheme="majorHAnsi"/>
          <w:b/>
          <w:sz w:val="20"/>
          <w:szCs w:val="20"/>
          <w:lang w:val="es-UY"/>
        </w:rPr>
        <w:t xml:space="preserve">HECHOS ALEGADOS </w:t>
      </w:r>
    </w:p>
    <w:p w:rsidR="006B6B4D" w:rsidRPr="00622752" w:rsidRDefault="006B6B4D" w:rsidP="006B6B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622752">
        <w:rPr>
          <w:rFonts w:ascii="Cambria" w:hAnsi="Cambria"/>
          <w:sz w:val="20"/>
          <w:szCs w:val="20"/>
          <w:lang w:val="es-AR"/>
        </w:rPr>
        <w:t xml:space="preserve">La presunta víctima denuncia </w:t>
      </w:r>
      <w:r>
        <w:rPr>
          <w:rFonts w:ascii="Cambria" w:hAnsi="Cambria"/>
          <w:sz w:val="20"/>
          <w:szCs w:val="20"/>
          <w:lang w:val="es-GT"/>
        </w:rPr>
        <w:t>que fue</w:t>
      </w:r>
      <w:r w:rsidRPr="00622752">
        <w:rPr>
          <w:rFonts w:ascii="Cambria" w:hAnsi="Cambria"/>
          <w:sz w:val="20"/>
          <w:szCs w:val="20"/>
          <w:lang w:val="es-GT"/>
        </w:rPr>
        <w:t xml:space="preserve"> de</w:t>
      </w:r>
      <w:r>
        <w:rPr>
          <w:rFonts w:ascii="Cambria" w:hAnsi="Cambria"/>
          <w:sz w:val="20"/>
          <w:szCs w:val="20"/>
          <w:lang w:val="es-GT"/>
        </w:rPr>
        <w:t>stituido de su cargo como m</w:t>
      </w:r>
      <w:r w:rsidRPr="00622752">
        <w:rPr>
          <w:rFonts w:ascii="Cambria" w:hAnsi="Cambria"/>
          <w:sz w:val="20"/>
          <w:szCs w:val="20"/>
          <w:lang w:val="es-GT"/>
        </w:rPr>
        <w:t>agistrado del Tribunal de Cuent</w:t>
      </w:r>
      <w:r>
        <w:rPr>
          <w:rFonts w:ascii="Cambria" w:hAnsi="Cambria"/>
          <w:sz w:val="20"/>
          <w:szCs w:val="20"/>
          <w:lang w:val="es-GT"/>
        </w:rPr>
        <w:t xml:space="preserve">as de la Provincia de </w:t>
      </w:r>
      <w:r w:rsidR="00B27E68">
        <w:rPr>
          <w:rFonts w:ascii="Cambria" w:hAnsi="Cambria"/>
          <w:sz w:val="20"/>
          <w:szCs w:val="20"/>
          <w:lang w:val="es-GT"/>
        </w:rPr>
        <w:t>L</w:t>
      </w:r>
      <w:r>
        <w:rPr>
          <w:rFonts w:ascii="Cambria" w:hAnsi="Cambria"/>
          <w:sz w:val="20"/>
          <w:szCs w:val="20"/>
          <w:lang w:val="es-GT"/>
        </w:rPr>
        <w:t>a Pampa, mediante un proceso de instancia única que no cumplió con las garantías exigidas por la Convención Americana.</w:t>
      </w:r>
    </w:p>
    <w:p w:rsidR="006B6B4D" w:rsidRDefault="006B6B4D" w:rsidP="006B6B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Señala </w:t>
      </w:r>
      <w:r w:rsidRPr="00622752">
        <w:rPr>
          <w:rFonts w:ascii="Cambria" w:hAnsi="Cambria"/>
          <w:sz w:val="20"/>
          <w:szCs w:val="20"/>
          <w:lang w:val="es-AR"/>
        </w:rPr>
        <w:t>que</w:t>
      </w:r>
      <w:r>
        <w:rPr>
          <w:rFonts w:ascii="Cambria" w:hAnsi="Cambria"/>
          <w:sz w:val="20"/>
          <w:szCs w:val="20"/>
          <w:lang w:val="es-AR"/>
        </w:rPr>
        <w:t xml:space="preserve"> desde</w:t>
      </w:r>
      <w:r w:rsidRPr="00622752">
        <w:rPr>
          <w:rFonts w:ascii="Cambria" w:hAnsi="Cambria"/>
          <w:sz w:val="20"/>
          <w:szCs w:val="20"/>
          <w:lang w:val="es-AR"/>
        </w:rPr>
        <w:t xml:space="preserve"> </w:t>
      </w:r>
      <w:r w:rsidRPr="00690346">
        <w:rPr>
          <w:rFonts w:ascii="Cambria" w:hAnsi="Cambria"/>
          <w:sz w:val="20"/>
          <w:szCs w:val="20"/>
          <w:lang w:val="es-AR"/>
        </w:rPr>
        <w:t xml:space="preserve">1997 ocupó diversos cargos en el </w:t>
      </w:r>
      <w:r w:rsidR="00B27E68">
        <w:rPr>
          <w:rFonts w:ascii="Cambria" w:hAnsi="Cambria"/>
          <w:sz w:val="20"/>
          <w:szCs w:val="20"/>
          <w:lang w:val="es-AR"/>
        </w:rPr>
        <w:t>P</w:t>
      </w:r>
      <w:r w:rsidRPr="00690346">
        <w:rPr>
          <w:rFonts w:ascii="Cambria" w:hAnsi="Cambria"/>
          <w:sz w:val="20"/>
          <w:szCs w:val="20"/>
          <w:lang w:val="es-AR"/>
        </w:rPr>
        <w:t xml:space="preserve">oder </w:t>
      </w:r>
      <w:r w:rsidR="00B27E68">
        <w:rPr>
          <w:rFonts w:ascii="Cambria" w:hAnsi="Cambria"/>
          <w:sz w:val="20"/>
          <w:szCs w:val="20"/>
          <w:lang w:val="es-AR"/>
        </w:rPr>
        <w:t>J</w:t>
      </w:r>
      <w:r w:rsidRPr="00690346">
        <w:rPr>
          <w:rFonts w:ascii="Cambria" w:hAnsi="Cambria"/>
          <w:sz w:val="20"/>
          <w:szCs w:val="20"/>
          <w:lang w:val="es-AR"/>
        </w:rPr>
        <w:t>udicial, siendo seleccionado en 1998 para ocupar la presidencia del Tribunal de Cuentas de la provincia</w:t>
      </w:r>
      <w:r w:rsidRPr="00622752">
        <w:rPr>
          <w:rFonts w:ascii="Cambria" w:hAnsi="Cambria"/>
          <w:sz w:val="20"/>
          <w:szCs w:val="20"/>
          <w:lang w:val="es-AR"/>
        </w:rPr>
        <w:t xml:space="preserve">. </w:t>
      </w:r>
      <w:r>
        <w:rPr>
          <w:rFonts w:ascii="Cambria" w:hAnsi="Cambria"/>
          <w:sz w:val="20"/>
          <w:szCs w:val="20"/>
          <w:lang w:val="es-AR"/>
        </w:rPr>
        <w:t>Relata</w:t>
      </w:r>
      <w:r w:rsidRPr="00622752">
        <w:rPr>
          <w:rFonts w:ascii="Cambria" w:hAnsi="Cambria"/>
          <w:sz w:val="20"/>
          <w:szCs w:val="20"/>
          <w:lang w:val="es-AR"/>
        </w:rPr>
        <w:t xml:space="preserve"> que el 29 de septiembre de 2008 se</w:t>
      </w:r>
      <w:r w:rsidR="000939C7">
        <w:rPr>
          <w:rFonts w:ascii="Cambria" w:hAnsi="Cambria"/>
          <w:sz w:val="20"/>
          <w:szCs w:val="20"/>
          <w:lang w:val="es-AR"/>
        </w:rPr>
        <w:t xml:space="preserve"> le</w:t>
      </w:r>
      <w:r w:rsidRPr="00622752">
        <w:rPr>
          <w:rFonts w:ascii="Cambria" w:hAnsi="Cambria"/>
          <w:sz w:val="20"/>
          <w:szCs w:val="20"/>
          <w:lang w:val="es-AR"/>
        </w:rPr>
        <w:t xml:space="preserve"> </w:t>
      </w:r>
      <w:r>
        <w:rPr>
          <w:rFonts w:ascii="Cambria" w:hAnsi="Cambria"/>
          <w:sz w:val="20"/>
          <w:szCs w:val="20"/>
          <w:lang w:val="es-AR"/>
        </w:rPr>
        <w:t>inició un proceso de juicio político a través de jurado de enjuiciamiento</w:t>
      </w:r>
      <w:r>
        <w:rPr>
          <w:rStyle w:val="FootnoteReference"/>
          <w:rFonts w:ascii="Cambria" w:hAnsi="Cambria"/>
          <w:sz w:val="20"/>
          <w:szCs w:val="20"/>
          <w:lang w:val="es-AR"/>
        </w:rPr>
        <w:footnoteReference w:id="7"/>
      </w:r>
      <w:r w:rsidR="006928C5">
        <w:rPr>
          <w:rFonts w:ascii="Cambria" w:hAnsi="Cambria"/>
          <w:sz w:val="20"/>
          <w:szCs w:val="20"/>
          <w:lang w:val="es-AR"/>
        </w:rPr>
        <w:t xml:space="preserve"> </w:t>
      </w:r>
      <w:r>
        <w:rPr>
          <w:rFonts w:ascii="Cambria" w:hAnsi="Cambria"/>
          <w:sz w:val="20"/>
          <w:szCs w:val="20"/>
          <w:lang w:val="es-AR"/>
        </w:rPr>
        <w:t xml:space="preserve">por la presunta comisión </w:t>
      </w:r>
      <w:r w:rsidRPr="00622752">
        <w:rPr>
          <w:rFonts w:ascii="Cambria" w:hAnsi="Cambria"/>
          <w:sz w:val="20"/>
          <w:szCs w:val="20"/>
          <w:lang w:val="es-AR"/>
        </w:rPr>
        <w:t>del delito de incumplimiento de los deberes de</w:t>
      </w:r>
      <w:r>
        <w:rPr>
          <w:rFonts w:ascii="Cambria" w:hAnsi="Cambria"/>
          <w:sz w:val="20"/>
          <w:szCs w:val="20"/>
          <w:lang w:val="es-AR"/>
        </w:rPr>
        <w:t>l funcionario pú</w:t>
      </w:r>
      <w:r w:rsidRPr="00622752">
        <w:rPr>
          <w:rFonts w:ascii="Cambria" w:hAnsi="Cambria"/>
          <w:sz w:val="20"/>
          <w:szCs w:val="20"/>
          <w:lang w:val="es-AR"/>
        </w:rPr>
        <w:t>blico</w:t>
      </w:r>
      <w:r>
        <w:rPr>
          <w:rFonts w:ascii="Cambria" w:hAnsi="Cambria"/>
          <w:sz w:val="20"/>
          <w:szCs w:val="20"/>
          <w:lang w:val="es-AR"/>
        </w:rPr>
        <w:t>.</w:t>
      </w:r>
      <w:r>
        <w:rPr>
          <w:rStyle w:val="FootnoteReference"/>
          <w:rFonts w:ascii="Cambria" w:hAnsi="Cambria"/>
          <w:sz w:val="20"/>
          <w:szCs w:val="20"/>
          <w:lang w:val="es-AR"/>
        </w:rPr>
        <w:footnoteReference w:id="8"/>
      </w:r>
      <w:r>
        <w:rPr>
          <w:rFonts w:ascii="Cambria" w:hAnsi="Cambria"/>
          <w:sz w:val="20"/>
          <w:szCs w:val="20"/>
          <w:lang w:val="es-AR"/>
        </w:rPr>
        <w:t xml:space="preserve"> Alega que en el transcurso del proceso se suscit</w:t>
      </w:r>
      <w:r w:rsidR="00D823DF">
        <w:rPr>
          <w:rFonts w:ascii="Cambria" w:hAnsi="Cambria"/>
          <w:sz w:val="20"/>
          <w:szCs w:val="20"/>
          <w:lang w:val="es-AR"/>
        </w:rPr>
        <w:t xml:space="preserve">aron irregularidades.  Así, por ejemplo, </w:t>
      </w:r>
      <w:r w:rsidR="009F56E4">
        <w:rPr>
          <w:rFonts w:ascii="Cambria" w:hAnsi="Cambria"/>
          <w:sz w:val="20"/>
          <w:szCs w:val="20"/>
          <w:lang w:val="es-AR"/>
        </w:rPr>
        <w:t xml:space="preserve">indica que </w:t>
      </w:r>
      <w:r>
        <w:rPr>
          <w:rFonts w:ascii="Cambria" w:hAnsi="Cambria"/>
          <w:sz w:val="20"/>
          <w:szCs w:val="20"/>
          <w:lang w:val="es-AR"/>
        </w:rPr>
        <w:t xml:space="preserve">al fallecer uno de los abogados que conformaba el jurado, </w:t>
      </w:r>
      <w:r w:rsidR="00B05C4D">
        <w:rPr>
          <w:rFonts w:ascii="Cambria" w:hAnsi="Cambria"/>
          <w:sz w:val="20"/>
          <w:szCs w:val="20"/>
          <w:lang w:val="es-AR"/>
        </w:rPr>
        <w:t xml:space="preserve">el abogado </w:t>
      </w:r>
      <w:r>
        <w:rPr>
          <w:rFonts w:ascii="Cambria" w:hAnsi="Cambria"/>
          <w:sz w:val="20"/>
          <w:szCs w:val="20"/>
          <w:lang w:val="es-AR"/>
        </w:rPr>
        <w:t xml:space="preserve">Emil Konkurat fue designado </w:t>
      </w:r>
      <w:r w:rsidR="00893AEA">
        <w:rPr>
          <w:rFonts w:ascii="Cambria" w:hAnsi="Cambria"/>
          <w:sz w:val="20"/>
          <w:szCs w:val="20"/>
          <w:lang w:val="es-AR"/>
        </w:rPr>
        <w:t>como suplente para reemplazarlo</w:t>
      </w:r>
      <w:r w:rsidR="009F56E4">
        <w:rPr>
          <w:rFonts w:ascii="Cambria" w:hAnsi="Cambria"/>
          <w:sz w:val="20"/>
          <w:szCs w:val="20"/>
          <w:lang w:val="es-AR"/>
        </w:rPr>
        <w:t xml:space="preserve">, sin que se realizara el sorteo de ley y </w:t>
      </w:r>
      <w:r w:rsidR="007C0778">
        <w:rPr>
          <w:rFonts w:ascii="Cambria" w:hAnsi="Cambria"/>
          <w:sz w:val="20"/>
          <w:szCs w:val="20"/>
          <w:lang w:val="es-AR"/>
        </w:rPr>
        <w:t xml:space="preserve">a pesar de que </w:t>
      </w:r>
      <w:r w:rsidR="00B9765D">
        <w:rPr>
          <w:rFonts w:ascii="Cambria" w:hAnsi="Cambria"/>
          <w:sz w:val="20"/>
          <w:szCs w:val="20"/>
          <w:lang w:val="es-AR"/>
        </w:rPr>
        <w:t xml:space="preserve">este </w:t>
      </w:r>
      <w:r w:rsidR="007C0778">
        <w:rPr>
          <w:rFonts w:ascii="Cambria" w:hAnsi="Cambria"/>
          <w:sz w:val="20"/>
          <w:szCs w:val="20"/>
          <w:lang w:val="es-AR"/>
        </w:rPr>
        <w:t>abogado había</w:t>
      </w:r>
      <w:r>
        <w:rPr>
          <w:rFonts w:ascii="Cambria" w:hAnsi="Cambria"/>
          <w:sz w:val="20"/>
          <w:szCs w:val="20"/>
          <w:lang w:val="es-AR"/>
        </w:rPr>
        <w:t xml:space="preserve"> emitido previamente voto de minoría en un jurado de enjuiciamiento contra autoridades del Tribunal de Cuenta</w:t>
      </w:r>
      <w:r w:rsidR="00B27E68">
        <w:rPr>
          <w:rFonts w:ascii="Cambria" w:hAnsi="Cambria"/>
          <w:sz w:val="20"/>
          <w:szCs w:val="20"/>
          <w:lang w:val="es-AR"/>
        </w:rPr>
        <w:t>s</w:t>
      </w:r>
      <w:r>
        <w:rPr>
          <w:rFonts w:ascii="Cambria" w:hAnsi="Cambria"/>
          <w:sz w:val="20"/>
          <w:szCs w:val="20"/>
          <w:lang w:val="es-AR"/>
        </w:rPr>
        <w:t>. Indica que presentó un recur</w:t>
      </w:r>
      <w:r w:rsidR="00443A5F">
        <w:rPr>
          <w:rFonts w:ascii="Cambria" w:hAnsi="Cambria"/>
          <w:sz w:val="20"/>
          <w:szCs w:val="20"/>
          <w:lang w:val="es-AR"/>
        </w:rPr>
        <w:t>so contra la incorporación de</w:t>
      </w:r>
      <w:r w:rsidR="007C0778">
        <w:rPr>
          <w:rFonts w:ascii="Cambria" w:hAnsi="Cambria"/>
          <w:sz w:val="20"/>
          <w:szCs w:val="20"/>
          <w:lang w:val="es-AR"/>
        </w:rPr>
        <w:t xml:space="preserve"> </w:t>
      </w:r>
      <w:r>
        <w:rPr>
          <w:rFonts w:ascii="Cambria" w:hAnsi="Cambria"/>
          <w:sz w:val="20"/>
          <w:szCs w:val="20"/>
          <w:lang w:val="es-AR"/>
        </w:rPr>
        <w:t>Konkurat</w:t>
      </w:r>
      <w:r w:rsidR="007C0778">
        <w:rPr>
          <w:rFonts w:ascii="Cambria" w:hAnsi="Cambria"/>
          <w:sz w:val="20"/>
          <w:szCs w:val="20"/>
          <w:lang w:val="es-AR"/>
        </w:rPr>
        <w:t xml:space="preserve">, que </w:t>
      </w:r>
      <w:r>
        <w:rPr>
          <w:rFonts w:ascii="Cambria" w:hAnsi="Cambria"/>
          <w:sz w:val="20"/>
          <w:szCs w:val="20"/>
          <w:lang w:val="es-AR"/>
        </w:rPr>
        <w:t xml:space="preserve"> fue rechazado el 16 de diciembre de 2008 por haberse presentado cincuenta minutos extemporáneamente, pese a que el jurado posteriormente resolvió que los plazos se encontraban suspendidos durante esa fecha. Agrega que el jurado también se negó a incorporar prueba presentada por él para evidenciar que la rendición diaria era responsabilidad de los relatores de la s</w:t>
      </w:r>
      <w:r w:rsidRPr="0003189C">
        <w:rPr>
          <w:rFonts w:ascii="Cambria" w:hAnsi="Cambria"/>
          <w:sz w:val="20"/>
          <w:szCs w:val="20"/>
          <w:lang w:val="es-AR"/>
        </w:rPr>
        <w:t>ala</w:t>
      </w:r>
      <w:r>
        <w:rPr>
          <w:rFonts w:ascii="Cambria" w:hAnsi="Cambria"/>
          <w:sz w:val="20"/>
          <w:szCs w:val="20"/>
          <w:lang w:val="es-AR"/>
        </w:rPr>
        <w:t xml:space="preserve"> y no del presidente.</w:t>
      </w:r>
    </w:p>
    <w:p w:rsidR="006B6B4D" w:rsidRPr="00D954B3" w:rsidRDefault="006B6B4D" w:rsidP="006B6B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libri" w:hAnsi="Calibri"/>
          <w:sz w:val="22"/>
          <w:szCs w:val="22"/>
          <w:lang w:val="es-AR"/>
        </w:rPr>
      </w:pPr>
      <w:r w:rsidRPr="003109B0">
        <w:rPr>
          <w:rFonts w:ascii="Cambria" w:hAnsi="Cambria"/>
          <w:sz w:val="20"/>
          <w:szCs w:val="20"/>
          <w:lang w:val="es-AR"/>
        </w:rPr>
        <w:t>Manifiesta que durante el juicio solicitó la declaratoria de inconstitucionalidad del artículo 46 de la ley provincial 313</w:t>
      </w:r>
      <w:r>
        <w:rPr>
          <w:rStyle w:val="FootnoteReference"/>
          <w:rFonts w:ascii="Cambria" w:hAnsi="Cambria"/>
          <w:sz w:val="20"/>
          <w:szCs w:val="20"/>
          <w:lang w:val="es-AR"/>
        </w:rPr>
        <w:footnoteReference w:id="9"/>
      </w:r>
      <w:r w:rsidRPr="003109B0">
        <w:rPr>
          <w:rFonts w:ascii="Cambria" w:hAnsi="Cambria"/>
          <w:sz w:val="20"/>
          <w:szCs w:val="20"/>
          <w:lang w:val="es-AR"/>
        </w:rPr>
        <w:t xml:space="preserve"> aduciendo que </w:t>
      </w:r>
      <w:r w:rsidR="00E95C93">
        <w:rPr>
          <w:rFonts w:ascii="Cambria" w:hAnsi="Cambria"/>
          <w:sz w:val="20"/>
          <w:szCs w:val="20"/>
          <w:lang w:val="es-AR"/>
        </w:rPr>
        <w:t>éste</w:t>
      </w:r>
      <w:r w:rsidRPr="003109B0">
        <w:rPr>
          <w:rFonts w:ascii="Cambria" w:hAnsi="Cambria"/>
          <w:sz w:val="20"/>
          <w:szCs w:val="20"/>
          <w:lang w:val="es-AR"/>
        </w:rPr>
        <w:t xml:space="preserve"> violaba el derecho a la doble instancia, solicitud que el jurado denegó en la sentencia al considerar que carecía de facultades ju</w:t>
      </w:r>
      <w:r w:rsidR="00830D68">
        <w:rPr>
          <w:rFonts w:ascii="Cambria" w:hAnsi="Cambria"/>
          <w:sz w:val="20"/>
          <w:szCs w:val="20"/>
          <w:lang w:val="es-AR"/>
        </w:rPr>
        <w:t>risdiccionales para atenderlas.</w:t>
      </w:r>
      <w:r w:rsidRPr="003109B0">
        <w:rPr>
          <w:rFonts w:ascii="Cambria" w:hAnsi="Cambria"/>
          <w:sz w:val="20"/>
          <w:szCs w:val="20"/>
          <w:lang w:val="es-AR"/>
        </w:rPr>
        <w:t xml:space="preserve"> El 23 de febrero de 2009 el peticionario solicitó al jurado que dictara sentencia absolutoria a su favor con fundamento en el artículo 52 de la ley 313</w:t>
      </w:r>
      <w:r w:rsidR="00864E4A">
        <w:rPr>
          <w:rStyle w:val="FootnoteReference"/>
          <w:rFonts w:ascii="Cambria" w:hAnsi="Cambria"/>
          <w:sz w:val="20"/>
          <w:szCs w:val="20"/>
          <w:lang w:val="es-AR"/>
        </w:rPr>
        <w:footnoteReference w:id="10"/>
      </w:r>
      <w:r>
        <w:rPr>
          <w:rFonts w:ascii="Cambria" w:hAnsi="Cambria"/>
          <w:sz w:val="20"/>
          <w:szCs w:val="20"/>
          <w:lang w:val="es-AR"/>
        </w:rPr>
        <w:t xml:space="preserve">. Alega que esta solicitud fue denegada por el jurado, por mayoría, quien consideró que el plazo vencería el 3 de marzo de 2009 dado a </w:t>
      </w:r>
      <w:r w:rsidR="0014051D">
        <w:rPr>
          <w:rFonts w:ascii="Cambria" w:hAnsi="Cambria"/>
          <w:sz w:val="20"/>
          <w:szCs w:val="20"/>
          <w:lang w:val="es-AR"/>
        </w:rPr>
        <w:t xml:space="preserve">que </w:t>
      </w:r>
      <w:r>
        <w:rPr>
          <w:rFonts w:ascii="Cambria" w:hAnsi="Cambria"/>
          <w:sz w:val="20"/>
          <w:szCs w:val="20"/>
          <w:lang w:val="es-AR"/>
        </w:rPr>
        <w:t xml:space="preserve">los plazos procesales </w:t>
      </w:r>
      <w:r w:rsidR="0014051D">
        <w:rPr>
          <w:rFonts w:ascii="Cambria" w:hAnsi="Cambria"/>
          <w:sz w:val="20"/>
          <w:szCs w:val="20"/>
          <w:lang w:val="es-AR"/>
        </w:rPr>
        <w:t>fueron suspendidos</w:t>
      </w:r>
      <w:r>
        <w:rPr>
          <w:rFonts w:ascii="Cambria" w:hAnsi="Cambria"/>
          <w:sz w:val="20"/>
          <w:szCs w:val="20"/>
          <w:lang w:val="es-AR"/>
        </w:rPr>
        <w:t xml:space="preserve"> en la provincia por</w:t>
      </w:r>
      <w:r w:rsidR="0014051D">
        <w:rPr>
          <w:rFonts w:ascii="Cambria" w:hAnsi="Cambria"/>
          <w:sz w:val="20"/>
          <w:szCs w:val="20"/>
          <w:lang w:val="es-AR"/>
        </w:rPr>
        <w:t xml:space="preserve"> varios días por</w:t>
      </w:r>
      <w:r>
        <w:rPr>
          <w:rFonts w:ascii="Cambria" w:hAnsi="Cambria"/>
          <w:sz w:val="20"/>
          <w:szCs w:val="20"/>
          <w:lang w:val="es-AR"/>
        </w:rPr>
        <w:t xml:space="preserve"> razón de paros y huelga. El peticionario argumenta que esta postura fue incongruente con el actuar previo del jurado</w:t>
      </w:r>
      <w:r w:rsidR="00B27E68">
        <w:rPr>
          <w:rFonts w:ascii="Cambria" w:hAnsi="Cambria"/>
          <w:sz w:val="20"/>
          <w:szCs w:val="20"/>
          <w:lang w:val="es-AR"/>
        </w:rPr>
        <w:t>,</w:t>
      </w:r>
      <w:r>
        <w:rPr>
          <w:rFonts w:ascii="Cambria" w:hAnsi="Cambria"/>
          <w:sz w:val="20"/>
          <w:szCs w:val="20"/>
          <w:lang w:val="es-AR"/>
        </w:rPr>
        <w:t xml:space="preserve"> pues durante </w:t>
      </w:r>
      <w:r w:rsidR="0014051D">
        <w:rPr>
          <w:rFonts w:ascii="Cambria" w:hAnsi="Cambria"/>
          <w:sz w:val="20"/>
          <w:szCs w:val="20"/>
          <w:lang w:val="es-AR"/>
        </w:rPr>
        <w:t>estos</w:t>
      </w:r>
      <w:r>
        <w:rPr>
          <w:rFonts w:ascii="Cambria" w:hAnsi="Cambria"/>
          <w:sz w:val="20"/>
          <w:szCs w:val="20"/>
          <w:lang w:val="es-AR"/>
        </w:rPr>
        <w:t xml:space="preserve"> días supuestamente inhábiles el jurado realizó diversas actividades procesales</w:t>
      </w:r>
      <w:r>
        <w:rPr>
          <w:rStyle w:val="FootnoteReference"/>
          <w:rFonts w:ascii="Cambria" w:hAnsi="Cambria"/>
          <w:sz w:val="20"/>
          <w:szCs w:val="20"/>
          <w:lang w:val="es-AR"/>
        </w:rPr>
        <w:footnoteReference w:id="11"/>
      </w:r>
      <w:r>
        <w:rPr>
          <w:rFonts w:ascii="Cambria" w:hAnsi="Cambria"/>
          <w:sz w:val="20"/>
          <w:szCs w:val="20"/>
          <w:lang w:val="es-AR"/>
        </w:rPr>
        <w:t xml:space="preserve"> destacándose la devolución por extemporáneo de su recurso presentado contra la incorporación </w:t>
      </w:r>
      <w:r w:rsidR="002D4A29">
        <w:rPr>
          <w:rFonts w:ascii="Cambria" w:hAnsi="Cambria"/>
          <w:sz w:val="20"/>
          <w:szCs w:val="20"/>
          <w:lang w:val="es-AR"/>
        </w:rPr>
        <w:t>del abogado Konkurat</w:t>
      </w:r>
      <w:r>
        <w:rPr>
          <w:rFonts w:ascii="Cambria" w:hAnsi="Cambria"/>
          <w:sz w:val="20"/>
          <w:szCs w:val="20"/>
          <w:lang w:val="es-AR"/>
        </w:rPr>
        <w:t xml:space="preserve">. </w:t>
      </w:r>
      <w:r w:rsidRPr="00D954B3">
        <w:rPr>
          <w:rFonts w:ascii="Cambria" w:hAnsi="Cambria"/>
          <w:sz w:val="20"/>
          <w:szCs w:val="20"/>
          <w:lang w:val="es-AR"/>
        </w:rPr>
        <w:t>Indica que en decisiones del 28 de febrero y 1 de marzo de 2009 el jurado concluyó el proceso determinando su destitución por “mal desempeño de funciones”, pero</w:t>
      </w:r>
      <w:r w:rsidR="005466D0">
        <w:rPr>
          <w:rFonts w:ascii="Cambria" w:hAnsi="Cambria"/>
          <w:sz w:val="20"/>
          <w:szCs w:val="20"/>
          <w:lang w:val="es-AR"/>
        </w:rPr>
        <w:t xml:space="preserve"> no le imputó delito </w:t>
      </w:r>
      <w:r w:rsidR="007C0778">
        <w:rPr>
          <w:rFonts w:ascii="Cambria" w:hAnsi="Cambria"/>
          <w:sz w:val="20"/>
          <w:szCs w:val="20"/>
          <w:lang w:val="es-AR"/>
        </w:rPr>
        <w:t xml:space="preserve">alguno </w:t>
      </w:r>
      <w:r w:rsidR="005466D0">
        <w:rPr>
          <w:rFonts w:ascii="Cambria" w:hAnsi="Cambria"/>
          <w:sz w:val="20"/>
          <w:szCs w:val="20"/>
          <w:lang w:val="es-AR"/>
        </w:rPr>
        <w:t>pese</w:t>
      </w:r>
      <w:r w:rsidRPr="00D954B3">
        <w:rPr>
          <w:rFonts w:ascii="Cambria" w:hAnsi="Cambria"/>
          <w:sz w:val="20"/>
          <w:szCs w:val="20"/>
          <w:lang w:val="es-AR"/>
        </w:rPr>
        <w:t xml:space="preserve"> a tener competencia para ello.  </w:t>
      </w:r>
    </w:p>
    <w:p w:rsidR="006B6B4D" w:rsidRPr="003B266A" w:rsidRDefault="006B6B4D" w:rsidP="006B6B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libri" w:hAnsi="Calibri"/>
          <w:sz w:val="22"/>
          <w:szCs w:val="22"/>
          <w:lang w:val="es-AR"/>
        </w:rPr>
      </w:pPr>
      <w:r>
        <w:rPr>
          <w:rFonts w:ascii="Cambria" w:hAnsi="Cambria"/>
          <w:sz w:val="20"/>
          <w:szCs w:val="20"/>
          <w:lang w:val="es-AR"/>
        </w:rPr>
        <w:t>El peticionario considera que el referido proceso no cumplió con las garantías exigidas por la Convención Americana</w:t>
      </w:r>
      <w:r w:rsidR="004F3122">
        <w:rPr>
          <w:rStyle w:val="FootnoteReference"/>
          <w:rFonts w:ascii="Cambria" w:hAnsi="Cambria"/>
          <w:sz w:val="20"/>
          <w:szCs w:val="20"/>
          <w:lang w:val="es-AR"/>
        </w:rPr>
        <w:footnoteReference w:id="12"/>
      </w:r>
      <w:r>
        <w:rPr>
          <w:rFonts w:ascii="Cambria" w:hAnsi="Cambria"/>
          <w:sz w:val="20"/>
          <w:szCs w:val="20"/>
          <w:lang w:val="es-AR"/>
        </w:rPr>
        <w:t xml:space="preserve"> por</w:t>
      </w:r>
      <w:r w:rsidR="00D04F01">
        <w:rPr>
          <w:rFonts w:ascii="Cambria" w:hAnsi="Cambria"/>
          <w:sz w:val="20"/>
          <w:szCs w:val="20"/>
          <w:lang w:val="es-AR"/>
        </w:rPr>
        <w:t xml:space="preserve"> los siguientes motivos</w:t>
      </w:r>
      <w:r w:rsidR="0081482D">
        <w:rPr>
          <w:rFonts w:ascii="Cambria" w:hAnsi="Cambria"/>
          <w:sz w:val="20"/>
          <w:szCs w:val="20"/>
          <w:lang w:val="es-AR"/>
        </w:rPr>
        <w:t>:</w:t>
      </w:r>
      <w:r>
        <w:rPr>
          <w:rFonts w:ascii="Cambria" w:hAnsi="Cambria"/>
          <w:sz w:val="20"/>
          <w:szCs w:val="20"/>
          <w:lang w:val="es-AR"/>
        </w:rPr>
        <w:t xml:space="preserve"> no se cumplió con el derecho a la doble instancia</w:t>
      </w:r>
      <w:r w:rsidR="0081482D">
        <w:rPr>
          <w:rFonts w:ascii="Cambria" w:hAnsi="Cambria"/>
          <w:sz w:val="20"/>
          <w:szCs w:val="20"/>
          <w:lang w:val="es-AR"/>
        </w:rPr>
        <w:t>;</w:t>
      </w:r>
      <w:r w:rsidR="00EA1444">
        <w:rPr>
          <w:rFonts w:ascii="Cambria" w:hAnsi="Cambria"/>
          <w:sz w:val="20"/>
          <w:szCs w:val="20"/>
          <w:lang w:val="es-AR"/>
        </w:rPr>
        <w:t xml:space="preserve"> e</w:t>
      </w:r>
      <w:r>
        <w:rPr>
          <w:rFonts w:ascii="Cambria" w:hAnsi="Cambria"/>
          <w:sz w:val="20"/>
          <w:szCs w:val="20"/>
          <w:lang w:val="es-AR"/>
        </w:rPr>
        <w:t xml:space="preserve">l jurado de enjuiciamiento violó los principios de juez natural y competente al incorporar ilegalmente </w:t>
      </w:r>
      <w:r w:rsidR="002D4A29">
        <w:rPr>
          <w:rFonts w:ascii="Cambria" w:hAnsi="Cambria"/>
          <w:sz w:val="20"/>
          <w:szCs w:val="20"/>
          <w:lang w:val="es-AR"/>
        </w:rPr>
        <w:t xml:space="preserve">al abogado Konkurat </w:t>
      </w:r>
      <w:r>
        <w:rPr>
          <w:rFonts w:ascii="Cambria" w:hAnsi="Cambria"/>
          <w:sz w:val="20"/>
          <w:szCs w:val="20"/>
          <w:lang w:val="es-AR"/>
        </w:rPr>
        <w:t>y al continuar con el proceso pese a haber perdido su competencia temporal para condenarlo</w:t>
      </w:r>
      <w:r w:rsidR="0081482D">
        <w:rPr>
          <w:rFonts w:ascii="Cambria" w:hAnsi="Cambria"/>
          <w:sz w:val="20"/>
          <w:szCs w:val="20"/>
          <w:lang w:val="es-AR"/>
        </w:rPr>
        <w:t>;</w:t>
      </w:r>
      <w:r>
        <w:rPr>
          <w:rFonts w:ascii="Cambria" w:hAnsi="Cambria"/>
          <w:sz w:val="20"/>
          <w:szCs w:val="20"/>
          <w:lang w:val="es-AR"/>
        </w:rPr>
        <w:t xml:space="preserve"> se violó el plazo razonable pues </w:t>
      </w:r>
      <w:r w:rsidR="00B03DCD">
        <w:rPr>
          <w:rFonts w:ascii="Cambria" w:hAnsi="Cambria"/>
          <w:sz w:val="20"/>
          <w:szCs w:val="20"/>
          <w:lang w:val="es-AR"/>
        </w:rPr>
        <w:t>é</w:t>
      </w:r>
      <w:r>
        <w:rPr>
          <w:rFonts w:ascii="Cambria" w:hAnsi="Cambria"/>
          <w:sz w:val="20"/>
          <w:szCs w:val="20"/>
          <w:lang w:val="es-AR"/>
        </w:rPr>
        <w:t>ste estaba ta</w:t>
      </w:r>
      <w:r w:rsidR="00D04F01">
        <w:rPr>
          <w:rFonts w:ascii="Cambria" w:hAnsi="Cambria"/>
          <w:sz w:val="20"/>
          <w:szCs w:val="20"/>
          <w:lang w:val="es-AR"/>
        </w:rPr>
        <w:t>s</w:t>
      </w:r>
      <w:r>
        <w:rPr>
          <w:rFonts w:ascii="Cambria" w:hAnsi="Cambria"/>
          <w:sz w:val="20"/>
          <w:szCs w:val="20"/>
          <w:lang w:val="es-AR"/>
        </w:rPr>
        <w:t xml:space="preserve">ado por ley en 90 días y </w:t>
      </w:r>
      <w:r w:rsidR="00D04F01">
        <w:rPr>
          <w:rFonts w:ascii="Cambria" w:hAnsi="Cambria"/>
          <w:sz w:val="20"/>
          <w:szCs w:val="20"/>
          <w:lang w:val="es-AR"/>
        </w:rPr>
        <w:t xml:space="preserve">sin embargo </w:t>
      </w:r>
      <w:r>
        <w:rPr>
          <w:rFonts w:ascii="Cambria" w:hAnsi="Cambria"/>
          <w:sz w:val="20"/>
          <w:szCs w:val="20"/>
          <w:lang w:val="es-AR"/>
        </w:rPr>
        <w:t>la decisión se emitió 142 días (101 hábiles) luego de iniciado el proceso</w:t>
      </w:r>
      <w:r w:rsidR="0081482D">
        <w:rPr>
          <w:rFonts w:ascii="Cambria" w:hAnsi="Cambria"/>
          <w:sz w:val="20"/>
          <w:szCs w:val="20"/>
          <w:lang w:val="es-AR"/>
        </w:rPr>
        <w:t>; y</w:t>
      </w:r>
      <w:r w:rsidR="00EA1444">
        <w:rPr>
          <w:rFonts w:ascii="Cambria" w:hAnsi="Cambria"/>
          <w:sz w:val="20"/>
          <w:szCs w:val="20"/>
          <w:lang w:val="es-AR"/>
        </w:rPr>
        <w:t xml:space="preserve"> </w:t>
      </w:r>
      <w:r>
        <w:rPr>
          <w:rFonts w:ascii="Cambria" w:hAnsi="Cambria"/>
          <w:sz w:val="20"/>
          <w:szCs w:val="20"/>
          <w:lang w:val="es-AR"/>
        </w:rPr>
        <w:t>el jurado de enjuiciamiento ejerció a la vez funciones de instrucción</w:t>
      </w:r>
      <w:r>
        <w:rPr>
          <w:rStyle w:val="FootnoteReference"/>
          <w:rFonts w:ascii="Cambria" w:hAnsi="Cambria"/>
          <w:sz w:val="20"/>
          <w:szCs w:val="20"/>
          <w:lang w:val="es-AR"/>
        </w:rPr>
        <w:footnoteReference w:id="13"/>
      </w:r>
      <w:r>
        <w:rPr>
          <w:rFonts w:ascii="Cambria" w:hAnsi="Cambria"/>
          <w:sz w:val="20"/>
          <w:szCs w:val="20"/>
          <w:lang w:val="es-AR"/>
        </w:rPr>
        <w:t xml:space="preserve"> y de decisión, </w:t>
      </w:r>
      <w:r w:rsidR="00D04F01">
        <w:rPr>
          <w:rFonts w:ascii="Cambria" w:hAnsi="Cambria"/>
          <w:sz w:val="20"/>
          <w:szCs w:val="20"/>
          <w:lang w:val="es-AR"/>
        </w:rPr>
        <w:t>en violación de</w:t>
      </w:r>
      <w:r>
        <w:rPr>
          <w:rFonts w:ascii="Cambria" w:hAnsi="Cambria"/>
          <w:sz w:val="20"/>
          <w:szCs w:val="20"/>
          <w:lang w:val="es-AR"/>
        </w:rPr>
        <w:t>l principio de imparcialidad</w:t>
      </w:r>
      <w:r>
        <w:rPr>
          <w:rStyle w:val="FootnoteReference"/>
          <w:rFonts w:ascii="Cambria" w:hAnsi="Cambria"/>
          <w:sz w:val="20"/>
          <w:szCs w:val="20"/>
          <w:lang w:val="es-AR"/>
        </w:rPr>
        <w:footnoteReference w:id="14"/>
      </w:r>
      <w:r w:rsidR="00D04F01">
        <w:rPr>
          <w:rFonts w:ascii="Cambria" w:hAnsi="Cambria"/>
          <w:sz w:val="20"/>
          <w:szCs w:val="20"/>
          <w:lang w:val="es-AR"/>
        </w:rPr>
        <w:t>.</w:t>
      </w:r>
      <w:r w:rsidR="00EA1444">
        <w:rPr>
          <w:rFonts w:ascii="Cambria" w:hAnsi="Cambria"/>
          <w:sz w:val="20"/>
          <w:szCs w:val="20"/>
          <w:lang w:val="es-AR"/>
        </w:rPr>
        <w:t xml:space="preserve"> </w:t>
      </w:r>
    </w:p>
    <w:p w:rsidR="006B6B4D" w:rsidRPr="003B266A" w:rsidRDefault="006B6B4D" w:rsidP="006B6B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lastRenderedPageBreak/>
        <w:t>Contra la decisión del jurado de enjuiciamiento interpuso recurso de</w:t>
      </w:r>
      <w:r w:rsidRPr="003B266A">
        <w:rPr>
          <w:rFonts w:ascii="Cambria" w:hAnsi="Cambria"/>
          <w:sz w:val="20"/>
          <w:szCs w:val="20"/>
          <w:lang w:val="es-AR"/>
        </w:rPr>
        <w:t xml:space="preserve"> </w:t>
      </w:r>
      <w:r>
        <w:rPr>
          <w:rFonts w:ascii="Cambria" w:hAnsi="Cambria"/>
          <w:sz w:val="20"/>
          <w:szCs w:val="20"/>
          <w:lang w:val="es-AR"/>
        </w:rPr>
        <w:t>inconstitucionalidad</w:t>
      </w:r>
      <w:r>
        <w:rPr>
          <w:rStyle w:val="FootnoteReference"/>
          <w:rFonts w:ascii="Cambria" w:hAnsi="Cambria"/>
          <w:sz w:val="20"/>
          <w:szCs w:val="20"/>
          <w:lang w:val="es-AR"/>
        </w:rPr>
        <w:footnoteReference w:id="15"/>
      </w:r>
      <w:r>
        <w:rPr>
          <w:rFonts w:ascii="Cambria" w:hAnsi="Cambria"/>
          <w:sz w:val="20"/>
          <w:szCs w:val="20"/>
          <w:lang w:val="es-AR"/>
        </w:rPr>
        <w:t xml:space="preserve"> </w:t>
      </w:r>
      <w:r w:rsidRPr="003B266A">
        <w:rPr>
          <w:rFonts w:ascii="Cambria" w:hAnsi="Cambria"/>
          <w:sz w:val="20"/>
          <w:szCs w:val="20"/>
          <w:lang w:val="es-AR"/>
        </w:rPr>
        <w:t>y casación</w:t>
      </w:r>
      <w:r>
        <w:rPr>
          <w:rStyle w:val="FootnoteReference"/>
          <w:rFonts w:ascii="Cambria" w:hAnsi="Cambria"/>
          <w:sz w:val="20"/>
          <w:szCs w:val="20"/>
          <w:lang w:val="es-AR"/>
        </w:rPr>
        <w:footnoteReference w:id="16"/>
      </w:r>
      <w:r w:rsidRPr="003B266A">
        <w:rPr>
          <w:rFonts w:ascii="Cambria" w:hAnsi="Cambria"/>
          <w:sz w:val="20"/>
          <w:szCs w:val="20"/>
          <w:lang w:val="es-AR"/>
        </w:rPr>
        <w:t>, que fue denegado</w:t>
      </w:r>
      <w:r>
        <w:rPr>
          <w:rFonts w:ascii="Cambria" w:hAnsi="Cambria"/>
          <w:sz w:val="20"/>
          <w:szCs w:val="20"/>
          <w:lang w:val="es-AR"/>
        </w:rPr>
        <w:t xml:space="preserve"> en primer término</w:t>
      </w:r>
      <w:r w:rsidRPr="003B266A">
        <w:rPr>
          <w:rFonts w:ascii="Cambria" w:hAnsi="Cambria"/>
          <w:sz w:val="20"/>
          <w:szCs w:val="20"/>
          <w:lang w:val="es-AR"/>
        </w:rPr>
        <w:t xml:space="preserve"> por el Jurado de Enjuiciamiento</w:t>
      </w:r>
      <w:r w:rsidR="00D06CDD">
        <w:rPr>
          <w:rFonts w:ascii="Cambria" w:hAnsi="Cambria"/>
          <w:sz w:val="20"/>
          <w:szCs w:val="20"/>
          <w:lang w:val="es-AR"/>
        </w:rPr>
        <w:t xml:space="preserve"> el 18 de marzo de 2009</w:t>
      </w:r>
      <w:r w:rsidRPr="003B266A">
        <w:rPr>
          <w:rFonts w:ascii="Cambria" w:hAnsi="Cambria"/>
          <w:sz w:val="20"/>
          <w:szCs w:val="20"/>
          <w:lang w:val="es-AR"/>
        </w:rPr>
        <w:t xml:space="preserve"> y</w:t>
      </w:r>
      <w:r>
        <w:rPr>
          <w:rFonts w:ascii="Cambria" w:hAnsi="Cambria"/>
          <w:sz w:val="20"/>
          <w:szCs w:val="20"/>
          <w:lang w:val="es-AR"/>
        </w:rPr>
        <w:t>,</w:t>
      </w:r>
      <w:r w:rsidRPr="003B266A">
        <w:rPr>
          <w:rFonts w:ascii="Cambria" w:hAnsi="Cambria"/>
          <w:sz w:val="20"/>
          <w:szCs w:val="20"/>
          <w:lang w:val="es-AR"/>
        </w:rPr>
        <w:t xml:space="preserve"> posteriormente</w:t>
      </w:r>
      <w:r>
        <w:rPr>
          <w:rFonts w:ascii="Cambria" w:hAnsi="Cambria"/>
          <w:sz w:val="20"/>
          <w:szCs w:val="20"/>
          <w:lang w:val="es-AR"/>
        </w:rPr>
        <w:t>,</w:t>
      </w:r>
      <w:r w:rsidRPr="003B266A">
        <w:rPr>
          <w:rFonts w:ascii="Cambria" w:hAnsi="Cambria"/>
          <w:sz w:val="20"/>
          <w:szCs w:val="20"/>
          <w:lang w:val="es-AR"/>
        </w:rPr>
        <w:t xml:space="preserve"> por el Superior Tribunal de Justicia de </w:t>
      </w:r>
      <w:r w:rsidR="00D04F01">
        <w:rPr>
          <w:rFonts w:ascii="Cambria" w:hAnsi="Cambria"/>
          <w:sz w:val="20"/>
          <w:szCs w:val="20"/>
          <w:lang w:val="es-AR"/>
        </w:rPr>
        <w:t>L</w:t>
      </w:r>
      <w:r w:rsidRPr="003B266A">
        <w:rPr>
          <w:rFonts w:ascii="Cambria" w:hAnsi="Cambria"/>
          <w:sz w:val="20"/>
          <w:szCs w:val="20"/>
          <w:lang w:val="es-AR"/>
        </w:rPr>
        <w:t>a Pampa</w:t>
      </w:r>
      <w:r>
        <w:rPr>
          <w:rStyle w:val="FootnoteReference"/>
          <w:rFonts w:ascii="Cambria" w:hAnsi="Cambria"/>
          <w:sz w:val="20"/>
          <w:szCs w:val="20"/>
          <w:lang w:val="es-AR"/>
        </w:rPr>
        <w:footnoteReference w:id="17"/>
      </w:r>
      <w:r w:rsidR="00D06CDD">
        <w:rPr>
          <w:rFonts w:ascii="Cambria" w:hAnsi="Cambria"/>
          <w:sz w:val="20"/>
          <w:szCs w:val="20"/>
          <w:lang w:val="es-AR"/>
        </w:rPr>
        <w:t xml:space="preserve"> el</w:t>
      </w:r>
      <w:r w:rsidR="00653DB8">
        <w:rPr>
          <w:rFonts w:ascii="Cambria" w:hAnsi="Cambria"/>
          <w:sz w:val="20"/>
          <w:szCs w:val="20"/>
          <w:lang w:val="es-AR"/>
        </w:rPr>
        <w:t xml:space="preserve"> 20 de agosto de 2009</w:t>
      </w:r>
      <w:r w:rsidR="00AD34DE">
        <w:rPr>
          <w:rFonts w:ascii="Cambria" w:hAnsi="Cambria"/>
          <w:sz w:val="20"/>
          <w:szCs w:val="20"/>
          <w:lang w:val="es-AR"/>
        </w:rPr>
        <w:t xml:space="preserve">, </w:t>
      </w:r>
      <w:r w:rsidR="005746CD">
        <w:rPr>
          <w:rFonts w:ascii="Cambria" w:hAnsi="Cambria"/>
          <w:sz w:val="20"/>
          <w:szCs w:val="20"/>
          <w:lang w:val="es-AR"/>
        </w:rPr>
        <w:t>indicando</w:t>
      </w:r>
      <w:r w:rsidR="00AD34DE">
        <w:rPr>
          <w:rFonts w:ascii="Cambria" w:hAnsi="Cambria"/>
          <w:sz w:val="20"/>
          <w:szCs w:val="20"/>
          <w:lang w:val="es-AR"/>
        </w:rPr>
        <w:t xml:space="preserve"> </w:t>
      </w:r>
      <w:r w:rsidR="005746CD">
        <w:rPr>
          <w:rFonts w:ascii="Cambria" w:hAnsi="Cambria"/>
          <w:sz w:val="20"/>
          <w:szCs w:val="20"/>
          <w:lang w:val="es-AR"/>
        </w:rPr>
        <w:t xml:space="preserve">la </w:t>
      </w:r>
      <w:r w:rsidR="00D04F01">
        <w:rPr>
          <w:rFonts w:ascii="Cambria" w:hAnsi="Cambria"/>
          <w:sz w:val="20"/>
          <w:szCs w:val="20"/>
          <w:lang w:val="es-AR"/>
        </w:rPr>
        <w:t>ausencia</w:t>
      </w:r>
      <w:r w:rsidR="005746CD">
        <w:rPr>
          <w:rFonts w:ascii="Cambria" w:hAnsi="Cambria"/>
          <w:sz w:val="20"/>
          <w:szCs w:val="20"/>
          <w:lang w:val="es-AR"/>
        </w:rPr>
        <w:t xml:space="preserve"> de fundamentos idóneos con respecto al debido proceso y el derecho de defensa, que habiliten las vías recursivas</w:t>
      </w:r>
      <w:r w:rsidRPr="003B266A">
        <w:rPr>
          <w:rFonts w:ascii="Cambria" w:hAnsi="Cambria"/>
          <w:sz w:val="20"/>
          <w:szCs w:val="20"/>
          <w:lang w:val="es-AR"/>
        </w:rPr>
        <w:t xml:space="preserve">. </w:t>
      </w:r>
      <w:r>
        <w:rPr>
          <w:rFonts w:ascii="Cambria" w:hAnsi="Cambria"/>
          <w:sz w:val="20"/>
          <w:szCs w:val="20"/>
          <w:lang w:val="es-AR"/>
        </w:rPr>
        <w:t>Luego</w:t>
      </w:r>
      <w:r w:rsidRPr="003B266A">
        <w:rPr>
          <w:rFonts w:ascii="Cambria" w:hAnsi="Cambria"/>
          <w:sz w:val="20"/>
          <w:szCs w:val="20"/>
          <w:lang w:val="es-AR"/>
        </w:rPr>
        <w:t xml:space="preserve">, planteó un Recurso Extraordinario Federal, </w:t>
      </w:r>
      <w:r>
        <w:rPr>
          <w:rFonts w:ascii="Cambria" w:hAnsi="Cambria"/>
          <w:sz w:val="20"/>
          <w:szCs w:val="20"/>
          <w:lang w:val="es-AR"/>
        </w:rPr>
        <w:t>que fue denegado por el Superior Tribunal de Justicia</w:t>
      </w:r>
      <w:r w:rsidR="009E62F8">
        <w:rPr>
          <w:rFonts w:ascii="Cambria" w:hAnsi="Cambria"/>
          <w:sz w:val="20"/>
          <w:szCs w:val="20"/>
          <w:lang w:val="es-AR"/>
        </w:rPr>
        <w:t xml:space="preserve"> el 14 de octubre de 2009</w:t>
      </w:r>
      <w:r w:rsidR="005F5B2C">
        <w:rPr>
          <w:rFonts w:ascii="Cambria" w:hAnsi="Cambria"/>
          <w:sz w:val="20"/>
          <w:szCs w:val="20"/>
          <w:lang w:val="es-AR"/>
        </w:rPr>
        <w:t xml:space="preserve"> </w:t>
      </w:r>
      <w:r w:rsidR="00D04F01">
        <w:rPr>
          <w:rFonts w:ascii="Cambria" w:hAnsi="Cambria"/>
          <w:sz w:val="20"/>
          <w:szCs w:val="20"/>
          <w:lang w:val="es-AR"/>
        </w:rPr>
        <w:t>por</w:t>
      </w:r>
      <w:r w:rsidR="002D4A29">
        <w:rPr>
          <w:rFonts w:ascii="Cambria" w:hAnsi="Cambria"/>
          <w:sz w:val="20"/>
          <w:szCs w:val="20"/>
          <w:lang w:val="es-AR"/>
        </w:rPr>
        <w:t>que se no logró demostrar “</w:t>
      </w:r>
      <w:r w:rsidR="005F5B2C">
        <w:rPr>
          <w:rFonts w:ascii="Cambria" w:hAnsi="Cambria"/>
          <w:sz w:val="20"/>
          <w:szCs w:val="20"/>
          <w:lang w:val="es-AR"/>
        </w:rPr>
        <w:t>la violación en forma nítida, inequívoca y concluyente de las normas que regulan el juicio político”</w:t>
      </w:r>
      <w:r w:rsidRPr="003B266A">
        <w:rPr>
          <w:rFonts w:ascii="Cambria" w:hAnsi="Cambria"/>
          <w:sz w:val="20"/>
          <w:szCs w:val="20"/>
          <w:lang w:val="es-AR"/>
        </w:rPr>
        <w:t>. Ante esta dene</w:t>
      </w:r>
      <w:r>
        <w:rPr>
          <w:rFonts w:ascii="Cambria" w:hAnsi="Cambria"/>
          <w:sz w:val="20"/>
          <w:szCs w:val="20"/>
          <w:lang w:val="es-AR"/>
        </w:rPr>
        <w:t>gatoria, planteó un recurso de q</w:t>
      </w:r>
      <w:r w:rsidRPr="003B266A">
        <w:rPr>
          <w:rFonts w:ascii="Cambria" w:hAnsi="Cambria"/>
          <w:sz w:val="20"/>
          <w:szCs w:val="20"/>
          <w:lang w:val="es-AR"/>
        </w:rPr>
        <w:t xml:space="preserve">ueja ante la Corte Suprema de Justicia de la Nación, </w:t>
      </w:r>
      <w:r>
        <w:rPr>
          <w:rFonts w:ascii="Cambria" w:hAnsi="Cambria"/>
          <w:sz w:val="20"/>
          <w:szCs w:val="20"/>
          <w:lang w:val="es-AR"/>
        </w:rPr>
        <w:t>cuya denegatoria se le notificó el 16 de junio de 2010</w:t>
      </w:r>
      <w:r w:rsidRPr="003B266A">
        <w:rPr>
          <w:rFonts w:ascii="Cambria" w:hAnsi="Cambria"/>
          <w:sz w:val="20"/>
          <w:szCs w:val="20"/>
          <w:lang w:val="es-AR"/>
        </w:rPr>
        <w:t xml:space="preserve">. </w:t>
      </w:r>
      <w:r>
        <w:rPr>
          <w:rFonts w:ascii="Cambria" w:hAnsi="Cambria"/>
          <w:sz w:val="20"/>
          <w:szCs w:val="20"/>
          <w:lang w:val="es-AR"/>
        </w:rPr>
        <w:t xml:space="preserve"> El peticionario </w:t>
      </w:r>
      <w:r w:rsidR="005466D0">
        <w:rPr>
          <w:rFonts w:ascii="Cambria" w:hAnsi="Cambria"/>
          <w:sz w:val="20"/>
          <w:szCs w:val="20"/>
          <w:lang w:val="es-AR"/>
        </w:rPr>
        <w:t>manifiesta</w:t>
      </w:r>
      <w:r>
        <w:rPr>
          <w:rFonts w:ascii="Cambria" w:hAnsi="Cambria"/>
          <w:sz w:val="20"/>
          <w:szCs w:val="20"/>
          <w:lang w:val="es-AR"/>
        </w:rPr>
        <w:t xml:space="preserve"> que estos recursos no pueden ser considerados como una segunda instancia porque n</w:t>
      </w:r>
      <w:r w:rsidR="00840812">
        <w:rPr>
          <w:rFonts w:ascii="Cambria" w:hAnsi="Cambria"/>
          <w:sz w:val="20"/>
          <w:szCs w:val="20"/>
          <w:lang w:val="es-AR"/>
        </w:rPr>
        <w:t>o</w:t>
      </w:r>
      <w:r>
        <w:rPr>
          <w:rFonts w:ascii="Cambria" w:hAnsi="Cambria"/>
          <w:sz w:val="20"/>
          <w:szCs w:val="20"/>
          <w:lang w:val="es-AR"/>
        </w:rPr>
        <w:t xml:space="preserve"> permitían una revisión del fondo del asunto. </w:t>
      </w:r>
    </w:p>
    <w:p w:rsidR="006B6B4D" w:rsidRPr="00597352" w:rsidRDefault="006B6B4D" w:rsidP="006B6B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libri" w:hAnsi="Calibri"/>
          <w:sz w:val="22"/>
          <w:szCs w:val="22"/>
          <w:lang w:val="es-AR"/>
        </w:rPr>
      </w:pPr>
      <w:r>
        <w:rPr>
          <w:rFonts w:ascii="Cambria" w:hAnsi="Cambria"/>
          <w:sz w:val="20"/>
          <w:szCs w:val="20"/>
          <w:lang w:val="es-AR"/>
        </w:rPr>
        <w:t>Por último, señala que se le inició un proceso en la justicia penal ordinaria por los mismos hechos por los que ya se había pronunciado el jurado de enjuiciamiento, pese a que éste había decidido  no imputarle responsabilidad penal</w:t>
      </w:r>
      <w:r w:rsidR="001D259F" w:rsidRPr="001D259F">
        <w:rPr>
          <w:rFonts w:ascii="Cambria" w:hAnsi="Cambria"/>
          <w:sz w:val="20"/>
          <w:szCs w:val="20"/>
          <w:lang w:val="es-AR"/>
        </w:rPr>
        <w:t xml:space="preserve"> </w:t>
      </w:r>
      <w:r w:rsidR="001D259F">
        <w:rPr>
          <w:rFonts w:ascii="Cambria" w:hAnsi="Cambria"/>
          <w:sz w:val="20"/>
          <w:szCs w:val="20"/>
          <w:lang w:val="es-AR"/>
        </w:rPr>
        <w:t>aunque ten</w:t>
      </w:r>
      <w:r w:rsidR="001D259F">
        <w:rPr>
          <w:rFonts w:ascii="Cambria" w:hAnsi="Cambria"/>
          <w:sz w:val="20"/>
          <w:szCs w:val="20"/>
          <w:lang w:val="es-ES"/>
        </w:rPr>
        <w:t xml:space="preserve">ía </w:t>
      </w:r>
      <w:r w:rsidR="001D259F">
        <w:rPr>
          <w:rFonts w:ascii="Cambria" w:hAnsi="Cambria"/>
          <w:sz w:val="20"/>
          <w:szCs w:val="20"/>
          <w:lang w:val="es-AR"/>
        </w:rPr>
        <w:t>competencia para hacerlo</w:t>
      </w:r>
      <w:r>
        <w:rPr>
          <w:rFonts w:ascii="Cambria" w:hAnsi="Cambria"/>
          <w:sz w:val="20"/>
          <w:szCs w:val="20"/>
          <w:lang w:val="es-AR"/>
        </w:rPr>
        <w:t xml:space="preserve">. Argumenta que esto constituye una violación de la garantía </w:t>
      </w:r>
      <w:r w:rsidRPr="008D3E41">
        <w:rPr>
          <w:rFonts w:ascii="Cambria" w:hAnsi="Cambria"/>
          <w:i/>
          <w:sz w:val="20"/>
          <w:szCs w:val="20"/>
          <w:lang w:val="es-AR"/>
        </w:rPr>
        <w:t>non bis in ídem</w:t>
      </w:r>
      <w:r>
        <w:rPr>
          <w:rFonts w:ascii="Cambria" w:hAnsi="Cambria"/>
          <w:sz w:val="20"/>
          <w:szCs w:val="20"/>
          <w:lang w:val="es-AR"/>
        </w:rPr>
        <w:t>, además de ser un ejemplo de persecución política. También aduce que las acusaciones carecen de sentido pues se le imputa el inc</w:t>
      </w:r>
      <w:r w:rsidR="005466D0">
        <w:rPr>
          <w:rFonts w:ascii="Cambria" w:hAnsi="Cambria"/>
          <w:sz w:val="20"/>
          <w:szCs w:val="20"/>
          <w:lang w:val="es-AR"/>
        </w:rPr>
        <w:t>umplimiento de controles que no</w:t>
      </w:r>
      <w:r>
        <w:rPr>
          <w:rFonts w:ascii="Cambria" w:hAnsi="Cambria"/>
          <w:sz w:val="20"/>
          <w:szCs w:val="20"/>
          <w:lang w:val="es-AR"/>
        </w:rPr>
        <w:t xml:space="preserve"> le correspondían ejercer y que la jueza a cargo de la instrucción carece de imparcialidad.</w:t>
      </w:r>
    </w:p>
    <w:p w:rsidR="006B6B4D" w:rsidRPr="00847DEA" w:rsidRDefault="006B6B4D" w:rsidP="006B6B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El Estado, por su parte, señala que el peticionario tuvo acceso a los recursos de la jurisdicción interna en los cuales expuso su pretensión y aportó pruebas, obteniendo respuestas a todos sus planteamientos con imparcialidad y absoluto respeto a las reglas del debido proceso. Considera que el peticionario pretende improcedentemente que la Comisión actúe como una cuarta instancia para revisar decisiones con las que está en desacuerdo. En cuanto a la aducida falta de una segunda instancia, indica</w:t>
      </w:r>
      <w:r w:rsidR="00B05C4D">
        <w:rPr>
          <w:rFonts w:ascii="Cambria" w:hAnsi="Cambria"/>
          <w:sz w:val="20"/>
          <w:szCs w:val="20"/>
          <w:lang w:val="es-AR"/>
        </w:rPr>
        <w:t xml:space="preserve"> que</w:t>
      </w:r>
      <w:r>
        <w:rPr>
          <w:rFonts w:ascii="Cambria" w:hAnsi="Cambria"/>
          <w:sz w:val="20"/>
          <w:szCs w:val="20"/>
          <w:lang w:val="es-AR"/>
        </w:rPr>
        <w:t xml:space="preserve"> </w:t>
      </w:r>
      <w:r w:rsidRPr="00847DEA">
        <w:rPr>
          <w:rFonts w:ascii="Cambria" w:hAnsi="Cambria"/>
          <w:sz w:val="20"/>
          <w:szCs w:val="20"/>
          <w:lang w:val="es-AR"/>
        </w:rPr>
        <w:t>la Corte Suprema de Justicia de la Nación</w:t>
      </w:r>
      <w:r>
        <w:rPr>
          <w:rFonts w:ascii="Cambria" w:hAnsi="Cambria"/>
          <w:sz w:val="20"/>
          <w:szCs w:val="20"/>
          <w:lang w:val="es-AR"/>
        </w:rPr>
        <w:t xml:space="preserve"> ya </w:t>
      </w:r>
      <w:r w:rsidRPr="00847DEA">
        <w:rPr>
          <w:rFonts w:ascii="Cambria" w:hAnsi="Cambria"/>
          <w:sz w:val="20"/>
          <w:szCs w:val="20"/>
          <w:lang w:val="es-AR"/>
        </w:rPr>
        <w:t>ha</w:t>
      </w:r>
      <w:r>
        <w:rPr>
          <w:rFonts w:ascii="Cambria" w:hAnsi="Cambria"/>
          <w:sz w:val="20"/>
          <w:szCs w:val="20"/>
          <w:lang w:val="es-AR"/>
        </w:rPr>
        <w:t>bía</w:t>
      </w:r>
      <w:r w:rsidRPr="00847DEA">
        <w:rPr>
          <w:rFonts w:ascii="Cambria" w:hAnsi="Cambria"/>
          <w:sz w:val="20"/>
          <w:szCs w:val="20"/>
          <w:lang w:val="es-AR"/>
        </w:rPr>
        <w:t xml:space="preserve"> </w:t>
      </w:r>
      <w:r>
        <w:rPr>
          <w:rFonts w:ascii="Cambria" w:hAnsi="Cambria"/>
          <w:sz w:val="20"/>
          <w:szCs w:val="20"/>
          <w:lang w:val="es-AR"/>
        </w:rPr>
        <w:t xml:space="preserve">determinado que </w:t>
      </w:r>
      <w:r w:rsidRPr="00847DEA">
        <w:rPr>
          <w:rFonts w:ascii="Cambria" w:hAnsi="Cambria"/>
          <w:sz w:val="20"/>
          <w:szCs w:val="20"/>
          <w:lang w:val="es-AR"/>
        </w:rPr>
        <w:t xml:space="preserve">las decisiones </w:t>
      </w:r>
      <w:r>
        <w:rPr>
          <w:rFonts w:ascii="Cambria" w:hAnsi="Cambria"/>
          <w:sz w:val="20"/>
          <w:szCs w:val="20"/>
          <w:lang w:val="es-AR"/>
        </w:rPr>
        <w:t>de los</w:t>
      </w:r>
      <w:r w:rsidRPr="00847DEA">
        <w:rPr>
          <w:rFonts w:ascii="Cambria" w:hAnsi="Cambria"/>
          <w:sz w:val="20"/>
          <w:szCs w:val="20"/>
          <w:lang w:val="es-AR"/>
        </w:rPr>
        <w:t xml:space="preserve"> </w:t>
      </w:r>
      <w:r>
        <w:rPr>
          <w:rFonts w:ascii="Cambria" w:hAnsi="Cambria"/>
          <w:sz w:val="20"/>
          <w:szCs w:val="20"/>
          <w:lang w:val="es-AR"/>
        </w:rPr>
        <w:t>juicios políticos</w:t>
      </w:r>
      <w:r w:rsidRPr="00847DEA">
        <w:rPr>
          <w:rFonts w:ascii="Cambria" w:hAnsi="Cambria"/>
          <w:sz w:val="20"/>
          <w:szCs w:val="20"/>
          <w:lang w:val="es-AR"/>
        </w:rPr>
        <w:t xml:space="preserve"> solamente </w:t>
      </w:r>
      <w:r>
        <w:rPr>
          <w:rFonts w:ascii="Cambria" w:hAnsi="Cambria"/>
          <w:sz w:val="20"/>
          <w:szCs w:val="20"/>
          <w:lang w:val="es-AR"/>
        </w:rPr>
        <w:t>son</w:t>
      </w:r>
      <w:r w:rsidRPr="00847DEA">
        <w:rPr>
          <w:rFonts w:ascii="Cambria" w:hAnsi="Cambria"/>
          <w:sz w:val="20"/>
          <w:szCs w:val="20"/>
          <w:lang w:val="es-AR"/>
        </w:rPr>
        <w:t xml:space="preserve"> susceptible</w:t>
      </w:r>
      <w:r>
        <w:rPr>
          <w:rFonts w:ascii="Cambria" w:hAnsi="Cambria"/>
          <w:sz w:val="20"/>
          <w:szCs w:val="20"/>
          <w:lang w:val="es-AR"/>
        </w:rPr>
        <w:t>s</w:t>
      </w:r>
      <w:r w:rsidRPr="00847DEA">
        <w:rPr>
          <w:rFonts w:ascii="Cambria" w:hAnsi="Cambria"/>
          <w:sz w:val="20"/>
          <w:szCs w:val="20"/>
          <w:lang w:val="es-AR"/>
        </w:rPr>
        <w:t xml:space="preserve"> de revisión judicial cuando se demuestre la violación de alguno de los derechos o garantías establecidos en el artículo 18 de la Constitución Nacional</w:t>
      </w:r>
      <w:r>
        <w:rPr>
          <w:rFonts w:ascii="Cambria" w:hAnsi="Cambria"/>
          <w:sz w:val="20"/>
          <w:szCs w:val="20"/>
          <w:lang w:val="es-AR"/>
        </w:rPr>
        <w:t>,</w:t>
      </w:r>
      <w:r w:rsidRPr="00847DEA">
        <w:rPr>
          <w:rFonts w:ascii="Cambria" w:hAnsi="Cambria"/>
          <w:sz w:val="20"/>
          <w:szCs w:val="20"/>
          <w:lang w:val="es-AR"/>
        </w:rPr>
        <w:t xml:space="preserve"> y</w:t>
      </w:r>
      <w:r>
        <w:rPr>
          <w:rFonts w:ascii="Cambria" w:hAnsi="Cambria"/>
          <w:sz w:val="20"/>
          <w:szCs w:val="20"/>
          <w:lang w:val="es-AR"/>
        </w:rPr>
        <w:t xml:space="preserve"> que </w:t>
      </w:r>
      <w:r w:rsidRPr="00847DEA">
        <w:rPr>
          <w:rFonts w:ascii="Cambria" w:hAnsi="Cambria"/>
          <w:sz w:val="20"/>
          <w:szCs w:val="20"/>
          <w:lang w:val="es-AR"/>
        </w:rPr>
        <w:t xml:space="preserve"> en </w:t>
      </w:r>
      <w:r>
        <w:rPr>
          <w:rFonts w:ascii="Cambria" w:hAnsi="Cambria"/>
          <w:sz w:val="20"/>
          <w:szCs w:val="20"/>
          <w:lang w:val="es-AR"/>
        </w:rPr>
        <w:t>el presente caso no fue así</w:t>
      </w:r>
      <w:r w:rsidRPr="00847DEA">
        <w:rPr>
          <w:rStyle w:val="FootnoteReference"/>
          <w:rFonts w:ascii="Cambria" w:hAnsi="Cambria"/>
          <w:b/>
          <w:sz w:val="20"/>
          <w:szCs w:val="20"/>
        </w:rPr>
        <w:footnoteReference w:id="18"/>
      </w:r>
      <w:r w:rsidRPr="00847DEA">
        <w:rPr>
          <w:rFonts w:ascii="Cambria" w:hAnsi="Cambria"/>
          <w:sz w:val="20"/>
          <w:szCs w:val="20"/>
          <w:lang w:val="es-PA"/>
        </w:rPr>
        <w:t>.</w:t>
      </w:r>
      <w:r w:rsidR="00D13CF4">
        <w:rPr>
          <w:rFonts w:ascii="Cambria" w:hAnsi="Cambria"/>
          <w:sz w:val="20"/>
          <w:szCs w:val="20"/>
          <w:lang w:val="es-PA"/>
        </w:rPr>
        <w:t xml:space="preserve"> </w:t>
      </w:r>
      <w:r>
        <w:rPr>
          <w:rFonts w:ascii="Cambria" w:hAnsi="Cambria"/>
          <w:sz w:val="20"/>
          <w:szCs w:val="20"/>
          <w:lang w:val="es-PA"/>
        </w:rPr>
        <w:t>Con respecto a la</w:t>
      </w:r>
      <w:r w:rsidR="005466D0">
        <w:rPr>
          <w:rFonts w:ascii="Cambria" w:hAnsi="Cambria"/>
          <w:sz w:val="20"/>
          <w:szCs w:val="20"/>
          <w:lang w:val="es-PA"/>
        </w:rPr>
        <w:t xml:space="preserve"> aducida falta de imparcialidad</w:t>
      </w:r>
      <w:r>
        <w:rPr>
          <w:rFonts w:ascii="Cambria" w:hAnsi="Cambria"/>
          <w:sz w:val="20"/>
          <w:szCs w:val="20"/>
          <w:lang w:val="es-PA"/>
        </w:rPr>
        <w:t xml:space="preserve"> del integrante del jurado </w:t>
      </w:r>
      <w:r>
        <w:rPr>
          <w:rFonts w:ascii="Cambria" w:hAnsi="Cambria"/>
          <w:sz w:val="20"/>
          <w:szCs w:val="20"/>
          <w:lang w:val="es-AR"/>
        </w:rPr>
        <w:t>Konkurat</w:t>
      </w:r>
      <w:r w:rsidR="005466D0">
        <w:rPr>
          <w:rFonts w:ascii="Cambria" w:hAnsi="Cambria"/>
          <w:sz w:val="20"/>
          <w:szCs w:val="20"/>
          <w:lang w:val="es-AR"/>
        </w:rPr>
        <w:t>,</w:t>
      </w:r>
      <w:r>
        <w:rPr>
          <w:rFonts w:ascii="Cambria" w:hAnsi="Cambria"/>
          <w:sz w:val="20"/>
          <w:szCs w:val="20"/>
          <w:lang w:val="es-AR"/>
        </w:rPr>
        <w:t xml:space="preserve"> señala que el Tribunal de Jus</w:t>
      </w:r>
      <w:r w:rsidR="005466D0">
        <w:rPr>
          <w:rFonts w:ascii="Cambria" w:hAnsi="Cambria"/>
          <w:sz w:val="20"/>
          <w:szCs w:val="20"/>
          <w:lang w:val="es-AR"/>
        </w:rPr>
        <w:t xml:space="preserve">ticia atendió esta reclamación </w:t>
      </w:r>
      <w:r>
        <w:rPr>
          <w:rFonts w:ascii="Cambria" w:hAnsi="Cambria"/>
          <w:sz w:val="20"/>
          <w:szCs w:val="20"/>
          <w:lang w:val="es-AR"/>
        </w:rPr>
        <w:t>concluyendo que las recusaciones fundadas en la intervención de los jueces en decisiones anteriores propias de sus funciones legales son manifiestamente improcedentes.</w:t>
      </w:r>
    </w:p>
    <w:p w:rsidR="006B6B4D" w:rsidRDefault="006B6B4D" w:rsidP="006B6B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E82B08">
        <w:rPr>
          <w:rFonts w:ascii="Cambria" w:hAnsi="Cambria"/>
          <w:sz w:val="20"/>
          <w:szCs w:val="20"/>
          <w:lang w:val="es-AR"/>
        </w:rPr>
        <w:t>As</w:t>
      </w:r>
      <w:r w:rsidR="00B05C4D">
        <w:rPr>
          <w:rFonts w:ascii="Cambria" w:hAnsi="Cambria"/>
          <w:sz w:val="20"/>
          <w:szCs w:val="20"/>
          <w:lang w:val="es-AR"/>
        </w:rPr>
        <w:t>i</w:t>
      </w:r>
      <w:r w:rsidRPr="00E82B08">
        <w:rPr>
          <w:rFonts w:ascii="Cambria" w:hAnsi="Cambria"/>
          <w:sz w:val="20"/>
          <w:szCs w:val="20"/>
          <w:lang w:val="es-AR"/>
        </w:rPr>
        <w:t>mismo, menciona que el juicio político de remoción de magistrados es un proceso constitucional que se basa en el debido proceso y tiene sus etapas definidas. Respecto al agravio planteado sobre la caducidad del plazo, sostiene que este fue debidamente atendido por el Super</w:t>
      </w:r>
      <w:r w:rsidR="003B6E45">
        <w:rPr>
          <w:rFonts w:ascii="Cambria" w:hAnsi="Cambria"/>
          <w:sz w:val="20"/>
          <w:szCs w:val="20"/>
          <w:lang w:val="es-AR"/>
        </w:rPr>
        <w:t xml:space="preserve">ior Tribunal de Justicia de </w:t>
      </w:r>
      <w:r w:rsidR="00B05C4D">
        <w:rPr>
          <w:rFonts w:ascii="Cambria" w:hAnsi="Cambria"/>
          <w:sz w:val="20"/>
          <w:szCs w:val="20"/>
          <w:lang w:val="es-AR"/>
        </w:rPr>
        <w:t>L</w:t>
      </w:r>
      <w:r w:rsidR="003B6E45">
        <w:rPr>
          <w:rFonts w:ascii="Cambria" w:hAnsi="Cambria"/>
          <w:sz w:val="20"/>
          <w:szCs w:val="20"/>
          <w:lang w:val="es-AR"/>
        </w:rPr>
        <w:t>a P</w:t>
      </w:r>
      <w:r w:rsidRPr="00E82B08">
        <w:rPr>
          <w:rFonts w:ascii="Cambria" w:hAnsi="Cambria"/>
          <w:sz w:val="20"/>
          <w:szCs w:val="20"/>
          <w:lang w:val="es-AR"/>
        </w:rPr>
        <w:t>ampa</w:t>
      </w:r>
      <w:r w:rsidR="00B05C4D">
        <w:rPr>
          <w:rFonts w:ascii="Cambria" w:hAnsi="Cambria"/>
          <w:sz w:val="20"/>
          <w:szCs w:val="20"/>
          <w:lang w:val="es-AR"/>
        </w:rPr>
        <w:t>,</w:t>
      </w:r>
      <w:r w:rsidRPr="00E82B08">
        <w:rPr>
          <w:rFonts w:ascii="Cambria" w:hAnsi="Cambria"/>
          <w:sz w:val="20"/>
          <w:szCs w:val="20"/>
          <w:lang w:val="es-AR"/>
        </w:rPr>
        <w:t xml:space="preserve"> qu</w:t>
      </w:r>
      <w:r w:rsidR="00B05C4D">
        <w:rPr>
          <w:rFonts w:ascii="Cambria" w:hAnsi="Cambria"/>
          <w:sz w:val="20"/>
          <w:szCs w:val="20"/>
          <w:lang w:val="es-AR"/>
        </w:rPr>
        <w:t>e</w:t>
      </w:r>
      <w:r w:rsidRPr="00E82B08">
        <w:rPr>
          <w:rFonts w:ascii="Cambria" w:hAnsi="Cambria"/>
          <w:sz w:val="20"/>
          <w:szCs w:val="20"/>
          <w:lang w:val="es-AR"/>
        </w:rPr>
        <w:t xml:space="preserve"> concluyó que la Ley 313 utiliza en sus artículos 35 y 36</w:t>
      </w:r>
      <w:r w:rsidRPr="00847DEA">
        <w:rPr>
          <w:rStyle w:val="FootnoteReference"/>
          <w:rFonts w:ascii="Cambria" w:hAnsi="Cambria"/>
          <w:b/>
          <w:sz w:val="20"/>
          <w:szCs w:val="20"/>
        </w:rPr>
        <w:footnoteReference w:id="19"/>
      </w:r>
      <w:r w:rsidRPr="00E82B08">
        <w:rPr>
          <w:rFonts w:ascii="Cambria" w:hAnsi="Cambria" w:cs="Tahoma"/>
          <w:color w:val="333333"/>
          <w:spacing w:val="-3"/>
          <w:sz w:val="18"/>
          <w:szCs w:val="18"/>
          <w:shd w:val="clear" w:color="auto" w:fill="EFF4FC"/>
          <w:lang w:val="es-AR"/>
        </w:rPr>
        <w:t xml:space="preserve"> </w:t>
      </w:r>
      <w:r w:rsidRPr="00E82B08">
        <w:rPr>
          <w:rFonts w:ascii="Cambria" w:hAnsi="Cambria"/>
          <w:sz w:val="20"/>
          <w:szCs w:val="20"/>
          <w:lang w:val="es-AR"/>
        </w:rPr>
        <w:t xml:space="preserve"> las denominaciones de “audiencias” o “juicio” para referirse al mismo concepto, por lo que el computo del plazo debía hacerse a partir de la audiencia plenaria y, por lo tanto, éste no se había incumplido. En cuanto a la alegada designación ilegal de un integrante del jurado, alega que se realizó </w:t>
      </w:r>
      <w:r w:rsidR="00C30136">
        <w:rPr>
          <w:rFonts w:ascii="Cambria" w:hAnsi="Cambria"/>
          <w:sz w:val="20"/>
          <w:szCs w:val="20"/>
          <w:lang w:val="es-AR"/>
        </w:rPr>
        <w:t xml:space="preserve">una </w:t>
      </w:r>
      <w:r w:rsidRPr="00E82B08">
        <w:rPr>
          <w:rFonts w:ascii="Cambria" w:hAnsi="Cambria"/>
          <w:sz w:val="20"/>
          <w:szCs w:val="20"/>
          <w:lang w:val="es-AR"/>
        </w:rPr>
        <w:t xml:space="preserve">audiencia a efectos de realizar </w:t>
      </w:r>
      <w:r w:rsidR="00C30136">
        <w:rPr>
          <w:rFonts w:ascii="Cambria" w:hAnsi="Cambria"/>
          <w:sz w:val="20"/>
          <w:szCs w:val="20"/>
          <w:lang w:val="es-AR"/>
        </w:rPr>
        <w:t xml:space="preserve">el </w:t>
      </w:r>
      <w:r w:rsidRPr="00E82B08">
        <w:rPr>
          <w:rFonts w:ascii="Cambria" w:hAnsi="Cambria"/>
          <w:sz w:val="20"/>
          <w:szCs w:val="20"/>
          <w:lang w:val="es-AR"/>
        </w:rPr>
        <w:t xml:space="preserve">sorteo respectivo para la designación de dos abogados titulares y cuatro suplentes, situación que fue consentida por el peticionario en su momento. Respecto a la aducida falta de imparcialidad del jurado de enjuiciamiento por haber </w:t>
      </w:r>
      <w:r w:rsidR="00EE3174">
        <w:rPr>
          <w:rFonts w:ascii="Cambria" w:hAnsi="Cambria"/>
          <w:sz w:val="20"/>
          <w:szCs w:val="20"/>
          <w:lang w:val="es-AR"/>
        </w:rPr>
        <w:t xml:space="preserve">sido el mismo tribunal el que </w:t>
      </w:r>
      <w:r w:rsidRPr="00E82B08">
        <w:rPr>
          <w:rFonts w:ascii="Cambria" w:hAnsi="Cambria"/>
          <w:sz w:val="20"/>
          <w:szCs w:val="20"/>
          <w:lang w:val="es-AR"/>
        </w:rPr>
        <w:t>instru</w:t>
      </w:r>
      <w:r w:rsidR="00EE3174">
        <w:rPr>
          <w:rFonts w:ascii="Cambria" w:hAnsi="Cambria"/>
          <w:sz w:val="20"/>
          <w:szCs w:val="20"/>
          <w:lang w:val="es-AR"/>
        </w:rPr>
        <w:t>yó y decidió el asunto</w:t>
      </w:r>
      <w:r>
        <w:rPr>
          <w:rFonts w:ascii="Cambria" w:hAnsi="Cambria"/>
          <w:sz w:val="20"/>
          <w:szCs w:val="20"/>
          <w:lang w:val="es-AR"/>
        </w:rPr>
        <w:t xml:space="preserve">, indica que el propio jurado de enjuiciamiento revisó este argumento concluyendo que no había realizado ningún acto </w:t>
      </w:r>
      <w:r w:rsidR="002D4A29">
        <w:rPr>
          <w:rFonts w:ascii="Cambria" w:hAnsi="Cambria"/>
          <w:sz w:val="20"/>
          <w:szCs w:val="20"/>
          <w:lang w:val="es-AR"/>
        </w:rPr>
        <w:t>instructor</w:t>
      </w:r>
      <w:r>
        <w:rPr>
          <w:rFonts w:ascii="Cambria" w:hAnsi="Cambria"/>
          <w:sz w:val="20"/>
          <w:szCs w:val="20"/>
          <w:lang w:val="es-AR"/>
        </w:rPr>
        <w:t xml:space="preserve">, pese a que podía hacerlo, y que no había elementos que pudieran haber lesionado la imparcialidad de los jurados </w:t>
      </w:r>
      <w:r>
        <w:rPr>
          <w:rFonts w:ascii="Cambria" w:hAnsi="Cambria"/>
          <w:sz w:val="20"/>
          <w:szCs w:val="20"/>
          <w:lang w:val="es-AR"/>
        </w:rPr>
        <w:lastRenderedPageBreak/>
        <w:t>actuantes. Esta reclamación fue luego también rechazada por el Superior Tribunal al considerar que la posible inconstitucionalidad de la ley 313 por motivo de una supuesta dualidad de funciones no fue oportunamente planteada en la primera oportunidad que el peticionario tuvo para ello (la contestación de la acusación). Resalta que lo actuado también fue revisado por la Corte Suprema de la Nación</w:t>
      </w:r>
      <w:r w:rsidR="00C30136">
        <w:rPr>
          <w:rFonts w:ascii="Cambria" w:hAnsi="Cambria"/>
          <w:sz w:val="20"/>
          <w:szCs w:val="20"/>
          <w:lang w:val="es-AR"/>
        </w:rPr>
        <w:t>,</w:t>
      </w:r>
      <w:r>
        <w:rPr>
          <w:rFonts w:ascii="Cambria" w:hAnsi="Cambria"/>
          <w:sz w:val="20"/>
          <w:szCs w:val="20"/>
          <w:lang w:val="es-AR"/>
        </w:rPr>
        <w:t xml:space="preserve"> que concluyó que el peticionario fue destituido por la autoridad competente tras tener acreditada la causal contemplada en el ordenamiento provincial.</w:t>
      </w:r>
    </w:p>
    <w:p w:rsidR="003239B8" w:rsidRPr="00F7063D" w:rsidRDefault="003239B8" w:rsidP="00B10114">
      <w:pPr>
        <w:spacing w:before="240" w:after="240"/>
        <w:ind w:left="1440" w:hanging="720"/>
        <w:jc w:val="both"/>
        <w:rPr>
          <w:rFonts w:asciiTheme="majorHAnsi" w:hAnsiTheme="majorHAnsi"/>
          <w:sz w:val="20"/>
          <w:szCs w:val="20"/>
          <w:lang w:val="es-UY"/>
        </w:rPr>
      </w:pPr>
      <w:r w:rsidRPr="00F7063D">
        <w:rPr>
          <w:rFonts w:asciiTheme="majorHAnsi" w:eastAsia="Cambria" w:hAnsiTheme="majorHAnsi" w:cs="Cambria"/>
          <w:b/>
          <w:bCs/>
          <w:color w:val="000000"/>
          <w:sz w:val="20"/>
          <w:szCs w:val="20"/>
          <w:u w:color="000000"/>
          <w:lang w:val="es-ES" w:eastAsia="es-ES"/>
        </w:rPr>
        <w:t>VI.</w:t>
      </w:r>
      <w:r w:rsidRPr="00F7063D">
        <w:rPr>
          <w:rFonts w:asciiTheme="majorHAnsi" w:eastAsia="Cambria" w:hAnsiTheme="majorHAnsi" w:cs="Cambria"/>
          <w:b/>
          <w:bCs/>
          <w:color w:val="000000"/>
          <w:sz w:val="20"/>
          <w:szCs w:val="20"/>
          <w:u w:color="000000"/>
          <w:lang w:val="es-ES" w:eastAsia="es-ES"/>
        </w:rPr>
        <w:tab/>
      </w:r>
      <w:r w:rsidR="004A6A54" w:rsidRPr="00F7063D">
        <w:rPr>
          <w:rFonts w:asciiTheme="majorHAnsi" w:hAnsiTheme="majorHAnsi"/>
          <w:b/>
          <w:bCs/>
          <w:sz w:val="20"/>
          <w:szCs w:val="20"/>
          <w:lang w:val="es-ES_tradnl"/>
        </w:rPr>
        <w:t xml:space="preserve">ANÁLISIS DE </w:t>
      </w:r>
      <w:r w:rsidR="00C21FEF" w:rsidRPr="00F7063D">
        <w:rPr>
          <w:rFonts w:asciiTheme="majorHAnsi" w:hAnsiTheme="majorHAnsi"/>
          <w:b/>
          <w:sz w:val="20"/>
          <w:szCs w:val="20"/>
          <w:lang w:val="es-ES"/>
        </w:rPr>
        <w:t>AGOTAMIENTO DE LOS RECURSOS INTERNOS Y PLAZO DE PRESENTACIÓN</w:t>
      </w:r>
      <w:r w:rsidR="00C21FEF" w:rsidRPr="00F7063D">
        <w:rPr>
          <w:rFonts w:asciiTheme="majorHAnsi" w:eastAsia="Cambria" w:hAnsiTheme="majorHAnsi" w:cs="Cambria"/>
          <w:b/>
          <w:bCs/>
          <w:color w:val="000000"/>
          <w:sz w:val="20"/>
          <w:szCs w:val="20"/>
          <w:u w:color="000000"/>
          <w:lang w:val="es-ES" w:eastAsia="es-ES"/>
        </w:rPr>
        <w:t xml:space="preserve"> </w:t>
      </w:r>
    </w:p>
    <w:p w:rsidR="006B6B4D" w:rsidRPr="00931719" w:rsidRDefault="006B6B4D" w:rsidP="006B6B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lang w:val="es-ES"/>
        </w:rPr>
      </w:pPr>
      <w:r w:rsidRPr="00931719">
        <w:rPr>
          <w:rFonts w:ascii="Cambria" w:hAnsi="Cambria"/>
          <w:sz w:val="20"/>
          <w:szCs w:val="20"/>
          <w:lang w:val="es-ES"/>
        </w:rPr>
        <w:t>La parte peticionaria indica que los recursos domésticos fueron agotados con la resolución de la Corte Suprema de Justicia de la Nación de 1</w:t>
      </w:r>
      <w:r w:rsidR="00C30136">
        <w:rPr>
          <w:rFonts w:ascii="Cambria" w:hAnsi="Cambria"/>
          <w:sz w:val="20"/>
          <w:szCs w:val="20"/>
          <w:lang w:val="es-ES"/>
        </w:rPr>
        <w:t xml:space="preserve">º </w:t>
      </w:r>
      <w:r w:rsidRPr="00931719">
        <w:rPr>
          <w:rFonts w:ascii="Cambria" w:hAnsi="Cambria"/>
          <w:sz w:val="20"/>
          <w:szCs w:val="20"/>
          <w:lang w:val="es-ES"/>
        </w:rPr>
        <w:t>de junio de 2010</w:t>
      </w:r>
      <w:r w:rsidR="00C30136">
        <w:rPr>
          <w:rFonts w:ascii="Cambria" w:hAnsi="Cambria"/>
          <w:sz w:val="20"/>
          <w:szCs w:val="20"/>
          <w:lang w:val="es-ES"/>
        </w:rPr>
        <w:t>,</w:t>
      </w:r>
      <w:r w:rsidRPr="00931719">
        <w:rPr>
          <w:rFonts w:ascii="Cambria" w:hAnsi="Cambria"/>
          <w:sz w:val="20"/>
          <w:szCs w:val="20"/>
          <w:lang w:val="es-ES"/>
        </w:rPr>
        <w:t xml:space="preserve"> notifica</w:t>
      </w:r>
      <w:r>
        <w:rPr>
          <w:rFonts w:ascii="Cambria" w:hAnsi="Cambria"/>
          <w:sz w:val="20"/>
          <w:szCs w:val="20"/>
          <w:lang w:val="es-ES"/>
        </w:rPr>
        <w:t xml:space="preserve">da el 16 de junio de 2010. </w:t>
      </w:r>
      <w:r w:rsidRPr="00931719">
        <w:rPr>
          <w:rFonts w:ascii="Cambria" w:hAnsi="Cambria"/>
          <w:sz w:val="20"/>
          <w:szCs w:val="20"/>
          <w:lang w:val="es-ES"/>
        </w:rPr>
        <w:t xml:space="preserve">El Estado, por su parte, no objeta </w:t>
      </w:r>
      <w:r>
        <w:rPr>
          <w:rFonts w:ascii="Cambria" w:hAnsi="Cambria"/>
          <w:sz w:val="20"/>
          <w:szCs w:val="20"/>
          <w:lang w:val="es-ES"/>
        </w:rPr>
        <w:t>que la jurisdicción nacional se encuentra agotada,</w:t>
      </w:r>
      <w:r w:rsidRPr="00931719">
        <w:rPr>
          <w:rFonts w:ascii="Cambria" w:hAnsi="Cambria"/>
          <w:sz w:val="20"/>
          <w:szCs w:val="20"/>
          <w:lang w:val="es-ES"/>
        </w:rPr>
        <w:t xml:space="preserve"> pero señala</w:t>
      </w:r>
      <w:r>
        <w:rPr>
          <w:rFonts w:ascii="Cambria" w:hAnsi="Cambria"/>
          <w:sz w:val="20"/>
          <w:szCs w:val="20"/>
          <w:lang w:val="es-ES"/>
        </w:rPr>
        <w:t xml:space="preserve"> que los reclamos relativos a la falta de imparcialidad del jurado de enjuiciamiento y la inconstitucionalidad de la ley provincial no </w:t>
      </w:r>
      <w:r w:rsidR="003B6E45">
        <w:rPr>
          <w:rFonts w:ascii="Cambria" w:hAnsi="Cambria"/>
          <w:sz w:val="20"/>
          <w:szCs w:val="20"/>
          <w:lang w:val="es-ES"/>
        </w:rPr>
        <w:t>fueron</w:t>
      </w:r>
      <w:r>
        <w:rPr>
          <w:rFonts w:ascii="Cambria" w:hAnsi="Cambria"/>
          <w:sz w:val="20"/>
          <w:szCs w:val="20"/>
          <w:lang w:val="es-ES"/>
        </w:rPr>
        <w:t xml:space="preserve"> interpuestos en tiempo oportuno</w:t>
      </w:r>
      <w:r w:rsidRPr="00931719">
        <w:rPr>
          <w:rFonts w:ascii="Cambria" w:hAnsi="Cambria"/>
          <w:sz w:val="20"/>
          <w:szCs w:val="20"/>
          <w:lang w:val="es-ES"/>
        </w:rPr>
        <w:t xml:space="preserve">. </w:t>
      </w:r>
    </w:p>
    <w:p w:rsidR="006B6B4D" w:rsidRPr="008306BC" w:rsidRDefault="00C30136" w:rsidP="006B6B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UY"/>
        </w:rPr>
        <w:t>C</w:t>
      </w:r>
      <w:r w:rsidR="006B6B4D">
        <w:rPr>
          <w:rFonts w:ascii="Cambria" w:hAnsi="Cambria"/>
          <w:sz w:val="20"/>
          <w:szCs w:val="20"/>
          <w:lang w:val="es-UY"/>
        </w:rPr>
        <w:t>on respecto a las reclamaciones relativas a violaciones a los derechos del peticionario en el contexto del juicio político que se le adelantó,</w:t>
      </w:r>
      <w:r w:rsidR="006B6B4D" w:rsidRPr="00143EBB">
        <w:rPr>
          <w:rFonts w:ascii="Cambria" w:hAnsi="Cambria"/>
          <w:sz w:val="20"/>
          <w:szCs w:val="20"/>
          <w:lang w:val="es-UY"/>
        </w:rPr>
        <w:t xml:space="preserve"> </w:t>
      </w:r>
      <w:r>
        <w:rPr>
          <w:rFonts w:ascii="Cambria" w:hAnsi="Cambria"/>
          <w:sz w:val="20"/>
          <w:szCs w:val="20"/>
          <w:lang w:val="es-UY"/>
        </w:rPr>
        <w:t xml:space="preserve">la </w:t>
      </w:r>
      <w:r w:rsidRPr="00143EBB">
        <w:rPr>
          <w:rFonts w:ascii="Cambria" w:hAnsi="Cambria"/>
          <w:sz w:val="20"/>
          <w:szCs w:val="20"/>
          <w:lang w:val="es-UY"/>
        </w:rPr>
        <w:t>Comisión considera que</w:t>
      </w:r>
      <w:r>
        <w:rPr>
          <w:rFonts w:ascii="Cambria" w:hAnsi="Cambria"/>
          <w:sz w:val="20"/>
          <w:szCs w:val="20"/>
          <w:lang w:val="es-UY"/>
        </w:rPr>
        <w:t xml:space="preserve"> </w:t>
      </w:r>
      <w:r w:rsidR="006B6B4D" w:rsidRPr="00143EBB">
        <w:rPr>
          <w:rFonts w:ascii="Cambria" w:hAnsi="Cambria"/>
          <w:sz w:val="20"/>
          <w:szCs w:val="20"/>
          <w:lang w:val="es-UY"/>
        </w:rPr>
        <w:t xml:space="preserve">los recursos internos fueron agotados con la resolución notificada el 16 de junio de 2010 emitida por la Corte </w:t>
      </w:r>
      <w:r w:rsidR="006B6B4D">
        <w:rPr>
          <w:rFonts w:ascii="Cambria" w:hAnsi="Cambria"/>
          <w:sz w:val="20"/>
          <w:szCs w:val="20"/>
          <w:lang w:val="es-UY"/>
        </w:rPr>
        <w:t>Suprema de Justicia de la Nación. Por lo tanto, esta parte de la petición</w:t>
      </w:r>
      <w:r w:rsidR="006B6B4D" w:rsidRPr="008306BC">
        <w:rPr>
          <w:rFonts w:ascii="Cambria" w:hAnsi="Cambria"/>
          <w:sz w:val="20"/>
          <w:szCs w:val="20"/>
          <w:lang w:val="es-UY"/>
        </w:rPr>
        <w:t xml:space="preserve"> </w:t>
      </w:r>
      <w:r w:rsidR="006B6B4D">
        <w:rPr>
          <w:rFonts w:ascii="Cambria" w:hAnsi="Cambria"/>
          <w:sz w:val="20"/>
          <w:szCs w:val="20"/>
          <w:lang w:val="es-UY"/>
        </w:rPr>
        <w:t>cumple con los</w:t>
      </w:r>
      <w:r w:rsidR="006B6B4D" w:rsidRPr="008306BC">
        <w:rPr>
          <w:rFonts w:ascii="Cambria" w:hAnsi="Cambria"/>
          <w:sz w:val="20"/>
          <w:szCs w:val="20"/>
          <w:lang w:val="es-UY"/>
        </w:rPr>
        <w:t xml:space="preserve"> requisito</w:t>
      </w:r>
      <w:r w:rsidR="006B6B4D">
        <w:rPr>
          <w:rFonts w:ascii="Cambria" w:hAnsi="Cambria"/>
          <w:sz w:val="20"/>
          <w:szCs w:val="20"/>
          <w:lang w:val="es-UY"/>
        </w:rPr>
        <w:t>s</w:t>
      </w:r>
      <w:r w:rsidR="006B6B4D" w:rsidRPr="008306BC">
        <w:rPr>
          <w:rFonts w:ascii="Cambria" w:hAnsi="Cambria"/>
          <w:sz w:val="20"/>
          <w:szCs w:val="20"/>
          <w:lang w:val="es-UY"/>
        </w:rPr>
        <w:t xml:space="preserve"> </w:t>
      </w:r>
      <w:r w:rsidR="006B6B4D">
        <w:rPr>
          <w:rFonts w:ascii="Cambria" w:hAnsi="Cambria"/>
          <w:sz w:val="20"/>
          <w:szCs w:val="20"/>
          <w:lang w:val="es-UY"/>
        </w:rPr>
        <w:t>del artículo</w:t>
      </w:r>
      <w:r w:rsidR="006B6B4D" w:rsidRPr="008306BC">
        <w:rPr>
          <w:rFonts w:ascii="Cambria" w:hAnsi="Cambria"/>
          <w:sz w:val="20"/>
          <w:szCs w:val="20"/>
          <w:lang w:val="es-UY"/>
        </w:rPr>
        <w:t xml:space="preserve"> 46.1 de la Convención</w:t>
      </w:r>
      <w:r>
        <w:rPr>
          <w:rFonts w:ascii="Cambria" w:hAnsi="Cambria"/>
          <w:sz w:val="20"/>
          <w:szCs w:val="20"/>
          <w:lang w:val="es-UY"/>
        </w:rPr>
        <w:t xml:space="preserve"> Americana</w:t>
      </w:r>
      <w:r w:rsidR="006B6B4D" w:rsidRPr="008306BC">
        <w:rPr>
          <w:rFonts w:ascii="Cambria" w:hAnsi="Cambria"/>
          <w:sz w:val="20"/>
          <w:szCs w:val="20"/>
          <w:lang w:val="es-UY"/>
        </w:rPr>
        <w:t>. La petición fue presentada el 16 de</w:t>
      </w:r>
      <w:r w:rsidR="003B6E45">
        <w:rPr>
          <w:rFonts w:ascii="Cambria" w:hAnsi="Cambria"/>
          <w:sz w:val="20"/>
          <w:szCs w:val="20"/>
          <w:lang w:val="es-UY"/>
        </w:rPr>
        <w:t xml:space="preserve"> diciembre de 2010 por lo que cumple </w:t>
      </w:r>
      <w:r w:rsidR="0014051D">
        <w:rPr>
          <w:rFonts w:ascii="Cambria" w:hAnsi="Cambria"/>
          <w:sz w:val="20"/>
          <w:szCs w:val="20"/>
          <w:lang w:val="es-UY"/>
        </w:rPr>
        <w:t xml:space="preserve">con </w:t>
      </w:r>
      <w:r w:rsidR="003B6E45">
        <w:rPr>
          <w:rFonts w:ascii="Cambria" w:hAnsi="Cambria"/>
          <w:sz w:val="20"/>
          <w:szCs w:val="20"/>
          <w:lang w:val="es-UY"/>
        </w:rPr>
        <w:t>el</w:t>
      </w:r>
      <w:r w:rsidR="006B6B4D" w:rsidRPr="008306BC">
        <w:rPr>
          <w:rFonts w:ascii="Cambria" w:hAnsi="Cambria"/>
          <w:sz w:val="20"/>
          <w:szCs w:val="20"/>
          <w:lang w:val="es-UY"/>
        </w:rPr>
        <w:t xml:space="preserve"> plazo establecido en el artículo 46.2 del mismo cuerpo legal</w:t>
      </w:r>
      <w:r w:rsidR="006B6B4D">
        <w:rPr>
          <w:rFonts w:ascii="Cambria" w:hAnsi="Cambria"/>
          <w:sz w:val="20"/>
          <w:szCs w:val="20"/>
          <w:lang w:val="es-UY"/>
        </w:rPr>
        <w:t xml:space="preserve"> y resulta admisible</w:t>
      </w:r>
      <w:r w:rsidR="006B6B4D" w:rsidRPr="008306BC">
        <w:rPr>
          <w:rFonts w:ascii="Cambria" w:hAnsi="Cambria"/>
          <w:sz w:val="20"/>
          <w:szCs w:val="20"/>
          <w:lang w:val="es-UY"/>
        </w:rPr>
        <w:t>.</w:t>
      </w:r>
    </w:p>
    <w:p w:rsidR="006B6B4D" w:rsidRPr="00E82B08" w:rsidRDefault="000444CB" w:rsidP="006B6B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UY"/>
        </w:rPr>
        <w:t>E</w:t>
      </w:r>
      <w:r w:rsidR="006B6B4D">
        <w:rPr>
          <w:rFonts w:ascii="Cambria" w:hAnsi="Cambria"/>
          <w:sz w:val="20"/>
          <w:szCs w:val="20"/>
          <w:lang w:val="es-UY"/>
        </w:rPr>
        <w:t>l Estado ha alegado que el peticionario no planteó en su primera oportunidad procesal su reclamo respecto a la posible inconstitucionalidad de la ley provincial por supuestamente atribuir al jur</w:t>
      </w:r>
      <w:r w:rsidR="00C044C7">
        <w:rPr>
          <w:rFonts w:ascii="Cambria" w:hAnsi="Cambria"/>
          <w:sz w:val="20"/>
          <w:szCs w:val="20"/>
          <w:lang w:val="es-UY"/>
        </w:rPr>
        <w:t xml:space="preserve">ado de enjuiciamiento funciones </w:t>
      </w:r>
      <w:r w:rsidR="006B6B4D">
        <w:rPr>
          <w:rFonts w:ascii="Cambria" w:hAnsi="Cambria"/>
          <w:sz w:val="20"/>
          <w:szCs w:val="20"/>
          <w:lang w:val="es-UY"/>
        </w:rPr>
        <w:t xml:space="preserve">de instrucción y de decisión dentro de un mismo proceso. Al respecto, la Comisión observa que al planteársele una posible inconstitucionalidad por carencia de una doble instancia, el jurado de enjuiciamiento concluyó no tener competencia para pronunciarse sobre la constitucionalidad de la ley que lo rige. Por lo tanto, la Comisión estima que no se puede tachar de inoportuno este reclamo del peticionario por no haber sido presentado ante esta instancia. </w:t>
      </w:r>
    </w:p>
    <w:p w:rsidR="006B6B4D" w:rsidRPr="001F01D5" w:rsidRDefault="006B6B4D" w:rsidP="006B6B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995EE1">
        <w:rPr>
          <w:rFonts w:asciiTheme="majorHAnsi" w:hAnsiTheme="majorHAnsi"/>
          <w:sz w:val="20"/>
          <w:szCs w:val="20"/>
          <w:lang w:val="es-AR"/>
        </w:rPr>
        <w:t xml:space="preserve">Respecto al reclamo </w:t>
      </w:r>
      <w:r w:rsidRPr="008645C4">
        <w:rPr>
          <w:rFonts w:asciiTheme="majorHAnsi" w:hAnsiTheme="majorHAnsi"/>
          <w:sz w:val="20"/>
          <w:szCs w:val="20"/>
          <w:lang w:val="es-AR"/>
        </w:rPr>
        <w:t xml:space="preserve">relativo a la supuesta falta de imparcialidad del integrante del jurado </w:t>
      </w:r>
      <w:r w:rsidRPr="00496756">
        <w:rPr>
          <w:rFonts w:asciiTheme="majorHAnsi" w:hAnsiTheme="majorHAnsi"/>
          <w:sz w:val="20"/>
          <w:szCs w:val="20"/>
          <w:lang w:val="es-AR"/>
        </w:rPr>
        <w:t xml:space="preserve">Konkurat, la Comisión observa que existe controversia entre las partes respecto a si este fue planteado oportunamente a nivel doméstico, pues el recurso relevante fue rechazado por extemporáneo, pero el peticionario alega que esto ocurrió durante los días que el jurado de enjuiciamiento luego </w:t>
      </w:r>
      <w:r w:rsidR="009A1822" w:rsidRPr="00496756">
        <w:rPr>
          <w:rFonts w:asciiTheme="majorHAnsi" w:hAnsiTheme="majorHAnsi"/>
          <w:sz w:val="20"/>
          <w:szCs w:val="20"/>
          <w:lang w:val="es-AR"/>
        </w:rPr>
        <w:t>declaró como días</w:t>
      </w:r>
      <w:r w:rsidRPr="00496756">
        <w:rPr>
          <w:rFonts w:asciiTheme="majorHAnsi" w:hAnsiTheme="majorHAnsi"/>
          <w:sz w:val="20"/>
          <w:szCs w:val="20"/>
          <w:lang w:val="es-AR"/>
        </w:rPr>
        <w:t xml:space="preserve"> inhábiles para efectos del cómputo del plazo de los noventa días. La Comisión considera </w:t>
      </w:r>
      <w:r w:rsidR="00BA006A" w:rsidRPr="00496756">
        <w:rPr>
          <w:rFonts w:asciiTheme="majorHAnsi" w:hAnsiTheme="majorHAnsi"/>
          <w:sz w:val="20"/>
          <w:szCs w:val="20"/>
          <w:lang w:val="es-AR"/>
        </w:rPr>
        <w:t>que</w:t>
      </w:r>
      <w:r w:rsidR="00B85BC5">
        <w:rPr>
          <w:rFonts w:asciiTheme="majorHAnsi" w:hAnsiTheme="majorHAnsi"/>
          <w:sz w:val="20"/>
          <w:szCs w:val="20"/>
          <w:lang w:val="es-AR"/>
        </w:rPr>
        <w:t xml:space="preserve"> no </w:t>
      </w:r>
      <w:r w:rsidR="000444CB">
        <w:rPr>
          <w:rFonts w:asciiTheme="majorHAnsi" w:hAnsiTheme="majorHAnsi"/>
          <w:sz w:val="20"/>
          <w:szCs w:val="20"/>
          <w:lang w:val="es-AR"/>
        </w:rPr>
        <w:t>es</w:t>
      </w:r>
      <w:r w:rsidR="00B85BC5">
        <w:rPr>
          <w:rFonts w:asciiTheme="majorHAnsi" w:hAnsiTheme="majorHAnsi"/>
          <w:sz w:val="20"/>
          <w:szCs w:val="20"/>
          <w:lang w:val="es-AR"/>
        </w:rPr>
        <w:t xml:space="preserve"> necesario definir si los recursos internos fueron adecuadamente agotados con respecto a esta reclamación, dado que la misma resulta inadmisible con fundamento en el artículo 47(b) de la Convención </w:t>
      </w:r>
      <w:r w:rsidR="000444CB">
        <w:rPr>
          <w:rFonts w:asciiTheme="majorHAnsi" w:hAnsiTheme="majorHAnsi"/>
          <w:sz w:val="20"/>
          <w:szCs w:val="20"/>
          <w:lang w:val="es-AR"/>
        </w:rPr>
        <w:t xml:space="preserve">Americana </w:t>
      </w:r>
      <w:r w:rsidR="00B85BC5">
        <w:rPr>
          <w:rFonts w:asciiTheme="majorHAnsi" w:hAnsiTheme="majorHAnsi"/>
          <w:sz w:val="20"/>
          <w:szCs w:val="20"/>
          <w:lang w:val="es-AR"/>
        </w:rPr>
        <w:t>según se expone en la sección VII de este informe</w:t>
      </w:r>
      <w:r w:rsidR="00995EE1" w:rsidRPr="00496756">
        <w:rPr>
          <w:rFonts w:asciiTheme="majorHAnsi" w:hAnsiTheme="majorHAnsi" w:cs="Calibri"/>
          <w:sz w:val="20"/>
          <w:szCs w:val="20"/>
          <w:lang w:val="es-ES"/>
        </w:rPr>
        <w:t>.</w:t>
      </w:r>
      <w:r w:rsidR="00BA006A">
        <w:rPr>
          <w:rFonts w:ascii="Cambria" w:hAnsi="Cambria"/>
          <w:sz w:val="20"/>
          <w:szCs w:val="20"/>
          <w:lang w:val="es-AR"/>
        </w:rPr>
        <w:t xml:space="preserve">  </w:t>
      </w:r>
    </w:p>
    <w:p w:rsidR="006B6B4D" w:rsidRDefault="006B6B4D" w:rsidP="006B6B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Pr>
          <w:rFonts w:asciiTheme="majorHAnsi" w:hAnsiTheme="majorHAnsi"/>
          <w:sz w:val="20"/>
          <w:szCs w:val="20"/>
          <w:lang w:val="es-AR"/>
        </w:rPr>
        <w:t xml:space="preserve">En cuanto a la parte de la petición que se refiere a presuntas violaciones en el contexto del  proceso penal adelantado contra el peticionario en la justicia ordinaria y una posible violación del principio </w:t>
      </w:r>
      <w:r w:rsidRPr="00F43782">
        <w:rPr>
          <w:rFonts w:asciiTheme="majorHAnsi" w:hAnsiTheme="majorHAnsi"/>
          <w:i/>
          <w:sz w:val="20"/>
          <w:szCs w:val="20"/>
          <w:lang w:val="es-AR"/>
        </w:rPr>
        <w:t>non bis in ídem</w:t>
      </w:r>
      <w:r>
        <w:rPr>
          <w:rFonts w:asciiTheme="majorHAnsi" w:hAnsiTheme="majorHAnsi"/>
          <w:sz w:val="20"/>
          <w:szCs w:val="20"/>
          <w:lang w:val="es-AR"/>
        </w:rPr>
        <w:t xml:space="preserve">, la Comisión observa que el peticionario no </w:t>
      </w:r>
      <w:r w:rsidR="000444CB">
        <w:rPr>
          <w:rFonts w:asciiTheme="majorHAnsi" w:hAnsiTheme="majorHAnsi"/>
          <w:sz w:val="20"/>
          <w:szCs w:val="20"/>
          <w:lang w:val="es-AR"/>
        </w:rPr>
        <w:t xml:space="preserve">la </w:t>
      </w:r>
      <w:r>
        <w:rPr>
          <w:rFonts w:asciiTheme="majorHAnsi" w:hAnsiTheme="majorHAnsi"/>
          <w:sz w:val="20"/>
          <w:szCs w:val="20"/>
          <w:lang w:val="es-AR"/>
        </w:rPr>
        <w:t xml:space="preserve">ha </w:t>
      </w:r>
      <w:r w:rsidR="000902F1">
        <w:rPr>
          <w:rFonts w:asciiTheme="majorHAnsi" w:hAnsiTheme="majorHAnsi"/>
          <w:sz w:val="20"/>
          <w:szCs w:val="20"/>
          <w:lang w:val="es-AR"/>
        </w:rPr>
        <w:t xml:space="preserve">alegado ni </w:t>
      </w:r>
      <w:r w:rsidR="000444CB">
        <w:rPr>
          <w:rFonts w:asciiTheme="majorHAnsi" w:hAnsiTheme="majorHAnsi"/>
          <w:sz w:val="20"/>
          <w:szCs w:val="20"/>
          <w:lang w:val="es-AR"/>
        </w:rPr>
        <w:t>hay</w:t>
      </w:r>
      <w:r w:rsidR="000902F1">
        <w:rPr>
          <w:rFonts w:asciiTheme="majorHAnsi" w:hAnsiTheme="majorHAnsi"/>
          <w:sz w:val="20"/>
          <w:szCs w:val="20"/>
          <w:lang w:val="es-AR"/>
        </w:rPr>
        <w:t xml:space="preserve"> información en </w:t>
      </w:r>
      <w:r w:rsidR="000444CB">
        <w:rPr>
          <w:rFonts w:asciiTheme="majorHAnsi" w:hAnsiTheme="majorHAnsi"/>
          <w:sz w:val="20"/>
          <w:szCs w:val="20"/>
          <w:lang w:val="es-AR"/>
        </w:rPr>
        <w:t xml:space="preserve">el </w:t>
      </w:r>
      <w:r w:rsidR="000902F1">
        <w:rPr>
          <w:rFonts w:asciiTheme="majorHAnsi" w:hAnsiTheme="majorHAnsi"/>
          <w:sz w:val="20"/>
          <w:szCs w:val="20"/>
          <w:lang w:val="es-AR"/>
        </w:rPr>
        <w:t xml:space="preserve">expediente que indique </w:t>
      </w:r>
      <w:r>
        <w:rPr>
          <w:rFonts w:asciiTheme="majorHAnsi" w:hAnsiTheme="majorHAnsi"/>
          <w:sz w:val="20"/>
          <w:szCs w:val="20"/>
          <w:lang w:val="es-AR"/>
        </w:rPr>
        <w:t>que</w:t>
      </w:r>
      <w:r w:rsidR="000902F1">
        <w:rPr>
          <w:rFonts w:asciiTheme="majorHAnsi" w:hAnsiTheme="majorHAnsi"/>
          <w:sz w:val="20"/>
          <w:szCs w:val="20"/>
          <w:lang w:val="es-AR"/>
        </w:rPr>
        <w:t xml:space="preserve"> </w:t>
      </w:r>
      <w:r>
        <w:rPr>
          <w:rFonts w:asciiTheme="majorHAnsi" w:hAnsiTheme="majorHAnsi"/>
          <w:sz w:val="20"/>
          <w:szCs w:val="20"/>
          <w:lang w:val="es-AR"/>
        </w:rPr>
        <w:t xml:space="preserve">estas reclamaciones </w:t>
      </w:r>
      <w:r w:rsidR="000444CB">
        <w:rPr>
          <w:rFonts w:asciiTheme="majorHAnsi" w:hAnsiTheme="majorHAnsi"/>
          <w:sz w:val="20"/>
          <w:szCs w:val="20"/>
          <w:lang w:val="es-AR"/>
        </w:rPr>
        <w:t>se hubieran planteado en el ámbito</w:t>
      </w:r>
      <w:r>
        <w:rPr>
          <w:rFonts w:asciiTheme="majorHAnsi" w:hAnsiTheme="majorHAnsi"/>
          <w:sz w:val="20"/>
          <w:szCs w:val="20"/>
          <w:lang w:val="es-AR"/>
        </w:rPr>
        <w:t xml:space="preserve"> doméstico. Por lo tanto, la </w:t>
      </w:r>
      <w:r w:rsidR="000444CB">
        <w:rPr>
          <w:rFonts w:asciiTheme="majorHAnsi" w:hAnsiTheme="majorHAnsi"/>
          <w:sz w:val="20"/>
          <w:szCs w:val="20"/>
          <w:lang w:val="es-AR"/>
        </w:rPr>
        <w:t>C</w:t>
      </w:r>
      <w:r>
        <w:rPr>
          <w:rFonts w:asciiTheme="majorHAnsi" w:hAnsiTheme="majorHAnsi"/>
          <w:sz w:val="20"/>
          <w:szCs w:val="20"/>
          <w:lang w:val="es-AR"/>
        </w:rPr>
        <w:t xml:space="preserve">omisión concluye que esta parte de la petición resulta inadmisible por no cumplir con los requisitos del artículo 46.1(a) de la Convención Americana.  </w:t>
      </w:r>
    </w:p>
    <w:p w:rsidR="003239B8" w:rsidRPr="00F7063D" w:rsidRDefault="003239B8" w:rsidP="003239B8">
      <w:pPr>
        <w:pStyle w:val="ListParagraph"/>
        <w:spacing w:before="240" w:after="240"/>
        <w:jc w:val="both"/>
        <w:rPr>
          <w:rFonts w:asciiTheme="majorHAnsi" w:hAnsiTheme="majorHAnsi"/>
          <w:b/>
          <w:sz w:val="20"/>
          <w:szCs w:val="20"/>
          <w:lang w:val="es-ES"/>
        </w:rPr>
      </w:pPr>
      <w:r w:rsidRPr="00F7063D">
        <w:rPr>
          <w:rFonts w:asciiTheme="majorHAnsi" w:hAnsiTheme="majorHAnsi"/>
          <w:b/>
          <w:bCs/>
          <w:sz w:val="20"/>
          <w:szCs w:val="20"/>
          <w:lang w:val="es-ES"/>
        </w:rPr>
        <w:t>VII.</w:t>
      </w:r>
      <w:r w:rsidRPr="00F7063D">
        <w:rPr>
          <w:rFonts w:asciiTheme="majorHAnsi" w:hAnsiTheme="majorHAnsi"/>
          <w:b/>
          <w:bCs/>
          <w:sz w:val="20"/>
          <w:szCs w:val="20"/>
          <w:lang w:val="es-ES"/>
        </w:rPr>
        <w:tab/>
      </w:r>
      <w:r w:rsidR="004A6A54" w:rsidRPr="00F7063D">
        <w:rPr>
          <w:rFonts w:asciiTheme="majorHAnsi" w:hAnsiTheme="majorHAnsi"/>
          <w:b/>
          <w:bCs/>
          <w:sz w:val="20"/>
          <w:szCs w:val="20"/>
          <w:lang w:val="es-ES_tradnl"/>
        </w:rPr>
        <w:t xml:space="preserve">ANÁLISIS DE </w:t>
      </w:r>
      <w:r w:rsidR="00C21FEF" w:rsidRPr="00F7063D">
        <w:rPr>
          <w:rFonts w:asciiTheme="majorHAnsi" w:hAnsiTheme="majorHAnsi"/>
          <w:b/>
          <w:bCs/>
          <w:sz w:val="20"/>
          <w:szCs w:val="20"/>
          <w:lang w:val="es-ES"/>
        </w:rPr>
        <w:t xml:space="preserve">CARACTERIZACIÓN </w:t>
      </w:r>
      <w:r w:rsidR="00C21FEF" w:rsidRPr="00F7063D">
        <w:rPr>
          <w:rFonts w:asciiTheme="majorHAnsi" w:hAnsiTheme="majorHAnsi"/>
          <w:b/>
          <w:bCs/>
          <w:sz w:val="20"/>
          <w:szCs w:val="20"/>
          <w:lang w:val="es-UY"/>
        </w:rPr>
        <w:t>DE LOS HECHOS ALEGADOS</w:t>
      </w:r>
    </w:p>
    <w:p w:rsidR="00E82DB5" w:rsidRPr="00597B36" w:rsidRDefault="00A241E5" w:rsidP="006B6B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Pr>
          <w:rFonts w:asciiTheme="majorHAnsi" w:hAnsiTheme="majorHAnsi"/>
          <w:sz w:val="20"/>
          <w:szCs w:val="20"/>
          <w:lang w:val="es-AR"/>
        </w:rPr>
        <w:t>El</w:t>
      </w:r>
      <w:r w:rsidR="006B6B4D" w:rsidRPr="00597B36">
        <w:rPr>
          <w:rFonts w:asciiTheme="majorHAnsi" w:hAnsiTheme="majorHAnsi"/>
          <w:sz w:val="20"/>
          <w:szCs w:val="20"/>
          <w:lang w:val="es-AR"/>
        </w:rPr>
        <w:t xml:space="preserve"> peticionario a</w:t>
      </w:r>
      <w:r w:rsidR="00E82DB5" w:rsidRPr="00597B36">
        <w:rPr>
          <w:rFonts w:asciiTheme="majorHAnsi" w:hAnsiTheme="majorHAnsi"/>
          <w:sz w:val="20"/>
          <w:szCs w:val="20"/>
          <w:lang w:val="es-AR"/>
        </w:rPr>
        <w:t>lega</w:t>
      </w:r>
      <w:r w:rsidR="006B6B4D" w:rsidRPr="00597B36">
        <w:rPr>
          <w:rFonts w:asciiTheme="majorHAnsi" w:hAnsiTheme="majorHAnsi"/>
          <w:sz w:val="20"/>
          <w:szCs w:val="20"/>
          <w:lang w:val="es-AR"/>
        </w:rPr>
        <w:t xml:space="preserve"> que sus derechos humanos se vieron vulnerados porque el jurado de enjuiciamiento que decidió su destitución lo hizo </w:t>
      </w:r>
      <w:r>
        <w:rPr>
          <w:rFonts w:asciiTheme="majorHAnsi" w:hAnsiTheme="majorHAnsi"/>
          <w:sz w:val="20"/>
          <w:szCs w:val="20"/>
          <w:lang w:val="es-AR"/>
        </w:rPr>
        <w:t>cuando se hallaba</w:t>
      </w:r>
      <w:r w:rsidR="006B6B4D" w:rsidRPr="00597B36">
        <w:rPr>
          <w:rFonts w:asciiTheme="majorHAnsi" w:hAnsiTheme="majorHAnsi"/>
          <w:sz w:val="20"/>
          <w:szCs w:val="20"/>
          <w:lang w:val="es-AR"/>
        </w:rPr>
        <w:t xml:space="preserve"> prescrita su competencia temporal para ello</w:t>
      </w:r>
      <w:r w:rsidR="00C044C7" w:rsidRPr="00597B36">
        <w:rPr>
          <w:rFonts w:asciiTheme="majorHAnsi" w:hAnsiTheme="majorHAnsi"/>
          <w:sz w:val="20"/>
          <w:szCs w:val="20"/>
          <w:lang w:val="es-AR"/>
        </w:rPr>
        <w:t>,</w:t>
      </w:r>
      <w:r w:rsidR="006544D7" w:rsidRPr="00597B36">
        <w:rPr>
          <w:rFonts w:asciiTheme="majorHAnsi" w:hAnsiTheme="majorHAnsi"/>
          <w:sz w:val="20"/>
          <w:szCs w:val="20"/>
          <w:lang w:val="es-AR"/>
        </w:rPr>
        <w:t xml:space="preserve"> </w:t>
      </w:r>
      <w:r>
        <w:rPr>
          <w:rFonts w:asciiTheme="majorHAnsi" w:hAnsiTheme="majorHAnsi"/>
          <w:sz w:val="20"/>
          <w:szCs w:val="20"/>
          <w:lang w:val="es-AR"/>
        </w:rPr>
        <w:t xml:space="preserve">y </w:t>
      </w:r>
      <w:r w:rsidR="002F3FE7" w:rsidRPr="00597B36">
        <w:rPr>
          <w:rFonts w:asciiTheme="majorHAnsi" w:hAnsiTheme="majorHAnsi"/>
          <w:sz w:val="20"/>
          <w:szCs w:val="20"/>
          <w:lang w:val="es-AR"/>
        </w:rPr>
        <w:t xml:space="preserve">que el </w:t>
      </w:r>
      <w:r w:rsidR="00C54244" w:rsidRPr="00597B36">
        <w:rPr>
          <w:rFonts w:asciiTheme="majorHAnsi" w:hAnsiTheme="majorHAnsi"/>
          <w:sz w:val="20"/>
          <w:szCs w:val="20"/>
          <w:lang w:val="es-AR"/>
        </w:rPr>
        <w:t>criterio utilizado por el jurado para rechazar la excepción de caducidad fue incongruente con respecto al utilizado por el mismo jurado en una etapa previa del proceso. Con respecto a este reclamo, la Comisi</w:t>
      </w:r>
      <w:r w:rsidR="00597B36" w:rsidRPr="00597B36">
        <w:rPr>
          <w:rFonts w:asciiTheme="majorHAnsi" w:hAnsiTheme="majorHAnsi"/>
          <w:sz w:val="20"/>
          <w:szCs w:val="20"/>
          <w:lang w:val="es-AR"/>
        </w:rPr>
        <w:t xml:space="preserve">ón </w:t>
      </w:r>
      <w:r w:rsidR="00597B36">
        <w:rPr>
          <w:rFonts w:asciiTheme="majorHAnsi" w:hAnsiTheme="majorHAnsi"/>
          <w:sz w:val="20"/>
          <w:szCs w:val="20"/>
          <w:lang w:val="es-AR"/>
        </w:rPr>
        <w:t xml:space="preserve">recuerda que </w:t>
      </w:r>
      <w:r w:rsidR="00597B36" w:rsidRPr="00597B36">
        <w:rPr>
          <w:rFonts w:asciiTheme="majorHAnsi" w:hAnsiTheme="majorHAnsi"/>
          <w:sz w:val="20"/>
          <w:szCs w:val="20"/>
          <w:lang w:val="es-AR"/>
        </w:rPr>
        <w:t xml:space="preserve">ya ha determinado que no </w:t>
      </w:r>
      <w:r w:rsidR="00597B36">
        <w:rPr>
          <w:rFonts w:asciiTheme="majorHAnsi" w:hAnsiTheme="majorHAnsi"/>
          <w:sz w:val="20"/>
          <w:szCs w:val="20"/>
          <w:lang w:val="es-AR"/>
        </w:rPr>
        <w:t xml:space="preserve">le </w:t>
      </w:r>
      <w:r w:rsidR="00597B36" w:rsidRPr="00597B36">
        <w:rPr>
          <w:rFonts w:asciiTheme="majorHAnsi" w:hAnsiTheme="majorHAnsi"/>
          <w:sz w:val="20"/>
          <w:szCs w:val="20"/>
          <w:lang w:val="es-AR"/>
        </w:rPr>
        <w:t xml:space="preserve">corresponde </w:t>
      </w:r>
      <w:r w:rsidR="00597B36" w:rsidRPr="00597B36">
        <w:rPr>
          <w:rFonts w:asciiTheme="majorHAnsi" w:hAnsiTheme="majorHAnsi" w:cs="Calibri"/>
          <w:sz w:val="20"/>
          <w:szCs w:val="20"/>
          <w:lang w:val="es-ES"/>
        </w:rPr>
        <w:t>revisar una decisión</w:t>
      </w:r>
      <w:r w:rsidR="000077B9">
        <w:rPr>
          <w:rFonts w:asciiTheme="majorHAnsi" w:hAnsiTheme="majorHAnsi" w:cs="Calibri"/>
          <w:sz w:val="20"/>
          <w:szCs w:val="20"/>
          <w:lang w:val="es-ES"/>
        </w:rPr>
        <w:t xml:space="preserve"> que </w:t>
      </w:r>
      <w:r w:rsidR="000077B9" w:rsidRPr="00597B36">
        <w:rPr>
          <w:rFonts w:asciiTheme="majorHAnsi" w:hAnsiTheme="majorHAnsi" w:cs="Calibri"/>
          <w:sz w:val="20"/>
          <w:szCs w:val="20"/>
          <w:lang w:val="es-ES"/>
        </w:rPr>
        <w:t xml:space="preserve">surja en el contexto de un poder judicial independiente e imparcial, </w:t>
      </w:r>
      <w:r w:rsidR="00597B36" w:rsidRPr="00597B36">
        <w:rPr>
          <w:rFonts w:asciiTheme="majorHAnsi" w:hAnsiTheme="majorHAnsi" w:cs="Calibri"/>
          <w:sz w:val="20"/>
          <w:szCs w:val="20"/>
          <w:lang w:val="es-ES"/>
        </w:rPr>
        <w:t xml:space="preserve"> aun cuando haya error </w:t>
      </w:r>
      <w:r w:rsidR="000077B9">
        <w:rPr>
          <w:rFonts w:asciiTheme="majorHAnsi" w:hAnsiTheme="majorHAnsi" w:cs="Calibri"/>
          <w:sz w:val="20"/>
          <w:szCs w:val="20"/>
          <w:lang w:val="es-ES"/>
        </w:rPr>
        <w:t xml:space="preserve">judicial, </w:t>
      </w:r>
      <w:r w:rsidR="00597B36" w:rsidRPr="00597B36">
        <w:rPr>
          <w:rFonts w:asciiTheme="majorHAnsi" w:hAnsiTheme="majorHAnsi" w:cs="Calibri"/>
          <w:sz w:val="20"/>
          <w:szCs w:val="20"/>
          <w:lang w:val="es-ES"/>
        </w:rPr>
        <w:t xml:space="preserve">si el error judicial no </w:t>
      </w:r>
      <w:r w:rsidR="00597B36" w:rsidRPr="00597B36">
        <w:rPr>
          <w:rFonts w:asciiTheme="majorHAnsi" w:hAnsiTheme="majorHAnsi" w:cs="Calibri"/>
          <w:sz w:val="20"/>
          <w:szCs w:val="20"/>
          <w:lang w:val="es-ES"/>
        </w:rPr>
        <w:lastRenderedPageBreak/>
        <w:t>pued</w:t>
      </w:r>
      <w:r w:rsidR="00111E8C">
        <w:rPr>
          <w:rFonts w:asciiTheme="majorHAnsi" w:hAnsiTheme="majorHAnsi" w:cs="Calibri"/>
          <w:sz w:val="20"/>
          <w:szCs w:val="20"/>
          <w:lang w:val="es-ES"/>
        </w:rPr>
        <w:t>e</w:t>
      </w:r>
      <w:r w:rsidR="00597B36" w:rsidRPr="00597B36">
        <w:rPr>
          <w:rFonts w:asciiTheme="majorHAnsi" w:hAnsiTheme="majorHAnsi" w:cs="Calibri"/>
          <w:sz w:val="20"/>
          <w:szCs w:val="20"/>
          <w:lang w:val="es-ES"/>
        </w:rPr>
        <w:t xml:space="preserve"> caracterizar la violación de un derecho protegido por el Sistema Interamericano</w:t>
      </w:r>
      <w:r w:rsidR="00597B36">
        <w:rPr>
          <w:rFonts w:asciiTheme="majorHAnsi" w:hAnsiTheme="majorHAnsi" w:cs="Calibri"/>
          <w:sz w:val="20"/>
          <w:szCs w:val="20"/>
          <w:lang w:val="es-ES"/>
        </w:rPr>
        <w:t xml:space="preserve">; así como que la parte peticionaria </w:t>
      </w:r>
      <w:r>
        <w:rPr>
          <w:rFonts w:asciiTheme="majorHAnsi" w:hAnsiTheme="majorHAnsi" w:cs="Calibri"/>
          <w:sz w:val="20"/>
          <w:szCs w:val="20"/>
          <w:lang w:val="es-ES"/>
        </w:rPr>
        <w:t xml:space="preserve">es la </w:t>
      </w:r>
      <w:r w:rsidR="00597B36">
        <w:rPr>
          <w:rFonts w:asciiTheme="majorHAnsi" w:hAnsiTheme="majorHAnsi" w:cs="Calibri"/>
          <w:sz w:val="20"/>
          <w:szCs w:val="20"/>
          <w:lang w:val="es-ES"/>
        </w:rPr>
        <w:t>que tiene la carga de probar que la interpretación de los jueces desconoce el ámbito de protección que subyace a los mencionados derechos</w:t>
      </w:r>
      <w:r w:rsidR="00597B36" w:rsidRPr="00DA58FB">
        <w:rPr>
          <w:rStyle w:val="FootnoteReference"/>
          <w:rFonts w:cs="Calibri"/>
          <w:lang w:val="es-ES"/>
        </w:rPr>
        <w:footnoteReference w:id="20"/>
      </w:r>
      <w:r w:rsidR="00597B36" w:rsidRPr="00DA58FB">
        <w:rPr>
          <w:rFonts w:cs="Calibri"/>
          <w:lang w:val="es-ES"/>
        </w:rPr>
        <w:t>.</w:t>
      </w:r>
      <w:r w:rsidR="00597B36">
        <w:rPr>
          <w:rFonts w:asciiTheme="majorHAnsi" w:hAnsiTheme="majorHAnsi" w:cs="Calibri"/>
          <w:sz w:val="20"/>
          <w:szCs w:val="20"/>
          <w:lang w:val="es-ES"/>
        </w:rPr>
        <w:t xml:space="preserve"> En el presente caso, la Comisión estima </w:t>
      </w:r>
      <w:r w:rsidR="004C300B">
        <w:rPr>
          <w:rFonts w:asciiTheme="majorHAnsi" w:hAnsiTheme="majorHAnsi" w:cs="Calibri"/>
          <w:sz w:val="20"/>
          <w:szCs w:val="20"/>
          <w:lang w:val="es-ES"/>
        </w:rPr>
        <w:t xml:space="preserve">que no cuenta con elementos que le permitan concluir, ni siquiera </w:t>
      </w:r>
      <w:r w:rsidR="004C300B" w:rsidRPr="00111E8C">
        <w:rPr>
          <w:rFonts w:asciiTheme="majorHAnsi" w:hAnsiTheme="majorHAnsi" w:cs="Calibri"/>
          <w:i/>
          <w:sz w:val="20"/>
          <w:szCs w:val="20"/>
          <w:lang w:val="es-ES"/>
        </w:rPr>
        <w:t>prima facie</w:t>
      </w:r>
      <w:r w:rsidR="004C300B">
        <w:rPr>
          <w:rFonts w:asciiTheme="majorHAnsi" w:hAnsiTheme="majorHAnsi" w:cs="Calibri"/>
          <w:sz w:val="20"/>
          <w:szCs w:val="20"/>
          <w:lang w:val="es-ES"/>
        </w:rPr>
        <w:t>, que el aducido er</w:t>
      </w:r>
      <w:r w:rsidR="008329A9">
        <w:rPr>
          <w:rFonts w:asciiTheme="majorHAnsi" w:hAnsiTheme="majorHAnsi" w:cs="Calibri"/>
          <w:sz w:val="20"/>
          <w:szCs w:val="20"/>
          <w:lang w:val="es-ES"/>
        </w:rPr>
        <w:t>ror de jurado de enjuiciamiento</w:t>
      </w:r>
      <w:r w:rsidR="004C300B">
        <w:rPr>
          <w:rFonts w:asciiTheme="majorHAnsi" w:hAnsiTheme="majorHAnsi" w:cs="Calibri"/>
          <w:sz w:val="20"/>
          <w:szCs w:val="20"/>
          <w:lang w:val="es-ES"/>
        </w:rPr>
        <w:t xml:space="preserve"> pudiera caracterizar una violación a la Convención Americana</w:t>
      </w:r>
      <w:r w:rsidR="008329A9">
        <w:rPr>
          <w:rFonts w:asciiTheme="majorHAnsi" w:hAnsiTheme="majorHAnsi" w:cs="Calibri"/>
          <w:sz w:val="20"/>
          <w:szCs w:val="20"/>
          <w:lang w:val="es-ES"/>
        </w:rPr>
        <w:t>,</w:t>
      </w:r>
      <w:r w:rsidR="004C300B">
        <w:rPr>
          <w:rFonts w:asciiTheme="majorHAnsi" w:hAnsiTheme="majorHAnsi" w:cs="Calibri"/>
          <w:sz w:val="20"/>
          <w:szCs w:val="20"/>
          <w:lang w:val="es-ES"/>
        </w:rPr>
        <w:t xml:space="preserve"> </w:t>
      </w:r>
      <w:r w:rsidR="000077B9">
        <w:rPr>
          <w:rFonts w:asciiTheme="majorHAnsi" w:hAnsiTheme="majorHAnsi" w:cs="Calibri"/>
          <w:sz w:val="20"/>
          <w:szCs w:val="20"/>
          <w:lang w:val="es-ES"/>
        </w:rPr>
        <w:t xml:space="preserve">incluso </w:t>
      </w:r>
      <w:r w:rsidR="004C300B">
        <w:rPr>
          <w:rFonts w:asciiTheme="majorHAnsi" w:hAnsiTheme="majorHAnsi" w:cs="Calibri"/>
          <w:sz w:val="20"/>
          <w:szCs w:val="20"/>
          <w:lang w:val="es-ES"/>
        </w:rPr>
        <w:t xml:space="preserve">de verificarse como cierto. </w:t>
      </w:r>
    </w:p>
    <w:p w:rsidR="00C044C7" w:rsidRPr="00573FE8" w:rsidRDefault="00A241E5" w:rsidP="00573FE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Pr>
          <w:rFonts w:asciiTheme="majorHAnsi" w:hAnsiTheme="majorHAnsi"/>
          <w:sz w:val="20"/>
          <w:szCs w:val="20"/>
          <w:lang w:val="es-AR"/>
        </w:rPr>
        <w:t>El</w:t>
      </w:r>
      <w:r w:rsidR="004C300B">
        <w:rPr>
          <w:rFonts w:asciiTheme="majorHAnsi" w:hAnsiTheme="majorHAnsi"/>
          <w:sz w:val="20"/>
          <w:szCs w:val="20"/>
          <w:lang w:val="es-AR"/>
        </w:rPr>
        <w:t xml:space="preserve"> peticionario también ha alegado que se violentaron sus derechos </w:t>
      </w:r>
      <w:r w:rsidR="006B6B4D">
        <w:rPr>
          <w:rFonts w:asciiTheme="majorHAnsi" w:hAnsiTheme="majorHAnsi"/>
          <w:sz w:val="20"/>
          <w:szCs w:val="20"/>
          <w:lang w:val="es-AR"/>
        </w:rPr>
        <w:t>porque</w:t>
      </w:r>
      <w:r w:rsidR="004C300B">
        <w:rPr>
          <w:rFonts w:asciiTheme="majorHAnsi" w:hAnsiTheme="majorHAnsi"/>
          <w:sz w:val="20"/>
          <w:szCs w:val="20"/>
          <w:lang w:val="es-AR"/>
        </w:rPr>
        <w:t xml:space="preserve"> el</w:t>
      </w:r>
      <w:r w:rsidR="006B6B4D">
        <w:rPr>
          <w:rFonts w:asciiTheme="majorHAnsi" w:hAnsiTheme="majorHAnsi"/>
          <w:sz w:val="20"/>
          <w:szCs w:val="20"/>
          <w:lang w:val="es-AR"/>
        </w:rPr>
        <w:t xml:space="preserve"> proceso de juicio político que se le siguió </w:t>
      </w:r>
      <w:r w:rsidR="00144B01">
        <w:rPr>
          <w:rFonts w:asciiTheme="majorHAnsi" w:hAnsiTheme="majorHAnsi"/>
          <w:sz w:val="20"/>
          <w:szCs w:val="20"/>
          <w:lang w:val="es-AR"/>
        </w:rPr>
        <w:t>es de instancia única. Sin embargo, de la información en expediente se desprende que el peticionario presentó impugnaciones contra la decisión del jurado de enjuiciamien</w:t>
      </w:r>
      <w:r w:rsidR="0005691A">
        <w:rPr>
          <w:rFonts w:asciiTheme="majorHAnsi" w:hAnsiTheme="majorHAnsi"/>
          <w:sz w:val="20"/>
          <w:szCs w:val="20"/>
          <w:lang w:val="es-AR"/>
        </w:rPr>
        <w:t>to ante otros tribunales, l</w:t>
      </w:r>
      <w:r w:rsidR="00CC47E2">
        <w:rPr>
          <w:rFonts w:asciiTheme="majorHAnsi" w:hAnsiTheme="majorHAnsi"/>
          <w:sz w:val="20"/>
          <w:szCs w:val="20"/>
          <w:lang w:val="es-AR"/>
        </w:rPr>
        <w:t xml:space="preserve">as que fueron resueltas. </w:t>
      </w:r>
      <w:r w:rsidR="00573FE8">
        <w:rPr>
          <w:rFonts w:asciiTheme="majorHAnsi" w:hAnsiTheme="majorHAnsi"/>
          <w:sz w:val="20"/>
          <w:szCs w:val="20"/>
          <w:lang w:val="es-AR"/>
        </w:rPr>
        <w:t>La Comisión estima que en</w:t>
      </w:r>
      <w:r w:rsidR="00CC47E2">
        <w:rPr>
          <w:rFonts w:asciiTheme="majorHAnsi" w:hAnsiTheme="majorHAnsi"/>
          <w:sz w:val="20"/>
          <w:szCs w:val="20"/>
          <w:lang w:val="es-AR"/>
        </w:rPr>
        <w:t xml:space="preserve"> el expediente no consta información que indi</w:t>
      </w:r>
      <w:r>
        <w:rPr>
          <w:rFonts w:asciiTheme="majorHAnsi" w:hAnsiTheme="majorHAnsi"/>
          <w:sz w:val="20"/>
          <w:szCs w:val="20"/>
          <w:lang w:val="es-AR"/>
        </w:rPr>
        <w:t>que</w:t>
      </w:r>
      <w:r w:rsidR="00CC47E2">
        <w:rPr>
          <w:rFonts w:asciiTheme="majorHAnsi" w:hAnsiTheme="majorHAnsi"/>
          <w:sz w:val="20"/>
          <w:szCs w:val="20"/>
          <w:lang w:val="es-AR"/>
        </w:rPr>
        <w:t xml:space="preserve">, ni siquiera </w:t>
      </w:r>
      <w:r w:rsidR="00CC47E2" w:rsidRPr="00F43782">
        <w:rPr>
          <w:rFonts w:asciiTheme="majorHAnsi" w:hAnsiTheme="majorHAnsi"/>
          <w:i/>
          <w:sz w:val="20"/>
          <w:szCs w:val="20"/>
          <w:lang w:val="es-AR"/>
        </w:rPr>
        <w:t>prima facie</w:t>
      </w:r>
      <w:r w:rsidR="00CC47E2">
        <w:rPr>
          <w:rFonts w:asciiTheme="majorHAnsi" w:hAnsiTheme="majorHAnsi"/>
          <w:sz w:val="20"/>
          <w:szCs w:val="20"/>
          <w:lang w:val="es-AR"/>
        </w:rPr>
        <w:t>, la vulneración de derechos contemplados en la Convención Americana en el desarrollo de los procesos que</w:t>
      </w:r>
      <w:r w:rsidR="00573FE8">
        <w:rPr>
          <w:rFonts w:asciiTheme="majorHAnsi" w:hAnsiTheme="majorHAnsi"/>
          <w:sz w:val="20"/>
          <w:szCs w:val="20"/>
          <w:lang w:val="es-AR"/>
        </w:rPr>
        <w:t xml:space="preserve"> resolvieron las impugnaciones. </w:t>
      </w:r>
      <w:r w:rsidR="006B6B4D" w:rsidRPr="00573FE8">
        <w:rPr>
          <w:rFonts w:asciiTheme="majorHAnsi" w:hAnsiTheme="majorHAnsi"/>
          <w:sz w:val="20"/>
          <w:szCs w:val="20"/>
          <w:lang w:val="es-AR"/>
        </w:rPr>
        <w:t>En cuanto a l</w:t>
      </w:r>
      <w:r>
        <w:rPr>
          <w:rFonts w:asciiTheme="majorHAnsi" w:hAnsiTheme="majorHAnsi"/>
          <w:sz w:val="20"/>
          <w:szCs w:val="20"/>
          <w:lang w:val="es-AR"/>
        </w:rPr>
        <w:t>os</w:t>
      </w:r>
      <w:r w:rsidR="006B6B4D" w:rsidRPr="00573FE8">
        <w:rPr>
          <w:rFonts w:asciiTheme="majorHAnsi" w:hAnsiTheme="majorHAnsi"/>
          <w:sz w:val="20"/>
          <w:szCs w:val="20"/>
          <w:lang w:val="es-AR"/>
        </w:rPr>
        <w:t xml:space="preserve"> </w:t>
      </w:r>
      <w:r w:rsidR="00573FE8" w:rsidRPr="00573FE8">
        <w:rPr>
          <w:rFonts w:asciiTheme="majorHAnsi" w:hAnsiTheme="majorHAnsi"/>
          <w:sz w:val="20"/>
          <w:szCs w:val="20"/>
          <w:lang w:val="es-AR"/>
        </w:rPr>
        <w:t>demás alega</w:t>
      </w:r>
      <w:r>
        <w:rPr>
          <w:rFonts w:asciiTheme="majorHAnsi" w:hAnsiTheme="majorHAnsi"/>
          <w:sz w:val="20"/>
          <w:szCs w:val="20"/>
          <w:lang w:val="es-AR"/>
        </w:rPr>
        <w:t>tos</w:t>
      </w:r>
      <w:r w:rsidR="00573FE8" w:rsidRPr="00573FE8">
        <w:rPr>
          <w:rFonts w:asciiTheme="majorHAnsi" w:hAnsiTheme="majorHAnsi"/>
          <w:sz w:val="20"/>
          <w:szCs w:val="20"/>
          <w:lang w:val="es-AR"/>
        </w:rPr>
        <w:t xml:space="preserve"> del peticionario respecto a posibles violaciones a la independencia judicial, igualdad ante la ley y principio de legalidad, la Comisión considera que no se han aportado elementos de hecho ni de derecho que </w:t>
      </w:r>
      <w:r w:rsidR="00111E8C" w:rsidRPr="00573FE8">
        <w:rPr>
          <w:rFonts w:asciiTheme="majorHAnsi" w:hAnsiTheme="majorHAnsi"/>
          <w:sz w:val="20"/>
          <w:szCs w:val="20"/>
          <w:lang w:val="es-AR"/>
        </w:rPr>
        <w:t>indi</w:t>
      </w:r>
      <w:r w:rsidR="00111E8C">
        <w:rPr>
          <w:rFonts w:asciiTheme="majorHAnsi" w:hAnsiTheme="majorHAnsi"/>
          <w:sz w:val="20"/>
          <w:szCs w:val="20"/>
          <w:lang w:val="es-AR"/>
        </w:rPr>
        <w:t>quen</w:t>
      </w:r>
      <w:r w:rsidR="00573FE8" w:rsidRPr="00573FE8">
        <w:rPr>
          <w:rFonts w:asciiTheme="majorHAnsi" w:hAnsiTheme="majorHAnsi"/>
          <w:sz w:val="20"/>
          <w:szCs w:val="20"/>
          <w:lang w:val="es-AR"/>
        </w:rPr>
        <w:t xml:space="preserve">, ni siquiera </w:t>
      </w:r>
      <w:r w:rsidR="00573FE8" w:rsidRPr="00F43782">
        <w:rPr>
          <w:rFonts w:asciiTheme="majorHAnsi" w:hAnsiTheme="majorHAnsi"/>
          <w:i/>
          <w:sz w:val="20"/>
          <w:szCs w:val="20"/>
          <w:lang w:val="es-AR"/>
        </w:rPr>
        <w:t>prima facie</w:t>
      </w:r>
      <w:r w:rsidR="00573FE8" w:rsidRPr="00573FE8">
        <w:rPr>
          <w:rFonts w:asciiTheme="majorHAnsi" w:hAnsiTheme="majorHAnsi"/>
          <w:sz w:val="20"/>
          <w:szCs w:val="20"/>
          <w:lang w:val="es-AR"/>
        </w:rPr>
        <w:t xml:space="preserve">, su posible violación. </w:t>
      </w:r>
    </w:p>
    <w:p w:rsidR="00C044C7" w:rsidRPr="00C044C7" w:rsidRDefault="006B6B4D" w:rsidP="00C044C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C044C7">
        <w:rPr>
          <w:rFonts w:asciiTheme="majorHAnsi" w:hAnsiTheme="majorHAnsi"/>
          <w:bCs/>
          <w:sz w:val="20"/>
          <w:szCs w:val="20"/>
          <w:lang w:val="es-AR"/>
        </w:rPr>
        <w:t xml:space="preserve">En cuanto a las aducidas vulneraciones a artículos de la Declaración Americana, </w:t>
      </w:r>
      <w:r w:rsidRPr="00C044C7">
        <w:rPr>
          <w:rFonts w:asciiTheme="majorHAnsi" w:hAnsiTheme="majorHAnsi" w:cs="Calibri"/>
          <w:sz w:val="20"/>
          <w:szCs w:val="20"/>
          <w:lang w:val="es-ES"/>
        </w:rPr>
        <w:t xml:space="preserve">esta Comisión ha establecido con anterioridad que, una vez que la Convención Americana entra en vigor en relación con un Estado, ésta y no la Declaración </w:t>
      </w:r>
      <w:r w:rsidR="00F07032">
        <w:rPr>
          <w:rFonts w:asciiTheme="majorHAnsi" w:hAnsiTheme="majorHAnsi" w:cs="Calibri"/>
          <w:sz w:val="20"/>
          <w:szCs w:val="20"/>
          <w:lang w:val="es-ES"/>
        </w:rPr>
        <w:t xml:space="preserve">Americana </w:t>
      </w:r>
      <w:r w:rsidRPr="00C044C7">
        <w:rPr>
          <w:rFonts w:asciiTheme="majorHAnsi" w:hAnsiTheme="majorHAnsi" w:cs="Calibri"/>
          <w:sz w:val="20"/>
          <w:szCs w:val="20"/>
          <w:lang w:val="es-ES"/>
        </w:rPr>
        <w:t>pasa a ser la fuente primaria de derecho aplicable por la Comisión, siempre que la petición se refiera a la presunta violación de derechos idénticos en ambos instrumentos y no se trate de una situación de violación continuada. En este caso las alegadas violaciones a la Declaración Americana encajan dentro del ámbito de protección de los artículos 8 y 25 de la Convención Americana. Por lo tanto la Comisión examinará estos alegatos a la luz de la Convención Americana.</w:t>
      </w:r>
    </w:p>
    <w:p w:rsidR="006B6B4D" w:rsidRPr="00505E5F" w:rsidRDefault="006B6B4D" w:rsidP="00C044C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C044C7">
        <w:rPr>
          <w:rFonts w:asciiTheme="majorHAnsi" w:hAnsiTheme="majorHAnsi"/>
          <w:sz w:val="20"/>
          <w:szCs w:val="20"/>
          <w:lang w:val="es-AR"/>
        </w:rPr>
        <w:t xml:space="preserve">Respecto a las aducidas violaciones a la Declaración Universal de Derechos Humanos y el Pacto Internacional de Derechos Civiles y Políticos, </w:t>
      </w:r>
      <w:r w:rsidRPr="00C044C7">
        <w:rPr>
          <w:rFonts w:asciiTheme="majorHAnsi" w:hAnsiTheme="majorHAnsi" w:cs="Calibri"/>
          <w:sz w:val="20"/>
          <w:szCs w:val="20"/>
          <w:lang w:val="es-ES"/>
        </w:rPr>
        <w:t xml:space="preserve">la Comisión recuerda que carece de competencia </w:t>
      </w:r>
      <w:r w:rsidRPr="00C044C7">
        <w:rPr>
          <w:rFonts w:asciiTheme="majorHAnsi" w:hAnsiTheme="majorHAnsi" w:cs="Calibri"/>
          <w:i/>
          <w:sz w:val="20"/>
          <w:szCs w:val="20"/>
          <w:lang w:val="es-ES"/>
        </w:rPr>
        <w:t>ratione materiae</w:t>
      </w:r>
      <w:r w:rsidRPr="00C044C7">
        <w:rPr>
          <w:rFonts w:asciiTheme="majorHAnsi" w:hAnsiTheme="majorHAnsi" w:cs="Calibri"/>
          <w:sz w:val="20"/>
          <w:szCs w:val="20"/>
          <w:lang w:val="es-ES"/>
        </w:rPr>
        <w:t xml:space="preserve"> para pronunciarse sobre violaciones a los derechos contenidos en instrumentos fuera del Sistema Interamericano, sin perjuicio que pueda recurrir a los estándares establecidos en estos a fin de interpretar las normas de la Convención </w:t>
      </w:r>
      <w:r w:rsidR="00F07032">
        <w:rPr>
          <w:rFonts w:asciiTheme="majorHAnsi" w:hAnsiTheme="majorHAnsi" w:cs="Calibri"/>
          <w:sz w:val="20"/>
          <w:szCs w:val="20"/>
          <w:lang w:val="es-ES"/>
        </w:rPr>
        <w:t xml:space="preserve">Americana </w:t>
      </w:r>
      <w:r w:rsidRPr="00C044C7">
        <w:rPr>
          <w:rFonts w:asciiTheme="majorHAnsi" w:hAnsiTheme="majorHAnsi" w:cs="Calibri"/>
          <w:sz w:val="20"/>
          <w:szCs w:val="20"/>
          <w:lang w:val="es-ES"/>
        </w:rPr>
        <w:t>en virtud del artículo 29 de la misma</w:t>
      </w:r>
      <w:r w:rsidRPr="00C044C7">
        <w:rPr>
          <w:rStyle w:val="FootnoteReference"/>
          <w:rFonts w:asciiTheme="majorHAnsi" w:hAnsiTheme="majorHAnsi" w:cs="Calibri"/>
          <w:lang w:val="es-ES"/>
        </w:rPr>
        <w:footnoteReference w:id="21"/>
      </w:r>
      <w:r w:rsidRPr="00C044C7">
        <w:rPr>
          <w:rFonts w:asciiTheme="majorHAnsi" w:hAnsiTheme="majorHAnsi" w:cs="Calibri"/>
          <w:sz w:val="20"/>
          <w:szCs w:val="20"/>
          <w:lang w:val="es-ES"/>
        </w:rPr>
        <w:t>.</w:t>
      </w:r>
    </w:p>
    <w:p w:rsidR="00505E5F" w:rsidRPr="00E9609A" w:rsidRDefault="00505E5F" w:rsidP="00C044C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Pr>
          <w:rFonts w:asciiTheme="majorHAnsi" w:hAnsiTheme="majorHAnsi"/>
          <w:sz w:val="20"/>
          <w:szCs w:val="20"/>
          <w:lang w:val="es-AR"/>
        </w:rPr>
        <w:t>La Comisión no realizará un pronunciamiento de caracterización con respecto a las partes de la petición que resultan inadmisibles según las determinaciones de la sección VI de este informe.</w:t>
      </w:r>
    </w:p>
    <w:p w:rsidR="00E9609A" w:rsidRPr="00C044C7" w:rsidRDefault="00E9609A" w:rsidP="00C044C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Pr>
          <w:rFonts w:asciiTheme="majorHAnsi" w:hAnsiTheme="majorHAnsi" w:cs="Calibri"/>
          <w:sz w:val="20"/>
          <w:szCs w:val="20"/>
          <w:lang w:val="es-ES"/>
        </w:rPr>
        <w:t>Por las razones expuestas,  la Comisión concluye que la presente petición resulta inadmisible conforme al artículo 47(b) de la Convención</w:t>
      </w:r>
      <w:r w:rsidR="00F07032">
        <w:rPr>
          <w:rFonts w:asciiTheme="majorHAnsi" w:hAnsiTheme="majorHAnsi" w:cs="Calibri"/>
          <w:sz w:val="20"/>
          <w:szCs w:val="20"/>
          <w:lang w:val="es-ES"/>
        </w:rPr>
        <w:t xml:space="preserve"> Americana</w:t>
      </w:r>
      <w:r>
        <w:rPr>
          <w:rFonts w:asciiTheme="majorHAnsi" w:hAnsiTheme="majorHAnsi" w:cs="Calibri"/>
          <w:sz w:val="20"/>
          <w:szCs w:val="20"/>
          <w:lang w:val="es-ES"/>
        </w:rPr>
        <w:t xml:space="preserve">, por no exponer hechos que caractericen una violación de los derechos garantizados por </w:t>
      </w:r>
      <w:r w:rsidR="00F07032">
        <w:rPr>
          <w:rFonts w:asciiTheme="majorHAnsi" w:hAnsiTheme="majorHAnsi" w:cs="Calibri"/>
          <w:sz w:val="20"/>
          <w:szCs w:val="20"/>
          <w:lang w:val="es-ES"/>
        </w:rPr>
        <w:t>dicho instrumento</w:t>
      </w:r>
      <w:r>
        <w:rPr>
          <w:rFonts w:asciiTheme="majorHAnsi" w:hAnsiTheme="majorHAnsi" w:cs="Calibri"/>
          <w:sz w:val="20"/>
          <w:szCs w:val="20"/>
          <w:lang w:val="es-ES"/>
        </w:rPr>
        <w:t xml:space="preserve">. </w:t>
      </w:r>
    </w:p>
    <w:p w:rsidR="003239B8" w:rsidRPr="00F7063D" w:rsidRDefault="003239B8" w:rsidP="00F7063D">
      <w:pPr>
        <w:pStyle w:val="ListParagraph"/>
        <w:spacing w:before="240" w:after="240"/>
        <w:jc w:val="both"/>
        <w:rPr>
          <w:rFonts w:asciiTheme="majorHAnsi" w:hAnsiTheme="majorHAnsi"/>
          <w:b/>
          <w:bCs/>
          <w:sz w:val="20"/>
          <w:szCs w:val="20"/>
          <w:lang w:val="es-ES"/>
        </w:rPr>
      </w:pPr>
      <w:r w:rsidRPr="00F7063D">
        <w:rPr>
          <w:rFonts w:asciiTheme="majorHAnsi" w:hAnsiTheme="majorHAnsi"/>
          <w:b/>
          <w:bCs/>
          <w:sz w:val="20"/>
          <w:szCs w:val="20"/>
          <w:lang w:val="es-ES"/>
        </w:rPr>
        <w:t xml:space="preserve">VIII. </w:t>
      </w:r>
      <w:r w:rsidRPr="00F7063D">
        <w:rPr>
          <w:rFonts w:asciiTheme="majorHAnsi" w:hAnsiTheme="majorHAnsi"/>
          <w:b/>
          <w:bCs/>
          <w:sz w:val="20"/>
          <w:szCs w:val="20"/>
          <w:lang w:val="es-ES"/>
        </w:rPr>
        <w:tab/>
        <w:t>DECISIÓN</w:t>
      </w:r>
    </w:p>
    <w:p w:rsidR="000419AD" w:rsidRPr="00E9609A"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7063D">
        <w:rPr>
          <w:rFonts w:asciiTheme="majorHAnsi" w:hAnsiTheme="majorHAnsi"/>
          <w:sz w:val="20"/>
          <w:szCs w:val="20"/>
          <w:lang w:val="es-ES"/>
        </w:rPr>
        <w:t xml:space="preserve">Declarar </w:t>
      </w:r>
      <w:r w:rsidR="00E9609A">
        <w:rPr>
          <w:rFonts w:asciiTheme="majorHAnsi" w:hAnsiTheme="majorHAnsi"/>
          <w:sz w:val="20"/>
          <w:szCs w:val="20"/>
          <w:lang w:val="es-ES"/>
        </w:rPr>
        <w:t xml:space="preserve">inadmisible la presente petición con fundamento en </w:t>
      </w:r>
      <w:r w:rsidR="00373832">
        <w:rPr>
          <w:rFonts w:asciiTheme="majorHAnsi" w:hAnsiTheme="majorHAnsi"/>
          <w:sz w:val="20"/>
          <w:szCs w:val="20"/>
          <w:lang w:val="es-ES"/>
        </w:rPr>
        <w:t>los</w:t>
      </w:r>
      <w:r w:rsidR="00E9609A">
        <w:rPr>
          <w:rFonts w:asciiTheme="majorHAnsi" w:hAnsiTheme="majorHAnsi"/>
          <w:sz w:val="20"/>
          <w:szCs w:val="20"/>
          <w:lang w:val="es-ES"/>
        </w:rPr>
        <w:t xml:space="preserve"> artículo</w:t>
      </w:r>
      <w:r w:rsidR="00373832">
        <w:rPr>
          <w:rFonts w:asciiTheme="majorHAnsi" w:hAnsiTheme="majorHAnsi"/>
          <w:sz w:val="20"/>
          <w:szCs w:val="20"/>
          <w:lang w:val="es-ES"/>
        </w:rPr>
        <w:t xml:space="preserve">s 46.1(a) y </w:t>
      </w:r>
      <w:r w:rsidR="00E9609A">
        <w:rPr>
          <w:rFonts w:asciiTheme="majorHAnsi" w:hAnsiTheme="majorHAnsi"/>
          <w:sz w:val="20"/>
          <w:szCs w:val="20"/>
          <w:lang w:val="es-ES"/>
        </w:rPr>
        <w:t>47(b) de la Convención</w:t>
      </w:r>
      <w:r w:rsidR="00F07032">
        <w:rPr>
          <w:rFonts w:asciiTheme="majorHAnsi" w:hAnsiTheme="majorHAnsi"/>
          <w:sz w:val="20"/>
          <w:szCs w:val="20"/>
          <w:lang w:val="es-ES"/>
        </w:rPr>
        <w:t xml:space="preserve"> Americana</w:t>
      </w:r>
      <w:r w:rsidR="00E9609A">
        <w:rPr>
          <w:rFonts w:asciiTheme="majorHAnsi" w:hAnsiTheme="majorHAnsi"/>
          <w:sz w:val="20"/>
          <w:szCs w:val="20"/>
          <w:lang w:val="es-ES"/>
        </w:rPr>
        <w:t>.</w:t>
      </w:r>
    </w:p>
    <w:p w:rsidR="004A6A54" w:rsidRPr="00F7063D"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7063D">
        <w:rPr>
          <w:rFonts w:asciiTheme="majorHAnsi" w:hAnsiTheme="majorHAnsi"/>
          <w:sz w:val="20"/>
          <w:szCs w:val="20"/>
          <w:lang w:val="es-ES"/>
        </w:rPr>
        <w:t>Notificar a las partes la presente decisión</w:t>
      </w:r>
      <w:r w:rsidR="00CF50F6">
        <w:rPr>
          <w:rFonts w:asciiTheme="majorHAnsi" w:hAnsiTheme="majorHAnsi"/>
          <w:sz w:val="20"/>
          <w:szCs w:val="20"/>
          <w:lang w:val="es-ES"/>
        </w:rPr>
        <w:t xml:space="preserve"> </w:t>
      </w:r>
      <w:r w:rsidRPr="00F7063D">
        <w:rPr>
          <w:rFonts w:asciiTheme="majorHAnsi" w:hAnsiTheme="majorHAnsi"/>
          <w:sz w:val="20"/>
          <w:szCs w:val="20"/>
          <w:lang w:val="es-ES"/>
        </w:rPr>
        <w:t>y publicar esta decisión e incluirla en su Informe Anual a la Asamblea General de la Organización de los Estados Americanos.</w:t>
      </w:r>
    </w:p>
    <w:p w:rsidR="006F59B7" w:rsidRPr="000D303E" w:rsidRDefault="006F59B7" w:rsidP="000D303E">
      <w:pPr>
        <w:suppressAutoHyphens/>
        <w:jc w:val="both"/>
        <w:rPr>
          <w:rFonts w:ascii="Cambria" w:hAnsi="Cambria"/>
          <w:sz w:val="20"/>
          <w:szCs w:val="20"/>
          <w:lang w:val="es-ES"/>
        </w:rPr>
      </w:pPr>
      <w:r>
        <w:rPr>
          <w:rFonts w:ascii="Cambria" w:hAnsi="Cambria"/>
          <w:sz w:val="20"/>
          <w:szCs w:val="20"/>
          <w:lang w:val="es-ES"/>
        </w:rPr>
        <w:tab/>
      </w:r>
      <w:r w:rsidRPr="006F59B7">
        <w:rPr>
          <w:rFonts w:ascii="Cambria" w:hAnsi="Cambria"/>
          <w:sz w:val="20"/>
          <w:szCs w:val="20"/>
          <w:lang w:val="es-ES"/>
        </w:rPr>
        <w:t xml:space="preserve">Aprobado por la Comisión Interamericana de Derechos Humanos a los </w:t>
      </w:r>
      <w:r>
        <w:rPr>
          <w:rFonts w:ascii="Cambria" w:hAnsi="Cambria"/>
          <w:sz w:val="20"/>
          <w:szCs w:val="20"/>
          <w:lang w:val="es-ES"/>
        </w:rPr>
        <w:t>14</w:t>
      </w:r>
      <w:r w:rsidRPr="006F59B7">
        <w:rPr>
          <w:rFonts w:ascii="Cambria" w:hAnsi="Cambria"/>
          <w:sz w:val="20"/>
          <w:szCs w:val="20"/>
          <w:lang w:val="es-ES"/>
        </w:rPr>
        <w:t xml:space="preserve"> días del mes de </w:t>
      </w:r>
      <w:r>
        <w:rPr>
          <w:rFonts w:ascii="Cambria" w:hAnsi="Cambria" w:cs="Arial"/>
          <w:noProof/>
          <w:spacing w:val="-2"/>
          <w:sz w:val="20"/>
          <w:szCs w:val="20"/>
          <w:lang w:val="es-CL"/>
        </w:rPr>
        <w:t>agosto</w:t>
      </w:r>
      <w:r w:rsidRPr="006F59B7">
        <w:rPr>
          <w:rFonts w:ascii="Cambria" w:hAnsi="Cambria"/>
          <w:sz w:val="20"/>
          <w:szCs w:val="20"/>
          <w:lang w:val="es-ES"/>
        </w:rPr>
        <w:t xml:space="preserve"> de 2019.  (Firmado): Esmeralda E. Arosemena Bernal de Troitiño, Presidenta; Joel Hernández García, </w:t>
      </w:r>
      <w:r w:rsidRPr="006F59B7">
        <w:rPr>
          <w:rFonts w:ascii="Cambria" w:hAnsi="Cambria"/>
          <w:spacing w:val="-2"/>
          <w:sz w:val="20"/>
          <w:szCs w:val="20"/>
          <w:lang w:val="es-ES"/>
        </w:rPr>
        <w:t xml:space="preserve">Primer </w:t>
      </w:r>
      <w:r w:rsidRPr="006F59B7">
        <w:rPr>
          <w:rFonts w:ascii="Cambria" w:hAnsi="Cambria"/>
          <w:spacing w:val="-2"/>
          <w:sz w:val="20"/>
          <w:szCs w:val="20"/>
          <w:lang w:val="es-ES"/>
        </w:rPr>
        <w:lastRenderedPageBreak/>
        <w:t xml:space="preserve">Vicepresidente; </w:t>
      </w:r>
      <w:r w:rsidRPr="006F59B7">
        <w:rPr>
          <w:rFonts w:ascii="Cambria" w:hAnsi="Cambria"/>
          <w:sz w:val="20"/>
          <w:szCs w:val="20"/>
          <w:lang w:val="es-ES"/>
        </w:rPr>
        <w:t>Antonia Urrejola Noguera, Segunda Vicepresidenta; Margarette May Macaulay, Francisco José Eguiguren Praeli, Luis Ernesto Vargas Silva y Flávia Piovesan, Miembros de la Comisión.</w:t>
      </w:r>
    </w:p>
    <w:p w:rsidR="006F59B7" w:rsidRPr="00E31B7A" w:rsidRDefault="006F59B7" w:rsidP="006F59B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eastAsia="Calibri" w:hAnsi="Calibri"/>
          <w:sz w:val="22"/>
          <w:szCs w:val="22"/>
          <w:bdr w:val="none" w:sz="0" w:space="0" w:color="auto"/>
        </w:rPr>
      </w:pPr>
    </w:p>
    <w:p w:rsidR="009E37C6" w:rsidRPr="006F59B7" w:rsidRDefault="009E37C6" w:rsidP="00974491">
      <w:pPr>
        <w:rPr>
          <w:rFonts w:asciiTheme="majorHAnsi" w:hAnsiTheme="majorHAnsi" w:cs="Calibri"/>
          <w:sz w:val="20"/>
          <w:szCs w:val="20"/>
        </w:rPr>
      </w:pPr>
    </w:p>
    <w:sectPr w:rsidR="009E37C6" w:rsidRPr="006F59B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1B8" w:rsidRDefault="00B971B8">
      <w:r>
        <w:separator/>
      </w:r>
    </w:p>
  </w:endnote>
  <w:endnote w:type="continuationSeparator" w:id="0">
    <w:p w:rsidR="00B971B8" w:rsidRDefault="00B9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1A" w:rsidRDefault="006162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1621A">
          <w:rPr>
            <w:noProof/>
            <w:sz w:val="16"/>
            <w:szCs w:val="22"/>
          </w:rPr>
          <w:t>6</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1B8" w:rsidRPr="000F35ED" w:rsidRDefault="00B971B8">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B971B8" w:rsidRPr="000F35ED" w:rsidRDefault="00B971B8" w:rsidP="000F35ED">
      <w:pPr>
        <w:rPr>
          <w:rFonts w:asciiTheme="majorHAnsi" w:hAnsiTheme="majorHAnsi"/>
          <w:sz w:val="16"/>
          <w:szCs w:val="16"/>
        </w:rPr>
      </w:pPr>
      <w:r w:rsidRPr="000F35ED">
        <w:rPr>
          <w:rFonts w:asciiTheme="majorHAnsi" w:hAnsiTheme="majorHAnsi"/>
          <w:sz w:val="16"/>
          <w:szCs w:val="16"/>
        </w:rPr>
        <w:separator/>
      </w:r>
    </w:p>
    <w:p w:rsidR="00B971B8" w:rsidRPr="000F35ED" w:rsidRDefault="00B971B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B971B8" w:rsidRPr="000F35ED" w:rsidRDefault="00B971B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FB4BF3" w:rsidRPr="00893AEA" w:rsidRDefault="00FB4BF3" w:rsidP="00893AEA">
      <w:pPr>
        <w:pStyle w:val="FootnoteText"/>
        <w:ind w:firstLine="720"/>
        <w:jc w:val="both"/>
        <w:rPr>
          <w:rFonts w:asciiTheme="majorHAnsi" w:hAnsiTheme="majorHAnsi"/>
          <w:sz w:val="16"/>
          <w:szCs w:val="16"/>
          <w:lang w:val="es-ES"/>
        </w:rPr>
      </w:pPr>
      <w:r w:rsidRPr="00893AEA">
        <w:rPr>
          <w:rStyle w:val="FootnoteReference"/>
          <w:rFonts w:asciiTheme="majorHAnsi" w:hAnsiTheme="majorHAnsi"/>
          <w:sz w:val="16"/>
          <w:szCs w:val="16"/>
        </w:rPr>
        <w:footnoteRef/>
      </w:r>
      <w:r w:rsidRPr="00893AEA">
        <w:rPr>
          <w:rFonts w:asciiTheme="majorHAnsi" w:hAnsiTheme="majorHAnsi"/>
          <w:sz w:val="16"/>
          <w:szCs w:val="16"/>
          <w:lang w:val="es-ES"/>
        </w:rPr>
        <w:t xml:space="preserve"> En adelante “Convención Americana”.</w:t>
      </w:r>
    </w:p>
  </w:footnote>
  <w:footnote w:id="3">
    <w:p w:rsidR="00FB4BF3" w:rsidRPr="00893AEA" w:rsidRDefault="00FB4BF3" w:rsidP="00893AEA">
      <w:pPr>
        <w:pStyle w:val="FootnoteText"/>
        <w:ind w:firstLine="720"/>
        <w:jc w:val="both"/>
        <w:rPr>
          <w:rFonts w:asciiTheme="majorHAnsi" w:hAnsiTheme="majorHAnsi"/>
          <w:sz w:val="16"/>
          <w:szCs w:val="16"/>
          <w:lang w:val="es-ES"/>
        </w:rPr>
      </w:pPr>
      <w:r w:rsidRPr="00893AEA">
        <w:rPr>
          <w:rStyle w:val="FootnoteReference"/>
          <w:rFonts w:asciiTheme="majorHAnsi" w:hAnsiTheme="majorHAnsi"/>
          <w:sz w:val="16"/>
          <w:szCs w:val="16"/>
        </w:rPr>
        <w:footnoteRef/>
      </w:r>
      <w:r w:rsidRPr="00893AEA">
        <w:rPr>
          <w:rFonts w:asciiTheme="majorHAnsi" w:hAnsiTheme="majorHAnsi"/>
          <w:sz w:val="16"/>
          <w:szCs w:val="16"/>
          <w:lang w:val="es-ES"/>
        </w:rPr>
        <w:t xml:space="preserve"> En adelante “Declaración Americana”.</w:t>
      </w:r>
    </w:p>
  </w:footnote>
  <w:footnote w:id="4">
    <w:p w:rsidR="009829F1" w:rsidRPr="00893AEA" w:rsidRDefault="009829F1" w:rsidP="00893AEA">
      <w:pPr>
        <w:pStyle w:val="FootnoteText"/>
        <w:ind w:firstLine="720"/>
        <w:jc w:val="both"/>
        <w:rPr>
          <w:rFonts w:asciiTheme="majorHAnsi" w:hAnsiTheme="majorHAnsi"/>
          <w:sz w:val="16"/>
          <w:szCs w:val="16"/>
          <w:lang w:val="es-ES"/>
        </w:rPr>
      </w:pPr>
      <w:r w:rsidRPr="00893AEA">
        <w:rPr>
          <w:rStyle w:val="FootnoteReference"/>
          <w:rFonts w:asciiTheme="majorHAnsi" w:hAnsiTheme="majorHAnsi"/>
          <w:sz w:val="16"/>
          <w:szCs w:val="16"/>
        </w:rPr>
        <w:footnoteRef/>
      </w:r>
      <w:r w:rsidRPr="00893AEA">
        <w:rPr>
          <w:rFonts w:asciiTheme="majorHAnsi" w:hAnsiTheme="majorHAnsi"/>
          <w:sz w:val="16"/>
          <w:szCs w:val="16"/>
          <w:lang w:val="es-ES"/>
        </w:rPr>
        <w:t xml:space="preserve"> </w:t>
      </w:r>
      <w:r w:rsidRPr="00893AEA">
        <w:rPr>
          <w:rFonts w:asciiTheme="majorHAnsi" w:hAnsiTheme="majorHAnsi"/>
          <w:sz w:val="16"/>
          <w:szCs w:val="16"/>
          <w:lang w:val="es-MX"/>
        </w:rPr>
        <w:t xml:space="preserve">Artículo 10 y 11.1 de la Declaración Universal de Derechos Humanos; Artículos 14.1 y 14.4 del Pacto Internacional de Derechos Civiles y Políticos. </w:t>
      </w:r>
    </w:p>
  </w:footnote>
  <w:footnote w:id="5">
    <w:p w:rsidR="008E3BFE" w:rsidRPr="00893AEA" w:rsidRDefault="008E3BFE" w:rsidP="00893AEA">
      <w:pPr>
        <w:pStyle w:val="FootnoteText"/>
        <w:ind w:firstLine="720"/>
        <w:jc w:val="both"/>
        <w:rPr>
          <w:rFonts w:asciiTheme="majorHAnsi" w:hAnsiTheme="majorHAnsi"/>
          <w:sz w:val="16"/>
          <w:szCs w:val="16"/>
          <w:lang w:val="es-ES"/>
        </w:rPr>
      </w:pPr>
      <w:r w:rsidRPr="00893AEA">
        <w:rPr>
          <w:rStyle w:val="FootnoteReference"/>
          <w:rFonts w:asciiTheme="majorHAnsi" w:hAnsiTheme="majorHAnsi"/>
          <w:sz w:val="16"/>
          <w:szCs w:val="16"/>
        </w:rPr>
        <w:footnoteRef/>
      </w:r>
      <w:r w:rsidRPr="00893AEA">
        <w:rPr>
          <w:rFonts w:asciiTheme="majorHAnsi" w:hAnsiTheme="majorHAnsi"/>
          <w:sz w:val="16"/>
          <w:szCs w:val="16"/>
          <w:lang w:val="es-ES"/>
        </w:rPr>
        <w:t xml:space="preserve"> Las observaciones de cada parte fueron debidamente trasladadas a la parte contraria.</w:t>
      </w:r>
    </w:p>
  </w:footnote>
  <w:footnote w:id="6">
    <w:p w:rsidR="006928C5" w:rsidRPr="00893AEA" w:rsidRDefault="006928C5" w:rsidP="00893AEA">
      <w:pPr>
        <w:pStyle w:val="FootnoteText"/>
        <w:ind w:firstLine="720"/>
        <w:jc w:val="both"/>
        <w:rPr>
          <w:rFonts w:asciiTheme="majorHAnsi" w:hAnsiTheme="majorHAnsi"/>
          <w:sz w:val="16"/>
          <w:szCs w:val="16"/>
          <w:lang w:val="es-PA"/>
        </w:rPr>
      </w:pPr>
      <w:r w:rsidRPr="00893AEA">
        <w:rPr>
          <w:rStyle w:val="FootnoteReference"/>
          <w:rFonts w:asciiTheme="majorHAnsi" w:hAnsiTheme="majorHAnsi"/>
          <w:sz w:val="16"/>
          <w:szCs w:val="16"/>
        </w:rPr>
        <w:footnoteRef/>
      </w:r>
      <w:r w:rsidRPr="00893AEA">
        <w:rPr>
          <w:rFonts w:asciiTheme="majorHAnsi" w:hAnsiTheme="majorHAnsi"/>
          <w:sz w:val="16"/>
          <w:szCs w:val="16"/>
          <w:lang w:val="es-PA"/>
        </w:rPr>
        <w:t xml:space="preserve"> El peticionario ha remitido escritos con posterioridad</w:t>
      </w:r>
      <w:r w:rsidR="009F2716" w:rsidRPr="00893AEA">
        <w:rPr>
          <w:rFonts w:asciiTheme="majorHAnsi" w:hAnsiTheme="majorHAnsi"/>
          <w:sz w:val="16"/>
          <w:szCs w:val="16"/>
          <w:lang w:val="es-PA"/>
        </w:rPr>
        <w:t xml:space="preserve"> </w:t>
      </w:r>
      <w:r w:rsidRPr="00893AEA">
        <w:rPr>
          <w:rFonts w:asciiTheme="majorHAnsi" w:hAnsiTheme="majorHAnsi"/>
          <w:sz w:val="16"/>
          <w:szCs w:val="16"/>
          <w:lang w:val="es-PA"/>
        </w:rPr>
        <w:t xml:space="preserve">solicitando la admisibilidad de la petición. </w:t>
      </w:r>
    </w:p>
    <w:p w:rsidR="006928C5" w:rsidRPr="00893AEA" w:rsidRDefault="006928C5" w:rsidP="00893AEA">
      <w:pPr>
        <w:pStyle w:val="FootnoteText"/>
        <w:ind w:firstLine="720"/>
        <w:jc w:val="both"/>
        <w:rPr>
          <w:rFonts w:asciiTheme="majorHAnsi" w:hAnsiTheme="majorHAnsi"/>
          <w:sz w:val="16"/>
          <w:szCs w:val="16"/>
          <w:lang w:val="es-PA"/>
        </w:rPr>
      </w:pPr>
    </w:p>
  </w:footnote>
  <w:footnote w:id="7">
    <w:p w:rsidR="006B6B4D" w:rsidRPr="00893AEA" w:rsidRDefault="006B6B4D" w:rsidP="00893AEA">
      <w:pPr>
        <w:pStyle w:val="FootnoteText"/>
        <w:ind w:firstLine="720"/>
        <w:jc w:val="both"/>
        <w:rPr>
          <w:rFonts w:asciiTheme="majorHAnsi" w:hAnsiTheme="majorHAnsi"/>
          <w:sz w:val="16"/>
          <w:szCs w:val="16"/>
          <w:lang w:val="es-PA"/>
        </w:rPr>
      </w:pPr>
      <w:r w:rsidRPr="00893AEA">
        <w:rPr>
          <w:rStyle w:val="FootnoteReference"/>
          <w:rFonts w:asciiTheme="majorHAnsi" w:hAnsiTheme="majorHAnsi"/>
          <w:sz w:val="16"/>
          <w:szCs w:val="16"/>
        </w:rPr>
        <w:footnoteRef/>
      </w:r>
      <w:r w:rsidRPr="00893AEA">
        <w:rPr>
          <w:rFonts w:asciiTheme="majorHAnsi" w:hAnsiTheme="majorHAnsi"/>
          <w:sz w:val="16"/>
          <w:szCs w:val="16"/>
          <w:lang w:val="es-PA"/>
        </w:rPr>
        <w:t xml:space="preserve"> Proceso regulado por la </w:t>
      </w:r>
      <w:r w:rsidR="00C30136">
        <w:rPr>
          <w:rFonts w:asciiTheme="majorHAnsi" w:hAnsiTheme="majorHAnsi"/>
          <w:sz w:val="16"/>
          <w:szCs w:val="16"/>
          <w:lang w:val="es-PA"/>
        </w:rPr>
        <w:t>L</w:t>
      </w:r>
      <w:r w:rsidRPr="00893AEA">
        <w:rPr>
          <w:rFonts w:asciiTheme="majorHAnsi" w:hAnsiTheme="majorHAnsi"/>
          <w:sz w:val="16"/>
          <w:szCs w:val="16"/>
          <w:lang w:val="es-PA"/>
        </w:rPr>
        <w:t xml:space="preserve">ey Provincial 313, el jurado de enjuiciamiento lo conforman el presidente del Superior Tribunal de Justicia, dos </w:t>
      </w:r>
      <w:r w:rsidR="007C0778" w:rsidRPr="00893AEA">
        <w:rPr>
          <w:rFonts w:asciiTheme="majorHAnsi" w:hAnsiTheme="majorHAnsi"/>
          <w:sz w:val="16"/>
          <w:szCs w:val="16"/>
          <w:lang w:val="es-PA"/>
        </w:rPr>
        <w:t>a</w:t>
      </w:r>
      <w:r w:rsidRPr="00893AEA">
        <w:rPr>
          <w:rFonts w:asciiTheme="majorHAnsi" w:hAnsiTheme="majorHAnsi"/>
          <w:sz w:val="16"/>
          <w:szCs w:val="16"/>
          <w:lang w:val="es-PA"/>
        </w:rPr>
        <w:t xml:space="preserve">bogados de la matrícula, y dos diputados. </w:t>
      </w:r>
    </w:p>
  </w:footnote>
  <w:footnote w:id="8">
    <w:p w:rsidR="006B6B4D" w:rsidRPr="00893AEA" w:rsidRDefault="006B6B4D" w:rsidP="00893AEA">
      <w:pPr>
        <w:pStyle w:val="FootnoteText"/>
        <w:ind w:firstLine="720"/>
        <w:jc w:val="both"/>
        <w:rPr>
          <w:rFonts w:asciiTheme="majorHAnsi" w:hAnsiTheme="majorHAnsi"/>
          <w:sz w:val="16"/>
          <w:szCs w:val="16"/>
          <w:lang w:val="es-PA"/>
        </w:rPr>
      </w:pPr>
      <w:r w:rsidRPr="00893AEA">
        <w:rPr>
          <w:rStyle w:val="FootnoteReference"/>
          <w:rFonts w:asciiTheme="majorHAnsi" w:hAnsiTheme="majorHAnsi"/>
          <w:sz w:val="16"/>
          <w:szCs w:val="16"/>
        </w:rPr>
        <w:footnoteRef/>
      </w:r>
      <w:r w:rsidRPr="00893AEA">
        <w:rPr>
          <w:rFonts w:asciiTheme="majorHAnsi" w:hAnsiTheme="majorHAnsi"/>
          <w:sz w:val="16"/>
          <w:szCs w:val="16"/>
          <w:lang w:val="es-PA"/>
        </w:rPr>
        <w:t xml:space="preserve"> Indica que el proceso tuvo su origen en la denuncia presentada por una fiscal relacionada con </w:t>
      </w:r>
      <w:r w:rsidRPr="00893AEA">
        <w:rPr>
          <w:rFonts w:asciiTheme="majorHAnsi" w:hAnsiTheme="majorHAnsi"/>
          <w:sz w:val="16"/>
          <w:szCs w:val="16"/>
          <w:lang w:val="es-AR"/>
        </w:rPr>
        <w:t>la falta de fiscalización y control de la cuenta de la tesorería del Instituto Provincial Autárquico de la Vivienda en el Banco de La Pampa</w:t>
      </w:r>
    </w:p>
  </w:footnote>
  <w:footnote w:id="9">
    <w:p w:rsidR="006B6B4D" w:rsidRPr="00893AEA" w:rsidRDefault="006B6B4D" w:rsidP="00893AEA">
      <w:pPr>
        <w:pStyle w:val="FootnoteText"/>
        <w:ind w:firstLine="720"/>
        <w:jc w:val="both"/>
        <w:rPr>
          <w:rFonts w:asciiTheme="majorHAnsi" w:hAnsiTheme="majorHAnsi"/>
          <w:sz w:val="16"/>
          <w:szCs w:val="16"/>
          <w:lang w:val="es-PA"/>
        </w:rPr>
      </w:pPr>
      <w:r w:rsidRPr="00893AEA">
        <w:rPr>
          <w:rStyle w:val="FootnoteReference"/>
          <w:rFonts w:asciiTheme="majorHAnsi" w:hAnsiTheme="majorHAnsi"/>
          <w:sz w:val="16"/>
          <w:szCs w:val="16"/>
        </w:rPr>
        <w:footnoteRef/>
      </w:r>
      <w:r w:rsidRPr="00893AEA">
        <w:rPr>
          <w:rFonts w:asciiTheme="majorHAnsi" w:hAnsiTheme="majorHAnsi"/>
          <w:sz w:val="16"/>
          <w:szCs w:val="16"/>
          <w:lang w:val="es-PA"/>
        </w:rPr>
        <w:t xml:space="preserve"> </w:t>
      </w:r>
      <w:r w:rsidRPr="00893AEA">
        <w:rPr>
          <w:rFonts w:asciiTheme="majorHAnsi" w:hAnsiTheme="majorHAnsi"/>
          <w:sz w:val="16"/>
          <w:szCs w:val="16"/>
          <w:lang w:val="es-AR"/>
        </w:rPr>
        <w:t>Establece que “Contra el fallo no cabe recurso alguno, salvo el de aclaratoria”.</w:t>
      </w:r>
    </w:p>
  </w:footnote>
  <w:footnote w:id="10">
    <w:p w:rsidR="00864E4A" w:rsidRPr="00893AEA" w:rsidRDefault="00864E4A" w:rsidP="00893AEA">
      <w:pPr>
        <w:pStyle w:val="FootnoteText"/>
        <w:ind w:firstLine="720"/>
        <w:jc w:val="both"/>
        <w:rPr>
          <w:rFonts w:asciiTheme="majorHAnsi" w:hAnsiTheme="majorHAnsi"/>
          <w:sz w:val="16"/>
          <w:szCs w:val="16"/>
          <w:lang w:val="es-PA"/>
        </w:rPr>
      </w:pPr>
      <w:r w:rsidRPr="00893AEA">
        <w:rPr>
          <w:rStyle w:val="FootnoteReference"/>
          <w:rFonts w:asciiTheme="majorHAnsi" w:hAnsiTheme="majorHAnsi"/>
          <w:sz w:val="16"/>
          <w:szCs w:val="16"/>
        </w:rPr>
        <w:footnoteRef/>
      </w:r>
      <w:r w:rsidRPr="00893AEA">
        <w:rPr>
          <w:rFonts w:asciiTheme="majorHAnsi" w:hAnsiTheme="majorHAnsi"/>
          <w:sz w:val="16"/>
          <w:szCs w:val="16"/>
          <w:lang w:val="es-PA"/>
        </w:rPr>
        <w:t xml:space="preserve"> </w:t>
      </w:r>
      <w:r w:rsidRPr="00893AEA">
        <w:rPr>
          <w:rFonts w:asciiTheme="majorHAnsi" w:hAnsiTheme="majorHAnsi"/>
          <w:sz w:val="16"/>
          <w:szCs w:val="16"/>
          <w:lang w:val="es-AR"/>
        </w:rPr>
        <w:t>Establece que “el juicio deberá quedar terminado necesariamente dentro de los noventa días de su iniciación. La suspensión del juicio o la falta de veredicto causará instancia absolutoria por el sólo transcurso del plazo establecido”</w:t>
      </w:r>
      <w:r w:rsidR="00D5692E" w:rsidRPr="00893AEA">
        <w:rPr>
          <w:rFonts w:asciiTheme="majorHAnsi" w:hAnsiTheme="majorHAnsi"/>
          <w:sz w:val="16"/>
          <w:szCs w:val="16"/>
          <w:lang w:val="es-AR"/>
        </w:rPr>
        <w:t>.</w:t>
      </w:r>
    </w:p>
  </w:footnote>
  <w:footnote w:id="11">
    <w:p w:rsidR="006B6B4D" w:rsidRPr="00893AEA" w:rsidRDefault="006B6B4D" w:rsidP="00893AEA">
      <w:pPr>
        <w:pStyle w:val="FootnoteText"/>
        <w:ind w:firstLine="720"/>
        <w:jc w:val="both"/>
        <w:rPr>
          <w:rFonts w:asciiTheme="majorHAnsi" w:hAnsiTheme="majorHAnsi"/>
          <w:sz w:val="16"/>
          <w:szCs w:val="16"/>
          <w:lang w:val="es-PA"/>
        </w:rPr>
      </w:pPr>
      <w:r w:rsidRPr="00893AEA">
        <w:rPr>
          <w:rStyle w:val="FootnoteReference"/>
          <w:rFonts w:asciiTheme="majorHAnsi" w:hAnsiTheme="majorHAnsi"/>
          <w:sz w:val="16"/>
          <w:szCs w:val="16"/>
        </w:rPr>
        <w:footnoteRef/>
      </w:r>
      <w:r w:rsidRPr="00893AEA">
        <w:rPr>
          <w:rFonts w:asciiTheme="majorHAnsi" w:hAnsiTheme="majorHAnsi"/>
          <w:sz w:val="16"/>
          <w:szCs w:val="16"/>
          <w:lang w:val="es-PA"/>
        </w:rPr>
        <w:t xml:space="preserve"> Entre otras, provisión de pruebas, habilitación de feria judicial y notificaciones</w:t>
      </w:r>
      <w:r w:rsidR="00D5692E" w:rsidRPr="00893AEA">
        <w:rPr>
          <w:rFonts w:asciiTheme="majorHAnsi" w:hAnsiTheme="majorHAnsi"/>
          <w:sz w:val="16"/>
          <w:szCs w:val="16"/>
          <w:lang w:val="es-PA"/>
        </w:rPr>
        <w:t>.</w:t>
      </w:r>
    </w:p>
  </w:footnote>
  <w:footnote w:id="12">
    <w:p w:rsidR="004F3122" w:rsidRPr="00893AEA" w:rsidRDefault="004F3122" w:rsidP="00893AEA">
      <w:pPr>
        <w:pStyle w:val="FootnoteText"/>
        <w:ind w:firstLine="720"/>
        <w:jc w:val="both"/>
        <w:rPr>
          <w:rFonts w:asciiTheme="majorHAnsi" w:hAnsiTheme="majorHAnsi"/>
          <w:sz w:val="16"/>
          <w:szCs w:val="16"/>
          <w:lang w:val="es-PA"/>
        </w:rPr>
      </w:pPr>
      <w:r w:rsidRPr="00893AEA">
        <w:rPr>
          <w:rStyle w:val="FootnoteReference"/>
          <w:rFonts w:asciiTheme="majorHAnsi" w:hAnsiTheme="majorHAnsi"/>
          <w:sz w:val="16"/>
          <w:szCs w:val="16"/>
        </w:rPr>
        <w:footnoteRef/>
      </w:r>
      <w:r w:rsidRPr="00893AEA">
        <w:rPr>
          <w:rFonts w:asciiTheme="majorHAnsi" w:hAnsiTheme="majorHAnsi"/>
          <w:sz w:val="16"/>
          <w:szCs w:val="16"/>
          <w:lang w:val="es-PA"/>
        </w:rPr>
        <w:t xml:space="preserve"> También considera que </w:t>
      </w:r>
      <w:r w:rsidRPr="00893AEA">
        <w:rPr>
          <w:rFonts w:asciiTheme="majorHAnsi" w:hAnsiTheme="majorHAnsi"/>
          <w:sz w:val="16"/>
          <w:szCs w:val="16"/>
          <w:lang w:val="es-AR"/>
        </w:rPr>
        <w:t>la decisión careció de lógica</w:t>
      </w:r>
      <w:r w:rsidR="000444CB">
        <w:rPr>
          <w:rFonts w:asciiTheme="majorHAnsi" w:hAnsiTheme="majorHAnsi"/>
          <w:sz w:val="16"/>
          <w:szCs w:val="16"/>
          <w:lang w:val="es-AR"/>
        </w:rPr>
        <w:t>,</w:t>
      </w:r>
      <w:r w:rsidRPr="00893AEA">
        <w:rPr>
          <w:rFonts w:asciiTheme="majorHAnsi" w:hAnsiTheme="majorHAnsi"/>
          <w:sz w:val="16"/>
          <w:szCs w:val="16"/>
          <w:lang w:val="es-AR"/>
        </w:rPr>
        <w:t xml:space="preserve"> pues se le responsabilizó por hechos respecto a los cuales el presidente del Tribunal de Cuentas no podía tener responsabilidad conforme al ordenamiento interno de este tribunal.</w:t>
      </w:r>
    </w:p>
  </w:footnote>
  <w:footnote w:id="13">
    <w:p w:rsidR="006B6B4D" w:rsidRPr="00893AEA" w:rsidRDefault="006B6B4D" w:rsidP="00893AEA">
      <w:pPr>
        <w:shd w:val="clear" w:color="auto" w:fill="FFFFFF"/>
        <w:ind w:firstLine="720"/>
        <w:jc w:val="both"/>
        <w:rPr>
          <w:rFonts w:asciiTheme="majorHAnsi" w:eastAsia="Times New Roman" w:hAnsiTheme="majorHAnsi" w:cs="Arial"/>
          <w:sz w:val="16"/>
          <w:szCs w:val="16"/>
          <w:lang w:val="es-PA"/>
        </w:rPr>
      </w:pPr>
      <w:r w:rsidRPr="00893AEA">
        <w:rPr>
          <w:rStyle w:val="FootnoteReference"/>
          <w:rFonts w:asciiTheme="majorHAnsi" w:hAnsiTheme="majorHAnsi"/>
          <w:sz w:val="16"/>
          <w:szCs w:val="16"/>
        </w:rPr>
        <w:footnoteRef/>
      </w:r>
      <w:r w:rsidRPr="00893AEA">
        <w:rPr>
          <w:rFonts w:asciiTheme="majorHAnsi" w:hAnsiTheme="majorHAnsi"/>
          <w:sz w:val="16"/>
          <w:szCs w:val="16"/>
          <w:lang w:val="es-PA"/>
        </w:rPr>
        <w:t xml:space="preserve"> Alega que el jurado no limitó su accionar a una instrucción mínima para verificar la realidad de la denuncia sino que también instruyó otro tipo de pruebas in participación de los acusados. El artículo 31(3) de la </w:t>
      </w:r>
      <w:r w:rsidR="000444CB">
        <w:rPr>
          <w:rFonts w:asciiTheme="majorHAnsi" w:hAnsiTheme="majorHAnsi"/>
          <w:sz w:val="16"/>
          <w:szCs w:val="16"/>
          <w:lang w:val="es-PA"/>
        </w:rPr>
        <w:t>L</w:t>
      </w:r>
      <w:r w:rsidRPr="00893AEA">
        <w:rPr>
          <w:rFonts w:asciiTheme="majorHAnsi" w:hAnsiTheme="majorHAnsi"/>
          <w:sz w:val="16"/>
          <w:szCs w:val="16"/>
          <w:lang w:val="es-PA"/>
        </w:rPr>
        <w:t>ey 313 estable que “</w:t>
      </w:r>
      <w:r w:rsidRPr="00893AEA">
        <w:rPr>
          <w:rFonts w:asciiTheme="majorHAnsi" w:eastAsia="Times New Roman" w:hAnsiTheme="majorHAnsi" w:cs="Arial"/>
          <w:sz w:val="16"/>
          <w:szCs w:val="16"/>
          <w:lang w:val="es-PA"/>
        </w:rPr>
        <w:t>Si  la  denuncia  fuera  prima-facie admisible  el  Jurado  oirá  al  magistrado  o  funcionario,  disponiendo si lo creyere conveniente  una investigación sumaria por intermedio de la presidencia, en  su  mérito  dará  curso  a  la  denuncia  o  la  rechazará.</w:t>
      </w:r>
    </w:p>
  </w:footnote>
  <w:footnote w:id="14">
    <w:p w:rsidR="006B6B4D" w:rsidRPr="00893AEA" w:rsidRDefault="006B6B4D" w:rsidP="00893AEA">
      <w:pPr>
        <w:pStyle w:val="FootnoteText"/>
        <w:ind w:firstLine="720"/>
        <w:jc w:val="both"/>
        <w:rPr>
          <w:rFonts w:asciiTheme="majorHAnsi" w:hAnsiTheme="majorHAnsi"/>
          <w:sz w:val="16"/>
          <w:szCs w:val="16"/>
          <w:lang w:val="es-PA"/>
        </w:rPr>
      </w:pPr>
      <w:r w:rsidRPr="00893AEA">
        <w:rPr>
          <w:rStyle w:val="FootnoteReference"/>
          <w:rFonts w:asciiTheme="majorHAnsi" w:hAnsiTheme="majorHAnsi"/>
          <w:sz w:val="16"/>
          <w:szCs w:val="16"/>
        </w:rPr>
        <w:footnoteRef/>
      </w:r>
      <w:r w:rsidRPr="00893AEA">
        <w:rPr>
          <w:rFonts w:asciiTheme="majorHAnsi" w:hAnsiTheme="majorHAnsi"/>
          <w:sz w:val="16"/>
          <w:szCs w:val="16"/>
          <w:lang w:val="es-PA"/>
        </w:rPr>
        <w:t xml:space="preserve"> También cuestiona específicamente la falt</w:t>
      </w:r>
      <w:r w:rsidR="005466D0" w:rsidRPr="00893AEA">
        <w:rPr>
          <w:rFonts w:asciiTheme="majorHAnsi" w:hAnsiTheme="majorHAnsi"/>
          <w:sz w:val="16"/>
          <w:szCs w:val="16"/>
          <w:lang w:val="es-PA"/>
        </w:rPr>
        <w:t>a de imparcialidad del integrante</w:t>
      </w:r>
      <w:r w:rsidRPr="00893AEA">
        <w:rPr>
          <w:rFonts w:asciiTheme="majorHAnsi" w:hAnsiTheme="majorHAnsi"/>
          <w:sz w:val="16"/>
          <w:szCs w:val="16"/>
          <w:lang w:val="es-PA"/>
        </w:rPr>
        <w:t xml:space="preserve"> del jurado Konkurat.</w:t>
      </w:r>
    </w:p>
  </w:footnote>
  <w:footnote w:id="15">
    <w:p w:rsidR="006B6B4D" w:rsidRPr="00893AEA" w:rsidRDefault="006B6B4D" w:rsidP="00893AEA">
      <w:pPr>
        <w:pStyle w:val="FootnoteText"/>
        <w:ind w:firstLine="720"/>
        <w:jc w:val="both"/>
        <w:rPr>
          <w:rFonts w:asciiTheme="majorHAnsi" w:hAnsiTheme="majorHAnsi"/>
          <w:sz w:val="16"/>
          <w:szCs w:val="16"/>
          <w:lang w:val="es-PA"/>
        </w:rPr>
      </w:pPr>
      <w:r w:rsidRPr="00893AEA">
        <w:rPr>
          <w:rStyle w:val="FootnoteReference"/>
          <w:rFonts w:asciiTheme="majorHAnsi" w:hAnsiTheme="majorHAnsi"/>
          <w:sz w:val="16"/>
          <w:szCs w:val="16"/>
        </w:rPr>
        <w:footnoteRef/>
      </w:r>
      <w:r w:rsidRPr="00893AEA">
        <w:rPr>
          <w:rFonts w:asciiTheme="majorHAnsi" w:hAnsiTheme="majorHAnsi"/>
          <w:sz w:val="16"/>
          <w:szCs w:val="16"/>
          <w:lang w:val="es-PA"/>
        </w:rPr>
        <w:t xml:space="preserve"> </w:t>
      </w:r>
      <w:r w:rsidRPr="00893AEA">
        <w:rPr>
          <w:rFonts w:asciiTheme="majorHAnsi" w:hAnsiTheme="majorHAnsi"/>
          <w:sz w:val="16"/>
          <w:szCs w:val="16"/>
          <w:lang w:val="es-AR"/>
        </w:rPr>
        <w:t>Por la carencia de una segunda instancia</w:t>
      </w:r>
      <w:r w:rsidR="001E716B" w:rsidRPr="00893AEA">
        <w:rPr>
          <w:rFonts w:asciiTheme="majorHAnsi" w:hAnsiTheme="majorHAnsi"/>
          <w:sz w:val="16"/>
          <w:szCs w:val="16"/>
          <w:lang w:val="es-AR"/>
        </w:rPr>
        <w:t>.</w:t>
      </w:r>
    </w:p>
  </w:footnote>
  <w:footnote w:id="16">
    <w:p w:rsidR="006B6B4D" w:rsidRPr="00893AEA" w:rsidRDefault="006B6B4D" w:rsidP="00893AEA">
      <w:pPr>
        <w:pStyle w:val="FootnoteText"/>
        <w:ind w:firstLine="720"/>
        <w:jc w:val="both"/>
        <w:rPr>
          <w:rFonts w:asciiTheme="majorHAnsi" w:hAnsiTheme="majorHAnsi"/>
          <w:sz w:val="16"/>
          <w:szCs w:val="16"/>
          <w:lang w:val="es-PA"/>
        </w:rPr>
      </w:pPr>
      <w:r w:rsidRPr="00893AEA">
        <w:rPr>
          <w:rStyle w:val="FootnoteReference"/>
          <w:rFonts w:asciiTheme="majorHAnsi" w:hAnsiTheme="majorHAnsi"/>
          <w:sz w:val="16"/>
          <w:szCs w:val="16"/>
        </w:rPr>
        <w:footnoteRef/>
      </w:r>
      <w:r w:rsidRPr="00893AEA">
        <w:rPr>
          <w:rFonts w:asciiTheme="majorHAnsi" w:hAnsiTheme="majorHAnsi"/>
          <w:sz w:val="16"/>
          <w:szCs w:val="16"/>
          <w:lang w:val="es-PA"/>
        </w:rPr>
        <w:t xml:space="preserve"> </w:t>
      </w:r>
      <w:r w:rsidR="001E716B" w:rsidRPr="00893AEA">
        <w:rPr>
          <w:rFonts w:asciiTheme="majorHAnsi" w:hAnsiTheme="majorHAnsi"/>
          <w:sz w:val="16"/>
          <w:szCs w:val="16"/>
          <w:lang w:val="es-AR"/>
        </w:rPr>
        <w:t>C</w:t>
      </w:r>
      <w:r w:rsidRPr="00893AEA">
        <w:rPr>
          <w:rFonts w:asciiTheme="majorHAnsi" w:hAnsiTheme="majorHAnsi"/>
          <w:sz w:val="16"/>
          <w:szCs w:val="16"/>
          <w:lang w:val="es-AR"/>
        </w:rPr>
        <w:t>ontra el pronunciamiento destitutorio, solicitando la nulidad por pérdida de competencia, imparcialidad y falta de declaración de inconstitucionalidad de oficio</w:t>
      </w:r>
      <w:r w:rsidR="001E716B" w:rsidRPr="00893AEA">
        <w:rPr>
          <w:rFonts w:asciiTheme="majorHAnsi" w:hAnsiTheme="majorHAnsi"/>
          <w:sz w:val="16"/>
          <w:szCs w:val="16"/>
          <w:lang w:val="es-AR"/>
        </w:rPr>
        <w:t>.</w:t>
      </w:r>
    </w:p>
  </w:footnote>
  <w:footnote w:id="17">
    <w:p w:rsidR="006B6B4D" w:rsidRPr="00893AEA" w:rsidRDefault="006B6B4D" w:rsidP="00893AEA">
      <w:pPr>
        <w:pStyle w:val="FootnoteText"/>
        <w:ind w:firstLine="720"/>
        <w:jc w:val="both"/>
        <w:rPr>
          <w:rFonts w:asciiTheme="majorHAnsi" w:hAnsiTheme="majorHAnsi"/>
          <w:sz w:val="16"/>
          <w:szCs w:val="16"/>
          <w:lang w:val="es-PA"/>
        </w:rPr>
      </w:pPr>
      <w:r w:rsidRPr="00893AEA">
        <w:rPr>
          <w:rStyle w:val="FootnoteReference"/>
          <w:rFonts w:asciiTheme="majorHAnsi" w:hAnsiTheme="majorHAnsi"/>
          <w:sz w:val="16"/>
          <w:szCs w:val="16"/>
        </w:rPr>
        <w:footnoteRef/>
      </w:r>
      <w:r w:rsidRPr="00893AEA">
        <w:rPr>
          <w:rFonts w:asciiTheme="majorHAnsi" w:hAnsiTheme="majorHAnsi"/>
          <w:sz w:val="16"/>
          <w:szCs w:val="16"/>
          <w:lang w:val="es-PA"/>
        </w:rPr>
        <w:t xml:space="preserve"> En cuanto a la reclamación relativa a la prescripción de la competencia temporal del jurado de enjuiciamiento, considera que el Superior Tribunal de Justicia incurrió en una </w:t>
      </w:r>
      <w:r w:rsidR="002D4A29" w:rsidRPr="00893AEA">
        <w:rPr>
          <w:rFonts w:asciiTheme="majorHAnsi" w:hAnsiTheme="majorHAnsi"/>
          <w:sz w:val="16"/>
          <w:szCs w:val="16"/>
          <w:lang w:val="es-PA"/>
        </w:rPr>
        <w:t>ilegítima</w:t>
      </w:r>
      <w:r w:rsidRPr="00893AEA">
        <w:rPr>
          <w:rFonts w:asciiTheme="majorHAnsi" w:hAnsiTheme="majorHAnsi"/>
          <w:sz w:val="16"/>
          <w:szCs w:val="16"/>
          <w:lang w:val="es-PA"/>
        </w:rPr>
        <w:t xml:space="preserve"> “reformatio en peius” pues determinó que el plazo de 90 días debía contarse a partir del  inicio del juicio oral, cuando ninguna de las partes había apelado que el plazo empezó a correr a partir de la admisión de la denuncia el 29 de septiembre de 2008.</w:t>
      </w:r>
    </w:p>
  </w:footnote>
  <w:footnote w:id="18">
    <w:p w:rsidR="006B6B4D" w:rsidRPr="00893AEA" w:rsidRDefault="006B6B4D" w:rsidP="00893AEA">
      <w:pPr>
        <w:pStyle w:val="FootnoteText"/>
        <w:ind w:firstLine="720"/>
        <w:jc w:val="both"/>
        <w:rPr>
          <w:rFonts w:asciiTheme="majorHAnsi" w:hAnsiTheme="majorHAnsi"/>
          <w:sz w:val="16"/>
          <w:szCs w:val="16"/>
          <w:lang w:val="es-ES"/>
        </w:rPr>
      </w:pPr>
      <w:r w:rsidRPr="00893AEA">
        <w:rPr>
          <w:rStyle w:val="FootnoteReference"/>
          <w:rFonts w:asciiTheme="majorHAnsi" w:hAnsiTheme="majorHAnsi"/>
          <w:sz w:val="16"/>
          <w:szCs w:val="16"/>
        </w:rPr>
        <w:footnoteRef/>
      </w:r>
      <w:r w:rsidRPr="00893AEA">
        <w:rPr>
          <w:rFonts w:asciiTheme="majorHAnsi" w:hAnsiTheme="majorHAnsi"/>
          <w:sz w:val="16"/>
          <w:szCs w:val="16"/>
          <w:lang w:val="es-ES"/>
        </w:rPr>
        <w:t xml:space="preserve"> En la sentencia de la Corte Suprema de Justicia de la Nación del 1° de junio de 2010, se cita el recedente “Graffigna Latino” (Fallos: 308:961) a partir del cual dicho tribunal ha sostenido de modo invariable la doctrina referida a los supuestos en que se admite revisión judicial de las decisiones adoptadas en los llamados juicios políticos. </w:t>
      </w:r>
    </w:p>
  </w:footnote>
  <w:footnote w:id="19">
    <w:p w:rsidR="006B6B4D" w:rsidRPr="00893AEA" w:rsidRDefault="006B6B4D" w:rsidP="00893AEA">
      <w:pPr>
        <w:pStyle w:val="FootnoteText"/>
        <w:ind w:firstLine="720"/>
        <w:jc w:val="both"/>
        <w:rPr>
          <w:rFonts w:asciiTheme="majorHAnsi" w:hAnsiTheme="majorHAnsi"/>
          <w:sz w:val="16"/>
          <w:szCs w:val="16"/>
          <w:lang w:val="es-ES"/>
        </w:rPr>
      </w:pPr>
      <w:r w:rsidRPr="00893AEA">
        <w:rPr>
          <w:rStyle w:val="FootnoteReference"/>
          <w:rFonts w:asciiTheme="majorHAnsi" w:hAnsiTheme="majorHAnsi"/>
          <w:sz w:val="16"/>
          <w:szCs w:val="16"/>
        </w:rPr>
        <w:footnoteRef/>
      </w:r>
      <w:r w:rsidRPr="00893AEA">
        <w:rPr>
          <w:rFonts w:asciiTheme="majorHAnsi" w:hAnsiTheme="majorHAnsi"/>
          <w:sz w:val="16"/>
          <w:szCs w:val="16"/>
          <w:lang w:val="es-ES"/>
        </w:rPr>
        <w:t xml:space="preserve"> “Artículo 35: El presidente del Jurado podrá practicar, con citación a los interesados, a petición de éstos o de oficio, las diligencias que fuere imposible cumplir en la audiencia y recibir declaración o informe de las personas que no puedan presumiblemente concurrir al juicio.” “Artículo 36: … El Jurado fijará la indemnización que corresponda a los testigos que deban comparecer cuando éstos no residan en el lugar del juicio y la soliciten.” </w:t>
      </w:r>
    </w:p>
  </w:footnote>
  <w:footnote w:id="20">
    <w:p w:rsidR="00597B36" w:rsidRPr="00DA58FB" w:rsidRDefault="00597B36" w:rsidP="00597B36">
      <w:pPr>
        <w:ind w:firstLine="720"/>
        <w:contextualSpacing/>
        <w:jc w:val="both"/>
        <w:rPr>
          <w:rFonts w:cs="Calibri"/>
          <w:color w:val="002060"/>
          <w:sz w:val="18"/>
          <w:szCs w:val="18"/>
          <w:lang w:val="es-ES"/>
        </w:rPr>
      </w:pPr>
      <w:r w:rsidRPr="00CC47E2">
        <w:rPr>
          <w:rStyle w:val="FootnoteReference"/>
          <w:rFonts w:cs="Calibri"/>
          <w:color w:val="000000" w:themeColor="text1"/>
          <w:sz w:val="18"/>
          <w:szCs w:val="18"/>
          <w:lang w:val="es-ES"/>
        </w:rPr>
        <w:footnoteRef/>
      </w:r>
      <w:r w:rsidRPr="00CC47E2">
        <w:rPr>
          <w:rFonts w:cs="Calibri"/>
          <w:color w:val="000000" w:themeColor="text1"/>
          <w:sz w:val="18"/>
          <w:szCs w:val="18"/>
          <w:lang w:val="es-ES"/>
        </w:rPr>
        <w:t xml:space="preserve"> CIDH, Informe Nº 104/06 (Inadmisibilidad), Petición 4593-02, Peter Anthony Byrne, Panamá, 21 de octubre de 2006, párrs. 34 y 35.</w:t>
      </w:r>
    </w:p>
  </w:footnote>
  <w:footnote w:id="21">
    <w:p w:rsidR="006B6B4D" w:rsidRPr="00893AEA" w:rsidRDefault="006B6B4D" w:rsidP="00893AEA">
      <w:pPr>
        <w:pStyle w:val="FootnoteText"/>
        <w:jc w:val="both"/>
        <w:rPr>
          <w:rFonts w:asciiTheme="majorHAnsi" w:hAnsiTheme="majorHAnsi"/>
          <w:sz w:val="16"/>
          <w:szCs w:val="16"/>
          <w:lang w:val="es-ES"/>
        </w:rPr>
      </w:pPr>
      <w:r w:rsidRPr="00893AEA">
        <w:rPr>
          <w:rFonts w:asciiTheme="majorHAnsi" w:hAnsiTheme="majorHAnsi"/>
          <w:sz w:val="16"/>
          <w:szCs w:val="16"/>
          <w:lang w:val="es-ES"/>
        </w:rPr>
        <w:tab/>
      </w:r>
      <w:r w:rsidRPr="00893AEA">
        <w:rPr>
          <w:rStyle w:val="FootnoteReference"/>
          <w:rFonts w:asciiTheme="majorHAnsi" w:hAnsiTheme="majorHAnsi"/>
          <w:sz w:val="16"/>
          <w:szCs w:val="16"/>
          <w:lang w:val="es-ES"/>
        </w:rPr>
        <w:footnoteRef/>
      </w:r>
      <w:r w:rsidRPr="00893AEA">
        <w:rPr>
          <w:rFonts w:asciiTheme="majorHAnsi" w:hAnsiTheme="majorHAnsi"/>
          <w:sz w:val="16"/>
          <w:szCs w:val="16"/>
          <w:lang w:val="es-ES"/>
        </w:rPr>
        <w:t xml:space="preserve"> CIDH, Informe No. 26/17. Petición 1208-08. Admisibilidad. William Olaya Moreno y familia. Colombia. 18 de marzo de 2017, párr. 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B971B8"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1A" w:rsidRDefault="006162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EF80B86C"/>
    <w:lvl w:ilvl="0" w:tplc="BA6C6978">
      <w:start w:val="1"/>
      <w:numFmt w:val="decimal"/>
      <w:lvlText w:val="%1."/>
      <w:lvlJc w:val="left"/>
      <w:pPr>
        <w:tabs>
          <w:tab w:val="num" w:pos="720"/>
        </w:tabs>
        <w:ind w:left="0" w:firstLine="720"/>
      </w:pPr>
      <w:rPr>
        <w:rFonts w:asciiTheme="majorHAnsi" w:hAnsiTheme="majorHAnsi" w:hint="default"/>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5A8F"/>
    <w:rsid w:val="00006E1F"/>
    <w:rsid w:val="000070D7"/>
    <w:rsid w:val="000077B9"/>
    <w:rsid w:val="00010369"/>
    <w:rsid w:val="00013947"/>
    <w:rsid w:val="00016206"/>
    <w:rsid w:val="0001788C"/>
    <w:rsid w:val="000247C9"/>
    <w:rsid w:val="000337EF"/>
    <w:rsid w:val="00040C3A"/>
    <w:rsid w:val="000419AD"/>
    <w:rsid w:val="000433C9"/>
    <w:rsid w:val="000444CB"/>
    <w:rsid w:val="000555D6"/>
    <w:rsid w:val="00056372"/>
    <w:rsid w:val="0005691A"/>
    <w:rsid w:val="00062641"/>
    <w:rsid w:val="00064623"/>
    <w:rsid w:val="0006568C"/>
    <w:rsid w:val="0007049D"/>
    <w:rsid w:val="000716C5"/>
    <w:rsid w:val="0007470C"/>
    <w:rsid w:val="00075E23"/>
    <w:rsid w:val="0008022B"/>
    <w:rsid w:val="00085D82"/>
    <w:rsid w:val="00087144"/>
    <w:rsid w:val="000902F1"/>
    <w:rsid w:val="00091991"/>
    <w:rsid w:val="0009344A"/>
    <w:rsid w:val="000939C7"/>
    <w:rsid w:val="000A392E"/>
    <w:rsid w:val="000A575F"/>
    <w:rsid w:val="000A6593"/>
    <w:rsid w:val="000A698B"/>
    <w:rsid w:val="000B33B6"/>
    <w:rsid w:val="000B58D0"/>
    <w:rsid w:val="000C4B65"/>
    <w:rsid w:val="000C714F"/>
    <w:rsid w:val="000D05CB"/>
    <w:rsid w:val="000D10DB"/>
    <w:rsid w:val="000D303E"/>
    <w:rsid w:val="000E5619"/>
    <w:rsid w:val="000E5EB5"/>
    <w:rsid w:val="000F10FF"/>
    <w:rsid w:val="000F35ED"/>
    <w:rsid w:val="000F780D"/>
    <w:rsid w:val="00107131"/>
    <w:rsid w:val="0010736F"/>
    <w:rsid w:val="00111E8C"/>
    <w:rsid w:val="00113F73"/>
    <w:rsid w:val="00116348"/>
    <w:rsid w:val="00121CC2"/>
    <w:rsid w:val="001229B7"/>
    <w:rsid w:val="00133EE5"/>
    <w:rsid w:val="0014051D"/>
    <w:rsid w:val="00143DEA"/>
    <w:rsid w:val="001448BC"/>
    <w:rsid w:val="00144B01"/>
    <w:rsid w:val="00147206"/>
    <w:rsid w:val="00166DB1"/>
    <w:rsid w:val="00167A34"/>
    <w:rsid w:val="00174E0F"/>
    <w:rsid w:val="00187C1B"/>
    <w:rsid w:val="001A7870"/>
    <w:rsid w:val="001B3A00"/>
    <w:rsid w:val="001B5189"/>
    <w:rsid w:val="001C1B41"/>
    <w:rsid w:val="001D259F"/>
    <w:rsid w:val="001D65EF"/>
    <w:rsid w:val="001E28FB"/>
    <w:rsid w:val="001E299C"/>
    <w:rsid w:val="001E49E7"/>
    <w:rsid w:val="001E716B"/>
    <w:rsid w:val="001F7201"/>
    <w:rsid w:val="00203B75"/>
    <w:rsid w:val="00203C71"/>
    <w:rsid w:val="0020583F"/>
    <w:rsid w:val="00216BA4"/>
    <w:rsid w:val="00221FA4"/>
    <w:rsid w:val="00223A29"/>
    <w:rsid w:val="002250A3"/>
    <w:rsid w:val="00235217"/>
    <w:rsid w:val="00242444"/>
    <w:rsid w:val="00245C63"/>
    <w:rsid w:val="00246D1F"/>
    <w:rsid w:val="00247403"/>
    <w:rsid w:val="00247542"/>
    <w:rsid w:val="00254834"/>
    <w:rsid w:val="00255C57"/>
    <w:rsid w:val="00266B61"/>
    <w:rsid w:val="0026712A"/>
    <w:rsid w:val="002704DB"/>
    <w:rsid w:val="00271E29"/>
    <w:rsid w:val="00277896"/>
    <w:rsid w:val="00280D41"/>
    <w:rsid w:val="00284A40"/>
    <w:rsid w:val="002A0AAE"/>
    <w:rsid w:val="002A170C"/>
    <w:rsid w:val="002A4FE6"/>
    <w:rsid w:val="002A5820"/>
    <w:rsid w:val="002C2CD0"/>
    <w:rsid w:val="002C6ECD"/>
    <w:rsid w:val="002D2B26"/>
    <w:rsid w:val="002D4A29"/>
    <w:rsid w:val="002D7EA2"/>
    <w:rsid w:val="002E187C"/>
    <w:rsid w:val="002E469F"/>
    <w:rsid w:val="002F3FE7"/>
    <w:rsid w:val="00302733"/>
    <w:rsid w:val="00304515"/>
    <w:rsid w:val="00311EDF"/>
    <w:rsid w:val="00314078"/>
    <w:rsid w:val="0031535D"/>
    <w:rsid w:val="003239B8"/>
    <w:rsid w:val="003267E6"/>
    <w:rsid w:val="0033169F"/>
    <w:rsid w:val="00340BA8"/>
    <w:rsid w:val="00344446"/>
    <w:rsid w:val="00344977"/>
    <w:rsid w:val="00346C95"/>
    <w:rsid w:val="00351480"/>
    <w:rsid w:val="00354B27"/>
    <w:rsid w:val="00356185"/>
    <w:rsid w:val="00360380"/>
    <w:rsid w:val="00360E2D"/>
    <w:rsid w:val="00361308"/>
    <w:rsid w:val="003625CE"/>
    <w:rsid w:val="00365EB0"/>
    <w:rsid w:val="00373832"/>
    <w:rsid w:val="0037519E"/>
    <w:rsid w:val="0038297D"/>
    <w:rsid w:val="003869DD"/>
    <w:rsid w:val="00386CF0"/>
    <w:rsid w:val="003873AC"/>
    <w:rsid w:val="0039049C"/>
    <w:rsid w:val="003A1BFA"/>
    <w:rsid w:val="003A60B1"/>
    <w:rsid w:val="003B4095"/>
    <w:rsid w:val="003B56DC"/>
    <w:rsid w:val="003B6E45"/>
    <w:rsid w:val="003B70FB"/>
    <w:rsid w:val="003C14AA"/>
    <w:rsid w:val="003C676B"/>
    <w:rsid w:val="003D3BC2"/>
    <w:rsid w:val="003D570D"/>
    <w:rsid w:val="003E3A65"/>
    <w:rsid w:val="003E4AA8"/>
    <w:rsid w:val="003E5340"/>
    <w:rsid w:val="003E6CA1"/>
    <w:rsid w:val="003F0AF6"/>
    <w:rsid w:val="004061D6"/>
    <w:rsid w:val="004065A8"/>
    <w:rsid w:val="00412E9B"/>
    <w:rsid w:val="004165C2"/>
    <w:rsid w:val="004227FA"/>
    <w:rsid w:val="004376A7"/>
    <w:rsid w:val="00441ECB"/>
    <w:rsid w:val="00443A5F"/>
    <w:rsid w:val="00445193"/>
    <w:rsid w:val="00447809"/>
    <w:rsid w:val="00462C1B"/>
    <w:rsid w:val="00467B7E"/>
    <w:rsid w:val="00473BB4"/>
    <w:rsid w:val="00477592"/>
    <w:rsid w:val="004805E9"/>
    <w:rsid w:val="00482748"/>
    <w:rsid w:val="0048655B"/>
    <w:rsid w:val="00486F1C"/>
    <w:rsid w:val="0049419D"/>
    <w:rsid w:val="00496756"/>
    <w:rsid w:val="004A175F"/>
    <w:rsid w:val="004A2987"/>
    <w:rsid w:val="004A6A54"/>
    <w:rsid w:val="004B1DBE"/>
    <w:rsid w:val="004C20D2"/>
    <w:rsid w:val="004C2312"/>
    <w:rsid w:val="004C300B"/>
    <w:rsid w:val="004C4B62"/>
    <w:rsid w:val="004C54C9"/>
    <w:rsid w:val="004D0D14"/>
    <w:rsid w:val="004D4ABA"/>
    <w:rsid w:val="004D5683"/>
    <w:rsid w:val="004D5C80"/>
    <w:rsid w:val="004D6025"/>
    <w:rsid w:val="004E0734"/>
    <w:rsid w:val="004E1894"/>
    <w:rsid w:val="004E2649"/>
    <w:rsid w:val="004F0FBA"/>
    <w:rsid w:val="004F3122"/>
    <w:rsid w:val="005007BC"/>
    <w:rsid w:val="00501399"/>
    <w:rsid w:val="00505E5F"/>
    <w:rsid w:val="0050633D"/>
    <w:rsid w:val="00507BC4"/>
    <w:rsid w:val="005128E4"/>
    <w:rsid w:val="005133DB"/>
    <w:rsid w:val="0051410B"/>
    <w:rsid w:val="00515266"/>
    <w:rsid w:val="00525560"/>
    <w:rsid w:val="00532BDA"/>
    <w:rsid w:val="00544C49"/>
    <w:rsid w:val="005466D0"/>
    <w:rsid w:val="005516A1"/>
    <w:rsid w:val="00551C68"/>
    <w:rsid w:val="005577D1"/>
    <w:rsid w:val="00563557"/>
    <w:rsid w:val="00567B66"/>
    <w:rsid w:val="00567B77"/>
    <w:rsid w:val="00573FE8"/>
    <w:rsid w:val="0057402A"/>
    <w:rsid w:val="005746CD"/>
    <w:rsid w:val="005771D0"/>
    <w:rsid w:val="005860D7"/>
    <w:rsid w:val="0059191A"/>
    <w:rsid w:val="005921FF"/>
    <w:rsid w:val="0059685B"/>
    <w:rsid w:val="00597B36"/>
    <w:rsid w:val="005A24ED"/>
    <w:rsid w:val="005A5507"/>
    <w:rsid w:val="005A6D0E"/>
    <w:rsid w:val="005B52B0"/>
    <w:rsid w:val="005B6806"/>
    <w:rsid w:val="005C4225"/>
    <w:rsid w:val="005E0749"/>
    <w:rsid w:val="005E76EE"/>
    <w:rsid w:val="005F0DAD"/>
    <w:rsid w:val="005F0F33"/>
    <w:rsid w:val="005F5B2C"/>
    <w:rsid w:val="00600DEB"/>
    <w:rsid w:val="00600EE4"/>
    <w:rsid w:val="00604DB2"/>
    <w:rsid w:val="00605628"/>
    <w:rsid w:val="0061621A"/>
    <w:rsid w:val="00616316"/>
    <w:rsid w:val="006167D6"/>
    <w:rsid w:val="00617E3D"/>
    <w:rsid w:val="00626A4C"/>
    <w:rsid w:val="00626CD2"/>
    <w:rsid w:val="00627C9F"/>
    <w:rsid w:val="006311E9"/>
    <w:rsid w:val="00632354"/>
    <w:rsid w:val="006350C8"/>
    <w:rsid w:val="00641169"/>
    <w:rsid w:val="00642810"/>
    <w:rsid w:val="006434DF"/>
    <w:rsid w:val="00652333"/>
    <w:rsid w:val="00653DB8"/>
    <w:rsid w:val="006544D7"/>
    <w:rsid w:val="00662307"/>
    <w:rsid w:val="006646F6"/>
    <w:rsid w:val="00665C9C"/>
    <w:rsid w:val="00674ECF"/>
    <w:rsid w:val="0068009E"/>
    <w:rsid w:val="00680E0E"/>
    <w:rsid w:val="00690BDB"/>
    <w:rsid w:val="00692219"/>
    <w:rsid w:val="006928C5"/>
    <w:rsid w:val="0069357F"/>
    <w:rsid w:val="006A17D2"/>
    <w:rsid w:val="006A2DBE"/>
    <w:rsid w:val="006A6FCB"/>
    <w:rsid w:val="006A73E6"/>
    <w:rsid w:val="006B2D5C"/>
    <w:rsid w:val="006B6B4D"/>
    <w:rsid w:val="006C49EF"/>
    <w:rsid w:val="006C4EB1"/>
    <w:rsid w:val="006D0BD8"/>
    <w:rsid w:val="006E0166"/>
    <w:rsid w:val="006E2FFB"/>
    <w:rsid w:val="006E3711"/>
    <w:rsid w:val="006E7B34"/>
    <w:rsid w:val="006F520A"/>
    <w:rsid w:val="006F59B7"/>
    <w:rsid w:val="0070697F"/>
    <w:rsid w:val="00715445"/>
    <w:rsid w:val="0072199C"/>
    <w:rsid w:val="00722C9F"/>
    <w:rsid w:val="007253B8"/>
    <w:rsid w:val="00725FF2"/>
    <w:rsid w:val="00727652"/>
    <w:rsid w:val="00730A86"/>
    <w:rsid w:val="00732910"/>
    <w:rsid w:val="00734421"/>
    <w:rsid w:val="007349A4"/>
    <w:rsid w:val="00735275"/>
    <w:rsid w:val="0073741F"/>
    <w:rsid w:val="00737CFE"/>
    <w:rsid w:val="00740315"/>
    <w:rsid w:val="00753947"/>
    <w:rsid w:val="00756DA8"/>
    <w:rsid w:val="0076643F"/>
    <w:rsid w:val="00777F63"/>
    <w:rsid w:val="00780F60"/>
    <w:rsid w:val="007964F2"/>
    <w:rsid w:val="007A5817"/>
    <w:rsid w:val="007A6EE5"/>
    <w:rsid w:val="007B05C4"/>
    <w:rsid w:val="007B60E9"/>
    <w:rsid w:val="007B6CC3"/>
    <w:rsid w:val="007B76D3"/>
    <w:rsid w:val="007C0778"/>
    <w:rsid w:val="007C3334"/>
    <w:rsid w:val="007D2B98"/>
    <w:rsid w:val="007E21BC"/>
    <w:rsid w:val="007E6739"/>
    <w:rsid w:val="007E7C82"/>
    <w:rsid w:val="007F474D"/>
    <w:rsid w:val="007F588D"/>
    <w:rsid w:val="00800231"/>
    <w:rsid w:val="00802D76"/>
    <w:rsid w:val="00802E4B"/>
    <w:rsid w:val="00803F1C"/>
    <w:rsid w:val="0080600E"/>
    <w:rsid w:val="00812160"/>
    <w:rsid w:val="00812439"/>
    <w:rsid w:val="0081482D"/>
    <w:rsid w:val="00817612"/>
    <w:rsid w:val="00821778"/>
    <w:rsid w:val="00830D68"/>
    <w:rsid w:val="008329A9"/>
    <w:rsid w:val="008338A4"/>
    <w:rsid w:val="00834D49"/>
    <w:rsid w:val="00836C72"/>
    <w:rsid w:val="00837206"/>
    <w:rsid w:val="00837C45"/>
    <w:rsid w:val="00840812"/>
    <w:rsid w:val="00844730"/>
    <w:rsid w:val="008457C2"/>
    <w:rsid w:val="0084649B"/>
    <w:rsid w:val="008539B8"/>
    <w:rsid w:val="00857A82"/>
    <w:rsid w:val="008645C4"/>
    <w:rsid w:val="00864E4A"/>
    <w:rsid w:val="00865A09"/>
    <w:rsid w:val="00873836"/>
    <w:rsid w:val="00873EE7"/>
    <w:rsid w:val="00877961"/>
    <w:rsid w:val="008803BC"/>
    <w:rsid w:val="00881323"/>
    <w:rsid w:val="00882448"/>
    <w:rsid w:val="00885737"/>
    <w:rsid w:val="0088734D"/>
    <w:rsid w:val="00890650"/>
    <w:rsid w:val="00893AEA"/>
    <w:rsid w:val="00897E12"/>
    <w:rsid w:val="008A5F4D"/>
    <w:rsid w:val="008A7E0F"/>
    <w:rsid w:val="008B12F5"/>
    <w:rsid w:val="008B4D21"/>
    <w:rsid w:val="008C028A"/>
    <w:rsid w:val="008D11C9"/>
    <w:rsid w:val="008D1A43"/>
    <w:rsid w:val="008D3E41"/>
    <w:rsid w:val="008D768D"/>
    <w:rsid w:val="008E3759"/>
    <w:rsid w:val="008E3BFE"/>
    <w:rsid w:val="008E5BD9"/>
    <w:rsid w:val="008F1912"/>
    <w:rsid w:val="008F31BE"/>
    <w:rsid w:val="008F6D45"/>
    <w:rsid w:val="0090270B"/>
    <w:rsid w:val="009041DC"/>
    <w:rsid w:val="00904340"/>
    <w:rsid w:val="00912829"/>
    <w:rsid w:val="00917B5A"/>
    <w:rsid w:val="009201FC"/>
    <w:rsid w:val="00920A58"/>
    <w:rsid w:val="00920A8C"/>
    <w:rsid w:val="00934A2C"/>
    <w:rsid w:val="00957101"/>
    <w:rsid w:val="0096706E"/>
    <w:rsid w:val="00974491"/>
    <w:rsid w:val="00975C4E"/>
    <w:rsid w:val="00981FBA"/>
    <w:rsid w:val="009829F1"/>
    <w:rsid w:val="009879C6"/>
    <w:rsid w:val="00995EE1"/>
    <w:rsid w:val="00997BC5"/>
    <w:rsid w:val="009A1822"/>
    <w:rsid w:val="009A4F41"/>
    <w:rsid w:val="009A7351"/>
    <w:rsid w:val="009B381B"/>
    <w:rsid w:val="009C184F"/>
    <w:rsid w:val="009C4AA9"/>
    <w:rsid w:val="009D06ED"/>
    <w:rsid w:val="009D1753"/>
    <w:rsid w:val="009D2623"/>
    <w:rsid w:val="009D7611"/>
    <w:rsid w:val="009E0B61"/>
    <w:rsid w:val="009E14B3"/>
    <w:rsid w:val="009E37C6"/>
    <w:rsid w:val="009E53DE"/>
    <w:rsid w:val="009E62F8"/>
    <w:rsid w:val="009F2716"/>
    <w:rsid w:val="009F49C1"/>
    <w:rsid w:val="009F5161"/>
    <w:rsid w:val="009F56E4"/>
    <w:rsid w:val="009F5971"/>
    <w:rsid w:val="00A0540B"/>
    <w:rsid w:val="00A11212"/>
    <w:rsid w:val="00A11E44"/>
    <w:rsid w:val="00A241E5"/>
    <w:rsid w:val="00A273EE"/>
    <w:rsid w:val="00A3109A"/>
    <w:rsid w:val="00A328B3"/>
    <w:rsid w:val="00A367E6"/>
    <w:rsid w:val="00A37C49"/>
    <w:rsid w:val="00A45F7A"/>
    <w:rsid w:val="00A50FCF"/>
    <w:rsid w:val="00A528D1"/>
    <w:rsid w:val="00A536E4"/>
    <w:rsid w:val="00A610CD"/>
    <w:rsid w:val="00A615F4"/>
    <w:rsid w:val="00A62D35"/>
    <w:rsid w:val="00A74805"/>
    <w:rsid w:val="00A758AA"/>
    <w:rsid w:val="00A8162B"/>
    <w:rsid w:val="00A8202E"/>
    <w:rsid w:val="00A83D7A"/>
    <w:rsid w:val="00A860D1"/>
    <w:rsid w:val="00AA09A2"/>
    <w:rsid w:val="00AA55C2"/>
    <w:rsid w:val="00AA7996"/>
    <w:rsid w:val="00AC02F1"/>
    <w:rsid w:val="00AC19CB"/>
    <w:rsid w:val="00AD34DE"/>
    <w:rsid w:val="00AE5488"/>
    <w:rsid w:val="00AE6F91"/>
    <w:rsid w:val="00AE7D4A"/>
    <w:rsid w:val="00AF154B"/>
    <w:rsid w:val="00AF5571"/>
    <w:rsid w:val="00B03DCD"/>
    <w:rsid w:val="00B05C4D"/>
    <w:rsid w:val="00B0731C"/>
    <w:rsid w:val="00B07341"/>
    <w:rsid w:val="00B10114"/>
    <w:rsid w:val="00B12012"/>
    <w:rsid w:val="00B13746"/>
    <w:rsid w:val="00B27E68"/>
    <w:rsid w:val="00B30539"/>
    <w:rsid w:val="00B314DB"/>
    <w:rsid w:val="00B361F2"/>
    <w:rsid w:val="00B3718B"/>
    <w:rsid w:val="00B3745F"/>
    <w:rsid w:val="00B460E2"/>
    <w:rsid w:val="00B4632A"/>
    <w:rsid w:val="00B50C78"/>
    <w:rsid w:val="00B517E1"/>
    <w:rsid w:val="00B530F1"/>
    <w:rsid w:val="00B536B6"/>
    <w:rsid w:val="00B65430"/>
    <w:rsid w:val="00B66088"/>
    <w:rsid w:val="00B835BE"/>
    <w:rsid w:val="00B8543B"/>
    <w:rsid w:val="00B85BC5"/>
    <w:rsid w:val="00B85ED8"/>
    <w:rsid w:val="00B8739B"/>
    <w:rsid w:val="00B96709"/>
    <w:rsid w:val="00B971B8"/>
    <w:rsid w:val="00B9765D"/>
    <w:rsid w:val="00B97D2E"/>
    <w:rsid w:val="00BA006A"/>
    <w:rsid w:val="00BA0A52"/>
    <w:rsid w:val="00BA276C"/>
    <w:rsid w:val="00BB306F"/>
    <w:rsid w:val="00BB3D7B"/>
    <w:rsid w:val="00BC5856"/>
    <w:rsid w:val="00BD4B89"/>
    <w:rsid w:val="00BD5922"/>
    <w:rsid w:val="00BD5B64"/>
    <w:rsid w:val="00BE1C66"/>
    <w:rsid w:val="00BF02CB"/>
    <w:rsid w:val="00BF6FD8"/>
    <w:rsid w:val="00C03680"/>
    <w:rsid w:val="00C044C7"/>
    <w:rsid w:val="00C04856"/>
    <w:rsid w:val="00C054DF"/>
    <w:rsid w:val="00C1337A"/>
    <w:rsid w:val="00C1726E"/>
    <w:rsid w:val="00C21762"/>
    <w:rsid w:val="00C21FEF"/>
    <w:rsid w:val="00C24543"/>
    <w:rsid w:val="00C24DC7"/>
    <w:rsid w:val="00C256A2"/>
    <w:rsid w:val="00C30136"/>
    <w:rsid w:val="00C30EA5"/>
    <w:rsid w:val="00C365B1"/>
    <w:rsid w:val="00C413E5"/>
    <w:rsid w:val="00C43DAF"/>
    <w:rsid w:val="00C4446C"/>
    <w:rsid w:val="00C51515"/>
    <w:rsid w:val="00C54244"/>
    <w:rsid w:val="00C5430B"/>
    <w:rsid w:val="00C5660B"/>
    <w:rsid w:val="00C57B63"/>
    <w:rsid w:val="00C60A66"/>
    <w:rsid w:val="00C66B72"/>
    <w:rsid w:val="00C73038"/>
    <w:rsid w:val="00C73A83"/>
    <w:rsid w:val="00C75690"/>
    <w:rsid w:val="00C86172"/>
    <w:rsid w:val="00C87AC4"/>
    <w:rsid w:val="00C9567A"/>
    <w:rsid w:val="00CA1E58"/>
    <w:rsid w:val="00CA3F3F"/>
    <w:rsid w:val="00CB212D"/>
    <w:rsid w:val="00CB2660"/>
    <w:rsid w:val="00CB6B94"/>
    <w:rsid w:val="00CC47E2"/>
    <w:rsid w:val="00CC5163"/>
    <w:rsid w:val="00CC5E90"/>
    <w:rsid w:val="00CC7023"/>
    <w:rsid w:val="00CD046C"/>
    <w:rsid w:val="00CD5495"/>
    <w:rsid w:val="00CE076C"/>
    <w:rsid w:val="00CE14E0"/>
    <w:rsid w:val="00CE5199"/>
    <w:rsid w:val="00CE66D5"/>
    <w:rsid w:val="00CF1F62"/>
    <w:rsid w:val="00CF50F6"/>
    <w:rsid w:val="00CF637A"/>
    <w:rsid w:val="00D009B5"/>
    <w:rsid w:val="00D04C4A"/>
    <w:rsid w:val="00D04F01"/>
    <w:rsid w:val="00D059DE"/>
    <w:rsid w:val="00D05ABD"/>
    <w:rsid w:val="00D05DD6"/>
    <w:rsid w:val="00D06CDD"/>
    <w:rsid w:val="00D13CF4"/>
    <w:rsid w:val="00D13FCE"/>
    <w:rsid w:val="00D14AF3"/>
    <w:rsid w:val="00D17A62"/>
    <w:rsid w:val="00D26DD1"/>
    <w:rsid w:val="00D306D1"/>
    <w:rsid w:val="00D30800"/>
    <w:rsid w:val="00D34786"/>
    <w:rsid w:val="00D3767E"/>
    <w:rsid w:val="00D37BFC"/>
    <w:rsid w:val="00D42067"/>
    <w:rsid w:val="00D47A8E"/>
    <w:rsid w:val="00D52D14"/>
    <w:rsid w:val="00D5692E"/>
    <w:rsid w:val="00D61712"/>
    <w:rsid w:val="00D66069"/>
    <w:rsid w:val="00D712D3"/>
    <w:rsid w:val="00D71422"/>
    <w:rsid w:val="00D72DC6"/>
    <w:rsid w:val="00D7558D"/>
    <w:rsid w:val="00D81D92"/>
    <w:rsid w:val="00D823DF"/>
    <w:rsid w:val="00D876F9"/>
    <w:rsid w:val="00D920BD"/>
    <w:rsid w:val="00D937BD"/>
    <w:rsid w:val="00D96D75"/>
    <w:rsid w:val="00DA0577"/>
    <w:rsid w:val="00DA0899"/>
    <w:rsid w:val="00DA2C83"/>
    <w:rsid w:val="00DA2E5D"/>
    <w:rsid w:val="00DA7B5F"/>
    <w:rsid w:val="00DB2343"/>
    <w:rsid w:val="00DB628C"/>
    <w:rsid w:val="00DB7CDD"/>
    <w:rsid w:val="00DC11E7"/>
    <w:rsid w:val="00DC16EF"/>
    <w:rsid w:val="00DC1CA5"/>
    <w:rsid w:val="00DC24E3"/>
    <w:rsid w:val="00DC56A8"/>
    <w:rsid w:val="00DC7023"/>
    <w:rsid w:val="00DC769A"/>
    <w:rsid w:val="00DD1E72"/>
    <w:rsid w:val="00DD3D86"/>
    <w:rsid w:val="00DD4AD2"/>
    <w:rsid w:val="00DF1EC4"/>
    <w:rsid w:val="00DF35BF"/>
    <w:rsid w:val="00DF5A13"/>
    <w:rsid w:val="00E0340B"/>
    <w:rsid w:val="00E04A90"/>
    <w:rsid w:val="00E0551F"/>
    <w:rsid w:val="00E0774E"/>
    <w:rsid w:val="00E11951"/>
    <w:rsid w:val="00E219C7"/>
    <w:rsid w:val="00E27AB3"/>
    <w:rsid w:val="00E31B7A"/>
    <w:rsid w:val="00E33EEF"/>
    <w:rsid w:val="00E4118C"/>
    <w:rsid w:val="00E42535"/>
    <w:rsid w:val="00E43157"/>
    <w:rsid w:val="00E457BA"/>
    <w:rsid w:val="00E461CE"/>
    <w:rsid w:val="00E50FAE"/>
    <w:rsid w:val="00E535CF"/>
    <w:rsid w:val="00E60092"/>
    <w:rsid w:val="00E719B0"/>
    <w:rsid w:val="00E720CA"/>
    <w:rsid w:val="00E77D42"/>
    <w:rsid w:val="00E804D0"/>
    <w:rsid w:val="00E82DB5"/>
    <w:rsid w:val="00E84403"/>
    <w:rsid w:val="00E84EB5"/>
    <w:rsid w:val="00E85662"/>
    <w:rsid w:val="00E8789F"/>
    <w:rsid w:val="00E952AE"/>
    <w:rsid w:val="00E95C93"/>
    <w:rsid w:val="00E9609A"/>
    <w:rsid w:val="00E97B71"/>
    <w:rsid w:val="00EA1444"/>
    <w:rsid w:val="00EA3D34"/>
    <w:rsid w:val="00EB08FC"/>
    <w:rsid w:val="00EB24EB"/>
    <w:rsid w:val="00EB273F"/>
    <w:rsid w:val="00EB454D"/>
    <w:rsid w:val="00ED0F88"/>
    <w:rsid w:val="00ED549D"/>
    <w:rsid w:val="00ED76BE"/>
    <w:rsid w:val="00EE00E9"/>
    <w:rsid w:val="00EE3174"/>
    <w:rsid w:val="00EF619B"/>
    <w:rsid w:val="00EF715A"/>
    <w:rsid w:val="00F00B55"/>
    <w:rsid w:val="00F02AD1"/>
    <w:rsid w:val="00F07032"/>
    <w:rsid w:val="00F253CC"/>
    <w:rsid w:val="00F37106"/>
    <w:rsid w:val="00F4338C"/>
    <w:rsid w:val="00F43782"/>
    <w:rsid w:val="00F43F02"/>
    <w:rsid w:val="00F44ED7"/>
    <w:rsid w:val="00F519CF"/>
    <w:rsid w:val="00F53BFF"/>
    <w:rsid w:val="00F55292"/>
    <w:rsid w:val="00F5638D"/>
    <w:rsid w:val="00F56BA5"/>
    <w:rsid w:val="00F60E22"/>
    <w:rsid w:val="00F6386A"/>
    <w:rsid w:val="00F7063D"/>
    <w:rsid w:val="00F74DE3"/>
    <w:rsid w:val="00F81395"/>
    <w:rsid w:val="00F81BB8"/>
    <w:rsid w:val="00F84615"/>
    <w:rsid w:val="00F86D84"/>
    <w:rsid w:val="00F917D1"/>
    <w:rsid w:val="00F9653B"/>
    <w:rsid w:val="00FA2823"/>
    <w:rsid w:val="00FA73F8"/>
    <w:rsid w:val="00FB4BF3"/>
    <w:rsid w:val="00FB62CF"/>
    <w:rsid w:val="00FC12A2"/>
    <w:rsid w:val="00FC14A1"/>
    <w:rsid w:val="00FD3C3B"/>
    <w:rsid w:val="00FD5139"/>
    <w:rsid w:val="00FE07DD"/>
    <w:rsid w:val="00FE6B45"/>
    <w:rsid w:val="00FF3D55"/>
    <w:rsid w:val="00FF55F3"/>
    <w:rsid w:val="00FF5851"/>
    <w:rsid w:val="00FF62A3"/>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24EB"/>
    <w:rPr>
      <w:sz w:val="16"/>
      <w:szCs w:val="16"/>
    </w:rPr>
  </w:style>
  <w:style w:type="paragraph" w:styleId="CommentText">
    <w:name w:val="annotation text"/>
    <w:basedOn w:val="Normal"/>
    <w:link w:val="CommentTextChar"/>
    <w:uiPriority w:val="99"/>
    <w:unhideWhenUsed/>
    <w:rsid w:val="00EB24EB"/>
    <w:rPr>
      <w:sz w:val="20"/>
      <w:szCs w:val="20"/>
    </w:rPr>
  </w:style>
  <w:style w:type="character" w:customStyle="1" w:styleId="CommentTextChar">
    <w:name w:val="Comment Text Char"/>
    <w:basedOn w:val="DefaultParagraphFont"/>
    <w:link w:val="CommentText"/>
    <w:uiPriority w:val="99"/>
    <w:rsid w:val="00EB24EB"/>
    <w:rPr>
      <w:lang w:val="en-US" w:eastAsia="en-US"/>
    </w:rPr>
  </w:style>
  <w:style w:type="paragraph" w:styleId="CommentSubject">
    <w:name w:val="annotation subject"/>
    <w:basedOn w:val="CommentText"/>
    <w:next w:val="CommentText"/>
    <w:link w:val="CommentSubjectChar"/>
    <w:uiPriority w:val="99"/>
    <w:semiHidden/>
    <w:unhideWhenUsed/>
    <w:rsid w:val="00EB24EB"/>
    <w:rPr>
      <w:b/>
      <w:bCs/>
    </w:rPr>
  </w:style>
  <w:style w:type="character" w:customStyle="1" w:styleId="CommentSubjectChar">
    <w:name w:val="Comment Subject Char"/>
    <w:basedOn w:val="CommentTextChar"/>
    <w:link w:val="CommentSubject"/>
    <w:uiPriority w:val="99"/>
    <w:semiHidden/>
    <w:rsid w:val="00EB24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25251"/>
    <w:rsid w:val="000D69EB"/>
    <w:rsid w:val="001E00E6"/>
    <w:rsid w:val="00200821"/>
    <w:rsid w:val="00200835"/>
    <w:rsid w:val="002E148B"/>
    <w:rsid w:val="002F61DC"/>
    <w:rsid w:val="003039E1"/>
    <w:rsid w:val="00357F22"/>
    <w:rsid w:val="003771C3"/>
    <w:rsid w:val="00394049"/>
    <w:rsid w:val="00472D8A"/>
    <w:rsid w:val="004A7E29"/>
    <w:rsid w:val="004D41A0"/>
    <w:rsid w:val="004F2DF8"/>
    <w:rsid w:val="005432A0"/>
    <w:rsid w:val="00555CB8"/>
    <w:rsid w:val="00572B80"/>
    <w:rsid w:val="007F3F57"/>
    <w:rsid w:val="00802681"/>
    <w:rsid w:val="00847707"/>
    <w:rsid w:val="00880FAC"/>
    <w:rsid w:val="008D5DF6"/>
    <w:rsid w:val="00961374"/>
    <w:rsid w:val="00973E6F"/>
    <w:rsid w:val="009A1DDD"/>
    <w:rsid w:val="009A261B"/>
    <w:rsid w:val="00AC15A4"/>
    <w:rsid w:val="00B0336C"/>
    <w:rsid w:val="00C4262F"/>
    <w:rsid w:val="00C629AF"/>
    <w:rsid w:val="00C76C4C"/>
    <w:rsid w:val="00CA1CF9"/>
    <w:rsid w:val="00CE4721"/>
    <w:rsid w:val="00D02DF8"/>
    <w:rsid w:val="00E84AD8"/>
    <w:rsid w:val="00EA1F04"/>
    <w:rsid w:val="00F00D2F"/>
    <w:rsid w:val="00F128DF"/>
    <w:rsid w:val="00F91650"/>
    <w:rsid w:val="00FE7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D7F71-E9D7-42C8-80C7-9F3C3517F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2748</Words>
  <Characters>14677</Characters>
  <Application>Microsoft Office Word</Application>
  <DocSecurity>0</DocSecurity>
  <Lines>299</Lines>
  <Paragraphs>92</Paragraphs>
  <ScaleCrop>false</ScaleCrop>
  <Company/>
  <LinksUpToDate>false</LinksUpToDate>
  <CharactersWithSpaces>17333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127/19</dc:title>
  <dc:creator/>
  <cp:lastModifiedBy/>
  <cp:revision>1</cp:revision>
  <dcterms:created xsi:type="dcterms:W3CDTF">2019-10-15T18:39:00Z</dcterms:created>
  <dcterms:modified xsi:type="dcterms:W3CDTF">2019-10-15T18:40:00Z</dcterms:modified>
</cp:coreProperties>
</file>