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C91BB3" w14:textId="77777777" w:rsidR="00040C3A" w:rsidRPr="00006B74" w:rsidRDefault="00D306D1" w:rsidP="00627C9F">
      <w:pPr>
        <w:jc w:val="both"/>
        <w:rPr>
          <w:rFonts w:asciiTheme="majorHAnsi" w:hAnsiTheme="majorHAnsi" w:cs="Univers"/>
          <w:b/>
          <w:bCs/>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E4552"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006B74">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349218F2" w14:textId="77777777" w:rsidR="00CB2660" w:rsidRDefault="00AE548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14:paraId="47386BAF"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5A87E141" w14:textId="77777777" w:rsidR="00040C3A" w:rsidRPr="00006B74" w:rsidRDefault="00040C3A" w:rsidP="00040C3A">
      <w:pPr>
        <w:tabs>
          <w:tab w:val="center" w:pos="5400"/>
        </w:tabs>
        <w:suppressAutoHyphens/>
        <w:jc w:val="both"/>
        <w:rPr>
          <w:rFonts w:asciiTheme="majorHAnsi" w:hAnsiTheme="majorHAnsi"/>
          <w:sz w:val="22"/>
          <w:szCs w:val="22"/>
          <w:lang w:val="es-ES"/>
        </w:rPr>
      </w:pPr>
    </w:p>
    <w:p w14:paraId="29D95BCC" w14:textId="77777777" w:rsidR="005128E4" w:rsidRPr="00006B74" w:rsidRDefault="005128E4" w:rsidP="00040C3A">
      <w:pPr>
        <w:tabs>
          <w:tab w:val="center" w:pos="5400"/>
        </w:tabs>
        <w:suppressAutoHyphens/>
        <w:rPr>
          <w:rFonts w:asciiTheme="majorHAnsi" w:hAnsiTheme="majorHAnsi"/>
          <w:sz w:val="22"/>
          <w:szCs w:val="22"/>
          <w:lang w:val="es-ES"/>
        </w:rPr>
      </w:pPr>
    </w:p>
    <w:p w14:paraId="12A36B24" w14:textId="77777777" w:rsidR="005128E4" w:rsidRPr="00006B74" w:rsidRDefault="005128E4" w:rsidP="00040C3A">
      <w:pPr>
        <w:tabs>
          <w:tab w:val="center" w:pos="5400"/>
        </w:tabs>
        <w:suppressAutoHyphens/>
        <w:rPr>
          <w:rFonts w:asciiTheme="majorHAnsi" w:hAnsiTheme="majorHAnsi"/>
          <w:sz w:val="22"/>
          <w:szCs w:val="22"/>
          <w:lang w:val="es-ES"/>
        </w:rPr>
      </w:pPr>
    </w:p>
    <w:p w14:paraId="2252093D" w14:textId="77777777" w:rsidR="005128E4" w:rsidRPr="00006B74" w:rsidRDefault="005128E4" w:rsidP="00040C3A">
      <w:pPr>
        <w:tabs>
          <w:tab w:val="center" w:pos="5400"/>
        </w:tabs>
        <w:suppressAutoHyphens/>
        <w:rPr>
          <w:rFonts w:asciiTheme="majorHAnsi" w:hAnsiTheme="majorHAnsi"/>
          <w:sz w:val="22"/>
          <w:szCs w:val="22"/>
          <w:lang w:val="es-ES"/>
        </w:rPr>
      </w:pPr>
    </w:p>
    <w:p w14:paraId="403935BD"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6DCF5F8F" w14:textId="77777777" w:rsidR="00040C3A" w:rsidRPr="00006B74" w:rsidRDefault="00040C3A" w:rsidP="005128E4">
      <w:pPr>
        <w:tabs>
          <w:tab w:val="center" w:pos="5400"/>
        </w:tabs>
        <w:suppressAutoHyphens/>
        <w:jc w:val="center"/>
        <w:rPr>
          <w:rFonts w:asciiTheme="majorHAnsi" w:hAnsiTheme="majorHAnsi"/>
          <w:sz w:val="22"/>
          <w:szCs w:val="22"/>
          <w:lang w:val="es-ES"/>
        </w:rPr>
      </w:pPr>
    </w:p>
    <w:p w14:paraId="4791F13A"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44E016B6"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63D41962" w14:textId="77777777" w:rsidR="005B52B0" w:rsidRPr="00006B74" w:rsidRDefault="005B52B0" w:rsidP="005128E4">
      <w:pPr>
        <w:tabs>
          <w:tab w:val="center" w:pos="5400"/>
        </w:tabs>
        <w:suppressAutoHyphens/>
        <w:jc w:val="center"/>
        <w:rPr>
          <w:rFonts w:asciiTheme="majorHAnsi" w:hAnsiTheme="majorHAnsi"/>
          <w:sz w:val="22"/>
          <w:szCs w:val="22"/>
          <w:lang w:val="es-ES"/>
        </w:rPr>
      </w:pPr>
    </w:p>
    <w:p w14:paraId="5ADEB99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D81B7E8"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64791D04" w14:textId="77777777" w:rsidR="00040C3A" w:rsidRPr="00006B74" w:rsidRDefault="003D3BC2" w:rsidP="00040C3A">
      <w:pPr>
        <w:tabs>
          <w:tab w:val="center" w:pos="5400"/>
        </w:tabs>
        <w:suppressAutoHyphens/>
        <w:jc w:val="center"/>
        <w:rPr>
          <w:rFonts w:asciiTheme="majorHAnsi" w:hAnsiTheme="majorHAnsi"/>
          <w:sz w:val="22"/>
          <w:szCs w:val="22"/>
          <w:lang w:val="es-ES"/>
        </w:rPr>
      </w:pPr>
      <w:r w:rsidRPr="00006B74">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D9FE29C" w14:textId="1AAE04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23D8D">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0FBA93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4309">
                              <w:rPr>
                                <w:rFonts w:asciiTheme="majorHAnsi" w:hAnsiTheme="majorHAnsi" w:cs="Arial"/>
                                <w:b/>
                                <w:color w:val="0D0D0D" w:themeColor="text1" w:themeTint="F2"/>
                                <w:sz w:val="36"/>
                                <w:szCs w:val="22"/>
                                <w:lang w:val="es-ES_tradnl"/>
                              </w:rPr>
                              <w:t>1468</w:t>
                            </w:r>
                            <w:r w:rsidR="00246D1F" w:rsidRPr="004E2649">
                              <w:rPr>
                                <w:rFonts w:asciiTheme="majorHAnsi" w:hAnsiTheme="majorHAnsi" w:cs="Arial"/>
                                <w:b/>
                                <w:color w:val="0D0D0D" w:themeColor="text1" w:themeTint="F2"/>
                                <w:sz w:val="36"/>
                                <w:szCs w:val="22"/>
                                <w:lang w:val="es-ES_tradnl"/>
                              </w:rPr>
                              <w:t>-</w:t>
                            </w:r>
                            <w:r w:rsidR="0075430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4EF3A3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4CFA2FBF" w14:textId="34E0DAF0" w:rsidR="005B52B0" w:rsidRPr="0010736F" w:rsidRDefault="003F68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GAC ESPINOZA</w:t>
                            </w:r>
                            <w:r w:rsidR="00DC0234">
                              <w:rPr>
                                <w:rFonts w:asciiTheme="majorHAnsi" w:hAnsiTheme="majorHAnsi" w:cs="Arial"/>
                                <w:color w:val="0D0D0D" w:themeColor="text1" w:themeTint="F2"/>
                                <w:szCs w:val="22"/>
                                <w:lang w:val="es-ES_tradnl"/>
                              </w:rPr>
                              <w:t xml:space="preserve"> Y FAMILIA</w:t>
                            </w:r>
                          </w:p>
                          <w:bookmarkEnd w:id="0"/>
                          <w:p w14:paraId="35068D0D" w14:textId="2038E5AE" w:rsidR="005B52B0" w:rsidRPr="0010736F" w:rsidRDefault="003F68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80ED94"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4D9FE29C" w14:textId="1AAE0405"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D23D8D">
                        <w:rPr>
                          <w:rFonts w:asciiTheme="majorHAnsi" w:hAnsiTheme="majorHAnsi" w:cs="Arial"/>
                          <w:b/>
                          <w:bCs/>
                          <w:color w:val="0D0D0D" w:themeColor="text1" w:themeTint="F2"/>
                          <w:sz w:val="36"/>
                          <w:szCs w:val="22"/>
                          <w:lang w:val="es-ES_tradnl"/>
                        </w:rPr>
                        <w:t>180</w:t>
                      </w:r>
                      <w:r w:rsidR="007B05C4">
                        <w:rPr>
                          <w:rFonts w:asciiTheme="majorHAnsi" w:hAnsiTheme="majorHAnsi" w:cs="Arial"/>
                          <w:b/>
                          <w:bCs/>
                          <w:color w:val="0D0D0D" w:themeColor="text1" w:themeTint="F2"/>
                          <w:sz w:val="36"/>
                          <w:szCs w:val="22"/>
                          <w:lang w:val="es-ES_tradnl"/>
                        </w:rPr>
                        <w:t>/</w:t>
                      </w:r>
                      <w:r w:rsidR="00935F06">
                        <w:rPr>
                          <w:rFonts w:asciiTheme="majorHAnsi" w:hAnsiTheme="majorHAnsi" w:cs="Arial"/>
                          <w:b/>
                          <w:bCs/>
                          <w:color w:val="0D0D0D" w:themeColor="text1" w:themeTint="F2"/>
                          <w:sz w:val="36"/>
                          <w:szCs w:val="22"/>
                          <w:lang w:val="es-ES_tradnl"/>
                        </w:rPr>
                        <w:t>19</w:t>
                      </w:r>
                    </w:p>
                    <w:p w14:paraId="09C54AB3" w14:textId="0FBA935E"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54309">
                        <w:rPr>
                          <w:rFonts w:asciiTheme="majorHAnsi" w:hAnsiTheme="majorHAnsi" w:cs="Arial"/>
                          <w:b/>
                          <w:color w:val="0D0D0D" w:themeColor="text1" w:themeTint="F2"/>
                          <w:sz w:val="36"/>
                          <w:szCs w:val="22"/>
                          <w:lang w:val="es-ES_tradnl"/>
                        </w:rPr>
                        <w:t>1468</w:t>
                      </w:r>
                      <w:r w:rsidR="00246D1F" w:rsidRPr="004E2649">
                        <w:rPr>
                          <w:rFonts w:asciiTheme="majorHAnsi" w:hAnsiTheme="majorHAnsi" w:cs="Arial"/>
                          <w:b/>
                          <w:color w:val="0D0D0D" w:themeColor="text1" w:themeTint="F2"/>
                          <w:sz w:val="36"/>
                          <w:szCs w:val="22"/>
                          <w:lang w:val="es-ES_tradnl"/>
                        </w:rPr>
                        <w:t>-</w:t>
                      </w:r>
                      <w:r w:rsidR="00754309">
                        <w:rPr>
                          <w:rFonts w:asciiTheme="majorHAnsi" w:hAnsiTheme="majorHAnsi" w:cs="Arial"/>
                          <w:b/>
                          <w:color w:val="0D0D0D" w:themeColor="text1" w:themeTint="F2"/>
                          <w:sz w:val="36"/>
                          <w:szCs w:val="22"/>
                          <w:lang w:val="es-ES_tradnl"/>
                        </w:rPr>
                        <w:t>09</w:t>
                      </w:r>
                      <w:r w:rsidR="00246D1F" w:rsidRPr="004E2649">
                        <w:rPr>
                          <w:rFonts w:asciiTheme="majorHAnsi" w:hAnsiTheme="majorHAnsi" w:cs="Arial"/>
                          <w:b/>
                          <w:color w:val="0D0D0D" w:themeColor="text1" w:themeTint="F2"/>
                          <w:sz w:val="36"/>
                          <w:szCs w:val="22"/>
                          <w:lang w:val="es-ES_tradnl"/>
                        </w:rPr>
                        <w:t xml:space="preserve"> </w:t>
                      </w:r>
                    </w:p>
                    <w:p w14:paraId="70CF6833" w14:textId="4EF3A318"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p>
                    <w:p w14:paraId="5FDD6F0D"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4CFA2FBF" w14:textId="34E0DAF0" w:rsidR="005B52B0" w:rsidRPr="0010736F" w:rsidRDefault="003F682C"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PABLO GAC ESPINOZA</w:t>
                      </w:r>
                      <w:r w:rsidR="00DC0234">
                        <w:rPr>
                          <w:rFonts w:asciiTheme="majorHAnsi" w:hAnsiTheme="majorHAnsi" w:cs="Arial"/>
                          <w:color w:val="0D0D0D" w:themeColor="text1" w:themeTint="F2"/>
                          <w:szCs w:val="22"/>
                          <w:lang w:val="es-ES_tradnl"/>
                        </w:rPr>
                        <w:t xml:space="preserve"> Y FAMILIA</w:t>
                      </w:r>
                    </w:p>
                    <w:bookmarkEnd w:id="1"/>
                    <w:p w14:paraId="35068D0D" w14:textId="2038E5AE" w:rsidR="005B52B0" w:rsidRPr="0010736F" w:rsidRDefault="003F682C"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CHILE</w:t>
                      </w:r>
                    </w:p>
                    <w:p w14:paraId="575DFD52" w14:textId="77777777" w:rsidR="005B52B0" w:rsidRPr="00AE5488" w:rsidRDefault="005B52B0" w:rsidP="007A5817">
                      <w:pPr>
                        <w:rPr>
                          <w:color w:val="0D0D0D" w:themeColor="text1" w:themeTint="F2"/>
                          <w:lang w:val="es-ES_tradnl"/>
                        </w:rPr>
                      </w:pPr>
                    </w:p>
                  </w:txbxContent>
                </v:textbox>
              </v:shape>
            </w:pict>
          </mc:Fallback>
        </mc:AlternateContent>
      </w:r>
      <w:r w:rsidR="004E2649" w:rsidRPr="00006B74">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F0BAF6" w14:textId="32FBBEEE"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EBB8F23" w:rsidR="00627C9F" w:rsidRPr="00935F06" w:rsidRDefault="00D23D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252</w:t>
                            </w:r>
                          </w:p>
                          <w:p w14:paraId="69373ED2" w14:textId="3BDB54A4" w:rsidR="00627C9F" w:rsidRPr="00935F06" w:rsidRDefault="00D23D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proofErr w:type="spellStart"/>
                            <w:r>
                              <w:rPr>
                                <w:rFonts w:asciiTheme="minorHAnsi" w:hAnsiTheme="minorHAnsi"/>
                                <w:color w:val="FFFFFF" w:themeColor="background1"/>
                                <w:sz w:val="22"/>
                              </w:rPr>
                              <w:t>septiembre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6CF0BAF6" w14:textId="32FBBEEE" w:rsidR="00627C9F" w:rsidRPr="00935F06" w:rsidRDefault="00834D49" w:rsidP="007A5817">
                      <w:pPr>
                        <w:spacing w:line="276" w:lineRule="auto"/>
                        <w:jc w:val="right"/>
                        <w:rPr>
                          <w:rFonts w:asciiTheme="minorHAnsi" w:hAnsiTheme="minorHAnsi"/>
                          <w:color w:val="FFFFFF" w:themeColor="background1"/>
                          <w:sz w:val="22"/>
                          <w:lang w:val="pt-BR"/>
                        </w:rPr>
                      </w:pPr>
                      <w:r w:rsidRPr="00935F06">
                        <w:rPr>
                          <w:rFonts w:asciiTheme="minorHAnsi" w:hAnsiTheme="minorHAnsi"/>
                          <w:color w:val="FFFFFF" w:themeColor="background1"/>
                          <w:sz w:val="22"/>
                          <w:lang w:val="pt-BR"/>
                        </w:rPr>
                        <w:t>OEA/Ser.L/V/II.</w:t>
                      </w:r>
                    </w:p>
                    <w:p w14:paraId="6A41611B" w14:textId="3EBB8F23" w:rsidR="00627C9F" w:rsidRPr="00935F06" w:rsidRDefault="00D23D8D"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252</w:t>
                      </w:r>
                    </w:p>
                    <w:p w14:paraId="69373ED2" w14:textId="3BDB54A4" w:rsidR="00627C9F" w:rsidRPr="00935F06" w:rsidRDefault="00D23D8D" w:rsidP="007A5817">
                      <w:pPr>
                        <w:spacing w:line="276" w:lineRule="auto"/>
                        <w:jc w:val="right"/>
                        <w:rPr>
                          <w:rFonts w:asciiTheme="minorHAnsi" w:hAnsiTheme="minorHAnsi"/>
                          <w:color w:val="FFFFFF" w:themeColor="background1"/>
                          <w:sz w:val="22"/>
                        </w:rPr>
                      </w:pPr>
                      <w:r>
                        <w:rPr>
                          <w:rFonts w:asciiTheme="minorHAnsi" w:hAnsiTheme="minorHAnsi"/>
                          <w:color w:val="FFFFFF" w:themeColor="background1"/>
                          <w:sz w:val="22"/>
                        </w:rPr>
                        <w:t xml:space="preserve">11 </w:t>
                      </w:r>
                      <w:proofErr w:type="spellStart"/>
                      <w:r>
                        <w:rPr>
                          <w:rFonts w:asciiTheme="minorHAnsi" w:hAnsiTheme="minorHAnsi"/>
                          <w:color w:val="FFFFFF" w:themeColor="background1"/>
                          <w:sz w:val="22"/>
                        </w:rPr>
                        <w:t>septiembre</w:t>
                      </w:r>
                      <w:proofErr w:type="spellEnd"/>
                      <w:r w:rsidR="00627C9F" w:rsidRPr="00935F06">
                        <w:rPr>
                          <w:rFonts w:asciiTheme="minorHAnsi" w:hAnsiTheme="minorHAnsi"/>
                          <w:color w:val="FFFFFF" w:themeColor="background1"/>
                          <w:sz w:val="22"/>
                        </w:rPr>
                        <w:t xml:space="preserve"> 201</w:t>
                      </w:r>
                      <w:r w:rsidR="008C5751" w:rsidRPr="00935F06">
                        <w:rPr>
                          <w:rFonts w:asciiTheme="minorHAnsi" w:hAnsiTheme="minorHAnsi"/>
                          <w:color w:val="FFFFFF" w:themeColor="background1"/>
                          <w:sz w:val="22"/>
                        </w:rPr>
                        <w:t>9</w:t>
                      </w:r>
                    </w:p>
                    <w:p w14:paraId="0771DB5B" w14:textId="77777777" w:rsidR="00627C9F" w:rsidRPr="00935F06" w:rsidRDefault="00E0340B" w:rsidP="007A5817">
                      <w:pPr>
                        <w:spacing w:line="276" w:lineRule="auto"/>
                        <w:jc w:val="right"/>
                        <w:rPr>
                          <w:rFonts w:asciiTheme="minorHAnsi" w:hAnsiTheme="minorHAnsi"/>
                          <w:color w:val="FFFFFF" w:themeColor="background1"/>
                          <w:sz w:val="22"/>
                        </w:rPr>
                      </w:pPr>
                      <w:r w:rsidRPr="00935F06">
                        <w:rPr>
                          <w:rFonts w:asciiTheme="minorHAnsi" w:hAnsiTheme="minorHAnsi"/>
                          <w:color w:val="FFFFFF" w:themeColor="background1"/>
                          <w:sz w:val="22"/>
                        </w:rPr>
                        <w:t xml:space="preserve">Original: </w:t>
                      </w:r>
                      <w:proofErr w:type="spellStart"/>
                      <w:r w:rsidR="008B12F5" w:rsidRPr="00935F06">
                        <w:rPr>
                          <w:rFonts w:asciiTheme="minorHAnsi" w:hAnsiTheme="minorHAnsi"/>
                          <w:color w:val="FFFFFF" w:themeColor="background1"/>
                          <w:sz w:val="22"/>
                        </w:rPr>
                        <w:t>e</w:t>
                      </w:r>
                      <w:r w:rsidR="00627C9F" w:rsidRPr="00935F06">
                        <w:rPr>
                          <w:rFonts w:asciiTheme="minorHAnsi" w:hAnsiTheme="minorHAnsi"/>
                          <w:color w:val="FFFFFF" w:themeColor="background1"/>
                          <w:sz w:val="22"/>
                        </w:rPr>
                        <w:t>spañol</w:t>
                      </w:r>
                      <w:proofErr w:type="spellEnd"/>
                    </w:p>
                  </w:txbxContent>
                </v:textbox>
              </v:shape>
            </w:pict>
          </mc:Fallback>
        </mc:AlternateContent>
      </w:r>
    </w:p>
    <w:p w14:paraId="155B053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FE3AB8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383BC0" w14:textId="77777777" w:rsidR="00040C3A" w:rsidRPr="00006B74" w:rsidRDefault="00040C3A" w:rsidP="00040C3A">
      <w:pPr>
        <w:tabs>
          <w:tab w:val="center" w:pos="5400"/>
        </w:tabs>
        <w:suppressAutoHyphens/>
        <w:jc w:val="center"/>
        <w:rPr>
          <w:rFonts w:asciiTheme="majorHAnsi" w:hAnsiTheme="majorHAnsi" w:cs="Arial"/>
          <w:sz w:val="22"/>
          <w:szCs w:val="22"/>
          <w:lang w:val="es-ES"/>
        </w:rPr>
      </w:pPr>
    </w:p>
    <w:p w14:paraId="54590931"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76C291D6"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2161B44F"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C4EEE07"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3B0E4647"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DAAF36D"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12496A14"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25772DB3"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6820FADA" w14:textId="77777777" w:rsidR="005128E4" w:rsidRPr="00006B74" w:rsidRDefault="005128E4" w:rsidP="00040C3A">
      <w:pPr>
        <w:tabs>
          <w:tab w:val="center" w:pos="5400"/>
        </w:tabs>
        <w:suppressAutoHyphens/>
        <w:jc w:val="center"/>
        <w:rPr>
          <w:rFonts w:asciiTheme="majorHAnsi" w:hAnsiTheme="majorHAnsi"/>
          <w:sz w:val="22"/>
          <w:szCs w:val="22"/>
          <w:lang w:val="es-ES"/>
        </w:rPr>
      </w:pPr>
    </w:p>
    <w:p w14:paraId="54445A55"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5D4A4040" w14:textId="77777777" w:rsidR="00040C3A" w:rsidRPr="00006B74" w:rsidRDefault="00040C3A" w:rsidP="00040C3A">
      <w:pPr>
        <w:tabs>
          <w:tab w:val="center" w:pos="5400"/>
        </w:tabs>
        <w:suppressAutoHyphens/>
        <w:jc w:val="center"/>
        <w:rPr>
          <w:rFonts w:asciiTheme="majorHAnsi" w:hAnsiTheme="majorHAnsi"/>
          <w:sz w:val="22"/>
          <w:szCs w:val="22"/>
          <w:lang w:val="es-ES"/>
        </w:rPr>
      </w:pPr>
    </w:p>
    <w:p w14:paraId="048FBB22"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90ABFB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4C690048" w14:textId="77777777" w:rsidR="00A50FCF" w:rsidRPr="00006B74" w:rsidRDefault="00A50FCF" w:rsidP="00040C3A">
      <w:pPr>
        <w:tabs>
          <w:tab w:val="center" w:pos="5400"/>
        </w:tabs>
        <w:suppressAutoHyphens/>
        <w:jc w:val="center"/>
        <w:rPr>
          <w:rFonts w:asciiTheme="majorHAnsi" w:hAnsiTheme="majorHAnsi"/>
          <w:sz w:val="18"/>
          <w:szCs w:val="22"/>
          <w:lang w:val="es-ES"/>
        </w:rPr>
      </w:pPr>
      <w:bookmarkStart w:id="2" w:name="_GoBack"/>
      <w:bookmarkEnd w:id="2"/>
    </w:p>
    <w:p w14:paraId="733CA438"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74DEE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698D0D6"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F907823"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45D9AC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6068EE5"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4A4A43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B3B735F"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02C5C441"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806A2B0"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19C392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14A0182"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44B4F7" w14:textId="222F1B7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23D8D">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D23D8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3D1A5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B0B44F"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2944B4F7" w14:textId="222F1B70"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 </w:t>
                      </w:r>
                      <w:r w:rsidR="00D23D8D">
                        <w:rPr>
                          <w:rFonts w:asciiTheme="majorHAnsi" w:hAnsiTheme="majorHAnsi"/>
                          <w:color w:val="0D0D0D" w:themeColor="text1" w:themeTint="F2"/>
                          <w:sz w:val="18"/>
                          <w:szCs w:val="22"/>
                          <w:lang w:val="es-ES"/>
                        </w:rPr>
                        <w:t>11</w:t>
                      </w:r>
                      <w:r w:rsidRPr="00890650">
                        <w:rPr>
                          <w:rFonts w:asciiTheme="majorHAnsi" w:hAnsiTheme="majorHAnsi"/>
                          <w:color w:val="0D0D0D" w:themeColor="text1" w:themeTint="F2"/>
                          <w:sz w:val="18"/>
                          <w:szCs w:val="22"/>
                          <w:lang w:val="es-ES"/>
                        </w:rPr>
                        <w:t xml:space="preserve"> de </w:t>
                      </w:r>
                      <w:r w:rsidR="00D23D8D">
                        <w:rPr>
                          <w:rFonts w:asciiTheme="majorHAnsi" w:hAnsiTheme="majorHAnsi"/>
                          <w:color w:val="0D0D0D" w:themeColor="text1" w:themeTint="F2"/>
                          <w:sz w:val="18"/>
                          <w:szCs w:val="22"/>
                          <w:lang w:val="es-ES"/>
                        </w:rPr>
                        <w:t>septiembre</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201</w:t>
                      </w:r>
                      <w:r w:rsidR="00935F06">
                        <w:rPr>
                          <w:rFonts w:asciiTheme="majorHAnsi" w:hAnsiTheme="majorHAnsi"/>
                          <w:color w:val="0D0D0D" w:themeColor="text1" w:themeTint="F2"/>
                          <w:sz w:val="18"/>
                          <w:szCs w:val="22"/>
                          <w:lang w:val="es-ES"/>
                        </w:rPr>
                        <w:t>9</w:t>
                      </w:r>
                      <w:r w:rsidR="003D1A57">
                        <w:rPr>
                          <w:rFonts w:asciiTheme="majorHAnsi" w:hAnsiTheme="majorHAnsi"/>
                          <w:color w:val="0D0D0D" w:themeColor="text1" w:themeTint="F2"/>
                          <w:sz w:val="18"/>
                          <w:szCs w:val="22"/>
                          <w:lang w:val="es-ES"/>
                        </w:rPr>
                        <w:t>.</w:t>
                      </w:r>
                    </w:p>
                    <w:p w14:paraId="4BDF3581"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4D148488"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1F28BEBB"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929D1FD"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5469D0B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7A79F059"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330672AE" w14:textId="77777777" w:rsidR="00A50FCF" w:rsidRPr="00006B74" w:rsidRDefault="0090270B" w:rsidP="00040C3A">
      <w:pPr>
        <w:tabs>
          <w:tab w:val="center" w:pos="5400"/>
        </w:tabs>
        <w:suppressAutoHyphens/>
        <w:jc w:val="center"/>
        <w:rPr>
          <w:rFonts w:asciiTheme="majorHAnsi" w:hAnsiTheme="majorHAnsi"/>
          <w:sz w:val="18"/>
          <w:szCs w:val="22"/>
          <w:lang w:val="es-ES"/>
        </w:rPr>
      </w:pPr>
      <w:r w:rsidRPr="00006B74">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1B22CF" w14:textId="0ED1B94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23D8D" w:rsidRPr="00D23D8D">
                              <w:rPr>
                                <w:rFonts w:asciiTheme="majorHAnsi" w:hAnsiTheme="majorHAnsi"/>
                                <w:color w:val="595959" w:themeColor="text1" w:themeTint="A6"/>
                                <w:sz w:val="18"/>
                                <w:szCs w:val="18"/>
                                <w:lang w:val="pt-BR"/>
                              </w:rPr>
                              <w:t>180</w:t>
                            </w:r>
                            <w:r w:rsidR="007B05C4" w:rsidRPr="00D23D8D">
                              <w:rPr>
                                <w:rFonts w:asciiTheme="majorHAnsi" w:hAnsiTheme="majorHAnsi"/>
                                <w:color w:val="595959" w:themeColor="text1" w:themeTint="A6"/>
                                <w:sz w:val="18"/>
                                <w:szCs w:val="18"/>
                                <w:lang w:val="pt-BR"/>
                              </w:rPr>
                              <w:t>/</w:t>
                            </w:r>
                            <w:r w:rsidR="00D23D8D" w:rsidRPr="00D23D8D">
                              <w:rPr>
                                <w:rFonts w:asciiTheme="majorHAnsi" w:hAnsiTheme="majorHAnsi"/>
                                <w:color w:val="595959" w:themeColor="text1" w:themeTint="A6"/>
                                <w:sz w:val="18"/>
                                <w:szCs w:val="18"/>
                                <w:lang w:val="pt-BR"/>
                              </w:rPr>
                              <w:t>19</w:t>
                            </w:r>
                            <w:r w:rsidR="00DC0234" w:rsidRPr="00D23D8D">
                              <w:rPr>
                                <w:rFonts w:asciiTheme="majorHAnsi" w:hAnsiTheme="majorHAnsi"/>
                                <w:color w:val="595959" w:themeColor="text1" w:themeTint="A6"/>
                                <w:sz w:val="18"/>
                                <w:szCs w:val="18"/>
                                <w:lang w:val="pt-BR"/>
                              </w:rPr>
                              <w:t xml:space="preserve">. </w:t>
                            </w:r>
                            <w:r w:rsidR="00DC0234">
                              <w:rPr>
                                <w:rFonts w:asciiTheme="majorHAnsi" w:hAnsiTheme="majorHAnsi"/>
                                <w:color w:val="595959" w:themeColor="text1" w:themeTint="A6"/>
                                <w:sz w:val="18"/>
                                <w:szCs w:val="18"/>
                                <w:lang w:val="es-ES_tradnl"/>
                              </w:rPr>
                              <w:t>P-1468-09. Admisibilidad</w:t>
                            </w:r>
                            <w:r w:rsidRPr="00890650">
                              <w:rPr>
                                <w:rFonts w:asciiTheme="majorHAnsi" w:hAnsiTheme="majorHAnsi"/>
                                <w:color w:val="595959" w:themeColor="text1" w:themeTint="A6"/>
                                <w:sz w:val="18"/>
                                <w:szCs w:val="18"/>
                                <w:lang w:val="es-ES_tradnl"/>
                              </w:rPr>
                              <w:t xml:space="preserve">. </w:t>
                            </w:r>
                            <w:r w:rsidR="00CA6FCE">
                              <w:rPr>
                                <w:rFonts w:asciiTheme="majorHAnsi" w:hAnsiTheme="majorHAnsi"/>
                                <w:color w:val="595959" w:themeColor="text1" w:themeTint="A6"/>
                                <w:sz w:val="18"/>
                                <w:szCs w:val="18"/>
                                <w:lang w:val="es-ES_tradnl"/>
                              </w:rPr>
                              <w:t xml:space="preserve">Pablo </w:t>
                            </w:r>
                            <w:proofErr w:type="spellStart"/>
                            <w:r w:rsidR="00CA6FCE">
                              <w:rPr>
                                <w:rFonts w:asciiTheme="majorHAnsi" w:hAnsiTheme="majorHAnsi"/>
                                <w:color w:val="595959" w:themeColor="text1" w:themeTint="A6"/>
                                <w:sz w:val="18"/>
                                <w:szCs w:val="18"/>
                                <w:lang w:val="es-ES_tradnl"/>
                              </w:rPr>
                              <w:t>Gac</w:t>
                            </w:r>
                            <w:proofErr w:type="spellEnd"/>
                            <w:r w:rsidR="00CA6FCE">
                              <w:rPr>
                                <w:rFonts w:asciiTheme="majorHAnsi" w:hAnsiTheme="majorHAnsi"/>
                                <w:color w:val="595959" w:themeColor="text1" w:themeTint="A6"/>
                                <w:sz w:val="18"/>
                                <w:szCs w:val="18"/>
                                <w:lang w:val="es-ES_tradnl"/>
                              </w:rPr>
                              <w:t xml:space="preserve"> Espinoza y familia</w:t>
                            </w:r>
                            <w:r w:rsidRPr="00890650">
                              <w:rPr>
                                <w:rFonts w:asciiTheme="majorHAnsi" w:hAnsiTheme="majorHAnsi"/>
                                <w:color w:val="595959" w:themeColor="text1" w:themeTint="A6"/>
                                <w:sz w:val="18"/>
                                <w:szCs w:val="18"/>
                                <w:lang w:val="es-ES_tradnl"/>
                              </w:rPr>
                              <w:t xml:space="preserve">. </w:t>
                            </w:r>
                            <w:r w:rsidR="00CA6FC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23D8D">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0D1B22CF" w14:textId="0ED1B94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23D8D" w:rsidRPr="00D23D8D">
                        <w:rPr>
                          <w:rFonts w:asciiTheme="majorHAnsi" w:hAnsiTheme="majorHAnsi"/>
                          <w:color w:val="595959" w:themeColor="text1" w:themeTint="A6"/>
                          <w:sz w:val="18"/>
                          <w:szCs w:val="18"/>
                          <w:lang w:val="pt-BR"/>
                        </w:rPr>
                        <w:t>180</w:t>
                      </w:r>
                      <w:r w:rsidR="007B05C4" w:rsidRPr="00D23D8D">
                        <w:rPr>
                          <w:rFonts w:asciiTheme="majorHAnsi" w:hAnsiTheme="majorHAnsi"/>
                          <w:color w:val="595959" w:themeColor="text1" w:themeTint="A6"/>
                          <w:sz w:val="18"/>
                          <w:szCs w:val="18"/>
                          <w:lang w:val="pt-BR"/>
                        </w:rPr>
                        <w:t>/</w:t>
                      </w:r>
                      <w:r w:rsidR="00D23D8D" w:rsidRPr="00D23D8D">
                        <w:rPr>
                          <w:rFonts w:asciiTheme="majorHAnsi" w:hAnsiTheme="majorHAnsi"/>
                          <w:color w:val="595959" w:themeColor="text1" w:themeTint="A6"/>
                          <w:sz w:val="18"/>
                          <w:szCs w:val="18"/>
                          <w:lang w:val="pt-BR"/>
                        </w:rPr>
                        <w:t>19</w:t>
                      </w:r>
                      <w:r w:rsidR="00DC0234" w:rsidRPr="00D23D8D">
                        <w:rPr>
                          <w:rFonts w:asciiTheme="majorHAnsi" w:hAnsiTheme="majorHAnsi"/>
                          <w:color w:val="595959" w:themeColor="text1" w:themeTint="A6"/>
                          <w:sz w:val="18"/>
                          <w:szCs w:val="18"/>
                          <w:lang w:val="pt-BR"/>
                        </w:rPr>
                        <w:t xml:space="preserve">. </w:t>
                      </w:r>
                      <w:r w:rsidR="00DC0234">
                        <w:rPr>
                          <w:rFonts w:asciiTheme="majorHAnsi" w:hAnsiTheme="majorHAnsi"/>
                          <w:color w:val="595959" w:themeColor="text1" w:themeTint="A6"/>
                          <w:sz w:val="18"/>
                          <w:szCs w:val="18"/>
                          <w:lang w:val="es-ES_tradnl"/>
                        </w:rPr>
                        <w:t>P-1468-09. Admisibilidad</w:t>
                      </w:r>
                      <w:r w:rsidRPr="00890650">
                        <w:rPr>
                          <w:rFonts w:asciiTheme="majorHAnsi" w:hAnsiTheme="majorHAnsi"/>
                          <w:color w:val="595959" w:themeColor="text1" w:themeTint="A6"/>
                          <w:sz w:val="18"/>
                          <w:szCs w:val="18"/>
                          <w:lang w:val="es-ES_tradnl"/>
                        </w:rPr>
                        <w:t xml:space="preserve">. </w:t>
                      </w:r>
                      <w:r w:rsidR="00CA6FCE">
                        <w:rPr>
                          <w:rFonts w:asciiTheme="majorHAnsi" w:hAnsiTheme="majorHAnsi"/>
                          <w:color w:val="595959" w:themeColor="text1" w:themeTint="A6"/>
                          <w:sz w:val="18"/>
                          <w:szCs w:val="18"/>
                          <w:lang w:val="es-ES_tradnl"/>
                        </w:rPr>
                        <w:t xml:space="preserve">Pablo </w:t>
                      </w:r>
                      <w:proofErr w:type="spellStart"/>
                      <w:r w:rsidR="00CA6FCE">
                        <w:rPr>
                          <w:rFonts w:asciiTheme="majorHAnsi" w:hAnsiTheme="majorHAnsi"/>
                          <w:color w:val="595959" w:themeColor="text1" w:themeTint="A6"/>
                          <w:sz w:val="18"/>
                          <w:szCs w:val="18"/>
                          <w:lang w:val="es-ES_tradnl"/>
                        </w:rPr>
                        <w:t>Gac</w:t>
                      </w:r>
                      <w:proofErr w:type="spellEnd"/>
                      <w:r w:rsidR="00CA6FCE">
                        <w:rPr>
                          <w:rFonts w:asciiTheme="majorHAnsi" w:hAnsiTheme="majorHAnsi"/>
                          <w:color w:val="595959" w:themeColor="text1" w:themeTint="A6"/>
                          <w:sz w:val="18"/>
                          <w:szCs w:val="18"/>
                          <w:lang w:val="es-ES_tradnl"/>
                        </w:rPr>
                        <w:t xml:space="preserve"> Espinoza y familia</w:t>
                      </w:r>
                      <w:r w:rsidRPr="00890650">
                        <w:rPr>
                          <w:rFonts w:asciiTheme="majorHAnsi" w:hAnsiTheme="majorHAnsi"/>
                          <w:color w:val="595959" w:themeColor="text1" w:themeTint="A6"/>
                          <w:sz w:val="18"/>
                          <w:szCs w:val="18"/>
                          <w:lang w:val="es-ES_tradnl"/>
                        </w:rPr>
                        <w:t xml:space="preserve">. </w:t>
                      </w:r>
                      <w:r w:rsidR="00CA6FCE">
                        <w:rPr>
                          <w:rFonts w:asciiTheme="majorHAnsi" w:hAnsiTheme="majorHAnsi"/>
                          <w:color w:val="595959" w:themeColor="text1" w:themeTint="A6"/>
                          <w:sz w:val="18"/>
                          <w:szCs w:val="18"/>
                          <w:lang w:val="es-ES_tradnl"/>
                        </w:rPr>
                        <w:t>Chile</w:t>
                      </w:r>
                      <w:r w:rsidRPr="00890650">
                        <w:rPr>
                          <w:rFonts w:asciiTheme="majorHAnsi" w:hAnsiTheme="majorHAnsi"/>
                          <w:color w:val="595959" w:themeColor="text1" w:themeTint="A6"/>
                          <w:sz w:val="18"/>
                          <w:szCs w:val="18"/>
                          <w:lang w:val="es-ES_tradnl"/>
                        </w:rPr>
                        <w:t xml:space="preserve">. </w:t>
                      </w:r>
                      <w:r w:rsidR="00D23D8D">
                        <w:rPr>
                          <w:rFonts w:asciiTheme="majorHAnsi" w:hAnsiTheme="majorHAnsi"/>
                          <w:color w:val="595959" w:themeColor="text1" w:themeTint="A6"/>
                          <w:sz w:val="18"/>
                          <w:szCs w:val="18"/>
                          <w:lang w:val="es-ES"/>
                        </w:rPr>
                        <w:t>11 de septiembre de 2019</w:t>
                      </w:r>
                      <w:r w:rsidRPr="007B05C4">
                        <w:rPr>
                          <w:rFonts w:asciiTheme="majorHAnsi" w:hAnsiTheme="majorHAnsi"/>
                          <w:color w:val="595959" w:themeColor="text1" w:themeTint="A6"/>
                          <w:sz w:val="18"/>
                          <w:szCs w:val="18"/>
                          <w:lang w:val="es-ES"/>
                        </w:rPr>
                        <w:t>.</w:t>
                      </w:r>
                    </w:p>
                  </w:txbxContent>
                </v:textbox>
              </v:shape>
            </w:pict>
          </mc:Fallback>
        </mc:AlternateContent>
      </w:r>
    </w:p>
    <w:p w14:paraId="196A49DE" w14:textId="77777777" w:rsidR="00A50FCF" w:rsidRPr="00006B74" w:rsidRDefault="00A50FCF" w:rsidP="00040C3A">
      <w:pPr>
        <w:tabs>
          <w:tab w:val="center" w:pos="5400"/>
        </w:tabs>
        <w:suppressAutoHyphens/>
        <w:jc w:val="center"/>
        <w:rPr>
          <w:rFonts w:asciiTheme="majorHAnsi" w:hAnsiTheme="majorHAnsi"/>
          <w:sz w:val="18"/>
          <w:szCs w:val="22"/>
          <w:lang w:val="es-ES"/>
        </w:rPr>
      </w:pPr>
    </w:p>
    <w:p w14:paraId="1DA07629" w14:textId="77777777" w:rsidR="0090270B" w:rsidRPr="00006B74" w:rsidRDefault="00D306D1" w:rsidP="005516A1">
      <w:pPr>
        <w:tabs>
          <w:tab w:val="center" w:pos="5400"/>
        </w:tabs>
        <w:suppressAutoHyphens/>
        <w:jc w:val="center"/>
        <w:rPr>
          <w:rFonts w:asciiTheme="majorHAnsi" w:hAnsiTheme="majorHAnsi"/>
          <w:b/>
          <w:sz w:val="20"/>
          <w:lang w:val="es-ES"/>
        </w:rPr>
      </w:pPr>
      <w:r w:rsidRPr="00006B74">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14:paraId="2A1ECD3C" w14:textId="77777777"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266F0A37" wp14:editId="0CE7AD9C">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006B74">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6EA0DBC3"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2FE1B253" w14:textId="4E43B8E7" w:rsidR="0070697F" w:rsidRPr="00006B74" w:rsidRDefault="004A6A54" w:rsidP="005516A1">
      <w:pPr>
        <w:tabs>
          <w:tab w:val="center" w:pos="5400"/>
        </w:tabs>
        <w:suppressAutoHyphens/>
        <w:jc w:val="center"/>
        <w:rPr>
          <w:rFonts w:asciiTheme="majorHAnsi" w:hAnsiTheme="majorHAnsi"/>
          <w:b/>
          <w:sz w:val="20"/>
          <w:lang w:val="es-ES"/>
        </w:rPr>
        <w:sectPr w:rsidR="0070697F" w:rsidRPr="00006B74"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006B74">
        <w:rPr>
          <w:rFonts w:asciiTheme="majorHAnsi" w:hAnsiTheme="majorHAnsi"/>
          <w:b/>
          <w:sz w:val="20"/>
          <w:lang w:val="es-ES"/>
        </w:rPr>
        <w:tab/>
      </w:r>
    </w:p>
    <w:p w14:paraId="376DDC8B" w14:textId="77777777" w:rsidR="003239B8" w:rsidRPr="00006B74" w:rsidRDefault="003239B8" w:rsidP="007C402A">
      <w:pPr>
        <w:spacing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lastRenderedPageBreak/>
        <w:t>I.</w:t>
      </w:r>
      <w:r w:rsidRPr="00006B7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5A79D1F7" w14:textId="77777777" w:rsidTr="00954B82">
        <w:tc>
          <w:tcPr>
            <w:tcW w:w="2790" w:type="dxa"/>
            <w:tcBorders>
              <w:top w:val="single" w:sz="4" w:space="0" w:color="auto"/>
              <w:bottom w:val="single" w:sz="6" w:space="0" w:color="auto"/>
            </w:tcBorders>
            <w:shd w:val="clear" w:color="auto" w:fill="386294"/>
            <w:vAlign w:val="center"/>
          </w:tcPr>
          <w:p w14:paraId="0CB2A43B" w14:textId="6FB89BFC"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Parte peticionaria</w:t>
            </w:r>
          </w:p>
        </w:tc>
        <w:tc>
          <w:tcPr>
            <w:tcW w:w="6570" w:type="dxa"/>
            <w:vAlign w:val="center"/>
          </w:tcPr>
          <w:p w14:paraId="3C5315D8" w14:textId="3C337918" w:rsidR="003239B8" w:rsidRPr="00006B74" w:rsidRDefault="004A241F" w:rsidP="008D2290">
            <w:pPr>
              <w:jc w:val="both"/>
              <w:rPr>
                <w:rFonts w:ascii="Cambria" w:hAnsi="Cambria"/>
                <w:bCs/>
                <w:sz w:val="19"/>
                <w:szCs w:val="19"/>
                <w:lang w:val="es-ES"/>
              </w:rPr>
            </w:pPr>
            <w:r>
              <w:rPr>
                <w:rFonts w:ascii="Cambria" w:hAnsi="Cambria"/>
                <w:bCs/>
                <w:sz w:val="19"/>
                <w:szCs w:val="19"/>
                <w:lang w:val="es-ES"/>
              </w:rPr>
              <w:t>Nelson Caucoto Pereira</w:t>
            </w:r>
            <w:r w:rsidR="004B4982">
              <w:rPr>
                <w:rStyle w:val="FootnoteReference"/>
                <w:rFonts w:ascii="Cambria" w:hAnsi="Cambria"/>
                <w:bCs/>
                <w:sz w:val="19"/>
                <w:szCs w:val="19"/>
                <w:lang w:val="es-ES"/>
              </w:rPr>
              <w:footnoteReference w:id="2"/>
            </w:r>
          </w:p>
        </w:tc>
      </w:tr>
      <w:tr w:rsidR="003239B8" w:rsidRPr="00D1295E" w14:paraId="593A7E45" w14:textId="77777777" w:rsidTr="00954B82">
        <w:tc>
          <w:tcPr>
            <w:tcW w:w="2790" w:type="dxa"/>
            <w:tcBorders>
              <w:top w:val="single" w:sz="6" w:space="0" w:color="auto"/>
              <w:bottom w:val="single" w:sz="6" w:space="0" w:color="auto"/>
            </w:tcBorders>
            <w:shd w:val="clear" w:color="auto" w:fill="386294"/>
            <w:vAlign w:val="center"/>
          </w:tcPr>
          <w:p w14:paraId="0E78CA0C" w14:textId="07F33939" w:rsidR="003239B8" w:rsidRPr="00006B74" w:rsidRDefault="00F2709E" w:rsidP="008D2290">
            <w:pPr>
              <w:jc w:val="center"/>
              <w:rPr>
                <w:rFonts w:ascii="Cambria" w:hAnsi="Cambria"/>
                <w:bCs/>
                <w:color w:val="FFFFFF" w:themeColor="background1"/>
                <w:sz w:val="19"/>
                <w:szCs w:val="19"/>
                <w:lang w:val="es-ES"/>
              </w:rPr>
            </w:pPr>
            <w:sdt>
              <w:sdtPr>
                <w:rPr>
                  <w:rFonts w:ascii="Cambria" w:hAnsi="Cambria"/>
                  <w:bCs/>
                  <w:color w:val="FFFFFF" w:themeColor="background1"/>
                  <w:sz w:val="19"/>
                  <w:szCs w:val="19"/>
                  <w:lang w:val="es-ES"/>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06B74">
                  <w:rPr>
                    <w:rFonts w:ascii="Cambria" w:hAnsi="Cambria"/>
                    <w:bCs/>
                    <w:color w:val="FFFFFF" w:themeColor="background1"/>
                    <w:sz w:val="19"/>
                    <w:szCs w:val="19"/>
                    <w:lang w:val="es-ES"/>
                  </w:rPr>
                  <w:t>Presunta víctima</w:t>
                </w:r>
              </w:sdtContent>
            </w:sdt>
          </w:p>
        </w:tc>
        <w:tc>
          <w:tcPr>
            <w:tcW w:w="6570" w:type="dxa"/>
            <w:vAlign w:val="center"/>
          </w:tcPr>
          <w:p w14:paraId="4AEBF59E" w14:textId="0C66A164" w:rsidR="003239B8" w:rsidRPr="00730EA9" w:rsidRDefault="004B4982" w:rsidP="005B6D22">
            <w:pPr>
              <w:jc w:val="both"/>
              <w:rPr>
                <w:rFonts w:ascii="Cambria" w:hAnsi="Cambria"/>
                <w:bCs/>
                <w:sz w:val="19"/>
                <w:szCs w:val="19"/>
                <w:lang w:val="es-ES"/>
              </w:rPr>
            </w:pPr>
            <w:r w:rsidRPr="00730EA9">
              <w:rPr>
                <w:rFonts w:ascii="Cambria" w:hAnsi="Cambria"/>
                <w:bCs/>
                <w:sz w:val="19"/>
                <w:szCs w:val="19"/>
                <w:lang w:val="es-ES"/>
              </w:rPr>
              <w:t>Pablo Gac Espinoza y familia</w:t>
            </w:r>
            <w:r w:rsidRPr="00730EA9">
              <w:rPr>
                <w:rStyle w:val="FootnoteReference"/>
                <w:rFonts w:ascii="Cambria" w:hAnsi="Cambria"/>
                <w:bCs/>
                <w:sz w:val="19"/>
                <w:szCs w:val="19"/>
                <w:lang w:val="es-ES"/>
              </w:rPr>
              <w:footnoteReference w:id="3"/>
            </w:r>
          </w:p>
        </w:tc>
      </w:tr>
      <w:tr w:rsidR="003239B8" w:rsidRPr="00006B74" w14:paraId="3E62E1D3" w14:textId="77777777" w:rsidTr="00954B82">
        <w:tc>
          <w:tcPr>
            <w:tcW w:w="2790" w:type="dxa"/>
            <w:tcBorders>
              <w:top w:val="single" w:sz="6" w:space="0" w:color="auto"/>
              <w:bottom w:val="single" w:sz="6" w:space="0" w:color="auto"/>
            </w:tcBorders>
            <w:shd w:val="clear" w:color="auto" w:fill="386294"/>
            <w:vAlign w:val="center"/>
          </w:tcPr>
          <w:p w14:paraId="340B0F09" w14:textId="16C11299"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Estado denunciado</w:t>
            </w:r>
          </w:p>
        </w:tc>
        <w:tc>
          <w:tcPr>
            <w:tcW w:w="6570" w:type="dxa"/>
            <w:vAlign w:val="center"/>
          </w:tcPr>
          <w:p w14:paraId="274C8A50" w14:textId="6B25DD5F" w:rsidR="003239B8" w:rsidRPr="00730EA9" w:rsidRDefault="004A241F" w:rsidP="008D2290">
            <w:pPr>
              <w:jc w:val="both"/>
              <w:rPr>
                <w:rFonts w:ascii="Cambria" w:hAnsi="Cambria"/>
                <w:bCs/>
                <w:sz w:val="19"/>
                <w:szCs w:val="19"/>
                <w:lang w:val="es-ES"/>
              </w:rPr>
            </w:pPr>
            <w:r w:rsidRPr="00730EA9">
              <w:rPr>
                <w:rFonts w:ascii="Cambria" w:hAnsi="Cambria"/>
                <w:bCs/>
                <w:sz w:val="19"/>
                <w:szCs w:val="19"/>
                <w:lang w:val="es-ES"/>
              </w:rPr>
              <w:t>Chile</w:t>
            </w:r>
            <w:r w:rsidR="004A6A54" w:rsidRPr="00730EA9">
              <w:rPr>
                <w:rStyle w:val="FootnoteReference"/>
                <w:rFonts w:ascii="Cambria" w:hAnsi="Cambria"/>
                <w:bCs/>
                <w:sz w:val="19"/>
                <w:szCs w:val="19"/>
                <w:lang w:val="es-ES"/>
              </w:rPr>
              <w:footnoteReference w:id="4"/>
            </w:r>
          </w:p>
        </w:tc>
      </w:tr>
      <w:tr w:rsidR="00223A29" w:rsidRPr="00D1295E" w14:paraId="632511BC" w14:textId="77777777" w:rsidTr="00954B82">
        <w:tc>
          <w:tcPr>
            <w:tcW w:w="2790" w:type="dxa"/>
            <w:tcBorders>
              <w:top w:val="single" w:sz="6" w:space="0" w:color="auto"/>
              <w:bottom w:val="single" w:sz="6" w:space="0" w:color="auto"/>
            </w:tcBorders>
            <w:shd w:val="clear" w:color="auto" w:fill="386294"/>
            <w:vAlign w:val="center"/>
          </w:tcPr>
          <w:p w14:paraId="727E2F6B" w14:textId="1D86EADA" w:rsidR="00223A29" w:rsidRPr="00006B74" w:rsidRDefault="001B3A00" w:rsidP="00E4118C">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Derechos </w:t>
            </w:r>
            <w:r w:rsidR="00E4118C" w:rsidRPr="00006B74">
              <w:rPr>
                <w:rFonts w:ascii="Cambria" w:hAnsi="Cambria"/>
                <w:bCs/>
                <w:color w:val="FFFFFF" w:themeColor="background1"/>
                <w:sz w:val="19"/>
                <w:szCs w:val="19"/>
                <w:lang w:val="es-ES"/>
              </w:rPr>
              <w:t>invocados</w:t>
            </w:r>
          </w:p>
        </w:tc>
        <w:tc>
          <w:tcPr>
            <w:tcW w:w="6570" w:type="dxa"/>
            <w:vAlign w:val="center"/>
          </w:tcPr>
          <w:p w14:paraId="6DEE1EEB" w14:textId="3E7909C4" w:rsidR="00223A29" w:rsidRPr="00730EA9" w:rsidRDefault="00BF514A" w:rsidP="007918D6">
            <w:pPr>
              <w:jc w:val="both"/>
              <w:rPr>
                <w:rFonts w:ascii="Cambria" w:hAnsi="Cambria"/>
                <w:bCs/>
                <w:sz w:val="19"/>
                <w:szCs w:val="19"/>
                <w:lang w:val="es-ES"/>
              </w:rPr>
            </w:pPr>
            <w:r w:rsidRPr="00730EA9">
              <w:rPr>
                <w:rFonts w:ascii="Cambria" w:hAnsi="Cambria"/>
                <w:bCs/>
                <w:sz w:val="19"/>
                <w:szCs w:val="19"/>
                <w:lang w:val="es-ES"/>
              </w:rPr>
              <w:t xml:space="preserve">Artículos </w:t>
            </w:r>
            <w:r w:rsidR="00D50A12" w:rsidRPr="00730EA9">
              <w:rPr>
                <w:rFonts w:ascii="Cambria" w:hAnsi="Cambria"/>
                <w:bCs/>
                <w:sz w:val="19"/>
                <w:szCs w:val="19"/>
                <w:lang w:val="es-ES"/>
              </w:rPr>
              <w:t xml:space="preserve">4 (vida), 5 (integridad personal), 7 (libertad personal), </w:t>
            </w:r>
            <w:r w:rsidR="007918D6" w:rsidRPr="00730EA9">
              <w:rPr>
                <w:rFonts w:ascii="Cambria" w:hAnsi="Cambria"/>
                <w:bCs/>
                <w:sz w:val="19"/>
                <w:szCs w:val="19"/>
                <w:lang w:val="es-ES"/>
              </w:rPr>
              <w:t>8 (garantías judiciales), 25 (protección judicial)</w:t>
            </w:r>
            <w:r w:rsidRPr="00730EA9">
              <w:rPr>
                <w:rFonts w:ascii="Cambria" w:hAnsi="Cambria"/>
                <w:bCs/>
                <w:sz w:val="19"/>
                <w:szCs w:val="19"/>
                <w:lang w:val="es-ES"/>
              </w:rPr>
              <w:t xml:space="preserve"> de la Convención Americana sobre Derechos Humanos</w:t>
            </w:r>
            <w:r w:rsidRPr="00730EA9">
              <w:rPr>
                <w:rStyle w:val="FootnoteReference"/>
                <w:rFonts w:ascii="Cambria" w:hAnsi="Cambria"/>
                <w:bCs/>
                <w:sz w:val="19"/>
                <w:szCs w:val="19"/>
                <w:lang w:val="es-ES"/>
              </w:rPr>
              <w:footnoteReference w:id="5"/>
            </w:r>
            <w:r w:rsidR="007918D6" w:rsidRPr="00730EA9">
              <w:rPr>
                <w:rFonts w:ascii="Cambria" w:hAnsi="Cambria"/>
                <w:bCs/>
                <w:sz w:val="19"/>
                <w:szCs w:val="19"/>
                <w:lang w:val="es-ES"/>
              </w:rPr>
              <w:t xml:space="preserve"> en relación con sus artículos 1.1 (obligación de respetar los derechos) y 2 (deber de adoptar disposiciones de derechos internos)</w:t>
            </w:r>
          </w:p>
        </w:tc>
      </w:tr>
    </w:tbl>
    <w:p w14:paraId="20263696" w14:textId="77777777"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II.</w:t>
      </w:r>
      <w:r w:rsidRPr="00006B74">
        <w:rPr>
          <w:rFonts w:asciiTheme="majorHAnsi" w:hAnsiTheme="majorHAnsi"/>
          <w:b/>
          <w:bCs/>
          <w:sz w:val="20"/>
          <w:szCs w:val="20"/>
          <w:lang w:val="es-ES"/>
        </w:rPr>
        <w:tab/>
        <w:t>TRÁMITE ANTE LA CIDH</w:t>
      </w:r>
      <w:r w:rsidR="008E3BFE" w:rsidRPr="00006B74">
        <w:rPr>
          <w:rStyle w:val="FootnoteReference"/>
          <w:rFonts w:ascii="Cambria" w:hAnsi="Cambria"/>
          <w:b/>
          <w:sz w:val="20"/>
          <w:szCs w:val="20"/>
          <w:lang w:val="es-ES"/>
        </w:rPr>
        <w:footnoteReference w:id="6"/>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4C2312" w:rsidRPr="00006B74" w14:paraId="306EFCB0" w14:textId="77777777" w:rsidTr="00954B82">
        <w:tc>
          <w:tcPr>
            <w:tcW w:w="2790" w:type="dxa"/>
            <w:tcBorders>
              <w:top w:val="single" w:sz="6" w:space="0" w:color="auto"/>
              <w:bottom w:val="single" w:sz="6" w:space="0" w:color="auto"/>
            </w:tcBorders>
            <w:shd w:val="clear" w:color="auto" w:fill="386294"/>
            <w:vAlign w:val="center"/>
          </w:tcPr>
          <w:p w14:paraId="7508D16F" w14:textId="2A4C7FC3" w:rsidR="004C2312" w:rsidRPr="00006B74" w:rsidRDefault="000C1C69" w:rsidP="004A6A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Recepción</w:t>
            </w:r>
            <w:r w:rsidR="00D77503" w:rsidRPr="00006B74">
              <w:rPr>
                <w:rFonts w:ascii="Cambria" w:hAnsi="Cambria"/>
                <w:bCs/>
                <w:color w:val="FFFFFF" w:themeColor="background1"/>
                <w:sz w:val="19"/>
                <w:szCs w:val="19"/>
                <w:lang w:val="es-ES"/>
              </w:rPr>
              <w:t xml:space="preserve"> de la petición</w:t>
            </w:r>
          </w:p>
        </w:tc>
        <w:tc>
          <w:tcPr>
            <w:tcW w:w="6570" w:type="dxa"/>
            <w:vAlign w:val="center"/>
          </w:tcPr>
          <w:p w14:paraId="6E579153" w14:textId="41D01835" w:rsidR="004C2312" w:rsidRPr="00006B74" w:rsidRDefault="003F682C" w:rsidP="002625EA">
            <w:pPr>
              <w:jc w:val="both"/>
              <w:rPr>
                <w:rFonts w:ascii="Cambria" w:hAnsi="Cambria"/>
                <w:bCs/>
                <w:sz w:val="19"/>
                <w:szCs w:val="19"/>
                <w:lang w:val="es-ES"/>
              </w:rPr>
            </w:pPr>
            <w:r>
              <w:rPr>
                <w:rFonts w:ascii="Cambria" w:hAnsi="Cambria"/>
                <w:bCs/>
                <w:sz w:val="19"/>
                <w:szCs w:val="19"/>
                <w:lang w:val="es-ES"/>
              </w:rPr>
              <w:t>14 de noviembre de 2009</w:t>
            </w:r>
          </w:p>
        </w:tc>
      </w:tr>
      <w:tr w:rsidR="004C2312" w:rsidRPr="00006B74" w14:paraId="1BDCD5C6" w14:textId="77777777" w:rsidTr="00954B82">
        <w:tc>
          <w:tcPr>
            <w:tcW w:w="2790" w:type="dxa"/>
            <w:tcBorders>
              <w:top w:val="single" w:sz="6" w:space="0" w:color="auto"/>
              <w:bottom w:val="single" w:sz="6" w:space="0" w:color="auto"/>
            </w:tcBorders>
            <w:shd w:val="clear" w:color="auto" w:fill="386294"/>
            <w:vAlign w:val="center"/>
          </w:tcPr>
          <w:p w14:paraId="7A18664F" w14:textId="53CE1B14" w:rsidR="004C2312" w:rsidRPr="00006B74" w:rsidRDefault="004A6A54" w:rsidP="000C1C69">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N</w:t>
            </w:r>
            <w:r w:rsidR="004C2312" w:rsidRPr="00006B74">
              <w:rPr>
                <w:rFonts w:ascii="Cambria" w:hAnsi="Cambria"/>
                <w:color w:val="FFFFFF" w:themeColor="background1"/>
                <w:sz w:val="19"/>
                <w:szCs w:val="19"/>
                <w:lang w:val="es-ES"/>
              </w:rPr>
              <w:t>otificación de la petición</w:t>
            </w:r>
          </w:p>
        </w:tc>
        <w:tc>
          <w:tcPr>
            <w:tcW w:w="6570" w:type="dxa"/>
            <w:vAlign w:val="center"/>
          </w:tcPr>
          <w:p w14:paraId="1519DA6A" w14:textId="673D747B" w:rsidR="004C2312" w:rsidRPr="00006B74" w:rsidRDefault="003F682C" w:rsidP="008D2290">
            <w:pPr>
              <w:jc w:val="both"/>
              <w:rPr>
                <w:rFonts w:ascii="Cambria" w:hAnsi="Cambria"/>
                <w:bCs/>
                <w:sz w:val="19"/>
                <w:szCs w:val="19"/>
                <w:lang w:val="es-ES"/>
              </w:rPr>
            </w:pPr>
            <w:r>
              <w:rPr>
                <w:rFonts w:ascii="Cambria" w:hAnsi="Cambria"/>
                <w:bCs/>
                <w:sz w:val="19"/>
                <w:szCs w:val="19"/>
                <w:lang w:val="es-ES"/>
              </w:rPr>
              <w:t>2 de septiembre de 2014</w:t>
            </w:r>
          </w:p>
        </w:tc>
      </w:tr>
      <w:tr w:rsidR="00F06354" w:rsidRPr="00006B74" w14:paraId="6147A8D5" w14:textId="77777777" w:rsidTr="00954B82">
        <w:tc>
          <w:tcPr>
            <w:tcW w:w="2790" w:type="dxa"/>
            <w:tcBorders>
              <w:top w:val="single" w:sz="6" w:space="0" w:color="auto"/>
              <w:bottom w:val="single" w:sz="6" w:space="0" w:color="auto"/>
            </w:tcBorders>
            <w:shd w:val="clear" w:color="auto" w:fill="386294"/>
            <w:vAlign w:val="center"/>
          </w:tcPr>
          <w:p w14:paraId="0201C86D" w14:textId="678B514E" w:rsidR="00F06354" w:rsidRPr="00006B74" w:rsidRDefault="00D77503" w:rsidP="00F06354">
            <w:pPr>
              <w:jc w:val="center"/>
              <w:rPr>
                <w:rFonts w:ascii="Cambria" w:hAnsi="Cambria"/>
                <w:bCs/>
                <w:color w:val="FFFFFF" w:themeColor="background1"/>
                <w:sz w:val="19"/>
                <w:szCs w:val="19"/>
                <w:lang w:val="es-ES"/>
              </w:rPr>
            </w:pPr>
            <w:r w:rsidRPr="00006B74">
              <w:rPr>
                <w:rFonts w:ascii="Cambria" w:hAnsi="Cambria"/>
                <w:color w:val="FFFFFF" w:themeColor="background1"/>
                <w:sz w:val="19"/>
                <w:szCs w:val="19"/>
                <w:lang w:val="es-ES"/>
              </w:rPr>
              <w:t>Primera respuesta del Estado</w:t>
            </w:r>
          </w:p>
        </w:tc>
        <w:tc>
          <w:tcPr>
            <w:tcW w:w="6570" w:type="dxa"/>
            <w:vAlign w:val="center"/>
          </w:tcPr>
          <w:p w14:paraId="1972B99E" w14:textId="3BAA7A9C" w:rsidR="00F06354" w:rsidRPr="00006B74" w:rsidRDefault="003F682C" w:rsidP="00F06354">
            <w:pPr>
              <w:jc w:val="both"/>
              <w:rPr>
                <w:rFonts w:ascii="Cambria" w:hAnsi="Cambria"/>
                <w:bCs/>
                <w:sz w:val="19"/>
                <w:szCs w:val="19"/>
                <w:lang w:val="es-ES"/>
              </w:rPr>
            </w:pPr>
            <w:r>
              <w:rPr>
                <w:rFonts w:ascii="Cambria" w:hAnsi="Cambria"/>
                <w:bCs/>
                <w:sz w:val="19"/>
                <w:szCs w:val="19"/>
                <w:lang w:val="es-ES"/>
              </w:rPr>
              <w:t>4 de agosto de 2017</w:t>
            </w:r>
          </w:p>
        </w:tc>
      </w:tr>
      <w:tr w:rsidR="00F06354" w:rsidRPr="00754309" w14:paraId="322668B6" w14:textId="77777777" w:rsidTr="00954B82">
        <w:tc>
          <w:tcPr>
            <w:tcW w:w="2790" w:type="dxa"/>
            <w:tcBorders>
              <w:top w:val="single" w:sz="6" w:space="0" w:color="auto"/>
              <w:bottom w:val="single" w:sz="6" w:space="0" w:color="auto"/>
            </w:tcBorders>
            <w:shd w:val="clear" w:color="auto" w:fill="386294"/>
            <w:vAlign w:val="center"/>
          </w:tcPr>
          <w:p w14:paraId="1524DA55" w14:textId="2EFC7BC3" w:rsidR="00F06354" w:rsidRPr="00006B74" w:rsidRDefault="00F06354" w:rsidP="00F06354">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Observaciones adicionales de</w:t>
            </w:r>
            <w:r w:rsidR="00D77503" w:rsidRPr="00006B74">
              <w:rPr>
                <w:rFonts w:ascii="Cambria" w:hAnsi="Cambria"/>
                <w:bCs/>
                <w:color w:val="FFFFFF" w:themeColor="background1"/>
                <w:sz w:val="19"/>
                <w:szCs w:val="19"/>
                <w:lang w:val="es-ES"/>
              </w:rPr>
              <w:t xml:space="preserve"> la parte peticionaria</w:t>
            </w:r>
          </w:p>
        </w:tc>
        <w:tc>
          <w:tcPr>
            <w:tcW w:w="6570" w:type="dxa"/>
            <w:vAlign w:val="center"/>
          </w:tcPr>
          <w:p w14:paraId="41D8B862" w14:textId="162E8A0B" w:rsidR="00F06354" w:rsidRPr="00006B74" w:rsidRDefault="003F682C" w:rsidP="00D77503">
            <w:pPr>
              <w:jc w:val="both"/>
              <w:rPr>
                <w:rFonts w:ascii="Cambria" w:hAnsi="Cambria"/>
                <w:bCs/>
                <w:sz w:val="19"/>
                <w:szCs w:val="19"/>
                <w:lang w:val="es-ES"/>
              </w:rPr>
            </w:pPr>
            <w:r>
              <w:rPr>
                <w:rFonts w:ascii="Cambria" w:hAnsi="Cambria"/>
                <w:bCs/>
                <w:sz w:val="19"/>
                <w:szCs w:val="19"/>
                <w:lang w:val="es-ES"/>
              </w:rPr>
              <w:t>12 de febrero de 2018</w:t>
            </w:r>
          </w:p>
        </w:tc>
      </w:tr>
    </w:tbl>
    <w:p w14:paraId="21DAA666" w14:textId="5065046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III. </w:t>
      </w:r>
      <w:r w:rsidRPr="00006B74">
        <w:rPr>
          <w:rFonts w:asciiTheme="majorHAnsi" w:hAnsiTheme="majorHAnsi"/>
          <w:b/>
          <w:bCs/>
          <w:sz w:val="20"/>
          <w:szCs w:val="20"/>
          <w:lang w:val="es-ES"/>
        </w:rPr>
        <w:tab/>
        <w:t>COMPETENCIA</w:t>
      </w:r>
      <w:r w:rsidR="00EE00E9" w:rsidRPr="00006B7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3239B8" w:rsidRPr="00006B74" w14:paraId="072532AD" w14:textId="77777777" w:rsidTr="00954B82">
        <w:trPr>
          <w:cantSplit/>
        </w:trPr>
        <w:tc>
          <w:tcPr>
            <w:tcW w:w="2790" w:type="dxa"/>
            <w:tcBorders>
              <w:top w:val="single" w:sz="4" w:space="0" w:color="auto"/>
              <w:bottom w:val="single" w:sz="6" w:space="0" w:color="auto"/>
            </w:tcBorders>
            <w:shd w:val="clear" w:color="auto" w:fill="386294"/>
            <w:vAlign w:val="center"/>
          </w:tcPr>
          <w:p w14:paraId="5C2E4B34" w14:textId="7281AAF8" w:rsidR="003239B8" w:rsidRPr="00006B74" w:rsidRDefault="00D77503" w:rsidP="008D2290">
            <w:pPr>
              <w:jc w:val="center"/>
              <w:rPr>
                <w:rFonts w:ascii="Cambria" w:hAnsi="Cambria"/>
                <w:bCs/>
                <w:i/>
                <w:color w:val="FFFFFF" w:themeColor="background1"/>
                <w:sz w:val="19"/>
                <w:szCs w:val="19"/>
                <w:lang w:val="es-ES"/>
              </w:rPr>
            </w:pPr>
            <w:r w:rsidRPr="00006B74">
              <w:rPr>
                <w:rFonts w:ascii="Cambria" w:hAnsi="Cambria"/>
                <w:bCs/>
                <w:i/>
                <w:color w:val="FFFFFF" w:themeColor="background1"/>
                <w:sz w:val="19"/>
                <w:szCs w:val="19"/>
                <w:lang w:val="es-ES"/>
              </w:rPr>
              <w:t>Ratione personae</w:t>
            </w:r>
          </w:p>
        </w:tc>
        <w:tc>
          <w:tcPr>
            <w:tcW w:w="6570" w:type="dxa"/>
            <w:vAlign w:val="center"/>
          </w:tcPr>
          <w:p w14:paraId="7707F3E9" w14:textId="0B8E9A7F" w:rsidR="003239B8" w:rsidRPr="003731EB" w:rsidRDefault="00117E34" w:rsidP="008D2290">
            <w:pPr>
              <w:rPr>
                <w:rFonts w:asciiTheme="majorHAnsi" w:hAnsiTheme="majorHAnsi"/>
                <w:bCs/>
                <w:sz w:val="19"/>
                <w:szCs w:val="19"/>
                <w:lang w:val="es-ES"/>
              </w:rPr>
            </w:pPr>
            <w:r w:rsidRPr="003731EB">
              <w:rPr>
                <w:rFonts w:asciiTheme="majorHAnsi" w:hAnsiTheme="majorHAnsi"/>
                <w:bCs/>
                <w:sz w:val="19"/>
                <w:szCs w:val="19"/>
                <w:lang w:val="es-ES"/>
              </w:rPr>
              <w:t>Sí</w:t>
            </w:r>
          </w:p>
        </w:tc>
      </w:tr>
      <w:tr w:rsidR="003239B8" w:rsidRPr="00006B74" w14:paraId="4B8802DA" w14:textId="77777777" w:rsidTr="00954B82">
        <w:trPr>
          <w:cantSplit/>
        </w:trPr>
        <w:tc>
          <w:tcPr>
            <w:tcW w:w="2790" w:type="dxa"/>
            <w:tcBorders>
              <w:top w:val="single" w:sz="6" w:space="0" w:color="auto"/>
              <w:bottom w:val="single" w:sz="6" w:space="0" w:color="auto"/>
            </w:tcBorders>
            <w:shd w:val="clear" w:color="auto" w:fill="386294"/>
            <w:vAlign w:val="center"/>
          </w:tcPr>
          <w:p w14:paraId="3915C23B" w14:textId="629F623D"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loci</w:t>
            </w:r>
          </w:p>
        </w:tc>
        <w:tc>
          <w:tcPr>
            <w:tcW w:w="6570" w:type="dxa"/>
            <w:vAlign w:val="center"/>
          </w:tcPr>
          <w:p w14:paraId="12C931CB" w14:textId="6DC83E2D" w:rsidR="003239B8" w:rsidRPr="003731EB" w:rsidRDefault="00117E34" w:rsidP="008D2290">
            <w:pPr>
              <w:rPr>
                <w:rFonts w:asciiTheme="majorHAnsi" w:hAnsiTheme="majorHAnsi"/>
                <w:bCs/>
                <w:sz w:val="19"/>
                <w:szCs w:val="19"/>
                <w:lang w:val="es-ES"/>
              </w:rPr>
            </w:pPr>
            <w:r w:rsidRPr="003731EB">
              <w:rPr>
                <w:rFonts w:asciiTheme="majorHAnsi" w:hAnsiTheme="majorHAnsi"/>
                <w:bCs/>
                <w:sz w:val="19"/>
                <w:szCs w:val="19"/>
                <w:lang w:val="es-ES"/>
              </w:rPr>
              <w:t>Sí</w:t>
            </w:r>
          </w:p>
        </w:tc>
      </w:tr>
      <w:tr w:rsidR="003239B8" w:rsidRPr="00006B74" w14:paraId="4362FDF3" w14:textId="77777777" w:rsidTr="00954B82">
        <w:trPr>
          <w:cantSplit/>
        </w:trPr>
        <w:tc>
          <w:tcPr>
            <w:tcW w:w="2790" w:type="dxa"/>
            <w:tcBorders>
              <w:top w:val="single" w:sz="6" w:space="0" w:color="auto"/>
              <w:bottom w:val="single" w:sz="6" w:space="0" w:color="auto"/>
            </w:tcBorders>
            <w:shd w:val="clear" w:color="auto" w:fill="386294"/>
            <w:vAlign w:val="center"/>
          </w:tcPr>
          <w:p w14:paraId="3BE23153" w14:textId="1788B5D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temporis</w:t>
            </w:r>
          </w:p>
        </w:tc>
        <w:tc>
          <w:tcPr>
            <w:tcW w:w="6570" w:type="dxa"/>
            <w:vAlign w:val="center"/>
          </w:tcPr>
          <w:p w14:paraId="6F8B059B" w14:textId="282D763B" w:rsidR="003239B8" w:rsidRPr="003731EB" w:rsidRDefault="00117E34" w:rsidP="008D2290">
            <w:pPr>
              <w:rPr>
                <w:rFonts w:asciiTheme="majorHAnsi" w:hAnsiTheme="majorHAnsi"/>
                <w:bCs/>
                <w:sz w:val="19"/>
                <w:szCs w:val="19"/>
                <w:lang w:val="es-ES"/>
              </w:rPr>
            </w:pPr>
            <w:r w:rsidRPr="003731EB">
              <w:rPr>
                <w:rFonts w:asciiTheme="majorHAnsi" w:hAnsiTheme="majorHAnsi"/>
                <w:bCs/>
                <w:sz w:val="19"/>
                <w:szCs w:val="19"/>
                <w:lang w:val="es-ES"/>
              </w:rPr>
              <w:t>Sí</w:t>
            </w:r>
          </w:p>
        </w:tc>
      </w:tr>
      <w:tr w:rsidR="003239B8" w:rsidRPr="00D1295E" w14:paraId="30ABEC3E" w14:textId="77777777" w:rsidTr="00954B82">
        <w:trPr>
          <w:cantSplit/>
        </w:trPr>
        <w:tc>
          <w:tcPr>
            <w:tcW w:w="2790" w:type="dxa"/>
            <w:tcBorders>
              <w:top w:val="single" w:sz="6" w:space="0" w:color="auto"/>
              <w:bottom w:val="single" w:sz="6" w:space="0" w:color="auto"/>
            </w:tcBorders>
            <w:shd w:val="clear" w:color="auto" w:fill="386294"/>
            <w:vAlign w:val="center"/>
          </w:tcPr>
          <w:p w14:paraId="47B529D2" w14:textId="72B41633" w:rsidR="003239B8" w:rsidRPr="00006B74" w:rsidRDefault="003239B8" w:rsidP="008D2290">
            <w:pPr>
              <w:jc w:val="center"/>
              <w:rPr>
                <w:rFonts w:ascii="Cambria" w:hAnsi="Cambria"/>
                <w:bCs/>
                <w:color w:val="FFFFFF" w:themeColor="background1"/>
                <w:sz w:val="19"/>
                <w:szCs w:val="19"/>
                <w:lang w:val="es-ES"/>
              </w:rPr>
            </w:pPr>
            <w:r w:rsidRPr="00006B74">
              <w:rPr>
                <w:rFonts w:ascii="Cambria" w:hAnsi="Cambria"/>
                <w:bCs/>
                <w:i/>
                <w:color w:val="FFFFFF" w:themeColor="background1"/>
                <w:sz w:val="19"/>
                <w:szCs w:val="19"/>
                <w:lang w:val="es-ES"/>
              </w:rPr>
              <w:t>Ratione materia</w:t>
            </w:r>
            <w:r w:rsidR="00EE00E9" w:rsidRPr="00006B74">
              <w:rPr>
                <w:rFonts w:ascii="Cambria" w:hAnsi="Cambria"/>
                <w:bCs/>
                <w:i/>
                <w:color w:val="FFFFFF" w:themeColor="background1"/>
                <w:sz w:val="19"/>
                <w:szCs w:val="19"/>
                <w:lang w:val="es-ES"/>
              </w:rPr>
              <w:t>e</w:t>
            </w:r>
          </w:p>
        </w:tc>
        <w:tc>
          <w:tcPr>
            <w:tcW w:w="6570" w:type="dxa"/>
            <w:vAlign w:val="center"/>
          </w:tcPr>
          <w:p w14:paraId="0C122F44" w14:textId="7C53FB81" w:rsidR="003239B8" w:rsidRPr="003731EB" w:rsidRDefault="00D50A12" w:rsidP="008D2290">
            <w:pPr>
              <w:jc w:val="both"/>
              <w:rPr>
                <w:rFonts w:asciiTheme="majorHAnsi" w:hAnsiTheme="majorHAnsi"/>
                <w:bCs/>
                <w:sz w:val="19"/>
                <w:szCs w:val="19"/>
                <w:lang w:val="es-ES"/>
              </w:rPr>
            </w:pPr>
            <w:r w:rsidRPr="003731EB">
              <w:rPr>
                <w:rFonts w:asciiTheme="majorHAnsi" w:hAnsiTheme="majorHAnsi"/>
                <w:bCs/>
                <w:sz w:val="19"/>
                <w:szCs w:val="19"/>
                <w:lang w:val="es-ES"/>
              </w:rPr>
              <w:t>Sí, Declaración Americana de los Derechos y Deberes del Hombre</w:t>
            </w:r>
            <w:r w:rsidRPr="003731EB">
              <w:rPr>
                <w:rStyle w:val="FootnoteReference"/>
                <w:rFonts w:asciiTheme="majorHAnsi" w:hAnsiTheme="majorHAnsi"/>
                <w:bCs/>
                <w:sz w:val="19"/>
                <w:szCs w:val="19"/>
                <w:lang w:val="es-ES"/>
              </w:rPr>
              <w:footnoteReference w:id="7"/>
            </w:r>
            <w:r w:rsidRPr="003731EB">
              <w:rPr>
                <w:rFonts w:asciiTheme="majorHAnsi" w:hAnsiTheme="majorHAnsi"/>
                <w:bCs/>
                <w:sz w:val="19"/>
                <w:szCs w:val="19"/>
                <w:lang w:val="es-ES"/>
              </w:rPr>
              <w:t xml:space="preserve"> (ratificación de la Carta de la OEA el 5 de junio de 1953); Convención Americana (depósito de instrumento realizado el 21 de agosto de 1990); Convención Interamericana para Prevenir y Sancionar la Tortura</w:t>
            </w:r>
            <w:r w:rsidRPr="003731EB">
              <w:rPr>
                <w:rStyle w:val="FootnoteReference"/>
                <w:rFonts w:asciiTheme="majorHAnsi" w:hAnsiTheme="majorHAnsi"/>
                <w:bCs/>
                <w:sz w:val="19"/>
                <w:szCs w:val="19"/>
                <w:lang w:val="es-ES"/>
              </w:rPr>
              <w:footnoteReference w:id="8"/>
            </w:r>
            <w:r w:rsidRPr="003731EB">
              <w:rPr>
                <w:rFonts w:asciiTheme="majorHAnsi" w:hAnsiTheme="majorHAnsi"/>
                <w:bCs/>
                <w:sz w:val="19"/>
                <w:szCs w:val="19"/>
                <w:lang w:val="es-ES"/>
              </w:rPr>
              <w:t xml:space="preserve"> (depósito de instrumento realizado el 30 de septiembre de 1988</w:t>
            </w:r>
            <w:r w:rsidRPr="003731EB">
              <w:rPr>
                <w:rFonts w:asciiTheme="majorHAnsi" w:hAnsiTheme="majorHAnsi"/>
                <w:bCs/>
                <w:sz w:val="19"/>
                <w:szCs w:val="19"/>
                <w:lang w:val="es-MX"/>
              </w:rPr>
              <w:t>); y Convención Interamericana sobre Desaparición Forzada de Personas (depósito de instrumento realizado el 26 de enero de 2010)</w:t>
            </w:r>
          </w:p>
        </w:tc>
      </w:tr>
    </w:tbl>
    <w:p w14:paraId="4E92C444" w14:textId="1992E27E" w:rsidR="003239B8" w:rsidRPr="00006B74" w:rsidRDefault="003239B8" w:rsidP="007C402A">
      <w:pPr>
        <w:spacing w:before="120" w:after="120"/>
        <w:ind w:firstLine="720"/>
        <w:jc w:val="both"/>
        <w:rPr>
          <w:rFonts w:asciiTheme="majorHAnsi" w:hAnsiTheme="majorHAnsi"/>
          <w:b/>
          <w:bCs/>
          <w:sz w:val="20"/>
          <w:szCs w:val="20"/>
          <w:lang w:val="es-ES"/>
        </w:rPr>
      </w:pPr>
      <w:r w:rsidRPr="00006B74">
        <w:rPr>
          <w:rFonts w:asciiTheme="majorHAnsi" w:hAnsiTheme="majorHAnsi"/>
          <w:b/>
          <w:bCs/>
          <w:sz w:val="20"/>
          <w:szCs w:val="20"/>
          <w:lang w:val="es-ES"/>
        </w:rPr>
        <w:t xml:space="preserve">IV. </w:t>
      </w:r>
      <w:r w:rsidRPr="00006B74">
        <w:rPr>
          <w:rFonts w:asciiTheme="majorHAnsi" w:hAnsiTheme="majorHAnsi"/>
          <w:b/>
          <w:bCs/>
          <w:sz w:val="20"/>
          <w:szCs w:val="20"/>
          <w:lang w:val="es-ES"/>
        </w:rPr>
        <w:tab/>
      </w:r>
      <w:r w:rsidR="00EE00E9" w:rsidRPr="00006B74">
        <w:rPr>
          <w:rFonts w:asciiTheme="majorHAnsi" w:hAnsiTheme="majorHAnsi"/>
          <w:b/>
          <w:bCs/>
          <w:sz w:val="20"/>
          <w:szCs w:val="20"/>
          <w:lang w:val="es-ES"/>
        </w:rPr>
        <w:t>DUPLICACIÓN</w:t>
      </w:r>
      <w:r w:rsidR="00EE00E9" w:rsidRPr="00006B74">
        <w:rPr>
          <w:rFonts w:asciiTheme="majorHAnsi" w:hAnsiTheme="majorHAnsi"/>
          <w:b/>
          <w:bCs/>
          <w:color w:val="FFFFFF" w:themeColor="background1"/>
          <w:sz w:val="20"/>
          <w:szCs w:val="20"/>
          <w:lang w:val="es-ES"/>
        </w:rPr>
        <w:t xml:space="preserve"> </w:t>
      </w:r>
      <w:r w:rsidR="00EE00E9" w:rsidRPr="00006B74">
        <w:rPr>
          <w:rFonts w:asciiTheme="majorHAnsi" w:hAnsiTheme="majorHAnsi"/>
          <w:b/>
          <w:bCs/>
          <w:sz w:val="20"/>
          <w:szCs w:val="20"/>
          <w:lang w:val="es-ES"/>
        </w:rPr>
        <w:t>DE PROCEDIMIENTOS Y COSA JUZGADA</w:t>
      </w:r>
      <w:r w:rsidR="00EE00E9" w:rsidRPr="00006B74">
        <w:rPr>
          <w:rFonts w:asciiTheme="majorHAnsi" w:hAnsiTheme="majorHAnsi"/>
          <w:b/>
          <w:bCs/>
          <w:i/>
          <w:sz w:val="20"/>
          <w:szCs w:val="20"/>
          <w:lang w:val="es-ES"/>
        </w:rPr>
        <w:t xml:space="preserve"> </w:t>
      </w:r>
      <w:r w:rsidR="00D23D8D" w:rsidRPr="00006B74">
        <w:rPr>
          <w:rFonts w:asciiTheme="majorHAnsi" w:hAnsiTheme="majorHAnsi"/>
          <w:b/>
          <w:bCs/>
          <w:sz w:val="20"/>
          <w:szCs w:val="20"/>
          <w:lang w:val="es-ES"/>
        </w:rPr>
        <w:t>INTERNACIONAL, CARACTERIZACIÓN</w:t>
      </w:r>
      <w:r w:rsidRPr="00006B74">
        <w:rPr>
          <w:rFonts w:asciiTheme="majorHAnsi" w:hAnsiTheme="majorHAnsi"/>
          <w:b/>
          <w:bCs/>
          <w:sz w:val="20"/>
          <w:szCs w:val="20"/>
          <w:lang w:val="es-ES"/>
        </w:rPr>
        <w:t xml:space="preserve">, </w:t>
      </w:r>
      <w:r w:rsidRPr="00006B7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2790"/>
        <w:gridCol w:w="6570"/>
      </w:tblGrid>
      <w:tr w:rsidR="00EE00E9" w:rsidRPr="00754309" w14:paraId="1231C988" w14:textId="77777777" w:rsidTr="00954B82">
        <w:trPr>
          <w:cantSplit/>
        </w:trPr>
        <w:tc>
          <w:tcPr>
            <w:tcW w:w="2790" w:type="dxa"/>
            <w:tcBorders>
              <w:top w:val="single" w:sz="4" w:space="0" w:color="auto"/>
              <w:bottom w:val="single" w:sz="6" w:space="0" w:color="auto"/>
            </w:tcBorders>
            <w:shd w:val="clear" w:color="auto" w:fill="386294"/>
            <w:vAlign w:val="center"/>
          </w:tcPr>
          <w:p w14:paraId="6F8031F4" w14:textId="03D8D2D1" w:rsidR="00EE00E9" w:rsidRPr="00006B74" w:rsidRDefault="00EE00E9" w:rsidP="00954B82">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Duplicación </w:t>
            </w:r>
            <w:r w:rsidR="00D77503" w:rsidRPr="00006B74">
              <w:rPr>
                <w:rFonts w:ascii="Cambria" w:hAnsi="Cambria"/>
                <w:bCs/>
                <w:color w:val="FFFFFF" w:themeColor="background1"/>
                <w:sz w:val="19"/>
                <w:szCs w:val="19"/>
                <w:lang w:val="es-ES"/>
              </w:rPr>
              <w:t>y cosa juzgada internacional</w:t>
            </w:r>
          </w:p>
        </w:tc>
        <w:tc>
          <w:tcPr>
            <w:tcW w:w="6570" w:type="dxa"/>
            <w:vAlign w:val="center"/>
          </w:tcPr>
          <w:p w14:paraId="240941E6" w14:textId="47776F53" w:rsidR="00EE00E9" w:rsidRPr="00006B74" w:rsidRDefault="006C1D90" w:rsidP="008D2290">
            <w:pPr>
              <w:jc w:val="both"/>
              <w:rPr>
                <w:rFonts w:ascii="Cambria" w:hAnsi="Cambria"/>
                <w:bCs/>
                <w:sz w:val="19"/>
                <w:szCs w:val="19"/>
                <w:lang w:val="es-ES"/>
              </w:rPr>
            </w:pPr>
            <w:r>
              <w:rPr>
                <w:rFonts w:ascii="Cambria" w:hAnsi="Cambria"/>
                <w:bCs/>
                <w:sz w:val="19"/>
                <w:szCs w:val="19"/>
                <w:lang w:val="es-ES"/>
              </w:rPr>
              <w:t>No</w:t>
            </w:r>
          </w:p>
        </w:tc>
      </w:tr>
      <w:tr w:rsidR="003239B8" w:rsidRPr="00D1295E" w14:paraId="15FAA7D1" w14:textId="77777777" w:rsidTr="00954B82">
        <w:trPr>
          <w:cantSplit/>
        </w:trPr>
        <w:tc>
          <w:tcPr>
            <w:tcW w:w="2790" w:type="dxa"/>
            <w:tcBorders>
              <w:top w:val="single" w:sz="4" w:space="0" w:color="auto"/>
              <w:bottom w:val="single" w:sz="6" w:space="0" w:color="auto"/>
            </w:tcBorders>
            <w:shd w:val="clear" w:color="auto" w:fill="386294"/>
            <w:vAlign w:val="center"/>
          </w:tcPr>
          <w:p w14:paraId="1B0D29FF" w14:textId="4FE01870" w:rsidR="003239B8" w:rsidRPr="00006B74" w:rsidRDefault="003239B8" w:rsidP="00954B82">
            <w:pPr>
              <w:jc w:val="center"/>
              <w:rPr>
                <w:rFonts w:ascii="Cambria" w:hAnsi="Cambria"/>
                <w:bCs/>
                <w:i/>
                <w:color w:val="FFFFFF" w:themeColor="background1"/>
                <w:sz w:val="19"/>
                <w:szCs w:val="19"/>
                <w:lang w:val="es-ES"/>
              </w:rPr>
            </w:pPr>
            <w:r w:rsidRPr="00006B74">
              <w:rPr>
                <w:rFonts w:ascii="Cambria" w:hAnsi="Cambria"/>
                <w:bCs/>
                <w:color w:val="FFFFFF" w:themeColor="background1"/>
                <w:sz w:val="19"/>
                <w:szCs w:val="19"/>
                <w:lang w:val="es-ES"/>
              </w:rPr>
              <w:t>Derechos admi</w:t>
            </w:r>
            <w:r w:rsidR="00954B82" w:rsidRPr="00006B74">
              <w:rPr>
                <w:rFonts w:ascii="Cambria" w:hAnsi="Cambria"/>
                <w:bCs/>
                <w:color w:val="FFFFFF" w:themeColor="background1"/>
                <w:sz w:val="19"/>
                <w:szCs w:val="19"/>
                <w:lang w:val="es-ES"/>
              </w:rPr>
              <w:t>tidos</w:t>
            </w:r>
          </w:p>
        </w:tc>
        <w:tc>
          <w:tcPr>
            <w:tcW w:w="6570" w:type="dxa"/>
            <w:vAlign w:val="center"/>
          </w:tcPr>
          <w:p w14:paraId="6310C8F7" w14:textId="20898395" w:rsidR="003239B8" w:rsidRPr="00CB3D6A" w:rsidRDefault="005071CD" w:rsidP="00A04697">
            <w:pPr>
              <w:jc w:val="both"/>
              <w:rPr>
                <w:rFonts w:ascii="Cambria" w:hAnsi="Cambria"/>
                <w:bCs/>
                <w:sz w:val="19"/>
                <w:szCs w:val="19"/>
                <w:lang w:val="es-MX"/>
              </w:rPr>
            </w:pPr>
            <w:r>
              <w:rPr>
                <w:rFonts w:ascii="Cambria" w:hAnsi="Cambria"/>
                <w:bCs/>
                <w:sz w:val="19"/>
                <w:szCs w:val="19"/>
                <w:lang w:val="es-ES"/>
              </w:rPr>
              <w:t>A</w:t>
            </w:r>
            <w:r w:rsidRPr="003C7298">
              <w:rPr>
                <w:rFonts w:ascii="Cambria" w:hAnsi="Cambria"/>
                <w:bCs/>
                <w:sz w:val="19"/>
                <w:szCs w:val="19"/>
                <w:lang w:val="es-ES"/>
              </w:rPr>
              <w:t>rtículos 3 (personalidad jurídica), 4 (vida), 5 (integridad personal), 7 (libertad personal), 8 (garantías judiciales) y 25 (protección judicial) de la Convención Americana en relación con sus artículos 1.1 (obligación de respetar los derechos) y 2 (deber de adoptar disposiciones de derecho interno)</w:t>
            </w:r>
            <w:r>
              <w:rPr>
                <w:rFonts w:ascii="Cambria" w:hAnsi="Cambria"/>
                <w:bCs/>
                <w:sz w:val="19"/>
                <w:szCs w:val="19"/>
                <w:lang w:val="es-ES"/>
              </w:rPr>
              <w:t>; a</w:t>
            </w:r>
            <w:r w:rsidRPr="003C7298">
              <w:rPr>
                <w:rFonts w:ascii="Cambria" w:hAnsi="Cambria"/>
                <w:bCs/>
                <w:sz w:val="19"/>
                <w:szCs w:val="19"/>
                <w:lang w:val="es-ES"/>
              </w:rPr>
              <w:t>rtículos I (vida, libertad, seguridad e integridad de la persona), XVII (reconocimiento de la personalidad jurídica y de los derechos civiles), XVIII (justicia) y XXV (protección contra la detención arbitraria) de la Declaración Americana</w:t>
            </w:r>
            <w:r>
              <w:rPr>
                <w:rFonts w:ascii="Cambria" w:hAnsi="Cambria"/>
                <w:bCs/>
                <w:sz w:val="19"/>
                <w:szCs w:val="19"/>
                <w:lang w:val="es-ES"/>
              </w:rPr>
              <w:t>; a</w:t>
            </w:r>
            <w:r w:rsidRPr="003C7298">
              <w:rPr>
                <w:rFonts w:ascii="Cambria" w:hAnsi="Cambria"/>
                <w:bCs/>
                <w:sz w:val="19"/>
                <w:szCs w:val="19"/>
                <w:lang w:val="es-ES"/>
              </w:rPr>
              <w:t>rtículos 1, 6 y 8 de la Convención contra la Tortura; y artículo I de la Convención Interamericana sobre Desaparición Forzada de Personas</w:t>
            </w:r>
          </w:p>
        </w:tc>
      </w:tr>
      <w:tr w:rsidR="003239B8" w:rsidRPr="00D1295E" w14:paraId="4EFD141E" w14:textId="77777777" w:rsidTr="00954B82">
        <w:trPr>
          <w:cantSplit/>
        </w:trPr>
        <w:tc>
          <w:tcPr>
            <w:tcW w:w="2790" w:type="dxa"/>
            <w:tcBorders>
              <w:top w:val="single" w:sz="6" w:space="0" w:color="auto"/>
              <w:bottom w:val="single" w:sz="6" w:space="0" w:color="auto"/>
            </w:tcBorders>
            <w:shd w:val="clear" w:color="auto" w:fill="386294"/>
            <w:vAlign w:val="center"/>
          </w:tcPr>
          <w:p w14:paraId="4C04A89C" w14:textId="11DC3DBE" w:rsidR="003239B8" w:rsidRPr="00006B74" w:rsidRDefault="003239B8" w:rsidP="00D77503">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 xml:space="preserve">Agotamiento de recursos </w:t>
            </w:r>
            <w:r w:rsidR="00D77503" w:rsidRPr="00006B74">
              <w:rPr>
                <w:rFonts w:ascii="Cambria" w:hAnsi="Cambria"/>
                <w:bCs/>
                <w:color w:val="FFFFFF" w:themeColor="background1"/>
                <w:sz w:val="19"/>
                <w:szCs w:val="19"/>
                <w:lang w:val="es-ES"/>
              </w:rPr>
              <w:t>o procedencia de una excepción</w:t>
            </w:r>
          </w:p>
        </w:tc>
        <w:tc>
          <w:tcPr>
            <w:tcW w:w="6570" w:type="dxa"/>
            <w:vAlign w:val="center"/>
          </w:tcPr>
          <w:p w14:paraId="69C53E8A" w14:textId="4668E6C9" w:rsidR="003239B8" w:rsidRPr="00006B74" w:rsidRDefault="006C1D90" w:rsidP="00BB3FBD">
            <w:pPr>
              <w:rPr>
                <w:rFonts w:ascii="Cambria" w:hAnsi="Cambria"/>
                <w:bCs/>
                <w:sz w:val="19"/>
                <w:szCs w:val="19"/>
                <w:lang w:val="es-ES"/>
              </w:rPr>
            </w:pPr>
            <w:r w:rsidRPr="00516EDC">
              <w:rPr>
                <w:rFonts w:asciiTheme="majorHAnsi" w:hAnsiTheme="majorHAnsi"/>
                <w:bCs/>
                <w:sz w:val="19"/>
                <w:szCs w:val="19"/>
                <w:lang w:val="es-ES"/>
              </w:rPr>
              <w:t>Sí, en términos de la sección VI</w:t>
            </w:r>
          </w:p>
        </w:tc>
      </w:tr>
      <w:tr w:rsidR="003239B8" w:rsidRPr="00D1295E" w14:paraId="52B5BA17" w14:textId="77777777" w:rsidTr="00954B82">
        <w:trPr>
          <w:cantSplit/>
        </w:trPr>
        <w:tc>
          <w:tcPr>
            <w:tcW w:w="2790" w:type="dxa"/>
            <w:tcBorders>
              <w:top w:val="single" w:sz="6" w:space="0" w:color="auto"/>
              <w:bottom w:val="single" w:sz="6" w:space="0" w:color="auto"/>
            </w:tcBorders>
            <w:shd w:val="clear" w:color="auto" w:fill="386294"/>
            <w:vAlign w:val="center"/>
          </w:tcPr>
          <w:p w14:paraId="5DF99086" w14:textId="392A0ECF" w:rsidR="003239B8" w:rsidRPr="00006B74" w:rsidRDefault="00D77503" w:rsidP="008D2290">
            <w:pPr>
              <w:jc w:val="center"/>
              <w:rPr>
                <w:rFonts w:ascii="Cambria" w:hAnsi="Cambria"/>
                <w:bCs/>
                <w:color w:val="FFFFFF" w:themeColor="background1"/>
                <w:sz w:val="19"/>
                <w:szCs w:val="19"/>
                <w:lang w:val="es-ES"/>
              </w:rPr>
            </w:pPr>
            <w:r w:rsidRPr="00006B74">
              <w:rPr>
                <w:rFonts w:ascii="Cambria" w:hAnsi="Cambria"/>
                <w:bCs/>
                <w:color w:val="FFFFFF" w:themeColor="background1"/>
                <w:sz w:val="19"/>
                <w:szCs w:val="19"/>
                <w:lang w:val="es-ES"/>
              </w:rPr>
              <w:t>Presentación dentro de plazo</w:t>
            </w:r>
          </w:p>
        </w:tc>
        <w:tc>
          <w:tcPr>
            <w:tcW w:w="6570" w:type="dxa"/>
            <w:vAlign w:val="center"/>
          </w:tcPr>
          <w:p w14:paraId="4A2A4569" w14:textId="416A93E5" w:rsidR="003239B8" w:rsidRPr="00006B74" w:rsidRDefault="006C1D90" w:rsidP="008D2290">
            <w:pPr>
              <w:rPr>
                <w:bCs/>
                <w:sz w:val="19"/>
                <w:szCs w:val="19"/>
                <w:lang w:val="es-ES"/>
              </w:rPr>
            </w:pPr>
            <w:r w:rsidRPr="00516EDC">
              <w:rPr>
                <w:rFonts w:asciiTheme="majorHAnsi" w:hAnsiTheme="majorHAnsi"/>
                <w:bCs/>
                <w:sz w:val="19"/>
                <w:szCs w:val="19"/>
                <w:lang w:val="es-ES"/>
              </w:rPr>
              <w:t>Sí, en términos de la sección VI</w:t>
            </w:r>
          </w:p>
        </w:tc>
      </w:tr>
    </w:tbl>
    <w:p w14:paraId="2989038F" w14:textId="77777777" w:rsidR="00D23D8D" w:rsidRDefault="00D23D8D" w:rsidP="00647756">
      <w:pPr>
        <w:spacing w:before="120" w:after="120"/>
        <w:ind w:firstLine="720"/>
        <w:jc w:val="both"/>
        <w:rPr>
          <w:rFonts w:asciiTheme="majorHAnsi" w:hAnsiTheme="majorHAnsi"/>
          <w:b/>
          <w:sz w:val="20"/>
          <w:szCs w:val="20"/>
          <w:lang w:val="es-ES"/>
        </w:rPr>
      </w:pPr>
    </w:p>
    <w:p w14:paraId="18E6423B" w14:textId="61197ACD" w:rsidR="003239B8" w:rsidRPr="00006B74" w:rsidRDefault="00223A29" w:rsidP="00647756">
      <w:pPr>
        <w:spacing w:before="120" w:after="120"/>
        <w:ind w:firstLine="720"/>
        <w:jc w:val="both"/>
        <w:rPr>
          <w:rFonts w:asciiTheme="majorHAnsi" w:hAnsiTheme="majorHAnsi"/>
          <w:b/>
          <w:sz w:val="20"/>
          <w:szCs w:val="20"/>
          <w:lang w:val="es-ES"/>
        </w:rPr>
      </w:pPr>
      <w:r w:rsidRPr="00006B74">
        <w:rPr>
          <w:rFonts w:asciiTheme="majorHAnsi" w:hAnsiTheme="majorHAnsi"/>
          <w:b/>
          <w:sz w:val="20"/>
          <w:szCs w:val="20"/>
          <w:lang w:val="es-ES"/>
        </w:rPr>
        <w:lastRenderedPageBreak/>
        <w:t xml:space="preserve">V. </w:t>
      </w:r>
      <w:r w:rsidRPr="00006B74">
        <w:rPr>
          <w:rFonts w:asciiTheme="majorHAnsi" w:hAnsiTheme="majorHAnsi"/>
          <w:b/>
          <w:sz w:val="20"/>
          <w:szCs w:val="20"/>
          <w:lang w:val="es-ES"/>
        </w:rPr>
        <w:tab/>
      </w:r>
      <w:r w:rsidR="0034224A" w:rsidRPr="00006B74">
        <w:rPr>
          <w:rFonts w:asciiTheme="majorHAnsi" w:hAnsiTheme="majorHAnsi"/>
          <w:b/>
          <w:sz w:val="20"/>
          <w:szCs w:val="20"/>
          <w:lang w:val="es-ES"/>
        </w:rPr>
        <w:t>RESUMEN DE LOS HECHOS ALEGADOS</w:t>
      </w:r>
    </w:p>
    <w:p w14:paraId="6E3BDBA7" w14:textId="137281E1" w:rsidR="001E7A5D" w:rsidRPr="004B0EF7" w:rsidRDefault="001E7A5D"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4B0EF7">
        <w:rPr>
          <w:rFonts w:ascii="Cambria" w:hAnsi="Cambria"/>
          <w:sz w:val="20"/>
          <w:szCs w:val="20"/>
          <w:lang w:val="es-ES"/>
        </w:rPr>
        <w:t xml:space="preserve">La parte peticionaria denuncia </w:t>
      </w:r>
      <w:r w:rsidR="00681511" w:rsidRPr="004B0EF7">
        <w:rPr>
          <w:rFonts w:ascii="Cambria" w:hAnsi="Cambria"/>
          <w:sz w:val="20"/>
          <w:szCs w:val="20"/>
          <w:lang w:val="es-ES"/>
        </w:rPr>
        <w:t xml:space="preserve">la detención extrajudicial y posterior desaparición forzada del regidor y Alcalde de Quillota y militante socialista Pablo Gac Espinoza (o, en adelante, “presunta víctima”) en el contexto del golpe militar en Chile, como así también </w:t>
      </w:r>
      <w:r w:rsidR="00E9066A">
        <w:rPr>
          <w:rFonts w:ascii="Cambria" w:hAnsi="Cambria"/>
          <w:sz w:val="20"/>
          <w:szCs w:val="20"/>
          <w:lang w:val="es-ES"/>
        </w:rPr>
        <w:t xml:space="preserve">por </w:t>
      </w:r>
      <w:r w:rsidRPr="004B0EF7">
        <w:rPr>
          <w:rFonts w:ascii="Cambria" w:hAnsi="Cambria"/>
          <w:sz w:val="20"/>
          <w:szCs w:val="20"/>
          <w:lang w:val="es-ES"/>
        </w:rPr>
        <w:t xml:space="preserve">la falta de reparación </w:t>
      </w:r>
      <w:r w:rsidR="00E9066A">
        <w:rPr>
          <w:rFonts w:ascii="Cambria" w:hAnsi="Cambria"/>
          <w:sz w:val="20"/>
          <w:szCs w:val="20"/>
          <w:lang w:val="es-ES"/>
        </w:rPr>
        <w:t xml:space="preserve">por las </w:t>
      </w:r>
      <w:r w:rsidRPr="004B0EF7">
        <w:rPr>
          <w:rFonts w:ascii="Cambria" w:hAnsi="Cambria"/>
          <w:sz w:val="20"/>
          <w:szCs w:val="20"/>
          <w:lang w:val="es-ES"/>
        </w:rPr>
        <w:t>violaci</w:t>
      </w:r>
      <w:r w:rsidR="00E9066A">
        <w:rPr>
          <w:rFonts w:ascii="Cambria" w:hAnsi="Cambria"/>
          <w:sz w:val="20"/>
          <w:szCs w:val="20"/>
          <w:lang w:val="es-ES"/>
        </w:rPr>
        <w:t>o</w:t>
      </w:r>
      <w:r w:rsidRPr="004B0EF7">
        <w:rPr>
          <w:rFonts w:ascii="Cambria" w:hAnsi="Cambria"/>
          <w:sz w:val="20"/>
          <w:szCs w:val="20"/>
          <w:lang w:val="es-ES"/>
        </w:rPr>
        <w:t>n</w:t>
      </w:r>
      <w:r w:rsidR="00E9066A">
        <w:rPr>
          <w:rFonts w:ascii="Cambria" w:hAnsi="Cambria"/>
          <w:sz w:val="20"/>
          <w:szCs w:val="20"/>
          <w:lang w:val="es-ES"/>
        </w:rPr>
        <w:t>es</w:t>
      </w:r>
      <w:r w:rsidRPr="004B0EF7">
        <w:rPr>
          <w:rFonts w:ascii="Cambria" w:hAnsi="Cambria"/>
          <w:sz w:val="20"/>
          <w:szCs w:val="20"/>
          <w:lang w:val="es-ES"/>
        </w:rPr>
        <w:t xml:space="preserve"> a las garantías judiciales y al derecho a la protección judicial</w:t>
      </w:r>
      <w:r w:rsidR="00681511" w:rsidRPr="004B0EF7">
        <w:rPr>
          <w:rFonts w:ascii="Cambria" w:hAnsi="Cambria"/>
          <w:sz w:val="20"/>
          <w:szCs w:val="20"/>
          <w:lang w:val="es-ES"/>
        </w:rPr>
        <w:t xml:space="preserve"> a los familiares de por los daños causados</w:t>
      </w:r>
      <w:r w:rsidRPr="004B0EF7">
        <w:rPr>
          <w:rFonts w:ascii="Cambria" w:hAnsi="Cambria"/>
          <w:sz w:val="20"/>
          <w:szCs w:val="20"/>
          <w:lang w:val="es-ES"/>
        </w:rPr>
        <w:t>.</w:t>
      </w:r>
    </w:p>
    <w:p w14:paraId="083DE1D6" w14:textId="6A856855" w:rsidR="00347321" w:rsidRDefault="00A353C4"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A353C4">
        <w:rPr>
          <w:rFonts w:ascii="Cambria" w:hAnsi="Cambria"/>
          <w:sz w:val="20"/>
          <w:szCs w:val="20"/>
          <w:lang w:val="es-AR"/>
        </w:rPr>
        <w:t xml:space="preserve">El peticionario alega que el 17 de </w:t>
      </w:r>
      <w:r w:rsidR="00E9066A">
        <w:rPr>
          <w:rFonts w:ascii="Cambria" w:hAnsi="Cambria"/>
          <w:sz w:val="20"/>
          <w:szCs w:val="20"/>
          <w:lang w:val="es-AR"/>
        </w:rPr>
        <w:t>e</w:t>
      </w:r>
      <w:r w:rsidRPr="00A353C4">
        <w:rPr>
          <w:rFonts w:ascii="Cambria" w:hAnsi="Cambria"/>
          <w:sz w:val="20"/>
          <w:szCs w:val="20"/>
          <w:lang w:val="es-AR"/>
        </w:rPr>
        <w:t>nero de 1974 habría sido detenido en su domicilio el señor Pablo Gac Espinoza en</w:t>
      </w:r>
      <w:r>
        <w:rPr>
          <w:rFonts w:ascii="Cambria" w:hAnsi="Cambria"/>
          <w:sz w:val="20"/>
          <w:szCs w:val="20"/>
          <w:lang w:val="es-AR"/>
        </w:rPr>
        <w:t xml:space="preserve"> </w:t>
      </w:r>
      <w:r w:rsidRPr="00A353C4">
        <w:rPr>
          <w:rFonts w:ascii="Cambria" w:hAnsi="Cambria"/>
          <w:sz w:val="20"/>
          <w:szCs w:val="20"/>
          <w:lang w:val="es-AR"/>
        </w:rPr>
        <w:t>manos de un civil con el supuesto de “tener una pequeña interrogación” que se llevaría a cabo en el Regimiento de</w:t>
      </w:r>
      <w:r>
        <w:rPr>
          <w:rFonts w:ascii="Cambria" w:hAnsi="Cambria"/>
          <w:sz w:val="20"/>
          <w:szCs w:val="20"/>
          <w:lang w:val="es-AR"/>
        </w:rPr>
        <w:t xml:space="preserve"> </w:t>
      </w:r>
      <w:r w:rsidRPr="00A353C4">
        <w:rPr>
          <w:rFonts w:ascii="Cambria" w:hAnsi="Cambria"/>
          <w:sz w:val="20"/>
          <w:szCs w:val="20"/>
          <w:lang w:val="es-AR"/>
        </w:rPr>
        <w:t xml:space="preserve">ingenieros N’ 2 de Quillota. </w:t>
      </w:r>
      <w:r w:rsidR="00096F5C">
        <w:rPr>
          <w:rFonts w:ascii="Cambria" w:hAnsi="Cambria"/>
          <w:sz w:val="20"/>
          <w:szCs w:val="20"/>
          <w:lang w:val="es-AR"/>
        </w:rPr>
        <w:t>Sin embargo, e</w:t>
      </w:r>
      <w:r w:rsidRPr="00A353C4">
        <w:rPr>
          <w:rFonts w:ascii="Cambria" w:hAnsi="Cambria"/>
          <w:sz w:val="20"/>
          <w:szCs w:val="20"/>
          <w:lang w:val="es-AR"/>
        </w:rPr>
        <w:t>l civil</w:t>
      </w:r>
      <w:r w:rsidR="00493A53">
        <w:rPr>
          <w:rFonts w:ascii="Cambria" w:hAnsi="Cambria"/>
          <w:sz w:val="20"/>
          <w:szCs w:val="20"/>
          <w:lang w:val="es-AR"/>
        </w:rPr>
        <w:t xml:space="preserve"> habría dicho que regresaría</w:t>
      </w:r>
      <w:r w:rsidRPr="00A353C4">
        <w:rPr>
          <w:rFonts w:ascii="Cambria" w:hAnsi="Cambria"/>
          <w:sz w:val="20"/>
          <w:szCs w:val="20"/>
          <w:lang w:val="es-AR"/>
        </w:rPr>
        <w:t xml:space="preserve"> más tarde pues tenía que ir a buscar a otras</w:t>
      </w:r>
      <w:r>
        <w:rPr>
          <w:rFonts w:ascii="Cambria" w:hAnsi="Cambria"/>
          <w:sz w:val="20"/>
          <w:szCs w:val="20"/>
          <w:lang w:val="es-AR"/>
        </w:rPr>
        <w:t xml:space="preserve">, llegando </w:t>
      </w:r>
      <w:r w:rsidR="00493A53">
        <w:rPr>
          <w:rFonts w:ascii="Cambria" w:hAnsi="Cambria"/>
          <w:sz w:val="20"/>
          <w:szCs w:val="20"/>
          <w:lang w:val="es-AR"/>
        </w:rPr>
        <w:t xml:space="preserve">luego </w:t>
      </w:r>
      <w:r w:rsidR="00096F5C">
        <w:rPr>
          <w:rFonts w:ascii="Cambria" w:hAnsi="Cambria"/>
          <w:sz w:val="20"/>
          <w:szCs w:val="20"/>
          <w:lang w:val="es-AR"/>
        </w:rPr>
        <w:t xml:space="preserve">y llevándose a la presunta víctima junto </w:t>
      </w:r>
      <w:r>
        <w:rPr>
          <w:rFonts w:ascii="Cambria" w:hAnsi="Cambria"/>
          <w:sz w:val="20"/>
          <w:szCs w:val="20"/>
          <w:lang w:val="es-AR"/>
        </w:rPr>
        <w:t>con cuatro detenidos no identificados.</w:t>
      </w:r>
      <w:r w:rsidR="001B49BE" w:rsidRPr="00B15060">
        <w:rPr>
          <w:rFonts w:ascii="Cambria" w:hAnsi="Cambria"/>
          <w:sz w:val="20"/>
          <w:szCs w:val="20"/>
          <w:lang w:val="es-ES"/>
        </w:rPr>
        <w:t xml:space="preserve"> </w:t>
      </w:r>
      <w:r>
        <w:rPr>
          <w:rFonts w:ascii="Cambria" w:hAnsi="Cambria"/>
          <w:sz w:val="20"/>
          <w:szCs w:val="20"/>
          <w:lang w:val="es-ES"/>
        </w:rPr>
        <w:t>A</w:t>
      </w:r>
      <w:r w:rsidR="001B49BE" w:rsidRPr="00B15060">
        <w:rPr>
          <w:rFonts w:ascii="Cambria" w:hAnsi="Cambria"/>
          <w:sz w:val="20"/>
          <w:szCs w:val="20"/>
          <w:lang w:val="es-ES"/>
        </w:rPr>
        <w:t xml:space="preserve">l día siguiente, al no haber </w:t>
      </w:r>
      <w:r>
        <w:rPr>
          <w:rFonts w:ascii="Cambria" w:hAnsi="Cambria"/>
          <w:sz w:val="20"/>
          <w:szCs w:val="20"/>
          <w:lang w:val="es-ES"/>
        </w:rPr>
        <w:t xml:space="preserve">retornado </w:t>
      </w:r>
      <w:r w:rsidR="001B49BE" w:rsidRPr="00B15060">
        <w:rPr>
          <w:rFonts w:ascii="Cambria" w:hAnsi="Cambria"/>
          <w:sz w:val="20"/>
          <w:szCs w:val="20"/>
          <w:lang w:val="es-ES"/>
        </w:rPr>
        <w:t>la presunta víctima</w:t>
      </w:r>
      <w:r>
        <w:rPr>
          <w:rFonts w:ascii="Cambria" w:hAnsi="Cambria"/>
          <w:sz w:val="20"/>
          <w:szCs w:val="20"/>
          <w:lang w:val="es-ES"/>
        </w:rPr>
        <w:t xml:space="preserve"> a su casa</w:t>
      </w:r>
      <w:r w:rsidR="001B49BE" w:rsidRPr="00B15060">
        <w:rPr>
          <w:rFonts w:ascii="Cambria" w:hAnsi="Cambria"/>
          <w:sz w:val="20"/>
          <w:szCs w:val="20"/>
          <w:lang w:val="es-ES"/>
        </w:rPr>
        <w:t>, su esposa se dirigió al Regimient</w:t>
      </w:r>
      <w:r>
        <w:rPr>
          <w:rFonts w:ascii="Cambria" w:hAnsi="Cambria"/>
          <w:sz w:val="20"/>
          <w:szCs w:val="20"/>
          <w:lang w:val="es-ES"/>
        </w:rPr>
        <w:t xml:space="preserve">o de Ingenieros No 2 de Quillota, y </w:t>
      </w:r>
      <w:r w:rsidR="00220818" w:rsidRPr="00B15060">
        <w:rPr>
          <w:rFonts w:ascii="Cambria" w:hAnsi="Cambria"/>
          <w:sz w:val="20"/>
          <w:szCs w:val="20"/>
          <w:lang w:val="es-ES"/>
        </w:rPr>
        <w:t xml:space="preserve">a la Gobernación de Quillota </w:t>
      </w:r>
      <w:r>
        <w:rPr>
          <w:rFonts w:ascii="Cambria" w:hAnsi="Cambria"/>
          <w:sz w:val="20"/>
          <w:szCs w:val="20"/>
          <w:lang w:val="es-ES"/>
        </w:rPr>
        <w:t xml:space="preserve">donde logró </w:t>
      </w:r>
      <w:r w:rsidR="00220818" w:rsidRPr="00B15060">
        <w:rPr>
          <w:rFonts w:ascii="Cambria" w:hAnsi="Cambria"/>
          <w:sz w:val="20"/>
          <w:szCs w:val="20"/>
          <w:lang w:val="es-ES"/>
        </w:rPr>
        <w:t xml:space="preserve">hablar con el Gobernador, Coronel Ángel Custodio Torres Rivera, </w:t>
      </w:r>
      <w:r w:rsidR="00096F5C">
        <w:rPr>
          <w:rFonts w:ascii="Cambria" w:hAnsi="Cambria"/>
          <w:sz w:val="20"/>
          <w:szCs w:val="20"/>
          <w:lang w:val="es-ES"/>
        </w:rPr>
        <w:t xml:space="preserve">quien </w:t>
      </w:r>
      <w:r w:rsidR="00220818" w:rsidRPr="00B15060">
        <w:rPr>
          <w:rFonts w:ascii="Cambria" w:hAnsi="Cambria"/>
          <w:sz w:val="20"/>
          <w:szCs w:val="20"/>
          <w:lang w:val="es-ES"/>
        </w:rPr>
        <w:t xml:space="preserve">le dijo que su esposo estaba desaparecido y que lo estaban buscando. </w:t>
      </w:r>
      <w:r>
        <w:rPr>
          <w:rFonts w:ascii="Cambria" w:hAnsi="Cambria"/>
          <w:sz w:val="20"/>
          <w:szCs w:val="20"/>
          <w:lang w:val="es-ES"/>
        </w:rPr>
        <w:t xml:space="preserve">Aduce </w:t>
      </w:r>
      <w:r w:rsidRPr="004E58A1">
        <w:rPr>
          <w:rFonts w:ascii="Cambria" w:hAnsi="Cambria"/>
          <w:sz w:val="20"/>
          <w:szCs w:val="20"/>
          <w:lang w:val="es-ES"/>
        </w:rPr>
        <w:t xml:space="preserve">que </w:t>
      </w:r>
      <w:r w:rsidR="00096F5C">
        <w:rPr>
          <w:rFonts w:ascii="Cambria" w:hAnsi="Cambria"/>
          <w:sz w:val="20"/>
          <w:szCs w:val="20"/>
          <w:lang w:val="es-ES"/>
        </w:rPr>
        <w:t xml:space="preserve">posteriormente </w:t>
      </w:r>
      <w:r w:rsidRPr="004E58A1">
        <w:rPr>
          <w:rFonts w:ascii="Cambria" w:hAnsi="Cambria"/>
          <w:sz w:val="20"/>
          <w:szCs w:val="20"/>
          <w:lang w:val="es-ES"/>
        </w:rPr>
        <w:t>su familia</w:t>
      </w:r>
      <w:r w:rsidR="00220818" w:rsidRPr="00B15060">
        <w:rPr>
          <w:rFonts w:ascii="Cambria" w:hAnsi="Cambria"/>
          <w:sz w:val="20"/>
          <w:szCs w:val="20"/>
          <w:lang w:val="es-ES"/>
        </w:rPr>
        <w:t xml:space="preserve"> </w:t>
      </w:r>
      <w:r w:rsidR="00096F5C">
        <w:rPr>
          <w:rFonts w:ascii="Cambria" w:hAnsi="Cambria"/>
          <w:sz w:val="20"/>
          <w:szCs w:val="20"/>
          <w:lang w:val="es-ES"/>
        </w:rPr>
        <w:t xml:space="preserve">conoció </w:t>
      </w:r>
      <w:r w:rsidR="00220818" w:rsidRPr="00B15060">
        <w:rPr>
          <w:rFonts w:ascii="Cambria" w:hAnsi="Cambria"/>
          <w:sz w:val="20"/>
          <w:szCs w:val="20"/>
          <w:lang w:val="es-ES"/>
        </w:rPr>
        <w:t xml:space="preserve">información oficial entregada a la prensa por el Gobernador, Coronel del Ejército Ángel Custodio Torres Rivera, </w:t>
      </w:r>
      <w:r>
        <w:rPr>
          <w:rFonts w:ascii="Cambria" w:hAnsi="Cambria"/>
          <w:sz w:val="20"/>
          <w:szCs w:val="20"/>
          <w:lang w:val="es-ES"/>
        </w:rPr>
        <w:t xml:space="preserve">donde </w:t>
      </w:r>
      <w:r w:rsidR="00220818" w:rsidRPr="00B15060">
        <w:rPr>
          <w:rFonts w:ascii="Cambria" w:hAnsi="Cambria"/>
          <w:sz w:val="20"/>
          <w:szCs w:val="20"/>
          <w:lang w:val="es-ES"/>
        </w:rPr>
        <w:t>el nombre de la presunta víctima y otro aparecían en unos afiches pegados en los arboles de la plaza de Armas de Quillota, con la leyenda “se busca”. El p</w:t>
      </w:r>
      <w:r w:rsidR="008F24D9">
        <w:rPr>
          <w:rFonts w:ascii="Cambria" w:hAnsi="Cambria"/>
          <w:sz w:val="20"/>
          <w:szCs w:val="20"/>
          <w:lang w:val="es-ES"/>
        </w:rPr>
        <w:t>eticionario alega que el 19 de e</w:t>
      </w:r>
      <w:r w:rsidR="00220818" w:rsidRPr="00B15060">
        <w:rPr>
          <w:rFonts w:ascii="Cambria" w:hAnsi="Cambria"/>
          <w:sz w:val="20"/>
          <w:szCs w:val="20"/>
          <w:lang w:val="es-ES"/>
        </w:rPr>
        <w:t xml:space="preserve">nero, se publicó </w:t>
      </w:r>
      <w:r>
        <w:rPr>
          <w:rFonts w:ascii="Cambria" w:hAnsi="Cambria"/>
          <w:sz w:val="20"/>
          <w:szCs w:val="20"/>
          <w:lang w:val="es-ES"/>
        </w:rPr>
        <w:t>una</w:t>
      </w:r>
      <w:r w:rsidR="00220818" w:rsidRPr="00B15060">
        <w:rPr>
          <w:rFonts w:ascii="Cambria" w:hAnsi="Cambria"/>
          <w:sz w:val="20"/>
          <w:szCs w:val="20"/>
          <w:lang w:val="es-ES"/>
        </w:rPr>
        <w:t xml:space="preserve"> “versión oficial” de los hechos, signada por el Coronel Ángel Custodio Torres, señalándose que </w:t>
      </w:r>
      <w:r w:rsidR="00B30EF6">
        <w:rPr>
          <w:rFonts w:ascii="Cambria" w:hAnsi="Cambria"/>
          <w:sz w:val="20"/>
          <w:szCs w:val="20"/>
          <w:lang w:val="es-ES"/>
        </w:rPr>
        <w:t>mientras</w:t>
      </w:r>
      <w:r w:rsidR="00220818" w:rsidRPr="00B15060">
        <w:rPr>
          <w:rFonts w:ascii="Cambria" w:hAnsi="Cambria"/>
          <w:sz w:val="20"/>
          <w:szCs w:val="20"/>
          <w:lang w:val="es-ES"/>
        </w:rPr>
        <w:t xml:space="preserve"> ocho detenidos eran trasladados desde el regimiento de Ingenieros a la Escuela de Caballería, la patrulla militar que los conducía fue “atacada sorpresivam</w:t>
      </w:r>
      <w:r w:rsidR="00B30EF6">
        <w:rPr>
          <w:rFonts w:ascii="Cambria" w:hAnsi="Cambria"/>
          <w:sz w:val="20"/>
          <w:szCs w:val="20"/>
          <w:lang w:val="es-ES"/>
        </w:rPr>
        <w:t>ente por elementos extremistas”.</w:t>
      </w:r>
      <w:r w:rsidR="00220818" w:rsidRPr="00B15060">
        <w:rPr>
          <w:rFonts w:ascii="Cambria" w:hAnsi="Cambria"/>
          <w:sz w:val="20"/>
          <w:szCs w:val="20"/>
          <w:lang w:val="es-ES"/>
        </w:rPr>
        <w:t xml:space="preserve"> </w:t>
      </w:r>
      <w:r w:rsidR="00B30EF6">
        <w:rPr>
          <w:rFonts w:ascii="Cambria" w:hAnsi="Cambria"/>
          <w:sz w:val="20"/>
          <w:szCs w:val="20"/>
          <w:lang w:val="es-ES"/>
        </w:rPr>
        <w:t>E</w:t>
      </w:r>
      <w:r w:rsidR="00220818" w:rsidRPr="00B15060">
        <w:rPr>
          <w:rFonts w:ascii="Cambria" w:hAnsi="Cambria"/>
          <w:sz w:val="20"/>
          <w:szCs w:val="20"/>
          <w:lang w:val="es-ES"/>
        </w:rPr>
        <w:t>n esa confusión, habrían huido la presunta víctima y otro, resultando herido el capitán Francisco Pérez E. Comandante de la patrulla.</w:t>
      </w:r>
      <w:r w:rsidR="00C4571B" w:rsidRPr="00B15060">
        <w:rPr>
          <w:rFonts w:ascii="Cambria" w:hAnsi="Cambria"/>
          <w:sz w:val="20"/>
          <w:szCs w:val="20"/>
          <w:lang w:val="es-ES"/>
        </w:rPr>
        <w:t xml:space="preserve"> Asimismo, </w:t>
      </w:r>
      <w:r w:rsidR="00B30EF6">
        <w:rPr>
          <w:rFonts w:ascii="Cambria" w:hAnsi="Cambria"/>
          <w:sz w:val="20"/>
          <w:szCs w:val="20"/>
          <w:lang w:val="es-ES"/>
        </w:rPr>
        <w:t xml:space="preserve">el </w:t>
      </w:r>
      <w:r w:rsidR="008F24D9">
        <w:rPr>
          <w:rFonts w:ascii="Cambria" w:hAnsi="Cambria"/>
          <w:sz w:val="20"/>
          <w:szCs w:val="20"/>
          <w:lang w:val="es-ES"/>
        </w:rPr>
        <w:t>peticionario</w:t>
      </w:r>
      <w:r w:rsidR="00B30EF6">
        <w:rPr>
          <w:rFonts w:ascii="Cambria" w:hAnsi="Cambria"/>
          <w:sz w:val="20"/>
          <w:szCs w:val="20"/>
          <w:lang w:val="es-ES"/>
        </w:rPr>
        <w:t xml:space="preserve"> </w:t>
      </w:r>
      <w:r w:rsidR="008F24D9">
        <w:rPr>
          <w:rFonts w:ascii="Cambria" w:hAnsi="Cambria"/>
          <w:sz w:val="20"/>
          <w:szCs w:val="20"/>
          <w:lang w:val="es-ES"/>
        </w:rPr>
        <w:t>alega que el 20 de e</w:t>
      </w:r>
      <w:r w:rsidR="00C4571B" w:rsidRPr="00B15060">
        <w:rPr>
          <w:rFonts w:ascii="Cambria" w:hAnsi="Cambria"/>
          <w:sz w:val="20"/>
          <w:szCs w:val="20"/>
          <w:lang w:val="es-ES"/>
        </w:rPr>
        <w:t xml:space="preserve">nero, la conyugue de la presunta víctima conversó con un detenido que </w:t>
      </w:r>
      <w:r w:rsidR="00096F5C">
        <w:rPr>
          <w:rFonts w:ascii="Cambria" w:hAnsi="Cambria"/>
          <w:sz w:val="20"/>
          <w:szCs w:val="20"/>
          <w:lang w:val="es-ES"/>
        </w:rPr>
        <w:t>hab</w:t>
      </w:r>
      <w:r w:rsidR="00C4571B" w:rsidRPr="00B15060">
        <w:rPr>
          <w:rFonts w:ascii="Cambria" w:hAnsi="Cambria"/>
          <w:sz w:val="20"/>
          <w:szCs w:val="20"/>
          <w:lang w:val="es-ES"/>
        </w:rPr>
        <w:t>ía salido de la Comisaria de Carabineros, quien le informó haber visto a la presunta víctima en</w:t>
      </w:r>
      <w:r w:rsidR="008F24D9">
        <w:rPr>
          <w:rFonts w:ascii="Cambria" w:hAnsi="Cambria"/>
          <w:sz w:val="20"/>
          <w:szCs w:val="20"/>
          <w:lang w:val="es-ES"/>
        </w:rPr>
        <w:t xml:space="preserve"> ese recinto policial el 17 de e</w:t>
      </w:r>
      <w:r w:rsidR="00C4571B" w:rsidRPr="00B15060">
        <w:rPr>
          <w:rFonts w:ascii="Cambria" w:hAnsi="Cambria"/>
          <w:sz w:val="20"/>
          <w:szCs w:val="20"/>
          <w:lang w:val="es-ES"/>
        </w:rPr>
        <w:t>nero, ingresando hacia el sector de interrogatorios y a la media noche, saliendo, en vilo entre dos personas, en muy malas condiciones físicas.</w:t>
      </w:r>
      <w:r w:rsidR="00D240A0" w:rsidRPr="00B15060">
        <w:rPr>
          <w:rFonts w:ascii="Cambria" w:hAnsi="Cambria"/>
          <w:sz w:val="20"/>
          <w:szCs w:val="20"/>
          <w:lang w:val="es-ES"/>
        </w:rPr>
        <w:t xml:space="preserve"> La presunta víctima continúa desaparecido hasta la fecha.</w:t>
      </w:r>
    </w:p>
    <w:p w14:paraId="1F9FD292" w14:textId="1B81DD25" w:rsidR="00347321" w:rsidRDefault="00B15060"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7321">
        <w:rPr>
          <w:rFonts w:ascii="Cambria" w:hAnsi="Cambria"/>
          <w:sz w:val="20"/>
          <w:szCs w:val="20"/>
          <w:lang w:val="es-ES"/>
        </w:rPr>
        <w:t xml:space="preserve">El peticionario también hace referencia a eventos que habrían pasado antes del </w:t>
      </w:r>
      <w:r w:rsidR="00724246" w:rsidRPr="00347321">
        <w:rPr>
          <w:rFonts w:ascii="Cambria" w:hAnsi="Cambria"/>
          <w:sz w:val="20"/>
          <w:szCs w:val="20"/>
          <w:lang w:val="es-ES"/>
        </w:rPr>
        <w:t xml:space="preserve">último </w:t>
      </w:r>
      <w:r w:rsidRPr="00347321">
        <w:rPr>
          <w:rFonts w:ascii="Cambria" w:hAnsi="Cambria"/>
          <w:sz w:val="20"/>
          <w:szCs w:val="20"/>
          <w:lang w:val="es-ES"/>
        </w:rPr>
        <w:t xml:space="preserve">secuestro de la presunta víctima. Aduce que en septiembre de 1973, su domicilio fue allanado por personal de Investigaciones de Quillota, quienes lo detuvieron y condujeron hasta las dependencias de dicho Servicio, donde permaneció un día, siendo trasladado después a la Comisaria de Carabineros de esa ciudad, donde habría sido maltratado e interrogado, </w:t>
      </w:r>
      <w:r w:rsidR="00347321">
        <w:rPr>
          <w:rFonts w:ascii="Cambria" w:hAnsi="Cambria"/>
          <w:sz w:val="20"/>
          <w:szCs w:val="20"/>
          <w:lang w:val="es-ES"/>
        </w:rPr>
        <w:t>siendo</w:t>
      </w:r>
      <w:r w:rsidRPr="00347321">
        <w:rPr>
          <w:rFonts w:ascii="Cambria" w:hAnsi="Cambria"/>
          <w:sz w:val="20"/>
          <w:szCs w:val="20"/>
          <w:lang w:val="es-ES"/>
        </w:rPr>
        <w:t xml:space="preserve"> puesto en libertad el mismo día</w:t>
      </w:r>
      <w:r w:rsidR="00347321">
        <w:rPr>
          <w:rFonts w:ascii="Cambria" w:hAnsi="Cambria"/>
          <w:sz w:val="20"/>
          <w:szCs w:val="20"/>
          <w:lang w:val="es-ES"/>
        </w:rPr>
        <w:t xml:space="preserve">. Se indica que </w:t>
      </w:r>
      <w:r w:rsidR="00E9066A">
        <w:rPr>
          <w:rFonts w:ascii="Cambria" w:hAnsi="Cambria"/>
          <w:sz w:val="20"/>
          <w:szCs w:val="20"/>
          <w:lang w:val="es-ES"/>
        </w:rPr>
        <w:t>en dicha oportunidad se le oblig</w:t>
      </w:r>
      <w:r w:rsidR="00347321" w:rsidRPr="00347321">
        <w:rPr>
          <w:rFonts w:ascii="Cambria" w:hAnsi="Cambria"/>
          <w:sz w:val="20"/>
          <w:szCs w:val="20"/>
          <w:lang w:val="es-ES"/>
        </w:rPr>
        <w:t xml:space="preserve">ó </w:t>
      </w:r>
      <w:r w:rsidR="00E9066A">
        <w:rPr>
          <w:rFonts w:ascii="Cambria" w:hAnsi="Cambria"/>
          <w:sz w:val="20"/>
          <w:szCs w:val="20"/>
          <w:lang w:val="es-ES"/>
        </w:rPr>
        <w:t>a</w:t>
      </w:r>
      <w:r w:rsidR="00347321">
        <w:rPr>
          <w:rFonts w:ascii="Cambria" w:hAnsi="Cambria"/>
          <w:sz w:val="20"/>
          <w:szCs w:val="20"/>
          <w:lang w:val="es-ES"/>
        </w:rPr>
        <w:t xml:space="preserve"> presentarse </w:t>
      </w:r>
      <w:r w:rsidR="00E9066A">
        <w:rPr>
          <w:rFonts w:ascii="Cambria" w:hAnsi="Cambria"/>
          <w:sz w:val="20"/>
          <w:szCs w:val="20"/>
          <w:lang w:val="es-ES"/>
        </w:rPr>
        <w:t xml:space="preserve">a dichas dependencias </w:t>
      </w:r>
      <w:r w:rsidR="00347321" w:rsidRPr="00347321">
        <w:rPr>
          <w:rFonts w:ascii="Cambria" w:hAnsi="Cambria"/>
          <w:sz w:val="20"/>
          <w:szCs w:val="20"/>
          <w:lang w:val="es-ES"/>
        </w:rPr>
        <w:t>una vez a la semana y con la instrucción de no abandonar la ciudad</w:t>
      </w:r>
      <w:r w:rsidR="00E9066A">
        <w:rPr>
          <w:rFonts w:ascii="Cambria" w:hAnsi="Cambria"/>
          <w:sz w:val="20"/>
          <w:szCs w:val="20"/>
          <w:lang w:val="es-ES"/>
        </w:rPr>
        <w:t>. E</w:t>
      </w:r>
      <w:r w:rsidR="00347321">
        <w:rPr>
          <w:rFonts w:ascii="Cambria" w:hAnsi="Cambria"/>
          <w:sz w:val="20"/>
          <w:szCs w:val="20"/>
          <w:lang w:val="es-ES"/>
        </w:rPr>
        <w:t xml:space="preserve">sta situación se habría repetido </w:t>
      </w:r>
      <w:r w:rsidRPr="00347321">
        <w:rPr>
          <w:rFonts w:ascii="Cambria" w:hAnsi="Cambria"/>
          <w:sz w:val="20"/>
          <w:szCs w:val="20"/>
          <w:lang w:val="es-ES"/>
        </w:rPr>
        <w:t xml:space="preserve">en varias ocasiones </w:t>
      </w:r>
      <w:r w:rsidR="00347321">
        <w:rPr>
          <w:rFonts w:ascii="Cambria" w:hAnsi="Cambria"/>
          <w:sz w:val="20"/>
          <w:szCs w:val="20"/>
          <w:lang w:val="es-ES"/>
        </w:rPr>
        <w:t xml:space="preserve">siempre presentado </w:t>
      </w:r>
      <w:r w:rsidRPr="00347321">
        <w:rPr>
          <w:rFonts w:ascii="Cambria" w:hAnsi="Cambria"/>
          <w:sz w:val="20"/>
          <w:szCs w:val="20"/>
          <w:lang w:val="es-ES"/>
        </w:rPr>
        <w:t>marcas de malos tratos</w:t>
      </w:r>
      <w:r w:rsidR="00347321">
        <w:rPr>
          <w:rFonts w:ascii="Cambria" w:hAnsi="Cambria"/>
          <w:sz w:val="20"/>
          <w:szCs w:val="20"/>
          <w:lang w:val="es-ES"/>
        </w:rPr>
        <w:t xml:space="preserve"> al ser liberado</w:t>
      </w:r>
      <w:r w:rsidR="008F358D" w:rsidRPr="00347321">
        <w:rPr>
          <w:rFonts w:ascii="Cambria" w:hAnsi="Cambria"/>
          <w:sz w:val="20"/>
          <w:szCs w:val="20"/>
          <w:lang w:val="es-ES"/>
        </w:rPr>
        <w:t>.</w:t>
      </w:r>
    </w:p>
    <w:p w14:paraId="3E2F9A3F" w14:textId="20C1FDDA" w:rsidR="00347321" w:rsidRDefault="00D240A0"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7321">
        <w:rPr>
          <w:rFonts w:ascii="Cambria" w:hAnsi="Cambria"/>
          <w:sz w:val="20"/>
          <w:szCs w:val="20"/>
          <w:lang w:val="es-ES"/>
        </w:rPr>
        <w:t>La parte peticionaria alega que en 1990, se inició una investigación por el delito de inhumación ilegal en terrenos de la Escuela de Caballería de Quillota en Segundo Juzgado de Quillota.</w:t>
      </w:r>
      <w:r w:rsidR="00030685">
        <w:rPr>
          <w:rFonts w:ascii="Cambria" w:hAnsi="Cambria"/>
          <w:sz w:val="20"/>
          <w:szCs w:val="20"/>
          <w:lang w:val="es-ES"/>
        </w:rPr>
        <w:t xml:space="preserve"> Informa que, en la tramitación de este proceso, e</w:t>
      </w:r>
      <w:r w:rsidRPr="00347321">
        <w:rPr>
          <w:rFonts w:ascii="Cambria" w:hAnsi="Cambria"/>
          <w:sz w:val="20"/>
          <w:szCs w:val="20"/>
          <w:lang w:val="es-ES"/>
        </w:rPr>
        <w:t>l 21 de Diciembre de 1991, el juez Raúl Beltramí fue impedido de ingresar a dicho recinto, por lo que este inicio proceso por denegación de auxilio a la justicia. El comandante del Regimiento</w:t>
      </w:r>
      <w:r w:rsidR="008F1DC7" w:rsidRPr="00347321">
        <w:rPr>
          <w:rFonts w:ascii="Cambria" w:hAnsi="Cambria"/>
          <w:sz w:val="20"/>
          <w:szCs w:val="20"/>
          <w:lang w:val="es-ES"/>
        </w:rPr>
        <w:t xml:space="preserve"> </w:t>
      </w:r>
      <w:r w:rsidRPr="00347321">
        <w:rPr>
          <w:rFonts w:ascii="Cambria" w:hAnsi="Cambria"/>
          <w:sz w:val="20"/>
          <w:szCs w:val="20"/>
          <w:lang w:val="es-ES"/>
        </w:rPr>
        <w:t>cuestionó</w:t>
      </w:r>
      <w:r w:rsidR="008F1DC7" w:rsidRPr="00347321">
        <w:rPr>
          <w:rFonts w:ascii="Cambria" w:hAnsi="Cambria"/>
          <w:sz w:val="20"/>
          <w:szCs w:val="20"/>
          <w:lang w:val="es-ES"/>
        </w:rPr>
        <w:t xml:space="preserve">, ante la Corte de Apelaciones de Valparaíso, </w:t>
      </w:r>
      <w:r w:rsidRPr="00347321">
        <w:rPr>
          <w:rFonts w:ascii="Cambria" w:hAnsi="Cambria"/>
          <w:sz w:val="20"/>
          <w:szCs w:val="20"/>
          <w:lang w:val="es-ES"/>
        </w:rPr>
        <w:t xml:space="preserve">la competencia </w:t>
      </w:r>
      <w:r w:rsidR="008F1DC7" w:rsidRPr="00347321">
        <w:rPr>
          <w:rFonts w:ascii="Cambria" w:hAnsi="Cambria"/>
          <w:sz w:val="20"/>
          <w:szCs w:val="20"/>
          <w:lang w:val="es-ES"/>
        </w:rPr>
        <w:t xml:space="preserve">del tribunal </w:t>
      </w:r>
      <w:r w:rsidRPr="00347321">
        <w:rPr>
          <w:rFonts w:ascii="Cambria" w:hAnsi="Cambria"/>
          <w:sz w:val="20"/>
          <w:szCs w:val="20"/>
          <w:lang w:val="es-ES"/>
        </w:rPr>
        <w:t>y sostuvo que el supuesto delito est</w:t>
      </w:r>
      <w:r w:rsidR="0010498F" w:rsidRPr="00347321">
        <w:rPr>
          <w:rFonts w:ascii="Cambria" w:hAnsi="Cambria"/>
          <w:sz w:val="20"/>
          <w:szCs w:val="20"/>
          <w:lang w:val="es-ES"/>
        </w:rPr>
        <w:t>aba</w:t>
      </w:r>
      <w:r w:rsidRPr="00347321">
        <w:rPr>
          <w:rFonts w:ascii="Cambria" w:hAnsi="Cambria"/>
          <w:sz w:val="20"/>
          <w:szCs w:val="20"/>
          <w:lang w:val="es-ES"/>
        </w:rPr>
        <w:t xml:space="preserve"> afectado a la ley de 1978, Ley de Amnistía. </w:t>
      </w:r>
      <w:r w:rsidR="009F3622">
        <w:rPr>
          <w:rFonts w:ascii="Cambria" w:hAnsi="Cambria"/>
          <w:sz w:val="20"/>
          <w:szCs w:val="20"/>
          <w:lang w:val="es-ES"/>
        </w:rPr>
        <w:t>El peticionario a</w:t>
      </w:r>
      <w:r w:rsidRPr="00347321">
        <w:rPr>
          <w:rFonts w:ascii="Cambria" w:hAnsi="Cambria"/>
          <w:sz w:val="20"/>
          <w:szCs w:val="20"/>
          <w:lang w:val="es-ES"/>
        </w:rPr>
        <w:t>duce que la Corte Suprema resolvió radicar ambos procesos en la Fiscalía Militar de Valparaíso</w:t>
      </w:r>
      <w:r w:rsidR="009F3622">
        <w:rPr>
          <w:rFonts w:ascii="Cambria" w:hAnsi="Cambria"/>
          <w:sz w:val="20"/>
          <w:szCs w:val="20"/>
          <w:lang w:val="es-ES"/>
        </w:rPr>
        <w:t xml:space="preserve"> y que d</w:t>
      </w:r>
      <w:r w:rsidRPr="00347321">
        <w:rPr>
          <w:rFonts w:ascii="Cambria" w:hAnsi="Cambria"/>
          <w:sz w:val="20"/>
          <w:szCs w:val="20"/>
          <w:lang w:val="es-ES"/>
        </w:rPr>
        <w:t>icho tribunal sobreseyó la causa por denegación de auxilio a la justicia. Respecto de</w:t>
      </w:r>
      <w:r w:rsidR="007B055F">
        <w:rPr>
          <w:rFonts w:ascii="Cambria" w:hAnsi="Cambria"/>
          <w:sz w:val="20"/>
          <w:szCs w:val="20"/>
          <w:lang w:val="es-ES"/>
        </w:rPr>
        <w:t>l proceso por inhumación ilegal</w:t>
      </w:r>
      <w:r w:rsidRPr="00347321">
        <w:rPr>
          <w:rFonts w:ascii="Cambria" w:hAnsi="Cambria"/>
          <w:sz w:val="20"/>
          <w:szCs w:val="20"/>
          <w:lang w:val="es-ES"/>
        </w:rPr>
        <w:t xml:space="preserve"> no se había logrado ningún avance</w:t>
      </w:r>
      <w:r w:rsidR="00416807">
        <w:rPr>
          <w:rFonts w:ascii="Cambria" w:hAnsi="Cambria"/>
          <w:sz w:val="20"/>
          <w:szCs w:val="20"/>
          <w:lang w:val="es-ES"/>
        </w:rPr>
        <w:t xml:space="preserve"> y tampoco se habría presentado mayor detalle</w:t>
      </w:r>
      <w:r w:rsidRPr="00347321">
        <w:rPr>
          <w:rFonts w:ascii="Cambria" w:hAnsi="Cambria"/>
          <w:sz w:val="20"/>
          <w:szCs w:val="20"/>
          <w:lang w:val="es-ES"/>
        </w:rPr>
        <w:t>.</w:t>
      </w:r>
    </w:p>
    <w:p w14:paraId="75E21745" w14:textId="32A339E1" w:rsidR="00347321" w:rsidRDefault="00D240A0"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7321">
        <w:rPr>
          <w:rFonts w:ascii="Cambria" w:hAnsi="Cambria"/>
          <w:sz w:val="20"/>
          <w:szCs w:val="20"/>
          <w:lang w:val="es-ES"/>
        </w:rPr>
        <w:t xml:space="preserve">En el ámbito civil, el peticionario indica que se inició un juicio civil el 29 de Julio de 2002  ante el 13 juzgado Civil de Santiago. Se dictó sentencia el 20 de Septiembre de 2004, la cual denegó la pretensión de los demandantes a concederles una indemnización destinada a reparar el mal causado. </w:t>
      </w:r>
      <w:r w:rsidR="007858A6" w:rsidRPr="00347321">
        <w:rPr>
          <w:rFonts w:ascii="Cambria" w:hAnsi="Cambria"/>
          <w:sz w:val="20"/>
          <w:szCs w:val="20"/>
          <w:lang w:val="es-ES"/>
        </w:rPr>
        <w:t>Se interpuso un recurso de apelación ante la Cor</w:t>
      </w:r>
      <w:r w:rsidR="00207075">
        <w:rPr>
          <w:rFonts w:ascii="Cambria" w:hAnsi="Cambria"/>
          <w:sz w:val="20"/>
          <w:szCs w:val="20"/>
          <w:lang w:val="es-ES"/>
        </w:rPr>
        <w:t>te de Apelaciones de Santiago, el</w:t>
      </w:r>
      <w:r w:rsidR="007858A6" w:rsidRPr="00347321">
        <w:rPr>
          <w:rFonts w:ascii="Cambria" w:hAnsi="Cambria"/>
          <w:sz w:val="20"/>
          <w:szCs w:val="20"/>
          <w:lang w:val="es-ES"/>
        </w:rPr>
        <w:t xml:space="preserve"> cual fue rechazado el 1 de Diciembre de 2008,</w:t>
      </w:r>
      <w:r w:rsidR="00CB3D6A" w:rsidRPr="00347321">
        <w:rPr>
          <w:rFonts w:ascii="Cambria" w:hAnsi="Cambria"/>
          <w:sz w:val="20"/>
          <w:szCs w:val="20"/>
          <w:lang w:val="es-ES"/>
        </w:rPr>
        <w:t xml:space="preserve"> en un voto dividido,</w:t>
      </w:r>
      <w:r w:rsidR="007858A6" w:rsidRPr="00347321">
        <w:rPr>
          <w:rFonts w:ascii="Cambria" w:hAnsi="Cambria"/>
          <w:sz w:val="20"/>
          <w:szCs w:val="20"/>
          <w:lang w:val="es-ES"/>
        </w:rPr>
        <w:t xml:space="preserve"> confirmando la sentencia que deniega la reparación. </w:t>
      </w:r>
      <w:r w:rsidR="00207075">
        <w:rPr>
          <w:rFonts w:ascii="Cambria" w:hAnsi="Cambria"/>
          <w:sz w:val="20"/>
          <w:szCs w:val="20"/>
          <w:lang w:val="es-ES"/>
        </w:rPr>
        <w:t xml:space="preserve">Se indica que contra la sentencia de segunda instancia </w:t>
      </w:r>
      <w:r w:rsidR="007858A6" w:rsidRPr="00347321">
        <w:rPr>
          <w:rFonts w:ascii="Cambria" w:hAnsi="Cambria"/>
          <w:sz w:val="20"/>
          <w:szCs w:val="20"/>
          <w:lang w:val="es-ES"/>
        </w:rPr>
        <w:t>se interpuso recurso de casación con fecha 18 de diciembre de 2008, ante la Corte Suprema</w:t>
      </w:r>
      <w:r w:rsidR="00207075">
        <w:rPr>
          <w:rFonts w:ascii="Cambria" w:hAnsi="Cambria"/>
          <w:sz w:val="20"/>
          <w:szCs w:val="20"/>
          <w:lang w:val="es-ES"/>
        </w:rPr>
        <w:t xml:space="preserve"> que </w:t>
      </w:r>
      <w:r w:rsidR="007858A6" w:rsidRPr="00347321">
        <w:rPr>
          <w:rFonts w:ascii="Cambria" w:hAnsi="Cambria"/>
          <w:sz w:val="20"/>
          <w:szCs w:val="20"/>
          <w:lang w:val="es-ES"/>
        </w:rPr>
        <w:t xml:space="preserve">no prosperó dada la omisión de ciertas formalidades procesales, o sea costear el pago de las fotocopias del expediente que debía ser remitido ante la Corte Suprema. El 14 de mayo de 2009, el </w:t>
      </w:r>
      <w:r w:rsidR="007858A6" w:rsidRPr="00347321">
        <w:rPr>
          <w:rFonts w:ascii="Cambria" w:hAnsi="Cambria"/>
          <w:sz w:val="20"/>
          <w:szCs w:val="20"/>
          <w:lang w:val="es-ES"/>
        </w:rPr>
        <w:lastRenderedPageBreak/>
        <w:t xml:space="preserve">juzgado civil de primera instancia dictó auto de cúmplase, por lo cual el fallo de la Corte de Apelaciones adquirió el carácter de “firme y ejecutoriado” y el proceso civil adquirió el valor de “cosa juzgada”.  </w:t>
      </w:r>
    </w:p>
    <w:p w14:paraId="71D9AAFE" w14:textId="7DA3AA53" w:rsidR="00287D00" w:rsidRPr="00347321" w:rsidRDefault="00287D00"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47321">
        <w:rPr>
          <w:rFonts w:ascii="Cambria" w:hAnsi="Cambria"/>
          <w:sz w:val="20"/>
          <w:szCs w:val="20"/>
          <w:lang w:val="es-ES"/>
        </w:rPr>
        <w:t xml:space="preserve">Por su parte, el Estado indica que no tiene reparos que formular en lo relativo al aspecto civil de la petición, sin perjuicio de las observaciones sobre el fondo que </w:t>
      </w:r>
      <w:r w:rsidR="00131483" w:rsidRPr="00347321">
        <w:rPr>
          <w:rFonts w:ascii="Cambria" w:hAnsi="Cambria"/>
          <w:sz w:val="20"/>
          <w:szCs w:val="20"/>
          <w:lang w:val="es-ES"/>
        </w:rPr>
        <w:t>podría</w:t>
      </w:r>
      <w:r w:rsidRPr="00347321">
        <w:rPr>
          <w:rFonts w:ascii="Cambria" w:hAnsi="Cambria"/>
          <w:sz w:val="20"/>
          <w:szCs w:val="20"/>
          <w:lang w:val="es-ES"/>
        </w:rPr>
        <w:t xml:space="preserve"> hacer en la oportunidad que corresponda. Adicionalmente, señala que la denuncia se aluda tangencialmente a violaciones previas a los derechos fundamentales de la víctima directa, que tuvieron lugar en enero de 1974, consistentes en la vulneración de los derechos a la vida, a la integrid</w:t>
      </w:r>
      <w:r w:rsidR="00E51ED1" w:rsidRPr="00347321">
        <w:rPr>
          <w:rFonts w:ascii="Cambria" w:hAnsi="Cambria"/>
          <w:sz w:val="20"/>
          <w:szCs w:val="20"/>
          <w:lang w:val="es-ES"/>
        </w:rPr>
        <w:t>ad personal y a la libertad</w:t>
      </w:r>
      <w:r w:rsidRPr="00347321">
        <w:rPr>
          <w:rFonts w:ascii="Cambria" w:hAnsi="Cambria"/>
          <w:sz w:val="20"/>
          <w:szCs w:val="20"/>
          <w:lang w:val="es-ES"/>
        </w:rPr>
        <w:t xml:space="preserve"> personal.</w:t>
      </w:r>
      <w:r w:rsidR="00E51ED1" w:rsidRPr="00347321">
        <w:rPr>
          <w:rFonts w:ascii="Cambria" w:hAnsi="Cambria"/>
          <w:sz w:val="20"/>
          <w:szCs w:val="20"/>
          <w:lang w:val="es-ES"/>
        </w:rPr>
        <w:t xml:space="preserve"> Respecto de estas últimas alegaciones, el Estado recuerda sus reservas a la Convención Americana, en virtud de las cuales se dejó constancia que los reconocimientos de competencia conferidos por el Estado se refieren a hechos posteriores a la fecha del depósito del Instrumento de ratificación o, en todo caso, a hechos cuyo principio de ejecución sea posterior al 11 de Marzo de 1990.</w:t>
      </w:r>
    </w:p>
    <w:p w14:paraId="3FE6F5AE" w14:textId="5838016A" w:rsidR="004C616A" w:rsidRPr="00006B74" w:rsidRDefault="004C616A" w:rsidP="00647756">
      <w:pPr>
        <w:pStyle w:val="ListParagraph"/>
        <w:spacing w:before="120" w:after="120"/>
        <w:jc w:val="both"/>
        <w:rPr>
          <w:rFonts w:asciiTheme="majorHAnsi" w:hAnsiTheme="majorHAnsi"/>
          <w:b/>
          <w:bCs/>
          <w:sz w:val="20"/>
          <w:szCs w:val="20"/>
          <w:lang w:val="es-ES"/>
        </w:rPr>
      </w:pPr>
      <w:r w:rsidRPr="00006B74">
        <w:rPr>
          <w:rFonts w:asciiTheme="majorHAnsi" w:hAnsiTheme="majorHAnsi"/>
          <w:b/>
          <w:bCs/>
          <w:sz w:val="20"/>
          <w:szCs w:val="20"/>
          <w:lang w:val="es-ES"/>
        </w:rPr>
        <w:t xml:space="preserve">VI. </w:t>
      </w:r>
      <w:r w:rsidRPr="00006B74">
        <w:rPr>
          <w:rFonts w:asciiTheme="majorHAnsi" w:hAnsiTheme="majorHAnsi"/>
          <w:b/>
          <w:bCs/>
          <w:sz w:val="20"/>
          <w:szCs w:val="20"/>
          <w:lang w:val="es-ES"/>
        </w:rPr>
        <w:tab/>
        <w:t>AGOTAMIENTO DE LOS RECURSOS INTERNOS Y PLAZO DE PRESENTACIÓN</w:t>
      </w:r>
    </w:p>
    <w:p w14:paraId="7AF5B3DE" w14:textId="41411CC4" w:rsidR="00B501A6" w:rsidRPr="00306801" w:rsidRDefault="00B501A6"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6312D9">
        <w:rPr>
          <w:rFonts w:ascii="Cambria" w:hAnsi="Cambria"/>
          <w:sz w:val="20"/>
          <w:szCs w:val="20"/>
          <w:lang w:val="es-ES"/>
        </w:rPr>
        <w:t>La CIDH recuerda que toda vez que se cometa un presunto delito perseguible de oficio, el Estado tiene la obligación de promover e impulsar el proceso penal</w:t>
      </w:r>
      <w:r w:rsidRPr="006312D9">
        <w:rPr>
          <w:rStyle w:val="FootnoteReference"/>
          <w:rFonts w:ascii="Cambria" w:hAnsi="Cambria"/>
          <w:sz w:val="20"/>
          <w:szCs w:val="20"/>
          <w:lang w:val="es-ES"/>
        </w:rPr>
        <w:footnoteReference w:id="9"/>
      </w:r>
      <w:r w:rsidRPr="006312D9">
        <w:rPr>
          <w:rFonts w:ascii="Cambria" w:hAnsi="Cambria"/>
          <w:sz w:val="20"/>
          <w:szCs w:val="20"/>
          <w:lang w:val="es-ES"/>
        </w:rPr>
        <w:t xml:space="preserve"> y que, en esos casos, éste constituye la vía idónea para esclarecer los hechos, juzgar a los responsables y establecer las sanciones penales correspondientes. </w:t>
      </w:r>
      <w:r w:rsidR="00306801" w:rsidRPr="006312D9">
        <w:rPr>
          <w:rFonts w:ascii="Cambria" w:hAnsi="Cambria"/>
          <w:sz w:val="20"/>
          <w:szCs w:val="20"/>
          <w:lang w:val="es-ES"/>
        </w:rPr>
        <w:t>La Comisión observa que tras las detenciones de la presunta víctima, se inició una investigación por el delito de inhumación ilegal y que la Corte Suprema resolvió radicar los procesos en la Fiscalía Militar de Valparaíso.</w:t>
      </w:r>
      <w:r w:rsidR="00306801" w:rsidRPr="00306801">
        <w:rPr>
          <w:rFonts w:ascii="Cambria" w:hAnsi="Cambria"/>
          <w:sz w:val="20"/>
          <w:szCs w:val="20"/>
          <w:lang w:val="es-ES"/>
        </w:rPr>
        <w:t xml:space="preserve"> </w:t>
      </w:r>
      <w:r w:rsidR="00306801">
        <w:rPr>
          <w:rFonts w:ascii="Cambria" w:hAnsi="Cambria"/>
          <w:sz w:val="20"/>
          <w:szCs w:val="20"/>
          <w:lang w:val="es-ES"/>
        </w:rPr>
        <w:t>En ese sentido</w:t>
      </w:r>
      <w:r w:rsidR="00306801" w:rsidRPr="00306801">
        <w:rPr>
          <w:rFonts w:ascii="Cambria" w:hAnsi="Cambria"/>
          <w:sz w:val="20"/>
          <w:szCs w:val="20"/>
          <w:lang w:val="es-ES"/>
        </w:rPr>
        <w:t xml:space="preserve">, la Comisión ha señalado de forma reiterada que la jurisdicción militar no constituye un foro apropiado y por lo tanto no brinda un recurso adecuado para investigar, juzgar y sancionar las alegadas violaciones a los derechos </w:t>
      </w:r>
      <w:r w:rsidR="00306801" w:rsidRPr="00BE1A3D">
        <w:rPr>
          <w:rFonts w:ascii="Cambria" w:hAnsi="Cambria"/>
          <w:sz w:val="20"/>
          <w:szCs w:val="20"/>
          <w:lang w:val="es-ES"/>
        </w:rPr>
        <w:t>humanos consagrados en la Convención Americana, presuntamente cometidas por miembros de la Fuerza Pública o con su colaboración o aquiescencia</w:t>
      </w:r>
      <w:r w:rsidR="00306801" w:rsidRPr="00BE1A3D">
        <w:rPr>
          <w:rStyle w:val="FootnoteReference"/>
          <w:rFonts w:ascii="Cambria" w:hAnsi="Cambria"/>
          <w:sz w:val="20"/>
          <w:szCs w:val="20"/>
          <w:lang w:val="es-ES"/>
        </w:rPr>
        <w:footnoteReference w:id="10"/>
      </w:r>
      <w:r w:rsidR="00DD095C" w:rsidRPr="00BE1A3D">
        <w:rPr>
          <w:rFonts w:ascii="Cambria" w:hAnsi="Cambria"/>
          <w:sz w:val="20"/>
          <w:szCs w:val="20"/>
          <w:lang w:val="es-ES"/>
        </w:rPr>
        <w:t xml:space="preserve">. </w:t>
      </w:r>
      <w:r w:rsidRPr="00BE1A3D">
        <w:rPr>
          <w:rFonts w:ascii="Cambria" w:hAnsi="Cambria"/>
          <w:sz w:val="20"/>
          <w:szCs w:val="20"/>
          <w:lang w:val="es-ES"/>
        </w:rPr>
        <w:t>La Comisión observa que, trascurridos más de 40 años, no se han aclarecido los hechos de detención, tortura y desaparición, ni sancionado a los responsables. En tal sentido, la Comisión concluye que en el presente caso se aplica la excepción al agotamiento de los recursos internos prevista en el artículo 46.2.c de la Convención</w:t>
      </w:r>
      <w:r w:rsidR="00B52BD1" w:rsidRPr="00BE1A3D">
        <w:rPr>
          <w:rFonts w:ascii="Cambria" w:hAnsi="Cambria"/>
          <w:sz w:val="20"/>
          <w:szCs w:val="20"/>
          <w:lang w:val="es-ES"/>
        </w:rPr>
        <w:t>.</w:t>
      </w:r>
      <w:r w:rsidR="00B52BD1">
        <w:rPr>
          <w:rFonts w:ascii="Cambria" w:hAnsi="Cambria"/>
          <w:sz w:val="20"/>
          <w:szCs w:val="20"/>
          <w:lang w:val="es-ES"/>
        </w:rPr>
        <w:t xml:space="preserve"> </w:t>
      </w:r>
      <w:r w:rsidRPr="00306801">
        <w:rPr>
          <w:rFonts w:ascii="Cambria" w:hAnsi="Cambria"/>
          <w:sz w:val="20"/>
          <w:szCs w:val="20"/>
          <w:lang w:val="es-ES"/>
        </w:rPr>
        <w:t>En vista del contexto y las características de la petición incluida en el presente informe, la Comisión considera que esta fue presentada dentro de un plazo razonable y que debe darse por satisfecho el requisito de admisibilidad referente al plazo de presentación</w:t>
      </w:r>
      <w:r w:rsidR="00127894">
        <w:rPr>
          <w:rFonts w:ascii="Cambria" w:hAnsi="Cambria"/>
          <w:sz w:val="20"/>
          <w:szCs w:val="20"/>
          <w:lang w:val="es-ES"/>
        </w:rPr>
        <w:t>.</w:t>
      </w:r>
    </w:p>
    <w:p w14:paraId="082D7B43" w14:textId="41079F03" w:rsidR="008C5751" w:rsidRPr="00BE1A3D" w:rsidRDefault="00B501A6"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B501A6">
        <w:rPr>
          <w:rFonts w:ascii="Cambria" w:hAnsi="Cambria"/>
          <w:sz w:val="20"/>
          <w:szCs w:val="20"/>
          <w:lang w:val="es-ES"/>
        </w:rPr>
        <w:t>Adicionalmente, en cuanto a los procesos de reparación ante la jurisdicción contencioso administrativa, la Comisión ha sostenido reiteradamente que dicha vía no constituye un recurso idóneo a efectos de analizar la admisibilidad de un reclamo de la naturaleza del presente</w:t>
      </w:r>
      <w:r>
        <w:rPr>
          <w:rStyle w:val="FootnoteReference"/>
          <w:rFonts w:ascii="Cambria" w:hAnsi="Cambria"/>
          <w:sz w:val="20"/>
          <w:szCs w:val="20"/>
          <w:lang w:val="es-ES"/>
        </w:rPr>
        <w:footnoteReference w:id="11"/>
      </w:r>
      <w:r w:rsidRPr="00B501A6">
        <w:rPr>
          <w:rFonts w:ascii="Cambria" w:hAnsi="Cambria"/>
          <w:sz w:val="20"/>
          <w:szCs w:val="20"/>
          <w:lang w:val="es-ES"/>
        </w:rPr>
        <w:t>, ya que la misma no es adecuada para proporcionar una reparación integral que incluye esclarecimiento y justicia a los familiares. Sin perjuicio de lo mencionado, si bien en el presente caso el proceso penal es el recurso idóneo para la investigación de los hechos, se observa que las peticionarias alegan además violaciones concretas en el marco de la demanda de reparación directa. Por ello, dada la vinculación entre los dos procesos, la Comisión toma en cuenta que en la jurisdicción contenciosa administrativa, los recursos internos se agotaron con el auto de cúmplase dictado por e</w:t>
      </w:r>
      <w:r w:rsidR="008C753E">
        <w:rPr>
          <w:rFonts w:ascii="Cambria" w:hAnsi="Cambria"/>
          <w:sz w:val="20"/>
          <w:szCs w:val="20"/>
          <w:lang w:val="es-ES"/>
        </w:rPr>
        <w:t>l juez de primera instancia el 14</w:t>
      </w:r>
      <w:r w:rsidRPr="00B501A6">
        <w:rPr>
          <w:rFonts w:ascii="Cambria" w:hAnsi="Cambria"/>
          <w:sz w:val="20"/>
          <w:szCs w:val="20"/>
          <w:lang w:val="es-ES"/>
        </w:rPr>
        <w:t xml:space="preserve"> de mayo de 2009, respecto a la decisión de la Corte </w:t>
      </w:r>
      <w:r w:rsidR="008C753E">
        <w:rPr>
          <w:rFonts w:ascii="Cambria" w:hAnsi="Cambria"/>
          <w:sz w:val="20"/>
          <w:szCs w:val="20"/>
          <w:lang w:val="es-ES"/>
        </w:rPr>
        <w:t>de Apelaciones</w:t>
      </w:r>
      <w:r w:rsidRPr="00B501A6">
        <w:rPr>
          <w:rFonts w:ascii="Cambria" w:hAnsi="Cambria"/>
          <w:sz w:val="20"/>
          <w:szCs w:val="20"/>
          <w:lang w:val="es-ES"/>
        </w:rPr>
        <w:t xml:space="preserve"> del </w:t>
      </w:r>
      <w:r w:rsidR="008C753E" w:rsidRPr="007858A6">
        <w:rPr>
          <w:rFonts w:ascii="Cambria" w:hAnsi="Cambria"/>
          <w:sz w:val="20"/>
          <w:szCs w:val="20"/>
          <w:lang w:val="es-ES"/>
        </w:rPr>
        <w:t>1 de Diciembre de 2008</w:t>
      </w:r>
      <w:r w:rsidRPr="00B501A6">
        <w:rPr>
          <w:rFonts w:ascii="Cambria" w:hAnsi="Cambria"/>
          <w:sz w:val="20"/>
          <w:szCs w:val="20"/>
          <w:lang w:val="es-ES"/>
        </w:rPr>
        <w:t xml:space="preserve">. Con base en ello, la Comisión concluye que la presente petición cumple el requisito establecido en el artículo 46.1.a de la Convención. Asimismo, la petición </w:t>
      </w:r>
      <w:r w:rsidR="008C753E">
        <w:rPr>
          <w:rFonts w:ascii="Cambria" w:hAnsi="Cambria"/>
          <w:sz w:val="20"/>
          <w:szCs w:val="20"/>
          <w:lang w:val="es-ES"/>
        </w:rPr>
        <w:t>fue presentada ante la CIDH el 14</w:t>
      </w:r>
      <w:r w:rsidRPr="00B501A6">
        <w:rPr>
          <w:rFonts w:ascii="Cambria" w:hAnsi="Cambria"/>
          <w:sz w:val="20"/>
          <w:szCs w:val="20"/>
          <w:lang w:val="es-ES"/>
        </w:rPr>
        <w:t xml:space="preserve"> de noviembre de 2009, cumpliendo con el requisito establecido en los artículos 46.1.b de la Convención y 32.</w:t>
      </w:r>
      <w:r w:rsidRPr="00BE1A3D">
        <w:rPr>
          <w:rFonts w:ascii="Cambria" w:hAnsi="Cambria"/>
          <w:sz w:val="20"/>
          <w:szCs w:val="20"/>
          <w:lang w:val="es-ES"/>
        </w:rPr>
        <w:t>1 del Reglamento.</w:t>
      </w:r>
    </w:p>
    <w:p w14:paraId="7090A929" w14:textId="115AB145" w:rsidR="00F04591" w:rsidRPr="00BE1A3D" w:rsidRDefault="00F04591" w:rsidP="00647756">
      <w:pPr>
        <w:pStyle w:val="ListParagraph"/>
        <w:spacing w:before="120" w:after="120"/>
        <w:jc w:val="both"/>
        <w:rPr>
          <w:rFonts w:asciiTheme="majorHAnsi" w:hAnsiTheme="majorHAnsi"/>
          <w:b/>
          <w:bCs/>
          <w:sz w:val="20"/>
          <w:szCs w:val="20"/>
          <w:lang w:val="es-ES"/>
        </w:rPr>
      </w:pPr>
      <w:r w:rsidRPr="00BE1A3D">
        <w:rPr>
          <w:rFonts w:asciiTheme="majorHAnsi" w:hAnsiTheme="majorHAnsi"/>
          <w:b/>
          <w:bCs/>
          <w:sz w:val="20"/>
          <w:szCs w:val="20"/>
          <w:lang w:val="es-ES"/>
        </w:rPr>
        <w:t>V</w:t>
      </w:r>
      <w:r w:rsidR="000E2789" w:rsidRPr="00BE1A3D">
        <w:rPr>
          <w:rFonts w:asciiTheme="majorHAnsi" w:hAnsiTheme="majorHAnsi"/>
          <w:b/>
          <w:bCs/>
          <w:sz w:val="20"/>
          <w:szCs w:val="20"/>
          <w:lang w:val="es-ES"/>
        </w:rPr>
        <w:t>I</w:t>
      </w:r>
      <w:r w:rsidRPr="00BE1A3D">
        <w:rPr>
          <w:rFonts w:asciiTheme="majorHAnsi" w:hAnsiTheme="majorHAnsi"/>
          <w:b/>
          <w:bCs/>
          <w:sz w:val="20"/>
          <w:szCs w:val="20"/>
          <w:lang w:val="es-ES"/>
        </w:rPr>
        <w:t xml:space="preserve">I. </w:t>
      </w:r>
      <w:r w:rsidRPr="00BE1A3D">
        <w:rPr>
          <w:rFonts w:asciiTheme="majorHAnsi" w:hAnsiTheme="majorHAnsi"/>
          <w:b/>
          <w:bCs/>
          <w:sz w:val="20"/>
          <w:szCs w:val="20"/>
          <w:lang w:val="es-ES"/>
        </w:rPr>
        <w:tab/>
        <w:t>CARACTERIZACIÓN</w:t>
      </w:r>
    </w:p>
    <w:p w14:paraId="66A02B96" w14:textId="60ECCC20" w:rsidR="005071CD" w:rsidRDefault="005071CD"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C7298">
        <w:rPr>
          <w:rFonts w:ascii="Cambria" w:hAnsi="Cambria"/>
          <w:sz w:val="20"/>
          <w:szCs w:val="20"/>
          <w:lang w:val="es-ES"/>
        </w:rPr>
        <w:t xml:space="preserve">En relación a la competencia </w:t>
      </w:r>
      <w:r w:rsidRPr="00F56F92">
        <w:rPr>
          <w:rFonts w:ascii="Cambria" w:hAnsi="Cambria"/>
          <w:i/>
          <w:sz w:val="20"/>
          <w:szCs w:val="20"/>
          <w:lang w:val="es-ES"/>
        </w:rPr>
        <w:t>ratione temporis</w:t>
      </w:r>
      <w:r w:rsidRPr="003C7298">
        <w:rPr>
          <w:rFonts w:ascii="Cambria" w:hAnsi="Cambria"/>
          <w:sz w:val="20"/>
          <w:szCs w:val="20"/>
          <w:lang w:val="es-ES"/>
        </w:rPr>
        <w:t xml:space="preserve"> y </w:t>
      </w:r>
      <w:r w:rsidRPr="00F56F92">
        <w:rPr>
          <w:rFonts w:ascii="Cambria" w:hAnsi="Cambria"/>
          <w:i/>
          <w:sz w:val="20"/>
          <w:szCs w:val="20"/>
          <w:lang w:val="es-ES"/>
        </w:rPr>
        <w:t>ratione materiae</w:t>
      </w:r>
      <w:r w:rsidRPr="003C7298">
        <w:rPr>
          <w:rFonts w:ascii="Cambria" w:hAnsi="Cambria"/>
          <w:sz w:val="20"/>
          <w:szCs w:val="20"/>
          <w:lang w:val="es-ES"/>
        </w:rPr>
        <w:t xml:space="preserve">, la Comisión analizará los hechos del presente caso a la luz de las obligaciones establecidas en la Convención Americana, en la Convención Interamericana sobre Desaparición Forzada de Personas (“CIDFP”) y en la Convención </w:t>
      </w:r>
      <w:r w:rsidR="0002344A">
        <w:rPr>
          <w:rFonts w:ascii="Cambria" w:hAnsi="Cambria"/>
          <w:sz w:val="20"/>
          <w:szCs w:val="20"/>
          <w:lang w:val="es-ES"/>
        </w:rPr>
        <w:t>contra</w:t>
      </w:r>
      <w:r w:rsidRPr="003C7298">
        <w:rPr>
          <w:rFonts w:ascii="Cambria" w:hAnsi="Cambria"/>
          <w:sz w:val="20"/>
          <w:szCs w:val="20"/>
          <w:lang w:val="es-ES"/>
        </w:rPr>
        <w:t xml:space="preserve"> la </w:t>
      </w:r>
      <w:r w:rsidRPr="003C7298">
        <w:rPr>
          <w:rFonts w:ascii="Cambria" w:hAnsi="Cambria"/>
          <w:sz w:val="20"/>
          <w:szCs w:val="20"/>
          <w:lang w:val="es-ES"/>
        </w:rPr>
        <w:lastRenderedPageBreak/>
        <w:t xml:space="preserve">Tortura respecto de aquellos hechos ocurridos con posterioridad a su entrada en vigor o cuya ejecución continuó luego de la entrada en vigor de dichos instrumentos para el Estado de </w:t>
      </w:r>
      <w:r w:rsidR="00BA10D5">
        <w:rPr>
          <w:rFonts w:ascii="Cambria" w:hAnsi="Cambria"/>
          <w:sz w:val="20"/>
          <w:szCs w:val="20"/>
          <w:lang w:val="es-ES"/>
        </w:rPr>
        <w:t>Chile</w:t>
      </w:r>
      <w:r w:rsidRPr="003C7298">
        <w:rPr>
          <w:rFonts w:ascii="Cambria" w:hAnsi="Cambria"/>
          <w:sz w:val="20"/>
          <w:szCs w:val="20"/>
          <w:lang w:val="es-ES"/>
        </w:rPr>
        <w:t>. La Comisión analizará los hechos consumados con anterioridad a la entrada en vigor de la Convención Americana para dicho Estado, a la luz de las obligaciones derivadas de la Declaración Americana.</w:t>
      </w:r>
    </w:p>
    <w:p w14:paraId="293146C5" w14:textId="29B4F50E" w:rsidR="000B0579" w:rsidRPr="000B0579" w:rsidRDefault="005071CD" w:rsidP="003D1A57">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lang w:val="es-ES"/>
        </w:rPr>
      </w:pPr>
      <w:r w:rsidRPr="003C7298">
        <w:rPr>
          <w:rFonts w:ascii="Cambria" w:hAnsi="Cambria"/>
          <w:sz w:val="20"/>
          <w:szCs w:val="20"/>
          <w:lang w:val="es-ES"/>
        </w:rPr>
        <w:t>Asimismo, en vista de los elementos de hecho y de derecho presentados por las partes y la naturaleza del asunto puesto bajo su conocimiento, y del contexto en el que se enmarcan las denuncias, la CIDH considera que, de ser probados, los alegados hechos de detención, tortura, desaparición forzada y faltas al debido proceso, podrían caracterizar posibles violaciones a los derechos protegidos en los artículos I (vida, libertad, seguridad e integridad de la persona), XVII (reconocimiento de la personalidad jurídica y de los derechos civiles), XVIII (justicia) y XXV (protección contra la detención arbitraria) de la Declaración Americana. En lo que se refiere a la presunta continuidad y falta de esclarecimiento de dichos delitos, así como las alegaciones relativas a la falta de indemnización por los hechos ocurridos, en aplicación judicial de la prescripción en materia civil, la Comisión considera que los hechos alegados podrían caracterizar posibles violaciones a los artículos 3 (personalidad jurídica), 4 (vida), 5 (integridad personal), 7 (libertad personal), 8 (garantías judiciales) y 25 (protección judicial) de la Convención Americana en relación con sus artículos 1.1 (obligación de respetar los derechos) y 2 (deber de adoptar disposiciones de derecho interno), como a los artículos 1, 6 y 8 de la Convención contra la Tortura; y artículo I de la Convención Interamericana sobre Desaparición Forzada de Personas.</w:t>
      </w:r>
    </w:p>
    <w:p w14:paraId="29BB41F5" w14:textId="2851F5F9" w:rsidR="003239B8" w:rsidRPr="00006B74" w:rsidRDefault="00EC72AB" w:rsidP="008C5751">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ind w:left="720"/>
        <w:jc w:val="both"/>
        <w:rPr>
          <w:rFonts w:asciiTheme="majorHAnsi" w:hAnsiTheme="majorHAnsi"/>
          <w:b/>
          <w:bCs/>
          <w:sz w:val="20"/>
          <w:szCs w:val="20"/>
          <w:lang w:val="es-ES"/>
        </w:rPr>
      </w:pPr>
      <w:r w:rsidRPr="00006B74">
        <w:rPr>
          <w:rFonts w:asciiTheme="majorHAnsi" w:hAnsiTheme="majorHAnsi"/>
          <w:b/>
          <w:bCs/>
          <w:sz w:val="20"/>
          <w:szCs w:val="20"/>
          <w:lang w:val="es-ES"/>
        </w:rPr>
        <w:t>VI</w:t>
      </w:r>
      <w:r w:rsidR="00F04591" w:rsidRPr="00006B74">
        <w:rPr>
          <w:rFonts w:asciiTheme="majorHAnsi" w:hAnsiTheme="majorHAnsi"/>
          <w:b/>
          <w:bCs/>
          <w:sz w:val="20"/>
          <w:szCs w:val="20"/>
          <w:lang w:val="es-ES"/>
        </w:rPr>
        <w:t>II</w:t>
      </w:r>
      <w:r w:rsidR="003239B8" w:rsidRPr="00006B74">
        <w:rPr>
          <w:rFonts w:asciiTheme="majorHAnsi" w:hAnsiTheme="majorHAnsi"/>
          <w:b/>
          <w:bCs/>
          <w:sz w:val="20"/>
          <w:szCs w:val="20"/>
          <w:lang w:val="es-ES"/>
        </w:rPr>
        <w:t xml:space="preserve">. </w:t>
      </w:r>
      <w:r w:rsidR="003239B8" w:rsidRPr="00006B74">
        <w:rPr>
          <w:rFonts w:asciiTheme="majorHAnsi" w:hAnsiTheme="majorHAnsi"/>
          <w:b/>
          <w:bCs/>
          <w:sz w:val="20"/>
          <w:szCs w:val="20"/>
          <w:lang w:val="es-ES"/>
        </w:rPr>
        <w:tab/>
        <w:t>DECISIÓN</w:t>
      </w:r>
    </w:p>
    <w:p w14:paraId="0AAC167B" w14:textId="69DBEF6C" w:rsidR="00DC2AFB" w:rsidRPr="007706D4" w:rsidRDefault="00DC2AFB" w:rsidP="003D1A5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006B74">
        <w:rPr>
          <w:rFonts w:asciiTheme="majorHAnsi" w:hAnsiTheme="majorHAnsi"/>
          <w:sz w:val="20"/>
          <w:szCs w:val="20"/>
          <w:lang w:val="es-ES"/>
        </w:rPr>
        <w:t xml:space="preserve">Declarar admisible la presente petición en relación con </w:t>
      </w:r>
      <w:r>
        <w:rPr>
          <w:rFonts w:asciiTheme="majorHAnsi" w:hAnsiTheme="majorHAnsi"/>
          <w:sz w:val="20"/>
          <w:szCs w:val="20"/>
          <w:lang w:val="es-ES"/>
        </w:rPr>
        <w:t>los a</w:t>
      </w:r>
      <w:r w:rsidRPr="00D57038">
        <w:rPr>
          <w:rFonts w:asciiTheme="majorHAnsi" w:hAnsiTheme="majorHAnsi"/>
          <w:sz w:val="20"/>
          <w:szCs w:val="20"/>
          <w:lang w:val="es-ES"/>
        </w:rPr>
        <w:t>rtículos 3, 4, 5, 7</w:t>
      </w:r>
      <w:r>
        <w:rPr>
          <w:rFonts w:asciiTheme="majorHAnsi" w:hAnsiTheme="majorHAnsi"/>
          <w:sz w:val="20"/>
          <w:szCs w:val="20"/>
          <w:lang w:val="es-ES"/>
        </w:rPr>
        <w:t>, 8</w:t>
      </w:r>
      <w:r w:rsidRPr="00D57038">
        <w:rPr>
          <w:rFonts w:asciiTheme="majorHAnsi" w:hAnsiTheme="majorHAnsi"/>
          <w:sz w:val="20"/>
          <w:szCs w:val="20"/>
          <w:lang w:val="es-ES"/>
        </w:rPr>
        <w:t xml:space="preserve"> y 25 de la Convención Americana en relación con sus artículos 1.1</w:t>
      </w:r>
      <w:r>
        <w:rPr>
          <w:rFonts w:asciiTheme="majorHAnsi" w:hAnsiTheme="majorHAnsi"/>
          <w:sz w:val="20"/>
          <w:szCs w:val="20"/>
          <w:lang w:val="es-ES"/>
        </w:rPr>
        <w:t xml:space="preserve"> </w:t>
      </w:r>
      <w:r w:rsidRPr="00D57038">
        <w:rPr>
          <w:rFonts w:asciiTheme="majorHAnsi" w:hAnsiTheme="majorHAnsi"/>
          <w:sz w:val="20"/>
          <w:szCs w:val="20"/>
          <w:lang w:val="es-ES"/>
        </w:rPr>
        <w:t>y 2</w:t>
      </w:r>
      <w:r w:rsidR="007749C3">
        <w:rPr>
          <w:rFonts w:asciiTheme="majorHAnsi" w:hAnsiTheme="majorHAnsi"/>
          <w:sz w:val="20"/>
          <w:szCs w:val="20"/>
          <w:lang w:val="es-ES"/>
        </w:rPr>
        <w:t>;</w:t>
      </w:r>
      <w:r>
        <w:rPr>
          <w:rFonts w:asciiTheme="majorHAnsi" w:hAnsiTheme="majorHAnsi"/>
          <w:sz w:val="20"/>
          <w:szCs w:val="20"/>
          <w:lang w:val="es-ES"/>
        </w:rPr>
        <w:t xml:space="preserve"> </w:t>
      </w:r>
      <w:r w:rsidR="0098394D" w:rsidRPr="007706D4">
        <w:rPr>
          <w:rFonts w:asciiTheme="majorHAnsi" w:hAnsiTheme="majorHAnsi"/>
          <w:sz w:val="20"/>
          <w:szCs w:val="20"/>
          <w:lang w:val="es-ES"/>
        </w:rPr>
        <w:t xml:space="preserve">artículos 1, 6 y 8 de la Convención contra la Tortura; y el artículo I de la Convención Interamericana sobre Desaparición Forzada de Personas respecto de aquellos hechos ocurridos con posterioridad a su entrada en vigor o cuya ejecución continuó luego de la entrada en vigor de dichos instrumentos para el Estado de Chile; y </w:t>
      </w:r>
      <w:r w:rsidRPr="007706D4">
        <w:rPr>
          <w:rFonts w:asciiTheme="majorHAnsi" w:hAnsiTheme="majorHAnsi"/>
          <w:sz w:val="20"/>
          <w:szCs w:val="20"/>
          <w:lang w:val="es-ES"/>
        </w:rPr>
        <w:t>los artículos I, XVII, XVIII y XXV de la Declaración Americana;</w:t>
      </w:r>
      <w:r w:rsidRPr="007706D4">
        <w:rPr>
          <w:rFonts w:ascii="Cambria" w:hAnsi="Cambria"/>
          <w:sz w:val="20"/>
          <w:szCs w:val="20"/>
          <w:lang w:val="es-ES"/>
        </w:rPr>
        <w:t xml:space="preserve"> </w:t>
      </w:r>
      <w:r w:rsidRPr="007706D4">
        <w:rPr>
          <w:rFonts w:asciiTheme="majorHAnsi" w:hAnsiTheme="majorHAnsi"/>
          <w:sz w:val="20"/>
          <w:szCs w:val="20"/>
          <w:lang w:val="es-ES"/>
        </w:rPr>
        <w:t>y</w:t>
      </w:r>
    </w:p>
    <w:p w14:paraId="7CD4DFBD" w14:textId="6D6C51C8" w:rsidR="003239B8" w:rsidRDefault="004A6A54" w:rsidP="003D1A57">
      <w:pPr>
        <w:numPr>
          <w:ilvl w:val="0"/>
          <w:numId w:val="109"/>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BE1A3D">
        <w:rPr>
          <w:rFonts w:asciiTheme="majorHAnsi" w:hAnsiTheme="majorHAnsi"/>
          <w:sz w:val="20"/>
          <w:szCs w:val="20"/>
          <w:lang w:val="es-ES"/>
        </w:rPr>
        <w:t xml:space="preserve">Notificar a las partes la presente decisión; continuar con el análisis del fondo de la cuestión; y publicar esta decisión e incluirla en su Informe Anual a la Asamblea General de la Organización </w:t>
      </w:r>
      <w:r w:rsidRPr="00006B74">
        <w:rPr>
          <w:rFonts w:asciiTheme="majorHAnsi" w:hAnsiTheme="majorHAnsi"/>
          <w:sz w:val="20"/>
          <w:szCs w:val="20"/>
          <w:lang w:val="es-ES"/>
        </w:rPr>
        <w:t>de los Estados Americanos.</w:t>
      </w:r>
    </w:p>
    <w:p w14:paraId="1764DEB9" w14:textId="156D7C3C" w:rsidR="00D23D8D" w:rsidRPr="00A741D9" w:rsidRDefault="00D23D8D" w:rsidP="003D1A57">
      <w:pPr>
        <w:suppressAutoHyphens/>
        <w:spacing w:after="240"/>
        <w:ind w:firstLine="720"/>
        <w:jc w:val="both"/>
        <w:rPr>
          <w:rFonts w:ascii="Cambria" w:hAnsi="Cambria"/>
          <w:sz w:val="20"/>
          <w:szCs w:val="20"/>
          <w:lang w:val="es-ES"/>
        </w:rPr>
      </w:pPr>
      <w:r>
        <w:rPr>
          <w:rFonts w:ascii="Cambria" w:hAnsi="Cambria"/>
          <w:sz w:val="20"/>
          <w:szCs w:val="20"/>
          <w:lang w:val="es-ES"/>
        </w:rPr>
        <w:t xml:space="preserve">Aprobado por la Comisión Interamericana de Derechos Humanos a los 11 días del mes de </w:t>
      </w:r>
      <w:r>
        <w:rPr>
          <w:rFonts w:ascii="Cambria" w:hAnsi="Cambria" w:cs="Arial"/>
          <w:noProof/>
          <w:spacing w:val="-2"/>
          <w:sz w:val="20"/>
          <w:szCs w:val="20"/>
          <w:lang w:val="es-CL"/>
        </w:rPr>
        <w:t>septiembre</w:t>
      </w:r>
      <w:r>
        <w:rPr>
          <w:rFonts w:ascii="Cambria" w:hAnsi="Cambria"/>
          <w:sz w:val="20"/>
          <w:szCs w:val="20"/>
          <w:lang w:val="es-ES"/>
        </w:rPr>
        <w:t xml:space="preserve"> de 2019.  </w:t>
      </w:r>
      <w:r w:rsidRPr="00A741D9">
        <w:rPr>
          <w:rFonts w:ascii="Cambria" w:hAnsi="Cambria"/>
          <w:sz w:val="20"/>
          <w:szCs w:val="20"/>
          <w:lang w:val="es-ES"/>
        </w:rPr>
        <w:t xml:space="preserve">(Firmado): Esmeralda E. Arosemena Bernal de Troitiño, Presidenta; Joel Hernández García, </w:t>
      </w:r>
      <w:r w:rsidRPr="00A741D9">
        <w:rPr>
          <w:rFonts w:ascii="Cambria" w:hAnsi="Cambria"/>
          <w:spacing w:val="-2"/>
          <w:sz w:val="20"/>
          <w:szCs w:val="20"/>
          <w:lang w:val="es-ES"/>
        </w:rPr>
        <w:t xml:space="preserve">Primer Vicepresidente; </w:t>
      </w:r>
      <w:r w:rsidRPr="00A741D9">
        <w:rPr>
          <w:rFonts w:ascii="Cambria" w:hAnsi="Cambria"/>
          <w:sz w:val="20"/>
          <w:szCs w:val="20"/>
          <w:lang w:val="es-ES"/>
        </w:rPr>
        <w:t>Margarette May Macaulay, Francisco José Eguiguren Praeli, Luis Ernesto Vargas Silva y Flávia Piovesan, Miembros de la Comisión.</w:t>
      </w:r>
    </w:p>
    <w:sectPr w:rsidR="00D23D8D" w:rsidRPr="00A741D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714B83" w14:textId="77777777" w:rsidR="00F2709E" w:rsidRDefault="00F2709E">
      <w:r>
        <w:separator/>
      </w:r>
    </w:p>
  </w:endnote>
  <w:endnote w:type="continuationSeparator" w:id="0">
    <w:p w14:paraId="420C92D9" w14:textId="77777777" w:rsidR="00F2709E" w:rsidRDefault="00F27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D2ECF8" w14:textId="77777777" w:rsidR="00D1295E" w:rsidRDefault="00D129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29E243E2" w14:textId="0AFD3F60"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1295E">
          <w:rPr>
            <w:noProof/>
            <w:sz w:val="16"/>
            <w:szCs w:val="22"/>
          </w:rPr>
          <w:t>3</w:t>
        </w:r>
        <w:r w:rsidRPr="00934A2C">
          <w:rPr>
            <w:noProof/>
            <w:sz w:val="16"/>
            <w:szCs w:val="22"/>
          </w:rPr>
          <w:fldChar w:fldCharType="end"/>
        </w:r>
      </w:p>
    </w:sdtContent>
  </w:sdt>
  <w:p w14:paraId="68530E6A" w14:textId="77777777"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54FDC" w14:textId="77777777" w:rsidR="0070697F" w:rsidRPr="00934A2C" w:rsidRDefault="0070697F">
    <w:pPr>
      <w:pStyle w:val="Footer"/>
      <w:jc w:val="center"/>
      <w:rPr>
        <w:sz w:val="16"/>
        <w:szCs w:val="22"/>
      </w:rPr>
    </w:pPr>
  </w:p>
  <w:p w14:paraId="49059CE3" w14:textId="77777777"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64B4B3" w14:textId="77777777" w:rsidR="00F2709E" w:rsidRPr="000F35ED" w:rsidRDefault="00F2709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0E40DDEF" w14:textId="77777777" w:rsidR="00F2709E" w:rsidRPr="000F35ED" w:rsidRDefault="00F2709E" w:rsidP="000F35ED">
      <w:pPr>
        <w:rPr>
          <w:rFonts w:asciiTheme="majorHAnsi" w:hAnsiTheme="majorHAnsi"/>
          <w:sz w:val="16"/>
          <w:szCs w:val="16"/>
        </w:rPr>
      </w:pPr>
      <w:r w:rsidRPr="000F35ED">
        <w:rPr>
          <w:rFonts w:asciiTheme="majorHAnsi" w:hAnsiTheme="majorHAnsi"/>
          <w:sz w:val="16"/>
          <w:szCs w:val="16"/>
        </w:rPr>
        <w:separator/>
      </w:r>
    </w:p>
    <w:p w14:paraId="698ED431" w14:textId="77777777" w:rsidR="00F2709E" w:rsidRPr="000F35ED" w:rsidRDefault="00F2709E"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7346A545" w14:textId="77777777" w:rsidR="00F2709E" w:rsidRPr="000F35ED" w:rsidRDefault="00F2709E"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7E4E7A59" w14:textId="6643E5B4" w:rsidR="004B4982" w:rsidRPr="00D643B0" w:rsidRDefault="004B4982" w:rsidP="009C63EB">
      <w:pPr>
        <w:pStyle w:val="FootnoteText"/>
        <w:jc w:val="both"/>
        <w:rPr>
          <w:rFonts w:asciiTheme="majorHAnsi" w:hAnsiTheme="majorHAnsi"/>
          <w:sz w:val="16"/>
          <w:szCs w:val="16"/>
          <w:lang w:val="es-MX"/>
        </w:rPr>
      </w:pPr>
      <w:r w:rsidRPr="00D643B0">
        <w:rPr>
          <w:rStyle w:val="FootnoteReference"/>
          <w:rFonts w:asciiTheme="majorHAnsi" w:hAnsiTheme="majorHAnsi"/>
          <w:sz w:val="16"/>
          <w:szCs w:val="16"/>
        </w:rPr>
        <w:footnoteRef/>
      </w:r>
      <w:r w:rsidRPr="00D643B0">
        <w:rPr>
          <w:rFonts w:asciiTheme="majorHAnsi" w:hAnsiTheme="majorHAnsi"/>
          <w:sz w:val="16"/>
          <w:szCs w:val="16"/>
          <w:lang w:val="es-MX"/>
        </w:rPr>
        <w:t xml:space="preserve"> La petición fue presentada inicialmente también por Franz </w:t>
      </w:r>
      <w:proofErr w:type="spellStart"/>
      <w:r w:rsidRPr="00D643B0">
        <w:rPr>
          <w:rFonts w:asciiTheme="majorHAnsi" w:hAnsiTheme="majorHAnsi"/>
          <w:sz w:val="16"/>
          <w:szCs w:val="16"/>
          <w:lang w:val="es-MX"/>
        </w:rPr>
        <w:t>Moller</w:t>
      </w:r>
      <w:proofErr w:type="spellEnd"/>
      <w:r w:rsidRPr="00D643B0">
        <w:rPr>
          <w:rFonts w:asciiTheme="majorHAnsi" w:hAnsiTheme="majorHAnsi"/>
          <w:sz w:val="16"/>
          <w:szCs w:val="16"/>
          <w:lang w:val="es-MX"/>
        </w:rPr>
        <w:t xml:space="preserve"> Morris, pero mediante comunicación de fecha 26 de septiembre de 2017, indicó que renunciaba a ser peticionario.</w:t>
      </w:r>
    </w:p>
  </w:footnote>
  <w:footnote w:id="3">
    <w:p w14:paraId="584A31AC" w14:textId="06113BEE" w:rsidR="004B4982" w:rsidRPr="00D643B0" w:rsidRDefault="004B4982" w:rsidP="009C63EB">
      <w:pPr>
        <w:pStyle w:val="FootnoteText"/>
        <w:jc w:val="both"/>
        <w:rPr>
          <w:rFonts w:asciiTheme="majorHAnsi" w:hAnsiTheme="majorHAnsi"/>
          <w:sz w:val="16"/>
          <w:szCs w:val="16"/>
          <w:lang w:val="es-MX"/>
        </w:rPr>
      </w:pPr>
      <w:r w:rsidRPr="00D643B0">
        <w:rPr>
          <w:rStyle w:val="FootnoteReference"/>
          <w:rFonts w:asciiTheme="majorHAnsi" w:hAnsiTheme="majorHAnsi"/>
          <w:sz w:val="16"/>
          <w:szCs w:val="16"/>
        </w:rPr>
        <w:footnoteRef/>
      </w:r>
      <w:r w:rsidRPr="00D643B0">
        <w:rPr>
          <w:rFonts w:asciiTheme="majorHAnsi" w:hAnsiTheme="majorHAnsi"/>
          <w:sz w:val="16"/>
          <w:szCs w:val="16"/>
          <w:lang w:val="es-MX"/>
        </w:rPr>
        <w:t xml:space="preserve"> </w:t>
      </w:r>
      <w:r w:rsidR="004A241F" w:rsidRPr="00D643B0">
        <w:rPr>
          <w:rFonts w:asciiTheme="majorHAnsi" w:hAnsiTheme="majorHAnsi"/>
          <w:sz w:val="16"/>
          <w:szCs w:val="16"/>
          <w:lang w:val="es-MX"/>
        </w:rPr>
        <w:t xml:space="preserve">Rosa Eliana Becerra Flores, viuda de la presunta víctima; Pedro Pablo </w:t>
      </w:r>
      <w:proofErr w:type="spellStart"/>
      <w:r w:rsidR="004A241F" w:rsidRPr="00D643B0">
        <w:rPr>
          <w:rFonts w:asciiTheme="majorHAnsi" w:hAnsiTheme="majorHAnsi"/>
          <w:sz w:val="16"/>
          <w:szCs w:val="16"/>
          <w:lang w:val="es-MX"/>
        </w:rPr>
        <w:t>Gac</w:t>
      </w:r>
      <w:proofErr w:type="spellEnd"/>
      <w:r w:rsidR="004A241F" w:rsidRPr="00D643B0">
        <w:rPr>
          <w:rFonts w:asciiTheme="majorHAnsi" w:hAnsiTheme="majorHAnsi"/>
          <w:sz w:val="16"/>
          <w:szCs w:val="16"/>
          <w:lang w:val="es-MX"/>
        </w:rPr>
        <w:t xml:space="preserve"> Becerra y Juan Carlos </w:t>
      </w:r>
      <w:proofErr w:type="spellStart"/>
      <w:r w:rsidR="004A241F" w:rsidRPr="00D643B0">
        <w:rPr>
          <w:rFonts w:asciiTheme="majorHAnsi" w:hAnsiTheme="majorHAnsi"/>
          <w:sz w:val="16"/>
          <w:szCs w:val="16"/>
          <w:lang w:val="es-MX"/>
        </w:rPr>
        <w:t>Bac</w:t>
      </w:r>
      <w:proofErr w:type="spellEnd"/>
      <w:r w:rsidR="004A241F" w:rsidRPr="00D643B0">
        <w:rPr>
          <w:rFonts w:asciiTheme="majorHAnsi" w:hAnsiTheme="majorHAnsi"/>
          <w:sz w:val="16"/>
          <w:szCs w:val="16"/>
          <w:lang w:val="es-MX"/>
        </w:rPr>
        <w:t xml:space="preserve"> Becerra, hijos de la presunta víctima</w:t>
      </w:r>
    </w:p>
  </w:footnote>
  <w:footnote w:id="4">
    <w:p w14:paraId="06C1BEFA" w14:textId="11B5C236" w:rsidR="004A6A54" w:rsidRPr="00D643B0" w:rsidRDefault="004A6A54" w:rsidP="009C63EB">
      <w:pPr>
        <w:pStyle w:val="FootnoteText"/>
        <w:jc w:val="both"/>
        <w:rPr>
          <w:rFonts w:asciiTheme="majorHAnsi" w:hAnsiTheme="majorHAnsi"/>
          <w:sz w:val="16"/>
          <w:szCs w:val="16"/>
          <w:lang w:val="es-ES"/>
        </w:rPr>
      </w:pPr>
      <w:r w:rsidRPr="00D643B0">
        <w:rPr>
          <w:rStyle w:val="FootnoteReference"/>
          <w:rFonts w:asciiTheme="majorHAnsi" w:hAnsiTheme="majorHAnsi"/>
          <w:sz w:val="16"/>
          <w:szCs w:val="16"/>
        </w:rPr>
        <w:footnoteRef/>
      </w:r>
      <w:r w:rsidRPr="00D643B0">
        <w:rPr>
          <w:rFonts w:asciiTheme="majorHAnsi" w:hAnsiTheme="majorHAnsi"/>
          <w:sz w:val="16"/>
          <w:szCs w:val="16"/>
          <w:lang w:val="es-ES"/>
        </w:rPr>
        <w:t xml:space="preserve"> </w:t>
      </w:r>
      <w:r w:rsidR="004A241F" w:rsidRPr="00D643B0">
        <w:rPr>
          <w:rFonts w:asciiTheme="majorHAnsi" w:hAnsiTheme="majorHAnsi"/>
          <w:sz w:val="16"/>
          <w:szCs w:val="16"/>
          <w:lang w:val="es-ES"/>
        </w:rPr>
        <w:t>Conforme a lo dispuesto en el artículo 17.2.a del Reglamento de la Comisión, la Comisionada Antonia Urrejola Noguera, de nacionalidad chilena, no participó en el debate ni en la decisión del presente asunto.</w:t>
      </w:r>
    </w:p>
  </w:footnote>
  <w:footnote w:id="5">
    <w:p w14:paraId="215EEB52" w14:textId="3D2F5FA7" w:rsidR="00BF514A" w:rsidRPr="00D643B0" w:rsidRDefault="00BF514A" w:rsidP="009C63EB">
      <w:pPr>
        <w:pStyle w:val="FootnoteText"/>
        <w:jc w:val="both"/>
        <w:rPr>
          <w:rFonts w:asciiTheme="majorHAnsi" w:hAnsiTheme="majorHAnsi"/>
          <w:sz w:val="16"/>
          <w:szCs w:val="16"/>
          <w:lang w:val="es-ES"/>
        </w:rPr>
      </w:pPr>
      <w:r w:rsidRPr="00D643B0">
        <w:rPr>
          <w:rStyle w:val="FootnoteReference"/>
          <w:rFonts w:asciiTheme="majorHAnsi" w:hAnsiTheme="majorHAnsi"/>
          <w:sz w:val="16"/>
          <w:szCs w:val="16"/>
        </w:rPr>
        <w:footnoteRef/>
      </w:r>
      <w:r w:rsidRPr="00D643B0">
        <w:rPr>
          <w:rFonts w:asciiTheme="majorHAnsi" w:hAnsiTheme="majorHAnsi"/>
          <w:sz w:val="16"/>
          <w:szCs w:val="16"/>
          <w:lang w:val="es-ES"/>
        </w:rPr>
        <w:t xml:space="preserve"> En adelante “la Convención Americana” o “la Convención”.</w:t>
      </w:r>
    </w:p>
  </w:footnote>
  <w:footnote w:id="6">
    <w:p w14:paraId="79F07139" w14:textId="77777777" w:rsidR="008E3BFE" w:rsidRPr="00D643B0" w:rsidRDefault="008E3BFE" w:rsidP="009C63EB">
      <w:pPr>
        <w:pStyle w:val="FootnoteText"/>
        <w:jc w:val="both"/>
        <w:rPr>
          <w:rFonts w:asciiTheme="majorHAnsi" w:hAnsiTheme="majorHAnsi"/>
          <w:sz w:val="16"/>
          <w:szCs w:val="16"/>
          <w:lang w:val="es-ES"/>
        </w:rPr>
      </w:pPr>
      <w:r w:rsidRPr="00D643B0">
        <w:rPr>
          <w:rStyle w:val="FootnoteReference"/>
          <w:rFonts w:asciiTheme="majorHAnsi" w:hAnsiTheme="majorHAnsi"/>
          <w:sz w:val="16"/>
          <w:szCs w:val="16"/>
        </w:rPr>
        <w:footnoteRef/>
      </w:r>
      <w:r w:rsidRPr="00D643B0">
        <w:rPr>
          <w:rFonts w:asciiTheme="majorHAnsi" w:hAnsiTheme="majorHAnsi"/>
          <w:sz w:val="16"/>
          <w:szCs w:val="16"/>
          <w:lang w:val="es-ES"/>
        </w:rPr>
        <w:t xml:space="preserve"> Las observaciones de cada parte fueron debidamente trasladadas a la parte contraria.</w:t>
      </w:r>
    </w:p>
  </w:footnote>
  <w:footnote w:id="7">
    <w:p w14:paraId="3CE47D19" w14:textId="35D1F068" w:rsidR="00D50A12" w:rsidRPr="00D643B0" w:rsidRDefault="00D50A12" w:rsidP="009C63EB">
      <w:pPr>
        <w:pStyle w:val="FootnoteText"/>
        <w:jc w:val="both"/>
        <w:rPr>
          <w:rFonts w:asciiTheme="majorHAnsi" w:hAnsiTheme="majorHAnsi"/>
          <w:color w:val="auto"/>
          <w:sz w:val="16"/>
          <w:szCs w:val="16"/>
          <w:lang w:val="es-MX"/>
        </w:rPr>
      </w:pPr>
      <w:r w:rsidRPr="00D643B0">
        <w:rPr>
          <w:rStyle w:val="FootnoteReference"/>
          <w:rFonts w:asciiTheme="majorHAnsi" w:hAnsiTheme="majorHAnsi"/>
          <w:color w:val="auto"/>
          <w:sz w:val="16"/>
          <w:szCs w:val="16"/>
        </w:rPr>
        <w:footnoteRef/>
      </w:r>
      <w:r w:rsidRPr="00D643B0">
        <w:rPr>
          <w:rFonts w:asciiTheme="majorHAnsi" w:hAnsiTheme="majorHAnsi"/>
          <w:color w:val="auto"/>
          <w:sz w:val="16"/>
          <w:szCs w:val="16"/>
          <w:lang w:val="es-MX"/>
        </w:rPr>
        <w:t xml:space="preserve"> En adelante “Declaración” o “Declaración Americana”.</w:t>
      </w:r>
    </w:p>
  </w:footnote>
  <w:footnote w:id="8">
    <w:p w14:paraId="249FFE07" w14:textId="22C7E79D" w:rsidR="00D50A12" w:rsidRPr="00D643B0" w:rsidRDefault="00D50A12" w:rsidP="009C63EB">
      <w:pPr>
        <w:pStyle w:val="FootnoteText"/>
        <w:jc w:val="both"/>
        <w:rPr>
          <w:rFonts w:asciiTheme="majorHAnsi" w:hAnsiTheme="majorHAnsi"/>
          <w:color w:val="auto"/>
          <w:sz w:val="16"/>
          <w:szCs w:val="16"/>
          <w:lang w:val="es-MX"/>
        </w:rPr>
      </w:pPr>
      <w:r w:rsidRPr="00D643B0">
        <w:rPr>
          <w:rStyle w:val="FootnoteReference"/>
          <w:rFonts w:asciiTheme="majorHAnsi" w:hAnsiTheme="majorHAnsi"/>
          <w:color w:val="auto"/>
          <w:sz w:val="16"/>
          <w:szCs w:val="16"/>
        </w:rPr>
        <w:footnoteRef/>
      </w:r>
      <w:r w:rsidRPr="00D643B0">
        <w:rPr>
          <w:rFonts w:asciiTheme="majorHAnsi" w:hAnsiTheme="majorHAnsi"/>
          <w:color w:val="auto"/>
          <w:sz w:val="16"/>
          <w:szCs w:val="16"/>
          <w:lang w:val="es-MX"/>
        </w:rPr>
        <w:t xml:space="preserve"> En adelante “Convención contra la tortura”.</w:t>
      </w:r>
    </w:p>
  </w:footnote>
  <w:footnote w:id="9">
    <w:p w14:paraId="0B3BAE51" w14:textId="77777777" w:rsidR="00B501A6" w:rsidRPr="00D643B0" w:rsidRDefault="00B501A6" w:rsidP="009C63EB">
      <w:pPr>
        <w:pStyle w:val="FootnoteText"/>
        <w:jc w:val="both"/>
        <w:rPr>
          <w:rFonts w:asciiTheme="majorHAnsi" w:hAnsiTheme="majorHAnsi"/>
          <w:sz w:val="16"/>
          <w:szCs w:val="16"/>
          <w:lang w:val="es-MX"/>
        </w:rPr>
      </w:pPr>
      <w:r w:rsidRPr="00D643B0">
        <w:rPr>
          <w:rStyle w:val="FootnoteReference"/>
          <w:rFonts w:asciiTheme="majorHAnsi" w:hAnsiTheme="majorHAnsi"/>
          <w:sz w:val="16"/>
          <w:szCs w:val="16"/>
        </w:rPr>
        <w:footnoteRef/>
      </w:r>
      <w:r w:rsidRPr="00D643B0">
        <w:rPr>
          <w:rFonts w:asciiTheme="majorHAnsi" w:hAnsiTheme="majorHAnsi"/>
          <w:sz w:val="16"/>
          <w:szCs w:val="16"/>
          <w:lang w:val="es-MX"/>
        </w:rPr>
        <w:t xml:space="preserve"> Ver CIDH, Informe No. 105/17. Petición 798-07. Admisibilidad. David Valderrama </w:t>
      </w:r>
      <w:proofErr w:type="spellStart"/>
      <w:r w:rsidRPr="00D643B0">
        <w:rPr>
          <w:rFonts w:asciiTheme="majorHAnsi" w:hAnsiTheme="majorHAnsi"/>
          <w:sz w:val="16"/>
          <w:szCs w:val="16"/>
          <w:lang w:val="es-MX"/>
        </w:rPr>
        <w:t>Opazo</w:t>
      </w:r>
      <w:proofErr w:type="spellEnd"/>
      <w:r w:rsidRPr="00D643B0">
        <w:rPr>
          <w:rFonts w:asciiTheme="majorHAnsi" w:hAnsiTheme="majorHAnsi"/>
          <w:sz w:val="16"/>
          <w:szCs w:val="16"/>
          <w:lang w:val="es-MX"/>
        </w:rPr>
        <w:t xml:space="preserve"> y otros. Chile. 7 de septiembre de 2017.</w:t>
      </w:r>
    </w:p>
  </w:footnote>
  <w:footnote w:id="10">
    <w:p w14:paraId="596DFADA" w14:textId="77777777" w:rsidR="00306801" w:rsidRPr="00D643B0" w:rsidRDefault="00306801" w:rsidP="009C63EB">
      <w:pPr>
        <w:pStyle w:val="FootnoteText"/>
        <w:jc w:val="both"/>
        <w:rPr>
          <w:rFonts w:asciiTheme="majorHAnsi" w:hAnsiTheme="majorHAnsi"/>
          <w:sz w:val="16"/>
          <w:szCs w:val="16"/>
          <w:lang w:val="es-MX"/>
        </w:rPr>
      </w:pPr>
      <w:r w:rsidRPr="00D643B0">
        <w:rPr>
          <w:rStyle w:val="FootnoteReference"/>
          <w:rFonts w:asciiTheme="majorHAnsi" w:hAnsiTheme="majorHAnsi"/>
          <w:sz w:val="16"/>
          <w:szCs w:val="16"/>
        </w:rPr>
        <w:footnoteRef/>
      </w:r>
      <w:r w:rsidRPr="00D643B0">
        <w:rPr>
          <w:rFonts w:asciiTheme="majorHAnsi" w:hAnsiTheme="majorHAnsi"/>
          <w:sz w:val="16"/>
          <w:szCs w:val="16"/>
          <w:lang w:val="es-MX"/>
        </w:rPr>
        <w:t xml:space="preserve"> CIDH, Informe No. 154/17. Petición 239-07. Admisibilidad. Nicanor Alfonso Terreros Londoño y Familia. Colombia. 30 de noviembre de 2017</w:t>
      </w:r>
    </w:p>
  </w:footnote>
  <w:footnote w:id="11">
    <w:p w14:paraId="644637AA" w14:textId="77777777" w:rsidR="00B501A6" w:rsidRPr="00D643B0" w:rsidRDefault="00B501A6" w:rsidP="009C63EB">
      <w:pPr>
        <w:pStyle w:val="FootnoteText"/>
        <w:jc w:val="both"/>
        <w:rPr>
          <w:rFonts w:asciiTheme="majorHAnsi" w:hAnsiTheme="majorHAnsi"/>
          <w:sz w:val="16"/>
          <w:szCs w:val="16"/>
          <w:lang w:val="es-MX"/>
        </w:rPr>
      </w:pPr>
      <w:r w:rsidRPr="00D643B0">
        <w:rPr>
          <w:rStyle w:val="FootnoteReference"/>
          <w:rFonts w:asciiTheme="majorHAnsi" w:hAnsiTheme="majorHAnsi"/>
          <w:sz w:val="16"/>
          <w:szCs w:val="16"/>
        </w:rPr>
        <w:footnoteRef/>
      </w:r>
      <w:r w:rsidRPr="00D643B0">
        <w:rPr>
          <w:rFonts w:asciiTheme="majorHAnsi" w:hAnsiTheme="majorHAnsi"/>
          <w:sz w:val="16"/>
          <w:szCs w:val="16"/>
          <w:lang w:val="es-MX"/>
        </w:rPr>
        <w:t xml:space="preserve"> Ver 5 CIDH, Informe Nº 72/16. Petición 694-06. Admisibilidad. Onofre Antonio de La Hoz Montero y Familia. Colombia. 6 de diciembre de 2016, párr. 32.; CIDH, Informe No. 81/18. Petición 190-07. Admisibilidad. Edgar José Sánchez Duarte. Colombia. 7 de julio de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A00D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98FAFAB" w14:textId="77777777"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401BB"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1CF3204D" w14:textId="77777777" w:rsidR="00040C3A" w:rsidRPr="00EC7D62" w:rsidRDefault="00F2709E" w:rsidP="00A50FCF">
    <w:pPr>
      <w:pStyle w:val="Header"/>
      <w:tabs>
        <w:tab w:val="clear" w:pos="4320"/>
        <w:tab w:val="clear" w:pos="8640"/>
      </w:tabs>
      <w:jc w:val="center"/>
      <w:rPr>
        <w:sz w:val="22"/>
        <w:szCs w:val="22"/>
      </w:rPr>
    </w:pPr>
    <w:r>
      <w:rPr>
        <w:sz w:val="22"/>
        <w:szCs w:val="22"/>
      </w:rPr>
      <w:pict w14:anchorId="4367A34C">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DD6C6" w14:textId="77777777" w:rsidR="00D1295E" w:rsidRDefault="00D129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00C86F1E"/>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B12304B"/>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08246E"/>
    <w:multiLevelType w:val="hybridMultilevel"/>
    <w:tmpl w:val="4A121338"/>
    <w:lvl w:ilvl="0" w:tplc="A9FEF18C">
      <w:start w:val="1"/>
      <w:numFmt w:val="decimal"/>
      <w:lvlText w:val="%1."/>
      <w:lvlJc w:val="left"/>
      <w:pPr>
        <w:tabs>
          <w:tab w:val="num" w:pos="720"/>
        </w:tabs>
        <w:ind w:left="0" w:firstLine="72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0"/>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6"/>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9"/>
  </w:num>
  <w:num w:numId="12">
    <w:abstractNumId w:val="60"/>
  </w:num>
  <w:num w:numId="13">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8"/>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7"/>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4"/>
  </w:num>
  <w:num w:numId="83">
    <w:abstractNumId w:val="45"/>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6"/>
  </w:num>
  <w:num w:numId="96">
    <w:abstractNumId w:val="58"/>
  </w:num>
  <w:num w:numId="97">
    <w:abstractNumId w:val="55"/>
  </w:num>
  <w:num w:numId="98">
    <w:abstractNumId w:val="50"/>
  </w:num>
  <w:num w:numId="99">
    <w:abstractNumId w:val="39"/>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1"/>
  </w:num>
  <w:num w:numId="108">
    <w:abstractNumId w:val="14"/>
  </w:num>
  <w:num w:numId="109">
    <w:abstractNumId w:val="48"/>
  </w:num>
  <w:num w:numId="110">
    <w:abstractNumId w:val="43"/>
  </w:num>
  <w:num w:numId="111">
    <w:abstractNumId w:val="4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AJiY0MTIwsgx8RCSUcpOLW4ODM/D6TAuBYAZKDmWSwAAAA="/>
  </w:docVars>
  <w:rsids>
    <w:rsidRoot w:val="006B2D5C"/>
    <w:rsid w:val="0000036F"/>
    <w:rsid w:val="00000CDA"/>
    <w:rsid w:val="000065D0"/>
    <w:rsid w:val="00006B74"/>
    <w:rsid w:val="00006E1F"/>
    <w:rsid w:val="000070D7"/>
    <w:rsid w:val="000104F5"/>
    <w:rsid w:val="00015701"/>
    <w:rsid w:val="0001788C"/>
    <w:rsid w:val="00020B70"/>
    <w:rsid w:val="0002186F"/>
    <w:rsid w:val="0002344A"/>
    <w:rsid w:val="00030685"/>
    <w:rsid w:val="000337EF"/>
    <w:rsid w:val="00040C3A"/>
    <w:rsid w:val="000419AD"/>
    <w:rsid w:val="000716C5"/>
    <w:rsid w:val="00075E23"/>
    <w:rsid w:val="0009344A"/>
    <w:rsid w:val="00096F5C"/>
    <w:rsid w:val="000A3254"/>
    <w:rsid w:val="000A392E"/>
    <w:rsid w:val="000A575F"/>
    <w:rsid w:val="000B0579"/>
    <w:rsid w:val="000C1C69"/>
    <w:rsid w:val="000D10DB"/>
    <w:rsid w:val="000E2789"/>
    <w:rsid w:val="000E5EB5"/>
    <w:rsid w:val="000F35ED"/>
    <w:rsid w:val="0010498F"/>
    <w:rsid w:val="0010575B"/>
    <w:rsid w:val="00107131"/>
    <w:rsid w:val="0010736F"/>
    <w:rsid w:val="00111A8A"/>
    <w:rsid w:val="00113F73"/>
    <w:rsid w:val="001169BB"/>
    <w:rsid w:val="00117E34"/>
    <w:rsid w:val="00121CC2"/>
    <w:rsid w:val="00127894"/>
    <w:rsid w:val="00131483"/>
    <w:rsid w:val="00131D8B"/>
    <w:rsid w:val="00133EE5"/>
    <w:rsid w:val="00136E3D"/>
    <w:rsid w:val="00143EFE"/>
    <w:rsid w:val="001479C0"/>
    <w:rsid w:val="0015330B"/>
    <w:rsid w:val="00167A34"/>
    <w:rsid w:val="00177EEF"/>
    <w:rsid w:val="001819A6"/>
    <w:rsid w:val="001A7870"/>
    <w:rsid w:val="001B3A00"/>
    <w:rsid w:val="001B49BE"/>
    <w:rsid w:val="001C1B41"/>
    <w:rsid w:val="001C36E4"/>
    <w:rsid w:val="001D65EF"/>
    <w:rsid w:val="001E49E7"/>
    <w:rsid w:val="001E7A5D"/>
    <w:rsid w:val="001F271B"/>
    <w:rsid w:val="001F7201"/>
    <w:rsid w:val="00204931"/>
    <w:rsid w:val="00207075"/>
    <w:rsid w:val="00220818"/>
    <w:rsid w:val="00223A29"/>
    <w:rsid w:val="002250A3"/>
    <w:rsid w:val="00231294"/>
    <w:rsid w:val="00235217"/>
    <w:rsid w:val="002374C6"/>
    <w:rsid w:val="00246D1F"/>
    <w:rsid w:val="00247403"/>
    <w:rsid w:val="00247542"/>
    <w:rsid w:val="00266B61"/>
    <w:rsid w:val="0026712A"/>
    <w:rsid w:val="002704DB"/>
    <w:rsid w:val="00277BDA"/>
    <w:rsid w:val="00287D00"/>
    <w:rsid w:val="0029575A"/>
    <w:rsid w:val="002A0AAE"/>
    <w:rsid w:val="002A5820"/>
    <w:rsid w:val="002C3350"/>
    <w:rsid w:val="002D2B26"/>
    <w:rsid w:val="002D7EA2"/>
    <w:rsid w:val="002E187C"/>
    <w:rsid w:val="002E7512"/>
    <w:rsid w:val="00302733"/>
    <w:rsid w:val="00306801"/>
    <w:rsid w:val="003121D5"/>
    <w:rsid w:val="00314078"/>
    <w:rsid w:val="0031535D"/>
    <w:rsid w:val="003239B8"/>
    <w:rsid w:val="0033169F"/>
    <w:rsid w:val="0034224A"/>
    <w:rsid w:val="00343438"/>
    <w:rsid w:val="00344977"/>
    <w:rsid w:val="00346C95"/>
    <w:rsid w:val="00347321"/>
    <w:rsid w:val="00351155"/>
    <w:rsid w:val="00356185"/>
    <w:rsid w:val="00360380"/>
    <w:rsid w:val="003731EB"/>
    <w:rsid w:val="0037519E"/>
    <w:rsid w:val="00383048"/>
    <w:rsid w:val="00386C6C"/>
    <w:rsid w:val="00386CF0"/>
    <w:rsid w:val="003A2BFC"/>
    <w:rsid w:val="003A6337"/>
    <w:rsid w:val="003B4FF6"/>
    <w:rsid w:val="003B70FB"/>
    <w:rsid w:val="003B778F"/>
    <w:rsid w:val="003C1730"/>
    <w:rsid w:val="003C676B"/>
    <w:rsid w:val="003D0A55"/>
    <w:rsid w:val="003D1A57"/>
    <w:rsid w:val="003D3066"/>
    <w:rsid w:val="003D3BC2"/>
    <w:rsid w:val="003E6CA1"/>
    <w:rsid w:val="003F682C"/>
    <w:rsid w:val="004065A8"/>
    <w:rsid w:val="004165C2"/>
    <w:rsid w:val="00416807"/>
    <w:rsid w:val="004304AD"/>
    <w:rsid w:val="004349FA"/>
    <w:rsid w:val="00441ECB"/>
    <w:rsid w:val="00445193"/>
    <w:rsid w:val="00447CCF"/>
    <w:rsid w:val="004565BA"/>
    <w:rsid w:val="00462C1B"/>
    <w:rsid w:val="00467B7E"/>
    <w:rsid w:val="004715B7"/>
    <w:rsid w:val="00473BB4"/>
    <w:rsid w:val="00477592"/>
    <w:rsid w:val="00486F1C"/>
    <w:rsid w:val="00493A53"/>
    <w:rsid w:val="0049419D"/>
    <w:rsid w:val="004A241F"/>
    <w:rsid w:val="004A59CC"/>
    <w:rsid w:val="004A6A54"/>
    <w:rsid w:val="004B0EF7"/>
    <w:rsid w:val="004B4982"/>
    <w:rsid w:val="004C13C2"/>
    <w:rsid w:val="004C20D2"/>
    <w:rsid w:val="004C2312"/>
    <w:rsid w:val="004C4B62"/>
    <w:rsid w:val="004C54C9"/>
    <w:rsid w:val="004C616A"/>
    <w:rsid w:val="004D4ABA"/>
    <w:rsid w:val="004D6025"/>
    <w:rsid w:val="004E19B1"/>
    <w:rsid w:val="004E2649"/>
    <w:rsid w:val="004E58A1"/>
    <w:rsid w:val="00501399"/>
    <w:rsid w:val="00501652"/>
    <w:rsid w:val="0050633D"/>
    <w:rsid w:val="005071CD"/>
    <w:rsid w:val="00507BC4"/>
    <w:rsid w:val="005128E4"/>
    <w:rsid w:val="005133DB"/>
    <w:rsid w:val="00525560"/>
    <w:rsid w:val="005415E6"/>
    <w:rsid w:val="00544216"/>
    <w:rsid w:val="00544C49"/>
    <w:rsid w:val="005516A1"/>
    <w:rsid w:val="00554887"/>
    <w:rsid w:val="00563557"/>
    <w:rsid w:val="0057402A"/>
    <w:rsid w:val="00574CB7"/>
    <w:rsid w:val="005771D0"/>
    <w:rsid w:val="0059191A"/>
    <w:rsid w:val="005921FF"/>
    <w:rsid w:val="005A24ED"/>
    <w:rsid w:val="005A6D0E"/>
    <w:rsid w:val="005B37CC"/>
    <w:rsid w:val="005B52B0"/>
    <w:rsid w:val="005B6806"/>
    <w:rsid w:val="005B6D22"/>
    <w:rsid w:val="005C261A"/>
    <w:rsid w:val="005C4225"/>
    <w:rsid w:val="005C7989"/>
    <w:rsid w:val="005E0B65"/>
    <w:rsid w:val="005E11B2"/>
    <w:rsid w:val="005F0DAD"/>
    <w:rsid w:val="005F0F33"/>
    <w:rsid w:val="00600DEB"/>
    <w:rsid w:val="006010A9"/>
    <w:rsid w:val="00616B37"/>
    <w:rsid w:val="006277DE"/>
    <w:rsid w:val="00627C9F"/>
    <w:rsid w:val="00630C6E"/>
    <w:rsid w:val="006311E9"/>
    <w:rsid w:val="006312D9"/>
    <w:rsid w:val="00632354"/>
    <w:rsid w:val="00642810"/>
    <w:rsid w:val="00647756"/>
    <w:rsid w:val="006509DA"/>
    <w:rsid w:val="00652333"/>
    <w:rsid w:val="0067037F"/>
    <w:rsid w:val="0068009E"/>
    <w:rsid w:val="00681511"/>
    <w:rsid w:val="006819E9"/>
    <w:rsid w:val="00686471"/>
    <w:rsid w:val="00691BBE"/>
    <w:rsid w:val="00692219"/>
    <w:rsid w:val="006A17D2"/>
    <w:rsid w:val="006A73E6"/>
    <w:rsid w:val="006B2D5C"/>
    <w:rsid w:val="006C1D90"/>
    <w:rsid w:val="006C4EB1"/>
    <w:rsid w:val="006C5FD1"/>
    <w:rsid w:val="006D0A65"/>
    <w:rsid w:val="006D0E64"/>
    <w:rsid w:val="006D184D"/>
    <w:rsid w:val="006E0166"/>
    <w:rsid w:val="006E750D"/>
    <w:rsid w:val="006E7B34"/>
    <w:rsid w:val="0070697F"/>
    <w:rsid w:val="0072199C"/>
    <w:rsid w:val="00722C9F"/>
    <w:rsid w:val="00724246"/>
    <w:rsid w:val="007253B8"/>
    <w:rsid w:val="00730EA9"/>
    <w:rsid w:val="0073598C"/>
    <w:rsid w:val="0073741F"/>
    <w:rsid w:val="007504F1"/>
    <w:rsid w:val="00754309"/>
    <w:rsid w:val="0076643F"/>
    <w:rsid w:val="007706D4"/>
    <w:rsid w:val="007749C3"/>
    <w:rsid w:val="00777F63"/>
    <w:rsid w:val="007852B5"/>
    <w:rsid w:val="007858A6"/>
    <w:rsid w:val="007918D6"/>
    <w:rsid w:val="007A5817"/>
    <w:rsid w:val="007B055F"/>
    <w:rsid w:val="007B05C4"/>
    <w:rsid w:val="007B60E9"/>
    <w:rsid w:val="007B6CC3"/>
    <w:rsid w:val="007C3334"/>
    <w:rsid w:val="007C402A"/>
    <w:rsid w:val="007D2B98"/>
    <w:rsid w:val="007D6895"/>
    <w:rsid w:val="007D7C02"/>
    <w:rsid w:val="007E21BC"/>
    <w:rsid w:val="007E58FE"/>
    <w:rsid w:val="007E7C82"/>
    <w:rsid w:val="007F588D"/>
    <w:rsid w:val="00802748"/>
    <w:rsid w:val="00803F1C"/>
    <w:rsid w:val="0080600E"/>
    <w:rsid w:val="00811039"/>
    <w:rsid w:val="00817612"/>
    <w:rsid w:val="008338A4"/>
    <w:rsid w:val="00834D49"/>
    <w:rsid w:val="00837C45"/>
    <w:rsid w:val="008411F0"/>
    <w:rsid w:val="00844730"/>
    <w:rsid w:val="008457C2"/>
    <w:rsid w:val="00851B89"/>
    <w:rsid w:val="00857A82"/>
    <w:rsid w:val="00871526"/>
    <w:rsid w:val="00873836"/>
    <w:rsid w:val="00885737"/>
    <w:rsid w:val="00890650"/>
    <w:rsid w:val="00892744"/>
    <w:rsid w:val="00897A5D"/>
    <w:rsid w:val="00897E12"/>
    <w:rsid w:val="008A0F81"/>
    <w:rsid w:val="008A6724"/>
    <w:rsid w:val="008A7E0F"/>
    <w:rsid w:val="008B12F5"/>
    <w:rsid w:val="008B5932"/>
    <w:rsid w:val="008C5751"/>
    <w:rsid w:val="008C753E"/>
    <w:rsid w:val="008D768D"/>
    <w:rsid w:val="008E328A"/>
    <w:rsid w:val="008E3759"/>
    <w:rsid w:val="008E3BFE"/>
    <w:rsid w:val="008E7900"/>
    <w:rsid w:val="008F1912"/>
    <w:rsid w:val="008F1DC7"/>
    <w:rsid w:val="008F24D9"/>
    <w:rsid w:val="008F358D"/>
    <w:rsid w:val="0090270B"/>
    <w:rsid w:val="009041DC"/>
    <w:rsid w:val="00917B5A"/>
    <w:rsid w:val="00920A58"/>
    <w:rsid w:val="00920A8C"/>
    <w:rsid w:val="00924518"/>
    <w:rsid w:val="00934A2C"/>
    <w:rsid w:val="00935F06"/>
    <w:rsid w:val="00936DD4"/>
    <w:rsid w:val="00937B3A"/>
    <w:rsid w:val="00954B82"/>
    <w:rsid w:val="00962436"/>
    <w:rsid w:val="0096706E"/>
    <w:rsid w:val="00974491"/>
    <w:rsid w:val="00975C4E"/>
    <w:rsid w:val="00981FBA"/>
    <w:rsid w:val="0098394D"/>
    <w:rsid w:val="00997BC5"/>
    <w:rsid w:val="009A4F41"/>
    <w:rsid w:val="009B381B"/>
    <w:rsid w:val="009C1BCC"/>
    <w:rsid w:val="009C2FC5"/>
    <w:rsid w:val="009C63EB"/>
    <w:rsid w:val="009D1753"/>
    <w:rsid w:val="009D1AF4"/>
    <w:rsid w:val="009D6502"/>
    <w:rsid w:val="009D7611"/>
    <w:rsid w:val="009D78A5"/>
    <w:rsid w:val="009E0B61"/>
    <w:rsid w:val="009E0CA1"/>
    <w:rsid w:val="009E53DE"/>
    <w:rsid w:val="009E7C00"/>
    <w:rsid w:val="009F3622"/>
    <w:rsid w:val="00A04697"/>
    <w:rsid w:val="00A0691C"/>
    <w:rsid w:val="00A11E44"/>
    <w:rsid w:val="00A16D5A"/>
    <w:rsid w:val="00A22397"/>
    <w:rsid w:val="00A328B3"/>
    <w:rsid w:val="00A353C4"/>
    <w:rsid w:val="00A50FCF"/>
    <w:rsid w:val="00A528D1"/>
    <w:rsid w:val="00A610CD"/>
    <w:rsid w:val="00A625E0"/>
    <w:rsid w:val="00A74947"/>
    <w:rsid w:val="00A758AA"/>
    <w:rsid w:val="00A8730D"/>
    <w:rsid w:val="00AA09A2"/>
    <w:rsid w:val="00AA7996"/>
    <w:rsid w:val="00AC19CB"/>
    <w:rsid w:val="00AD1886"/>
    <w:rsid w:val="00AD3D88"/>
    <w:rsid w:val="00AE5488"/>
    <w:rsid w:val="00AE5CB0"/>
    <w:rsid w:val="00AE6F91"/>
    <w:rsid w:val="00AF5571"/>
    <w:rsid w:val="00B06B4E"/>
    <w:rsid w:val="00B07341"/>
    <w:rsid w:val="00B11A1E"/>
    <w:rsid w:val="00B15060"/>
    <w:rsid w:val="00B202B5"/>
    <w:rsid w:val="00B26773"/>
    <w:rsid w:val="00B30539"/>
    <w:rsid w:val="00B30EF6"/>
    <w:rsid w:val="00B314DB"/>
    <w:rsid w:val="00B361F2"/>
    <w:rsid w:val="00B3718B"/>
    <w:rsid w:val="00B437DB"/>
    <w:rsid w:val="00B4632A"/>
    <w:rsid w:val="00B501A6"/>
    <w:rsid w:val="00B5067D"/>
    <w:rsid w:val="00B52BD1"/>
    <w:rsid w:val="00B530F1"/>
    <w:rsid w:val="00B5367B"/>
    <w:rsid w:val="00B736AF"/>
    <w:rsid w:val="00B94326"/>
    <w:rsid w:val="00B970BA"/>
    <w:rsid w:val="00B97946"/>
    <w:rsid w:val="00BA10D5"/>
    <w:rsid w:val="00BA276C"/>
    <w:rsid w:val="00BA5544"/>
    <w:rsid w:val="00BB306F"/>
    <w:rsid w:val="00BB3FBD"/>
    <w:rsid w:val="00BC6CD0"/>
    <w:rsid w:val="00BD1E7E"/>
    <w:rsid w:val="00BD4B89"/>
    <w:rsid w:val="00BD5922"/>
    <w:rsid w:val="00BD76D9"/>
    <w:rsid w:val="00BE1A3D"/>
    <w:rsid w:val="00BF02CB"/>
    <w:rsid w:val="00BF514A"/>
    <w:rsid w:val="00BF6FD8"/>
    <w:rsid w:val="00BF775D"/>
    <w:rsid w:val="00C00BCE"/>
    <w:rsid w:val="00C03680"/>
    <w:rsid w:val="00C054DF"/>
    <w:rsid w:val="00C10AFC"/>
    <w:rsid w:val="00C21562"/>
    <w:rsid w:val="00C21762"/>
    <w:rsid w:val="00C21FEF"/>
    <w:rsid w:val="00C24543"/>
    <w:rsid w:val="00C24E9A"/>
    <w:rsid w:val="00C256A2"/>
    <w:rsid w:val="00C35A26"/>
    <w:rsid w:val="00C4571B"/>
    <w:rsid w:val="00C469AC"/>
    <w:rsid w:val="00C51515"/>
    <w:rsid w:val="00C53910"/>
    <w:rsid w:val="00C5660B"/>
    <w:rsid w:val="00C56854"/>
    <w:rsid w:val="00C5788A"/>
    <w:rsid w:val="00C66B72"/>
    <w:rsid w:val="00C703DC"/>
    <w:rsid w:val="00C87AC4"/>
    <w:rsid w:val="00C9567A"/>
    <w:rsid w:val="00CA433A"/>
    <w:rsid w:val="00CA48A3"/>
    <w:rsid w:val="00CA6FCE"/>
    <w:rsid w:val="00CB212D"/>
    <w:rsid w:val="00CB2660"/>
    <w:rsid w:val="00CB3D6A"/>
    <w:rsid w:val="00CC5E90"/>
    <w:rsid w:val="00CD046C"/>
    <w:rsid w:val="00CE076C"/>
    <w:rsid w:val="00CE5199"/>
    <w:rsid w:val="00CE66D5"/>
    <w:rsid w:val="00CF637A"/>
    <w:rsid w:val="00D00FE1"/>
    <w:rsid w:val="00D04F55"/>
    <w:rsid w:val="00D059DE"/>
    <w:rsid w:val="00D05ABD"/>
    <w:rsid w:val="00D10B1C"/>
    <w:rsid w:val="00D1295E"/>
    <w:rsid w:val="00D13FCE"/>
    <w:rsid w:val="00D23D8D"/>
    <w:rsid w:val="00D240A0"/>
    <w:rsid w:val="00D306D1"/>
    <w:rsid w:val="00D30800"/>
    <w:rsid w:val="00D34786"/>
    <w:rsid w:val="00D371D6"/>
    <w:rsid w:val="00D37BFC"/>
    <w:rsid w:val="00D42822"/>
    <w:rsid w:val="00D47A8E"/>
    <w:rsid w:val="00D50A12"/>
    <w:rsid w:val="00D52D14"/>
    <w:rsid w:val="00D55256"/>
    <w:rsid w:val="00D643B0"/>
    <w:rsid w:val="00D712D3"/>
    <w:rsid w:val="00D71422"/>
    <w:rsid w:val="00D72DC6"/>
    <w:rsid w:val="00D73F5E"/>
    <w:rsid w:val="00D7558D"/>
    <w:rsid w:val="00D77503"/>
    <w:rsid w:val="00D81D92"/>
    <w:rsid w:val="00D876F9"/>
    <w:rsid w:val="00D877B6"/>
    <w:rsid w:val="00DA7B5F"/>
    <w:rsid w:val="00DC0234"/>
    <w:rsid w:val="00DC11E7"/>
    <w:rsid w:val="00DC2AFB"/>
    <w:rsid w:val="00DC7023"/>
    <w:rsid w:val="00DC769A"/>
    <w:rsid w:val="00DD095C"/>
    <w:rsid w:val="00DD3D86"/>
    <w:rsid w:val="00DE12F0"/>
    <w:rsid w:val="00DF1EC4"/>
    <w:rsid w:val="00DF2C49"/>
    <w:rsid w:val="00E01943"/>
    <w:rsid w:val="00E0340B"/>
    <w:rsid w:val="00E04A90"/>
    <w:rsid w:val="00E0551F"/>
    <w:rsid w:val="00E219C7"/>
    <w:rsid w:val="00E26CCA"/>
    <w:rsid w:val="00E4118C"/>
    <w:rsid w:val="00E43157"/>
    <w:rsid w:val="00E461CE"/>
    <w:rsid w:val="00E51ED1"/>
    <w:rsid w:val="00E62DE8"/>
    <w:rsid w:val="00E720CA"/>
    <w:rsid w:val="00E84EB5"/>
    <w:rsid w:val="00E85662"/>
    <w:rsid w:val="00E8789F"/>
    <w:rsid w:val="00E9066A"/>
    <w:rsid w:val="00E97B71"/>
    <w:rsid w:val="00EA3D34"/>
    <w:rsid w:val="00EB454D"/>
    <w:rsid w:val="00EC021A"/>
    <w:rsid w:val="00EC72AB"/>
    <w:rsid w:val="00ED2F03"/>
    <w:rsid w:val="00ED549D"/>
    <w:rsid w:val="00ED76BE"/>
    <w:rsid w:val="00ED7F05"/>
    <w:rsid w:val="00EE00E9"/>
    <w:rsid w:val="00EE014D"/>
    <w:rsid w:val="00EF35AB"/>
    <w:rsid w:val="00EF4C44"/>
    <w:rsid w:val="00EF619B"/>
    <w:rsid w:val="00F00B55"/>
    <w:rsid w:val="00F02AD1"/>
    <w:rsid w:val="00F04591"/>
    <w:rsid w:val="00F06354"/>
    <w:rsid w:val="00F253CC"/>
    <w:rsid w:val="00F2709E"/>
    <w:rsid w:val="00F332EF"/>
    <w:rsid w:val="00F3527A"/>
    <w:rsid w:val="00F37106"/>
    <w:rsid w:val="00F519CF"/>
    <w:rsid w:val="00F56BA5"/>
    <w:rsid w:val="00F56F92"/>
    <w:rsid w:val="00F60E22"/>
    <w:rsid w:val="00F63B39"/>
    <w:rsid w:val="00F81395"/>
    <w:rsid w:val="00F81887"/>
    <w:rsid w:val="00F81BB8"/>
    <w:rsid w:val="00F917D1"/>
    <w:rsid w:val="00F9342C"/>
    <w:rsid w:val="00F9653B"/>
    <w:rsid w:val="00FA56EA"/>
    <w:rsid w:val="00FB62CF"/>
    <w:rsid w:val="00FC0F4A"/>
    <w:rsid w:val="00FC3330"/>
    <w:rsid w:val="00FD3C3B"/>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2CE1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B6D22"/>
    <w:rPr>
      <w:sz w:val="16"/>
      <w:szCs w:val="16"/>
    </w:rPr>
  </w:style>
  <w:style w:type="paragraph" w:styleId="CommentText">
    <w:name w:val="annotation text"/>
    <w:basedOn w:val="Normal"/>
    <w:link w:val="CommentTextChar"/>
    <w:uiPriority w:val="99"/>
    <w:semiHidden/>
    <w:unhideWhenUsed/>
    <w:rsid w:val="005B6D22"/>
    <w:rPr>
      <w:sz w:val="20"/>
      <w:szCs w:val="20"/>
    </w:rPr>
  </w:style>
  <w:style w:type="character" w:customStyle="1" w:styleId="CommentTextChar">
    <w:name w:val="Comment Text Char"/>
    <w:basedOn w:val="DefaultParagraphFont"/>
    <w:link w:val="CommentText"/>
    <w:uiPriority w:val="99"/>
    <w:semiHidden/>
    <w:rsid w:val="005B6D22"/>
    <w:rPr>
      <w:lang w:val="en-US" w:eastAsia="en-US"/>
    </w:rPr>
  </w:style>
  <w:style w:type="paragraph" w:styleId="CommentSubject">
    <w:name w:val="annotation subject"/>
    <w:basedOn w:val="CommentText"/>
    <w:next w:val="CommentText"/>
    <w:link w:val="CommentSubjectChar"/>
    <w:uiPriority w:val="99"/>
    <w:semiHidden/>
    <w:unhideWhenUsed/>
    <w:rsid w:val="005B6D22"/>
    <w:rPr>
      <w:b/>
      <w:bCs/>
    </w:rPr>
  </w:style>
  <w:style w:type="character" w:customStyle="1" w:styleId="CommentSubjectChar">
    <w:name w:val="Comment Subject Char"/>
    <w:basedOn w:val="CommentTextChar"/>
    <w:link w:val="CommentSubject"/>
    <w:uiPriority w:val="99"/>
    <w:semiHidden/>
    <w:rsid w:val="005B6D22"/>
    <w:rPr>
      <w:b/>
      <w:bCs/>
      <w:lang w:val="en-US" w:eastAsia="en-US"/>
    </w:rPr>
  </w:style>
  <w:style w:type="paragraph" w:styleId="Revision">
    <w:name w:val="Revision"/>
    <w:hidden/>
    <w:uiPriority w:val="99"/>
    <w:semiHidden/>
    <w:rsid w:val="005B6D2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4807841">
      <w:bodyDiv w:val="1"/>
      <w:marLeft w:val="0"/>
      <w:marRight w:val="0"/>
      <w:marTop w:val="0"/>
      <w:marBottom w:val="0"/>
      <w:divBdr>
        <w:top w:val="none" w:sz="0" w:space="0" w:color="auto"/>
        <w:left w:val="none" w:sz="0" w:space="0" w:color="auto"/>
        <w:bottom w:val="none" w:sz="0" w:space="0" w:color="auto"/>
        <w:right w:val="none" w:sz="0" w:space="0" w:color="auto"/>
      </w:divBdr>
    </w:div>
    <w:div w:id="806775101">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155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160EC"/>
    <w:rsid w:val="00022325"/>
    <w:rsid w:val="000825FF"/>
    <w:rsid w:val="00083D45"/>
    <w:rsid w:val="00180A6B"/>
    <w:rsid w:val="00183B6F"/>
    <w:rsid w:val="001B46C7"/>
    <w:rsid w:val="00200821"/>
    <w:rsid w:val="002E1499"/>
    <w:rsid w:val="00394049"/>
    <w:rsid w:val="003B03D9"/>
    <w:rsid w:val="0044158B"/>
    <w:rsid w:val="004F2DF8"/>
    <w:rsid w:val="00543CCF"/>
    <w:rsid w:val="00565694"/>
    <w:rsid w:val="0065339A"/>
    <w:rsid w:val="006A04A7"/>
    <w:rsid w:val="006E2B51"/>
    <w:rsid w:val="00727AF2"/>
    <w:rsid w:val="00942213"/>
    <w:rsid w:val="0097453C"/>
    <w:rsid w:val="009A261B"/>
    <w:rsid w:val="00A52376"/>
    <w:rsid w:val="00AC15A4"/>
    <w:rsid w:val="00B02C34"/>
    <w:rsid w:val="00B0336C"/>
    <w:rsid w:val="00C11833"/>
    <w:rsid w:val="00C56634"/>
    <w:rsid w:val="00CD444F"/>
    <w:rsid w:val="00CF1159"/>
    <w:rsid w:val="00D46351"/>
    <w:rsid w:val="00E04EBF"/>
    <w:rsid w:val="00E6600D"/>
    <w:rsid w:val="00E77140"/>
    <w:rsid w:val="00E907ED"/>
    <w:rsid w:val="00EC5ECB"/>
    <w:rsid w:val="00EE0510"/>
    <w:rsid w:val="00F00D2F"/>
    <w:rsid w:val="00F128DF"/>
    <w:rsid w:val="00FA76FB"/>
    <w:rsid w:val="00FC1B0E"/>
    <w:rsid w:val="00FC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9AD8C-9DF8-4F4E-81BB-0D58E6776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2314</Words>
  <Characters>12290</Characters>
  <Application>Microsoft Office Word</Application>
  <DocSecurity>0</DocSecurity>
  <Lines>261</Lines>
  <Paragraphs>81</Paragraphs>
  <ScaleCrop>false</ScaleCrop>
  <Company/>
  <LinksUpToDate>false</LinksUpToDate>
  <CharactersWithSpaces>14523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180/19</dc:title>
  <dc:creator/>
  <cp:lastModifiedBy/>
  <cp:revision>1</cp:revision>
  <dcterms:created xsi:type="dcterms:W3CDTF">2020-03-27T12:58:00Z</dcterms:created>
  <dcterms:modified xsi:type="dcterms:W3CDTF">2020-03-27T12:58:00Z</dcterms:modified>
</cp:coreProperties>
</file>