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AAA8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006B74" w:rsidRDefault="00040C3A" w:rsidP="00040C3A">
      <w:pPr>
        <w:tabs>
          <w:tab w:val="center" w:pos="5400"/>
        </w:tabs>
        <w:suppressAutoHyphens/>
        <w:jc w:val="both"/>
        <w:rPr>
          <w:rFonts w:asciiTheme="majorHAnsi" w:hAnsiTheme="majorHAnsi"/>
          <w:sz w:val="22"/>
          <w:szCs w:val="22"/>
          <w:lang w:val="es-ES"/>
        </w:rPr>
      </w:pPr>
    </w:p>
    <w:p w:rsidR="00040C3A" w:rsidRPr="00006B74" w:rsidRDefault="00040C3A" w:rsidP="00040C3A">
      <w:pPr>
        <w:tabs>
          <w:tab w:val="center" w:pos="5400"/>
        </w:tabs>
        <w:suppressAutoHyphens/>
        <w:jc w:val="both"/>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4349D">
                              <w:rPr>
                                <w:rFonts w:asciiTheme="majorHAnsi" w:hAnsiTheme="majorHAnsi" w:cs="Arial"/>
                                <w:b/>
                                <w:bCs/>
                                <w:color w:val="0D0D0D" w:themeColor="text1" w:themeTint="F2"/>
                                <w:sz w:val="36"/>
                                <w:szCs w:val="22"/>
                                <w:lang w:val="es-ES_tradnl"/>
                              </w:rPr>
                              <w:t>176</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69E5">
                              <w:rPr>
                                <w:rFonts w:asciiTheme="majorHAnsi" w:hAnsiTheme="majorHAnsi" w:cs="Arial"/>
                                <w:b/>
                                <w:color w:val="0D0D0D" w:themeColor="text1" w:themeTint="F2"/>
                                <w:sz w:val="36"/>
                                <w:szCs w:val="22"/>
                                <w:lang w:val="es-ES_tradnl"/>
                              </w:rPr>
                              <w:t>1182</w:t>
                            </w:r>
                            <w:r w:rsidR="00246D1F" w:rsidRPr="004E2649">
                              <w:rPr>
                                <w:rFonts w:asciiTheme="majorHAnsi" w:hAnsiTheme="majorHAnsi" w:cs="Arial"/>
                                <w:b/>
                                <w:color w:val="0D0D0D" w:themeColor="text1" w:themeTint="F2"/>
                                <w:sz w:val="36"/>
                                <w:szCs w:val="22"/>
                                <w:lang w:val="es-ES_tradnl"/>
                              </w:rPr>
                              <w:t>-</w:t>
                            </w:r>
                            <w:r w:rsidR="003869E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F32E0">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bookmarkStart w:id="1" w:name="_GoBack"/>
                            <w:bookmarkEnd w:id="1"/>
                          </w:p>
                          <w:p w:rsidR="005B52B0" w:rsidRPr="0010736F" w:rsidRDefault="003869E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JORAN ANDREAS PETRUS VAN DER SLOOT</w:t>
                            </w:r>
                          </w:p>
                          <w:bookmarkEnd w:id="0"/>
                          <w:p w:rsidR="005B52B0" w:rsidRPr="0010736F" w:rsidRDefault="003869E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4349D">
                        <w:rPr>
                          <w:rFonts w:asciiTheme="majorHAnsi" w:hAnsiTheme="majorHAnsi" w:cs="Arial"/>
                          <w:b/>
                          <w:bCs/>
                          <w:color w:val="0D0D0D" w:themeColor="text1" w:themeTint="F2"/>
                          <w:sz w:val="36"/>
                          <w:szCs w:val="22"/>
                          <w:lang w:val="es-ES_tradnl"/>
                        </w:rPr>
                        <w:t>176</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69E5">
                        <w:rPr>
                          <w:rFonts w:asciiTheme="majorHAnsi" w:hAnsiTheme="majorHAnsi" w:cs="Arial"/>
                          <w:b/>
                          <w:color w:val="0D0D0D" w:themeColor="text1" w:themeTint="F2"/>
                          <w:sz w:val="36"/>
                          <w:szCs w:val="22"/>
                          <w:lang w:val="es-ES_tradnl"/>
                        </w:rPr>
                        <w:t>1182</w:t>
                      </w:r>
                      <w:r w:rsidR="00246D1F" w:rsidRPr="004E2649">
                        <w:rPr>
                          <w:rFonts w:asciiTheme="majorHAnsi" w:hAnsiTheme="majorHAnsi" w:cs="Arial"/>
                          <w:b/>
                          <w:color w:val="0D0D0D" w:themeColor="text1" w:themeTint="F2"/>
                          <w:sz w:val="36"/>
                          <w:szCs w:val="22"/>
                          <w:lang w:val="es-ES_tradnl"/>
                        </w:rPr>
                        <w:t>-</w:t>
                      </w:r>
                      <w:r w:rsidR="003869E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F32E0">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bookmarkStart w:id="3" w:name="_GoBack"/>
                      <w:bookmarkEnd w:id="3"/>
                    </w:p>
                    <w:p w:rsidR="005B52B0" w:rsidRPr="0010736F" w:rsidRDefault="003869E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JORAN ANDREAS PETRUS VAN DER SLOOT</w:t>
                      </w:r>
                    </w:p>
                    <w:bookmarkEnd w:id="2"/>
                    <w:p w:rsidR="005B52B0" w:rsidRPr="0010736F" w:rsidRDefault="003869E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Doc.</w:t>
                            </w:r>
                            <w:r w:rsidR="00A4349D">
                              <w:rPr>
                                <w:rFonts w:asciiTheme="minorHAnsi" w:hAnsiTheme="minorHAnsi"/>
                                <w:color w:val="FFFFFF" w:themeColor="background1"/>
                                <w:sz w:val="22"/>
                                <w:lang w:val="pt-BR"/>
                              </w:rPr>
                              <w:t xml:space="preserve"> 198</w:t>
                            </w:r>
                          </w:p>
                          <w:p w:rsidR="00627C9F" w:rsidRPr="001B4C00" w:rsidRDefault="00A4349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Doc.</w:t>
                      </w:r>
                      <w:r w:rsidR="00A4349D">
                        <w:rPr>
                          <w:rFonts w:asciiTheme="minorHAnsi" w:hAnsiTheme="minorHAnsi"/>
                          <w:color w:val="FFFFFF" w:themeColor="background1"/>
                          <w:sz w:val="22"/>
                          <w:lang w:val="pt-BR"/>
                        </w:rPr>
                        <w:t xml:space="preserve"> 198</w:t>
                      </w:r>
                    </w:p>
                    <w:p w:rsidR="00627C9F" w:rsidRPr="001B4C00" w:rsidRDefault="00A4349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cs="Arial"/>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349D" w:rsidRPr="00890650" w:rsidRDefault="00A4349D" w:rsidP="00A4349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0F2CFB">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A4349D" w:rsidRPr="00890650" w:rsidRDefault="00A4349D" w:rsidP="00A4349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0F2CFB">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4349D" w:rsidRPr="00A4349D">
                              <w:rPr>
                                <w:rFonts w:asciiTheme="majorHAnsi" w:hAnsiTheme="majorHAnsi"/>
                                <w:color w:val="595959" w:themeColor="text1" w:themeTint="A6"/>
                                <w:sz w:val="18"/>
                                <w:szCs w:val="18"/>
                                <w:lang w:val="pt-BR"/>
                              </w:rPr>
                              <w:t>176</w:t>
                            </w:r>
                            <w:r w:rsidR="001F32E0" w:rsidRPr="00A4349D">
                              <w:rPr>
                                <w:rFonts w:asciiTheme="majorHAnsi" w:hAnsiTheme="majorHAnsi"/>
                                <w:color w:val="595959" w:themeColor="text1" w:themeTint="A6"/>
                                <w:sz w:val="18"/>
                                <w:szCs w:val="18"/>
                                <w:lang w:val="pt-BR"/>
                              </w:rPr>
                              <w:t>/19</w:t>
                            </w:r>
                            <w:r w:rsidRPr="00A4349D">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proofErr w:type="spellStart"/>
                            <w:r w:rsidR="001F32E0">
                              <w:rPr>
                                <w:rFonts w:asciiTheme="majorHAnsi" w:hAnsiTheme="majorHAnsi"/>
                                <w:color w:val="595959" w:themeColor="text1" w:themeTint="A6"/>
                                <w:sz w:val="18"/>
                                <w:szCs w:val="18"/>
                                <w:lang w:val="es-ES_tradnl"/>
                              </w:rPr>
                              <w:t>Joran</w:t>
                            </w:r>
                            <w:proofErr w:type="spellEnd"/>
                            <w:r w:rsidR="001F32E0">
                              <w:rPr>
                                <w:rFonts w:asciiTheme="majorHAnsi" w:hAnsiTheme="majorHAnsi"/>
                                <w:color w:val="595959" w:themeColor="text1" w:themeTint="A6"/>
                                <w:sz w:val="18"/>
                                <w:szCs w:val="18"/>
                                <w:lang w:val="es-ES_tradnl"/>
                              </w:rPr>
                              <w:t xml:space="preserve"> Andreas Petrus Van der </w:t>
                            </w:r>
                            <w:proofErr w:type="spellStart"/>
                            <w:r w:rsidR="001F32E0">
                              <w:rPr>
                                <w:rFonts w:asciiTheme="majorHAnsi" w:hAnsiTheme="majorHAnsi"/>
                                <w:color w:val="595959" w:themeColor="text1" w:themeTint="A6"/>
                                <w:sz w:val="18"/>
                                <w:szCs w:val="18"/>
                                <w:lang w:val="es-ES_tradnl"/>
                              </w:rPr>
                              <w:t>Sloot</w:t>
                            </w:r>
                            <w:proofErr w:type="spellEnd"/>
                            <w:r w:rsidRPr="00890650">
                              <w:rPr>
                                <w:rFonts w:asciiTheme="majorHAnsi" w:hAnsiTheme="majorHAnsi"/>
                                <w:color w:val="595959" w:themeColor="text1" w:themeTint="A6"/>
                                <w:sz w:val="18"/>
                                <w:szCs w:val="18"/>
                                <w:lang w:val="es-ES_tradnl"/>
                              </w:rPr>
                              <w:t xml:space="preserve">. </w:t>
                            </w:r>
                            <w:r w:rsidR="001F32E0">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A4349D">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4349D" w:rsidRPr="00A4349D">
                        <w:rPr>
                          <w:rFonts w:asciiTheme="majorHAnsi" w:hAnsiTheme="majorHAnsi"/>
                          <w:color w:val="595959" w:themeColor="text1" w:themeTint="A6"/>
                          <w:sz w:val="18"/>
                          <w:szCs w:val="18"/>
                          <w:lang w:val="pt-BR"/>
                        </w:rPr>
                        <w:t>176</w:t>
                      </w:r>
                      <w:r w:rsidR="001F32E0" w:rsidRPr="00A4349D">
                        <w:rPr>
                          <w:rFonts w:asciiTheme="majorHAnsi" w:hAnsiTheme="majorHAnsi"/>
                          <w:color w:val="595959" w:themeColor="text1" w:themeTint="A6"/>
                          <w:sz w:val="18"/>
                          <w:szCs w:val="18"/>
                          <w:lang w:val="pt-BR"/>
                        </w:rPr>
                        <w:t>/19</w:t>
                      </w:r>
                      <w:r w:rsidRPr="00A4349D">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proofErr w:type="spellStart"/>
                      <w:r w:rsidR="001F32E0">
                        <w:rPr>
                          <w:rFonts w:asciiTheme="majorHAnsi" w:hAnsiTheme="majorHAnsi"/>
                          <w:color w:val="595959" w:themeColor="text1" w:themeTint="A6"/>
                          <w:sz w:val="18"/>
                          <w:szCs w:val="18"/>
                          <w:lang w:val="es-ES_tradnl"/>
                        </w:rPr>
                        <w:t>Joran</w:t>
                      </w:r>
                      <w:proofErr w:type="spellEnd"/>
                      <w:r w:rsidR="001F32E0">
                        <w:rPr>
                          <w:rFonts w:asciiTheme="majorHAnsi" w:hAnsiTheme="majorHAnsi"/>
                          <w:color w:val="595959" w:themeColor="text1" w:themeTint="A6"/>
                          <w:sz w:val="18"/>
                          <w:szCs w:val="18"/>
                          <w:lang w:val="es-ES_tradnl"/>
                        </w:rPr>
                        <w:t xml:space="preserve"> Andreas Petrus Van der </w:t>
                      </w:r>
                      <w:proofErr w:type="spellStart"/>
                      <w:r w:rsidR="001F32E0">
                        <w:rPr>
                          <w:rFonts w:asciiTheme="majorHAnsi" w:hAnsiTheme="majorHAnsi"/>
                          <w:color w:val="595959" w:themeColor="text1" w:themeTint="A6"/>
                          <w:sz w:val="18"/>
                          <w:szCs w:val="18"/>
                          <w:lang w:val="es-ES_tradnl"/>
                        </w:rPr>
                        <w:t>Sloot</w:t>
                      </w:r>
                      <w:proofErr w:type="spellEnd"/>
                      <w:r w:rsidRPr="00890650">
                        <w:rPr>
                          <w:rFonts w:asciiTheme="majorHAnsi" w:hAnsiTheme="majorHAnsi"/>
                          <w:color w:val="595959" w:themeColor="text1" w:themeTint="A6"/>
                          <w:sz w:val="18"/>
                          <w:szCs w:val="18"/>
                          <w:lang w:val="es-ES_tradnl"/>
                        </w:rPr>
                        <w:t xml:space="preserve">. </w:t>
                      </w:r>
                      <w:r w:rsidR="001F32E0">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A4349D">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606FF2" w:rsidTr="00954B82">
        <w:tc>
          <w:tcPr>
            <w:tcW w:w="2790" w:type="dxa"/>
            <w:tcBorders>
              <w:top w:val="single" w:sz="4" w:space="0" w:color="auto"/>
              <w:bottom w:val="single" w:sz="6" w:space="0" w:color="auto"/>
            </w:tcBorders>
            <w:shd w:val="clear" w:color="auto" w:fill="386294"/>
            <w:vAlign w:val="center"/>
          </w:tcPr>
          <w:p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rsidR="003239B8" w:rsidRPr="00602B41" w:rsidRDefault="00C9551B" w:rsidP="008D2290">
            <w:pPr>
              <w:jc w:val="both"/>
              <w:rPr>
                <w:rFonts w:ascii="Cambria" w:hAnsi="Cambria"/>
                <w:bCs/>
                <w:sz w:val="19"/>
                <w:szCs w:val="19"/>
                <w:lang w:val="pt-BR"/>
              </w:rPr>
            </w:pPr>
            <w:r w:rsidRPr="00602B41">
              <w:rPr>
                <w:rFonts w:ascii="Cambria" w:hAnsi="Cambria"/>
                <w:bCs/>
                <w:sz w:val="19"/>
                <w:szCs w:val="19"/>
                <w:lang w:val="pt-BR"/>
              </w:rPr>
              <w:t xml:space="preserve">Máximo </w:t>
            </w:r>
            <w:r w:rsidR="00B7687D" w:rsidRPr="00602B41">
              <w:rPr>
                <w:rFonts w:ascii="Cambria" w:hAnsi="Cambria"/>
                <w:bCs/>
                <w:sz w:val="19"/>
                <w:szCs w:val="19"/>
                <w:lang w:val="pt-BR"/>
              </w:rPr>
              <w:t xml:space="preserve">A. </w:t>
            </w:r>
            <w:r w:rsidR="00246944">
              <w:rPr>
                <w:rFonts w:ascii="Cambria" w:hAnsi="Cambria"/>
                <w:bCs/>
                <w:sz w:val="19"/>
                <w:szCs w:val="19"/>
                <w:lang w:val="pt-BR"/>
              </w:rPr>
              <w:t>Altez Navarro y</w:t>
            </w:r>
            <w:r w:rsidRPr="00602B41">
              <w:rPr>
                <w:rFonts w:ascii="Cambria" w:hAnsi="Cambria"/>
                <w:bCs/>
                <w:sz w:val="19"/>
                <w:szCs w:val="19"/>
                <w:lang w:val="pt-BR"/>
              </w:rPr>
              <w:t xml:space="preserve"> Aldo Favio Cotrina Alvarado</w:t>
            </w:r>
          </w:p>
        </w:tc>
      </w:tr>
      <w:tr w:rsidR="003239B8" w:rsidRPr="00606FF2" w:rsidTr="00954B82">
        <w:tc>
          <w:tcPr>
            <w:tcW w:w="2790" w:type="dxa"/>
            <w:tcBorders>
              <w:top w:val="single" w:sz="6" w:space="0" w:color="auto"/>
              <w:bottom w:val="single" w:sz="6" w:space="0" w:color="auto"/>
            </w:tcBorders>
            <w:shd w:val="clear" w:color="auto" w:fill="386294"/>
            <w:vAlign w:val="center"/>
          </w:tcPr>
          <w:p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rsidR="003239B8" w:rsidRPr="00006B74" w:rsidRDefault="003869E5" w:rsidP="005B6D22">
            <w:pPr>
              <w:jc w:val="both"/>
              <w:rPr>
                <w:rFonts w:ascii="Cambria" w:hAnsi="Cambria"/>
                <w:bCs/>
                <w:sz w:val="19"/>
                <w:szCs w:val="19"/>
                <w:lang w:val="es-ES"/>
              </w:rPr>
            </w:pPr>
            <w:r>
              <w:rPr>
                <w:rFonts w:ascii="Cambria" w:hAnsi="Cambria"/>
                <w:bCs/>
                <w:sz w:val="19"/>
                <w:szCs w:val="19"/>
                <w:lang w:val="es-ES"/>
              </w:rPr>
              <w:t>Joran Andreas Petrus Van Der Sloot</w:t>
            </w:r>
          </w:p>
        </w:tc>
      </w:tr>
      <w:tr w:rsidR="003239B8" w:rsidRPr="00B7687D" w:rsidTr="00954B82">
        <w:tc>
          <w:tcPr>
            <w:tcW w:w="2790" w:type="dxa"/>
            <w:tcBorders>
              <w:top w:val="single" w:sz="6" w:space="0" w:color="auto"/>
              <w:bottom w:val="single" w:sz="6" w:space="0" w:color="auto"/>
            </w:tcBorders>
            <w:shd w:val="clear" w:color="auto" w:fill="386294"/>
            <w:vAlign w:val="center"/>
          </w:tcPr>
          <w:p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rsidR="003239B8" w:rsidRPr="00006B74" w:rsidRDefault="003869E5" w:rsidP="008D2290">
            <w:pPr>
              <w:jc w:val="both"/>
              <w:rPr>
                <w:rFonts w:ascii="Cambria" w:hAnsi="Cambria"/>
                <w:bCs/>
                <w:sz w:val="19"/>
                <w:szCs w:val="19"/>
                <w:lang w:val="es-ES"/>
              </w:rPr>
            </w:pPr>
            <w:r>
              <w:rPr>
                <w:rFonts w:ascii="Cambria" w:hAnsi="Cambria"/>
                <w:bCs/>
                <w:sz w:val="19"/>
                <w:szCs w:val="19"/>
                <w:lang w:val="es-ES"/>
              </w:rPr>
              <w:t>Chile</w:t>
            </w:r>
            <w:r w:rsidR="004A6A54" w:rsidRPr="00006B74">
              <w:rPr>
                <w:rStyle w:val="FootnoteReference"/>
                <w:rFonts w:ascii="Cambria" w:hAnsi="Cambria"/>
                <w:bCs/>
                <w:sz w:val="19"/>
                <w:szCs w:val="19"/>
                <w:lang w:val="es-ES"/>
              </w:rPr>
              <w:footnoteReference w:id="2"/>
            </w:r>
          </w:p>
        </w:tc>
      </w:tr>
      <w:tr w:rsidR="00223A29" w:rsidRPr="00606FF2" w:rsidTr="00954B82">
        <w:tc>
          <w:tcPr>
            <w:tcW w:w="2790" w:type="dxa"/>
            <w:tcBorders>
              <w:top w:val="single" w:sz="6" w:space="0" w:color="auto"/>
              <w:bottom w:val="single" w:sz="6" w:space="0" w:color="auto"/>
            </w:tcBorders>
            <w:shd w:val="clear" w:color="auto" w:fill="386294"/>
            <w:vAlign w:val="center"/>
          </w:tcPr>
          <w:p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rsidR="00223A29" w:rsidRPr="00B6287F" w:rsidRDefault="00BF514A" w:rsidP="00775FD0">
            <w:pPr>
              <w:jc w:val="both"/>
              <w:rPr>
                <w:rFonts w:ascii="Cambria" w:hAnsi="Cambria"/>
                <w:bCs/>
                <w:sz w:val="19"/>
                <w:szCs w:val="19"/>
                <w:lang w:val="es-ES"/>
              </w:rPr>
            </w:pPr>
            <w:r w:rsidRPr="00B6287F">
              <w:rPr>
                <w:rFonts w:ascii="Cambria" w:hAnsi="Cambria"/>
                <w:bCs/>
                <w:sz w:val="19"/>
                <w:szCs w:val="19"/>
                <w:lang w:val="es-ES"/>
              </w:rPr>
              <w:t xml:space="preserve">Artículos </w:t>
            </w:r>
            <w:r w:rsidR="00E0330E" w:rsidRPr="00B6287F">
              <w:rPr>
                <w:rFonts w:ascii="Cambria" w:hAnsi="Cambria"/>
                <w:bCs/>
                <w:sz w:val="19"/>
                <w:szCs w:val="19"/>
                <w:lang w:val="es-ES"/>
              </w:rPr>
              <w:t>8 (garantías judicia</w:t>
            </w:r>
            <w:r w:rsidR="00246944">
              <w:rPr>
                <w:rFonts w:ascii="Cambria" w:hAnsi="Cambria"/>
                <w:bCs/>
                <w:sz w:val="19"/>
                <w:szCs w:val="19"/>
                <w:lang w:val="es-ES"/>
              </w:rPr>
              <w:t>les), 24 (igualdad ante la ley) y</w:t>
            </w:r>
            <w:r w:rsidR="00E0330E" w:rsidRPr="00B6287F">
              <w:rPr>
                <w:rFonts w:ascii="Cambria" w:hAnsi="Cambria"/>
                <w:bCs/>
                <w:sz w:val="19"/>
                <w:szCs w:val="19"/>
                <w:lang w:val="es-ES"/>
              </w:rPr>
              <w:t xml:space="preserve"> 25 (protección judicial) en relación con su artículo 1</w:t>
            </w:r>
            <w:r w:rsidR="00246944">
              <w:rPr>
                <w:rFonts w:ascii="Cambria" w:hAnsi="Cambria"/>
                <w:bCs/>
                <w:sz w:val="19"/>
                <w:szCs w:val="19"/>
                <w:lang w:val="es-ES"/>
              </w:rPr>
              <w:t>.1</w:t>
            </w:r>
            <w:r w:rsidR="000B7FAF">
              <w:rPr>
                <w:rFonts w:ascii="Cambria" w:hAnsi="Cambria"/>
                <w:bCs/>
                <w:sz w:val="19"/>
                <w:szCs w:val="19"/>
                <w:lang w:val="es-ES"/>
              </w:rPr>
              <w:t xml:space="preserve"> </w:t>
            </w:r>
            <w:r w:rsidR="00E0330E" w:rsidRPr="00B6287F">
              <w:rPr>
                <w:rFonts w:ascii="Cambria" w:hAnsi="Cambria"/>
                <w:bCs/>
                <w:sz w:val="19"/>
                <w:szCs w:val="19"/>
                <w:lang w:val="es-ES"/>
              </w:rPr>
              <w:t xml:space="preserve">(obligación de respetar los derechos) </w:t>
            </w:r>
            <w:r w:rsidRPr="00B6287F">
              <w:rPr>
                <w:rFonts w:ascii="Cambria" w:hAnsi="Cambria"/>
                <w:bCs/>
                <w:sz w:val="19"/>
                <w:szCs w:val="19"/>
                <w:lang w:val="es-ES"/>
              </w:rPr>
              <w:t>de la Convención Americana sobre Derechos Humanos</w:t>
            </w:r>
            <w:r w:rsidR="00B6287F" w:rsidRPr="00B6287F">
              <w:rPr>
                <w:rStyle w:val="FootnoteReference"/>
                <w:rFonts w:ascii="Cambria" w:hAnsi="Cambria"/>
                <w:bCs/>
                <w:sz w:val="19"/>
                <w:szCs w:val="19"/>
                <w:lang w:val="es-ES"/>
              </w:rPr>
              <w:footnoteReference w:id="3"/>
            </w:r>
            <w:r w:rsidR="00B6287F" w:rsidRPr="00B6287F">
              <w:rPr>
                <w:rFonts w:ascii="Cambria" w:hAnsi="Cambria"/>
                <w:bCs/>
                <w:sz w:val="19"/>
                <w:szCs w:val="19"/>
                <w:lang w:val="es-ES"/>
              </w:rPr>
              <w:t xml:space="preserve">; </w:t>
            </w:r>
            <w:r w:rsidR="00775FD0">
              <w:rPr>
                <w:rFonts w:ascii="Cambria" w:hAnsi="Cambria"/>
                <w:bCs/>
                <w:sz w:val="19"/>
                <w:szCs w:val="19"/>
                <w:lang w:val="es-ES"/>
              </w:rPr>
              <w:t>a</w:t>
            </w:r>
            <w:r w:rsidR="00775FD0" w:rsidRPr="00775FD0">
              <w:rPr>
                <w:rFonts w:ascii="Cambria" w:hAnsi="Cambria"/>
                <w:bCs/>
                <w:sz w:val="19"/>
                <w:szCs w:val="19"/>
                <w:lang w:val="es-ES"/>
              </w:rPr>
              <w:t xml:space="preserve">rtículos </w:t>
            </w:r>
            <w:r w:rsidR="00775FD0">
              <w:rPr>
                <w:rFonts w:ascii="Cambria" w:hAnsi="Cambria"/>
                <w:bCs/>
                <w:sz w:val="19"/>
                <w:szCs w:val="19"/>
                <w:lang w:val="es-ES"/>
              </w:rPr>
              <w:t>I (vida, libertad, seguridad e integridad de la persona),</w:t>
            </w:r>
            <w:r w:rsidR="00775FD0" w:rsidRPr="00775FD0">
              <w:rPr>
                <w:rFonts w:ascii="Cambria" w:hAnsi="Cambria"/>
                <w:bCs/>
                <w:sz w:val="19"/>
                <w:szCs w:val="19"/>
                <w:lang w:val="es-ES"/>
              </w:rPr>
              <w:t xml:space="preserve"> </w:t>
            </w:r>
            <w:r w:rsidR="00775FD0">
              <w:rPr>
                <w:rFonts w:ascii="Cambria" w:hAnsi="Cambria"/>
                <w:bCs/>
                <w:sz w:val="19"/>
                <w:szCs w:val="19"/>
                <w:lang w:val="es-ES"/>
              </w:rPr>
              <w:t>II (igualdad ante la ley),</w:t>
            </w:r>
            <w:r w:rsidR="00775FD0" w:rsidRPr="00775FD0">
              <w:rPr>
                <w:rFonts w:ascii="Cambria" w:hAnsi="Cambria"/>
                <w:bCs/>
                <w:sz w:val="19"/>
                <w:szCs w:val="19"/>
                <w:lang w:val="es-ES"/>
              </w:rPr>
              <w:t xml:space="preserve"> </w:t>
            </w:r>
            <w:r w:rsidR="00775FD0">
              <w:rPr>
                <w:rFonts w:ascii="Cambria" w:hAnsi="Cambria"/>
                <w:bCs/>
                <w:sz w:val="19"/>
                <w:szCs w:val="19"/>
                <w:lang w:val="es-ES"/>
              </w:rPr>
              <w:t>XVIII (justicia)</w:t>
            </w:r>
            <w:r w:rsidR="00775FD0" w:rsidRPr="00775FD0">
              <w:rPr>
                <w:rFonts w:ascii="Cambria" w:hAnsi="Cambria"/>
                <w:bCs/>
                <w:sz w:val="19"/>
                <w:szCs w:val="19"/>
                <w:lang w:val="es-ES"/>
              </w:rPr>
              <w:t xml:space="preserve"> y </w:t>
            </w:r>
            <w:r w:rsidR="00775FD0">
              <w:rPr>
                <w:rFonts w:ascii="Cambria" w:hAnsi="Cambria"/>
                <w:bCs/>
                <w:sz w:val="19"/>
                <w:szCs w:val="19"/>
                <w:lang w:val="es-ES"/>
              </w:rPr>
              <w:t>XXVI (proceso regular)</w:t>
            </w:r>
            <w:r w:rsidR="00775FD0" w:rsidRPr="00775FD0">
              <w:rPr>
                <w:rFonts w:ascii="Cambria" w:hAnsi="Cambria"/>
                <w:bCs/>
                <w:sz w:val="19"/>
                <w:szCs w:val="19"/>
                <w:lang w:val="es-ES"/>
              </w:rPr>
              <w:t xml:space="preserve"> de la Declaración Americana de los Derechos y Deberes del Hombre</w:t>
            </w:r>
          </w:p>
        </w:tc>
      </w:tr>
    </w:tbl>
    <w:p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246944" w:rsidTr="00954B82">
        <w:tc>
          <w:tcPr>
            <w:tcW w:w="2790" w:type="dxa"/>
            <w:tcBorders>
              <w:top w:val="single" w:sz="6" w:space="0" w:color="auto"/>
              <w:bottom w:val="single" w:sz="6" w:space="0" w:color="auto"/>
            </w:tcBorders>
            <w:shd w:val="clear" w:color="auto" w:fill="386294"/>
            <w:vAlign w:val="center"/>
          </w:tcPr>
          <w:p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rsidR="004C2312" w:rsidRPr="00006B74" w:rsidRDefault="00DC31A0" w:rsidP="002625EA">
            <w:pPr>
              <w:jc w:val="both"/>
              <w:rPr>
                <w:rFonts w:ascii="Cambria" w:hAnsi="Cambria"/>
                <w:bCs/>
                <w:sz w:val="19"/>
                <w:szCs w:val="19"/>
                <w:lang w:val="es-ES"/>
              </w:rPr>
            </w:pPr>
            <w:r>
              <w:rPr>
                <w:rFonts w:ascii="Cambria" w:hAnsi="Cambria"/>
                <w:bCs/>
                <w:sz w:val="19"/>
                <w:szCs w:val="19"/>
                <w:lang w:val="es-ES"/>
              </w:rPr>
              <w:t>4</w:t>
            </w:r>
            <w:r w:rsidR="00B7687D">
              <w:rPr>
                <w:rFonts w:ascii="Cambria" w:hAnsi="Cambria"/>
                <w:bCs/>
                <w:sz w:val="19"/>
                <w:szCs w:val="19"/>
                <w:lang w:val="es-ES"/>
              </w:rPr>
              <w:t xml:space="preserve"> de septiembre de 2011</w:t>
            </w:r>
          </w:p>
        </w:tc>
      </w:tr>
      <w:tr w:rsidR="004C2312" w:rsidRPr="00006B74" w:rsidTr="00954B82">
        <w:tc>
          <w:tcPr>
            <w:tcW w:w="2790" w:type="dxa"/>
            <w:tcBorders>
              <w:top w:val="single" w:sz="6" w:space="0" w:color="auto"/>
              <w:bottom w:val="single" w:sz="6" w:space="0" w:color="auto"/>
            </w:tcBorders>
            <w:shd w:val="clear" w:color="auto" w:fill="386294"/>
            <w:vAlign w:val="center"/>
          </w:tcPr>
          <w:p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rsidR="004C2312" w:rsidRPr="00006B74" w:rsidRDefault="00054E55" w:rsidP="008D2290">
            <w:pPr>
              <w:jc w:val="both"/>
              <w:rPr>
                <w:rFonts w:ascii="Cambria" w:hAnsi="Cambria"/>
                <w:bCs/>
                <w:sz w:val="19"/>
                <w:szCs w:val="19"/>
                <w:lang w:val="es-ES"/>
              </w:rPr>
            </w:pPr>
            <w:r>
              <w:rPr>
                <w:rFonts w:ascii="Cambria" w:hAnsi="Cambria"/>
                <w:bCs/>
                <w:sz w:val="19"/>
                <w:szCs w:val="19"/>
                <w:lang w:val="es-ES"/>
              </w:rPr>
              <w:t>28 de diciembre de 2015</w:t>
            </w:r>
          </w:p>
        </w:tc>
      </w:tr>
      <w:tr w:rsidR="00F06354" w:rsidRPr="00006B74" w:rsidTr="00954B82">
        <w:tc>
          <w:tcPr>
            <w:tcW w:w="2790" w:type="dxa"/>
            <w:tcBorders>
              <w:top w:val="single" w:sz="6" w:space="0" w:color="auto"/>
              <w:bottom w:val="single" w:sz="6" w:space="0" w:color="auto"/>
            </w:tcBorders>
            <w:shd w:val="clear" w:color="auto" w:fill="386294"/>
            <w:vAlign w:val="center"/>
          </w:tcPr>
          <w:p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rsidR="00F06354" w:rsidRPr="00006B74" w:rsidRDefault="00054E55" w:rsidP="00F06354">
            <w:pPr>
              <w:jc w:val="both"/>
              <w:rPr>
                <w:rFonts w:ascii="Cambria" w:hAnsi="Cambria"/>
                <w:bCs/>
                <w:sz w:val="19"/>
                <w:szCs w:val="19"/>
                <w:lang w:val="es-ES"/>
              </w:rPr>
            </w:pPr>
            <w:r>
              <w:rPr>
                <w:rFonts w:ascii="Cambria" w:hAnsi="Cambria"/>
                <w:bCs/>
                <w:sz w:val="19"/>
                <w:szCs w:val="19"/>
                <w:lang w:val="es-ES"/>
              </w:rPr>
              <w:t>22 de febrero de 2018</w:t>
            </w:r>
          </w:p>
        </w:tc>
      </w:tr>
      <w:tr w:rsidR="00F06354" w:rsidRPr="00606FF2" w:rsidTr="00954B82">
        <w:tc>
          <w:tcPr>
            <w:tcW w:w="2790" w:type="dxa"/>
            <w:tcBorders>
              <w:top w:val="single" w:sz="6" w:space="0" w:color="auto"/>
              <w:bottom w:val="single" w:sz="6" w:space="0" w:color="auto"/>
            </w:tcBorders>
            <w:shd w:val="clear" w:color="auto" w:fill="386294"/>
            <w:vAlign w:val="center"/>
          </w:tcPr>
          <w:p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rsidR="00F06354" w:rsidRPr="00006B74" w:rsidRDefault="00AB0123" w:rsidP="00D77503">
            <w:pPr>
              <w:jc w:val="both"/>
              <w:rPr>
                <w:rFonts w:ascii="Cambria" w:hAnsi="Cambria"/>
                <w:bCs/>
                <w:sz w:val="19"/>
                <w:szCs w:val="19"/>
                <w:lang w:val="es-ES"/>
              </w:rPr>
            </w:pPr>
            <w:r>
              <w:rPr>
                <w:rFonts w:ascii="Cambria" w:hAnsi="Cambria"/>
                <w:bCs/>
                <w:sz w:val="19"/>
                <w:szCs w:val="19"/>
                <w:lang w:val="es-ES"/>
              </w:rPr>
              <w:t xml:space="preserve">7 de junio de 2017; </w:t>
            </w:r>
            <w:r w:rsidR="00054E55">
              <w:rPr>
                <w:rFonts w:ascii="Cambria" w:hAnsi="Cambria"/>
                <w:bCs/>
                <w:sz w:val="19"/>
                <w:szCs w:val="19"/>
                <w:lang w:val="es-ES"/>
              </w:rPr>
              <w:t>1 de julio de 2018</w:t>
            </w:r>
          </w:p>
        </w:tc>
      </w:tr>
    </w:tbl>
    <w:p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rsidTr="00954B82">
        <w:trPr>
          <w:cantSplit/>
        </w:trPr>
        <w:tc>
          <w:tcPr>
            <w:tcW w:w="2790" w:type="dxa"/>
            <w:tcBorders>
              <w:top w:val="single" w:sz="4" w:space="0" w:color="auto"/>
              <w:bottom w:val="single" w:sz="6" w:space="0" w:color="auto"/>
            </w:tcBorders>
            <w:shd w:val="clear" w:color="auto" w:fill="386294"/>
            <w:vAlign w:val="center"/>
          </w:tcPr>
          <w:p w:rsidR="003239B8" w:rsidRPr="00006B74" w:rsidRDefault="00D77503" w:rsidP="008D2290">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rsidR="003239B8" w:rsidRPr="00006B74" w:rsidRDefault="00CA1E7B" w:rsidP="008D2290">
            <w:pPr>
              <w:rPr>
                <w:rFonts w:ascii="Cambria" w:hAnsi="Cambria"/>
                <w:bCs/>
                <w:sz w:val="19"/>
                <w:szCs w:val="19"/>
                <w:lang w:val="es-ES"/>
              </w:rPr>
            </w:pPr>
            <w:r>
              <w:rPr>
                <w:rFonts w:ascii="Cambria" w:hAnsi="Cambria"/>
                <w:bCs/>
                <w:sz w:val="19"/>
                <w:szCs w:val="19"/>
                <w:lang w:val="es-ES"/>
              </w:rPr>
              <w:t>Sí</w:t>
            </w:r>
          </w:p>
        </w:tc>
      </w:tr>
      <w:tr w:rsidR="003239B8" w:rsidRPr="00006B74"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rsidR="003239B8" w:rsidRPr="00006B74" w:rsidRDefault="00CA1E7B" w:rsidP="008D2290">
            <w:pPr>
              <w:rPr>
                <w:rFonts w:ascii="Cambria" w:hAnsi="Cambria"/>
                <w:bCs/>
                <w:sz w:val="19"/>
                <w:szCs w:val="19"/>
                <w:lang w:val="es-ES"/>
              </w:rPr>
            </w:pPr>
            <w:r>
              <w:rPr>
                <w:rFonts w:ascii="Cambria" w:hAnsi="Cambria"/>
                <w:bCs/>
                <w:sz w:val="19"/>
                <w:szCs w:val="19"/>
                <w:lang w:val="es-ES"/>
              </w:rPr>
              <w:t>Sí</w:t>
            </w:r>
          </w:p>
        </w:tc>
      </w:tr>
      <w:tr w:rsidR="003239B8" w:rsidRPr="00006B74"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rsidR="003239B8" w:rsidRPr="00CA1E7B" w:rsidRDefault="00CA1E7B" w:rsidP="008D2290">
            <w:pPr>
              <w:rPr>
                <w:b/>
                <w:bCs/>
                <w:sz w:val="19"/>
                <w:szCs w:val="19"/>
                <w:lang w:val="es-ES"/>
              </w:rPr>
            </w:pPr>
            <w:r>
              <w:rPr>
                <w:rFonts w:ascii="Cambria" w:hAnsi="Cambria"/>
                <w:bCs/>
                <w:sz w:val="19"/>
                <w:szCs w:val="19"/>
                <w:lang w:val="es-ES"/>
              </w:rPr>
              <w:t>Sí</w:t>
            </w:r>
          </w:p>
        </w:tc>
      </w:tr>
      <w:tr w:rsidR="003239B8" w:rsidRPr="00606FF2"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rsidR="003239B8" w:rsidRPr="00006B74" w:rsidRDefault="00CA1E7B" w:rsidP="008D2290">
            <w:pPr>
              <w:jc w:val="both"/>
              <w:rPr>
                <w:rFonts w:ascii="Cambria" w:hAnsi="Cambria"/>
                <w:bCs/>
                <w:sz w:val="19"/>
                <w:szCs w:val="19"/>
                <w:lang w:val="es-ES"/>
              </w:rPr>
            </w:pPr>
            <w:r w:rsidRPr="00CA1E7B">
              <w:rPr>
                <w:rFonts w:ascii="Cambria" w:hAnsi="Cambria"/>
                <w:bCs/>
                <w:sz w:val="19"/>
                <w:szCs w:val="19"/>
                <w:lang w:val="es-ES"/>
              </w:rPr>
              <w:t>Sí, Convención Americana (depósito de instrumento realizado el</w:t>
            </w:r>
            <w:r>
              <w:rPr>
                <w:rFonts w:ascii="Cambria" w:hAnsi="Cambria"/>
                <w:bCs/>
                <w:sz w:val="19"/>
                <w:szCs w:val="19"/>
                <w:lang w:val="es-ES"/>
              </w:rPr>
              <w:t xml:space="preserve"> 21 de agosto de 1990) </w:t>
            </w:r>
          </w:p>
        </w:tc>
      </w:tr>
    </w:tbl>
    <w:p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3869E5" w:rsidTr="00954B82">
        <w:trPr>
          <w:cantSplit/>
        </w:trPr>
        <w:tc>
          <w:tcPr>
            <w:tcW w:w="2790" w:type="dxa"/>
            <w:tcBorders>
              <w:top w:val="single" w:sz="4" w:space="0" w:color="auto"/>
              <w:bottom w:val="single" w:sz="6" w:space="0" w:color="auto"/>
            </w:tcBorders>
            <w:shd w:val="clear" w:color="auto" w:fill="386294"/>
            <w:vAlign w:val="center"/>
          </w:tcPr>
          <w:p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rsidR="00EE00E9" w:rsidRPr="00006B74" w:rsidRDefault="00CA1E7B" w:rsidP="008D2290">
            <w:pPr>
              <w:jc w:val="both"/>
              <w:rPr>
                <w:rFonts w:ascii="Cambria" w:hAnsi="Cambria"/>
                <w:bCs/>
                <w:sz w:val="19"/>
                <w:szCs w:val="19"/>
                <w:lang w:val="es-ES"/>
              </w:rPr>
            </w:pPr>
            <w:r>
              <w:rPr>
                <w:rFonts w:ascii="Cambria" w:hAnsi="Cambria"/>
                <w:bCs/>
                <w:sz w:val="19"/>
                <w:szCs w:val="19"/>
                <w:lang w:val="es-ES"/>
              </w:rPr>
              <w:t>No</w:t>
            </w:r>
          </w:p>
        </w:tc>
      </w:tr>
      <w:tr w:rsidR="003239B8" w:rsidRPr="00AA404C" w:rsidTr="00954B82">
        <w:trPr>
          <w:cantSplit/>
        </w:trPr>
        <w:tc>
          <w:tcPr>
            <w:tcW w:w="2790" w:type="dxa"/>
            <w:tcBorders>
              <w:top w:val="single" w:sz="4" w:space="0" w:color="auto"/>
              <w:bottom w:val="single" w:sz="6" w:space="0" w:color="auto"/>
            </w:tcBorders>
            <w:shd w:val="clear" w:color="auto" w:fill="386294"/>
            <w:vAlign w:val="center"/>
          </w:tcPr>
          <w:p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rsidR="003239B8" w:rsidRPr="00006B74" w:rsidRDefault="001F32E0" w:rsidP="00AB0123">
            <w:pPr>
              <w:jc w:val="both"/>
              <w:rPr>
                <w:rFonts w:ascii="Cambria" w:hAnsi="Cambria"/>
                <w:bCs/>
                <w:sz w:val="19"/>
                <w:szCs w:val="19"/>
                <w:lang w:val="es-ES"/>
              </w:rPr>
            </w:pPr>
            <w:r>
              <w:rPr>
                <w:rFonts w:ascii="Cambria" w:hAnsi="Cambria"/>
                <w:bCs/>
                <w:sz w:val="19"/>
                <w:szCs w:val="19"/>
                <w:lang w:val="es-ES"/>
              </w:rPr>
              <w:t>Ninguno</w:t>
            </w:r>
          </w:p>
        </w:tc>
      </w:tr>
      <w:tr w:rsidR="003239B8" w:rsidRPr="00C6737C"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6775AB">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Agotamiento de</w:t>
            </w:r>
            <w:r w:rsidR="0069402E">
              <w:rPr>
                <w:rFonts w:ascii="Cambria" w:hAnsi="Cambria"/>
                <w:bCs/>
                <w:color w:val="FFFFFF" w:themeColor="background1"/>
                <w:sz w:val="19"/>
                <w:szCs w:val="19"/>
                <w:lang w:val="es-ES"/>
              </w:rPr>
              <w:t xml:space="preserve"> </w:t>
            </w:r>
            <w:r w:rsidRPr="00006B74">
              <w:rPr>
                <w:rFonts w:ascii="Cambria" w:hAnsi="Cambria"/>
                <w:bCs/>
                <w:color w:val="FFFFFF" w:themeColor="background1"/>
                <w:sz w:val="19"/>
                <w:szCs w:val="19"/>
                <w:lang w:val="es-ES"/>
              </w:rPr>
              <w:t xml:space="preserve">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rsidR="003239B8" w:rsidRPr="00006B74" w:rsidRDefault="00C6737C" w:rsidP="00AB0123">
            <w:pPr>
              <w:rPr>
                <w:rFonts w:ascii="Cambria" w:hAnsi="Cambria"/>
                <w:bCs/>
                <w:sz w:val="19"/>
                <w:szCs w:val="19"/>
                <w:lang w:val="es-ES"/>
              </w:rPr>
            </w:pPr>
            <w:r w:rsidRPr="00BB2495">
              <w:rPr>
                <w:rFonts w:ascii="Cambria" w:hAnsi="Cambria"/>
                <w:bCs/>
                <w:sz w:val="19"/>
                <w:szCs w:val="19"/>
                <w:lang w:val="es-ES"/>
              </w:rPr>
              <w:t>Ver Sección VI</w:t>
            </w:r>
          </w:p>
        </w:tc>
      </w:tr>
      <w:tr w:rsidR="003239B8" w:rsidRPr="00C6737C"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rsidR="003239B8" w:rsidRPr="00DB7876" w:rsidRDefault="00C6737C" w:rsidP="008D2290">
            <w:pPr>
              <w:rPr>
                <w:rFonts w:asciiTheme="majorHAnsi" w:hAnsiTheme="majorHAnsi"/>
                <w:bCs/>
                <w:sz w:val="20"/>
                <w:szCs w:val="20"/>
                <w:lang w:val="es-ES"/>
              </w:rPr>
            </w:pPr>
            <w:r w:rsidRPr="00BB2495">
              <w:rPr>
                <w:rFonts w:asciiTheme="majorHAnsi" w:hAnsiTheme="majorHAnsi"/>
                <w:bCs/>
                <w:sz w:val="20"/>
                <w:szCs w:val="20"/>
                <w:lang w:val="es-ES"/>
              </w:rPr>
              <w:t>Ver Sección VI</w:t>
            </w:r>
          </w:p>
        </w:tc>
      </w:tr>
    </w:tbl>
    <w:p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rsidR="005B5A38" w:rsidRPr="0089151E" w:rsidRDefault="00246944" w:rsidP="000F2C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9151E">
        <w:rPr>
          <w:rFonts w:ascii="Cambria" w:hAnsi="Cambria"/>
          <w:sz w:val="20"/>
          <w:szCs w:val="20"/>
          <w:lang w:val="es-ES"/>
        </w:rPr>
        <w:t xml:space="preserve">En la petición se alega que los derechos humanos de la </w:t>
      </w:r>
      <w:r w:rsidR="00776FAE" w:rsidRPr="0089151E">
        <w:rPr>
          <w:rFonts w:ascii="Cambria" w:hAnsi="Cambria"/>
          <w:bCs/>
          <w:sz w:val="20"/>
          <w:szCs w:val="20"/>
          <w:lang w:val="es-ES"/>
        </w:rPr>
        <w:t>presunta víctima</w:t>
      </w:r>
      <w:r w:rsidR="00892E13" w:rsidRPr="0089151E">
        <w:rPr>
          <w:rFonts w:ascii="Cambria" w:hAnsi="Cambria"/>
          <w:bCs/>
          <w:sz w:val="20"/>
          <w:szCs w:val="20"/>
          <w:lang w:val="es-ES"/>
        </w:rPr>
        <w:t xml:space="preserve">, de nacionalidad holandesa, </w:t>
      </w:r>
      <w:r w:rsidRPr="0089151E">
        <w:rPr>
          <w:rFonts w:ascii="Cambria" w:hAnsi="Cambria"/>
          <w:bCs/>
          <w:sz w:val="20"/>
          <w:szCs w:val="20"/>
          <w:lang w:val="es-ES"/>
        </w:rPr>
        <w:t>fueron</w:t>
      </w:r>
      <w:r w:rsidR="00892E13" w:rsidRPr="0089151E">
        <w:rPr>
          <w:rFonts w:ascii="Cambria" w:hAnsi="Cambria"/>
          <w:bCs/>
          <w:sz w:val="20"/>
          <w:szCs w:val="20"/>
          <w:lang w:val="es-ES"/>
        </w:rPr>
        <w:t xml:space="preserve"> viola</w:t>
      </w:r>
      <w:r w:rsidRPr="0089151E">
        <w:rPr>
          <w:rFonts w:ascii="Cambria" w:hAnsi="Cambria"/>
          <w:bCs/>
          <w:sz w:val="20"/>
          <w:szCs w:val="20"/>
          <w:lang w:val="es-ES"/>
        </w:rPr>
        <w:t>dos</w:t>
      </w:r>
      <w:r w:rsidR="00892E13" w:rsidRPr="0089151E">
        <w:rPr>
          <w:rFonts w:ascii="Cambria" w:hAnsi="Cambria"/>
          <w:bCs/>
          <w:sz w:val="20"/>
          <w:szCs w:val="20"/>
          <w:lang w:val="es-ES"/>
        </w:rPr>
        <w:t xml:space="preserve"> </w:t>
      </w:r>
      <w:r w:rsidR="005B5A38" w:rsidRPr="0089151E">
        <w:rPr>
          <w:rFonts w:ascii="Cambria" w:hAnsi="Cambria"/>
          <w:bCs/>
          <w:sz w:val="20"/>
          <w:szCs w:val="20"/>
          <w:lang w:val="es-ES"/>
        </w:rPr>
        <w:t>en el marco de su</w:t>
      </w:r>
      <w:r w:rsidR="00892E13" w:rsidRPr="0089151E">
        <w:rPr>
          <w:rFonts w:ascii="Cambria" w:hAnsi="Cambria"/>
          <w:bCs/>
          <w:sz w:val="20"/>
          <w:szCs w:val="20"/>
          <w:lang w:val="es-ES"/>
        </w:rPr>
        <w:t xml:space="preserve"> expuls</w:t>
      </w:r>
      <w:r w:rsidRPr="0089151E">
        <w:rPr>
          <w:rFonts w:ascii="Cambria" w:hAnsi="Cambria"/>
          <w:bCs/>
          <w:sz w:val="20"/>
          <w:szCs w:val="20"/>
          <w:lang w:val="es-ES"/>
        </w:rPr>
        <w:t>ión del Estado</w:t>
      </w:r>
      <w:r w:rsidR="005B5A38" w:rsidRPr="0089151E">
        <w:rPr>
          <w:rFonts w:ascii="Cambria" w:hAnsi="Cambria"/>
          <w:bCs/>
          <w:sz w:val="20"/>
          <w:szCs w:val="20"/>
          <w:lang w:val="es-ES"/>
        </w:rPr>
        <w:t xml:space="preserve"> de Chile a Perú</w:t>
      </w:r>
      <w:r w:rsidR="001650B8" w:rsidRPr="0089151E">
        <w:rPr>
          <w:rFonts w:ascii="Cambria" w:hAnsi="Cambria"/>
          <w:bCs/>
          <w:sz w:val="20"/>
          <w:szCs w:val="20"/>
          <w:lang w:val="es-ES"/>
        </w:rPr>
        <w:t xml:space="preserve">. </w:t>
      </w:r>
      <w:r w:rsidR="005B5A38" w:rsidRPr="0089151E">
        <w:rPr>
          <w:rFonts w:ascii="Cambria" w:hAnsi="Cambria"/>
          <w:bCs/>
          <w:sz w:val="20"/>
          <w:szCs w:val="20"/>
          <w:lang w:val="es-ES"/>
        </w:rPr>
        <w:t>En ese sentido, los peticionarios informan que</w:t>
      </w:r>
      <w:r w:rsidRPr="0089151E">
        <w:rPr>
          <w:rFonts w:ascii="Cambria" w:hAnsi="Cambria"/>
          <w:bCs/>
          <w:sz w:val="20"/>
          <w:szCs w:val="20"/>
          <w:lang w:val="es-ES"/>
        </w:rPr>
        <w:t xml:space="preserve"> l</w:t>
      </w:r>
      <w:r w:rsidR="001650B8" w:rsidRPr="0089151E">
        <w:rPr>
          <w:rFonts w:ascii="Cambria" w:hAnsi="Cambria"/>
          <w:bCs/>
          <w:sz w:val="20"/>
          <w:szCs w:val="20"/>
          <w:lang w:val="es-ES"/>
        </w:rPr>
        <w:t xml:space="preserve">a presunta víctima </w:t>
      </w:r>
      <w:r w:rsidRPr="0089151E">
        <w:rPr>
          <w:rFonts w:ascii="Cambria" w:hAnsi="Cambria"/>
          <w:bCs/>
          <w:sz w:val="20"/>
          <w:szCs w:val="20"/>
          <w:lang w:val="es-ES"/>
        </w:rPr>
        <w:t>ingresó a Chile desde Perú el 31 de mayo de 2010</w:t>
      </w:r>
      <w:r w:rsidR="00E600D0" w:rsidRPr="0089151E">
        <w:rPr>
          <w:rFonts w:ascii="Cambria" w:hAnsi="Cambria"/>
          <w:bCs/>
          <w:sz w:val="20"/>
          <w:szCs w:val="20"/>
          <w:lang w:val="es-ES"/>
        </w:rPr>
        <w:t xml:space="preserve"> como turista</w:t>
      </w:r>
      <w:r w:rsidRPr="0089151E">
        <w:rPr>
          <w:rFonts w:ascii="Cambria" w:hAnsi="Cambria"/>
          <w:bCs/>
          <w:sz w:val="20"/>
          <w:szCs w:val="20"/>
          <w:lang w:val="es-ES"/>
        </w:rPr>
        <w:t>.</w:t>
      </w:r>
      <w:r w:rsidR="008D55BA" w:rsidRPr="0089151E">
        <w:rPr>
          <w:rFonts w:ascii="Cambria" w:hAnsi="Cambria"/>
          <w:bCs/>
          <w:sz w:val="20"/>
          <w:szCs w:val="20"/>
          <w:lang w:val="es-ES"/>
        </w:rPr>
        <w:t xml:space="preserve"> </w:t>
      </w:r>
      <w:r w:rsidR="00E600D0" w:rsidRPr="0089151E">
        <w:rPr>
          <w:rFonts w:ascii="Cambria" w:hAnsi="Cambria"/>
          <w:bCs/>
          <w:sz w:val="20"/>
          <w:szCs w:val="20"/>
          <w:lang w:val="es-ES"/>
        </w:rPr>
        <w:t xml:space="preserve">Sostienen </w:t>
      </w:r>
      <w:r w:rsidR="005B5A38" w:rsidRPr="0089151E">
        <w:rPr>
          <w:rFonts w:ascii="Cambria" w:hAnsi="Cambria"/>
          <w:bCs/>
          <w:sz w:val="20"/>
          <w:szCs w:val="20"/>
          <w:lang w:val="es-ES"/>
        </w:rPr>
        <w:t xml:space="preserve">que el 2 de junio de 2010 las autoridades chilenas fueron alertadas por </w:t>
      </w:r>
      <w:r w:rsidRPr="0089151E">
        <w:rPr>
          <w:rFonts w:ascii="Cambria" w:hAnsi="Cambria"/>
          <w:sz w:val="20"/>
          <w:szCs w:val="20"/>
          <w:lang w:val="es-ES"/>
        </w:rPr>
        <w:t xml:space="preserve">INTERPOL de que la presunta víctima se encontraba en </w:t>
      </w:r>
      <w:r w:rsidR="00E600D0" w:rsidRPr="0089151E">
        <w:rPr>
          <w:rFonts w:ascii="Cambria" w:hAnsi="Cambria"/>
          <w:sz w:val="20"/>
          <w:szCs w:val="20"/>
          <w:lang w:val="es-ES"/>
        </w:rPr>
        <w:t>Chile</w:t>
      </w:r>
      <w:r w:rsidR="00C05330" w:rsidRPr="0089151E">
        <w:rPr>
          <w:rFonts w:ascii="Cambria" w:hAnsi="Cambria"/>
          <w:sz w:val="20"/>
          <w:szCs w:val="20"/>
          <w:lang w:val="es-ES"/>
        </w:rPr>
        <w:t xml:space="preserve"> y que las autoridades peruanas habían emitido orden de prisión preventiva en su contra</w:t>
      </w:r>
      <w:r w:rsidR="0098238A" w:rsidRPr="0089151E">
        <w:rPr>
          <w:rFonts w:ascii="Cambria" w:hAnsi="Cambria"/>
          <w:sz w:val="20"/>
          <w:szCs w:val="20"/>
          <w:lang w:val="es-ES"/>
        </w:rPr>
        <w:t xml:space="preserve">. </w:t>
      </w:r>
      <w:r w:rsidR="005B5A38" w:rsidRPr="0089151E">
        <w:rPr>
          <w:rFonts w:ascii="Cambria" w:hAnsi="Cambria"/>
          <w:sz w:val="20"/>
          <w:szCs w:val="20"/>
          <w:lang w:val="es-ES"/>
        </w:rPr>
        <w:t>Afirman que</w:t>
      </w:r>
      <w:r w:rsidR="0098238A" w:rsidRPr="0089151E">
        <w:rPr>
          <w:rFonts w:ascii="Cambria" w:hAnsi="Cambria"/>
          <w:sz w:val="20"/>
          <w:szCs w:val="20"/>
          <w:lang w:val="es-ES"/>
        </w:rPr>
        <w:t xml:space="preserve"> el 3 de junio de 2010 </w:t>
      </w:r>
      <w:r w:rsidR="005B5A38" w:rsidRPr="0089151E">
        <w:rPr>
          <w:rFonts w:ascii="Cambria" w:hAnsi="Cambria"/>
          <w:sz w:val="20"/>
          <w:szCs w:val="20"/>
          <w:lang w:val="es-ES"/>
        </w:rPr>
        <w:t>la presunta víctima se</w:t>
      </w:r>
      <w:r w:rsidR="0098238A" w:rsidRPr="0089151E">
        <w:rPr>
          <w:rFonts w:ascii="Cambria" w:hAnsi="Cambria"/>
          <w:sz w:val="20"/>
          <w:szCs w:val="20"/>
          <w:lang w:val="es-ES"/>
        </w:rPr>
        <w:t xml:space="preserve"> presentó voluntariamente </w:t>
      </w:r>
      <w:r w:rsidR="005B5A38" w:rsidRPr="0089151E">
        <w:rPr>
          <w:rFonts w:ascii="Cambria" w:hAnsi="Cambria"/>
          <w:sz w:val="20"/>
          <w:szCs w:val="20"/>
          <w:lang w:val="es-ES"/>
        </w:rPr>
        <w:t>a una</w:t>
      </w:r>
      <w:r w:rsidR="0098238A" w:rsidRPr="0089151E">
        <w:rPr>
          <w:rFonts w:ascii="Cambria" w:hAnsi="Cambria"/>
          <w:sz w:val="20"/>
          <w:szCs w:val="20"/>
          <w:lang w:val="es-ES"/>
        </w:rPr>
        <w:t xml:space="preserve"> estación de carabineros</w:t>
      </w:r>
      <w:r w:rsidR="00E600D0" w:rsidRPr="0089151E">
        <w:rPr>
          <w:rFonts w:ascii="Cambria" w:hAnsi="Cambria"/>
          <w:sz w:val="20"/>
          <w:szCs w:val="20"/>
          <w:lang w:val="es-ES"/>
        </w:rPr>
        <w:t xml:space="preserve"> para informar a las autoridades chilenas que </w:t>
      </w:r>
      <w:r w:rsidR="0098238A" w:rsidRPr="0089151E">
        <w:rPr>
          <w:rFonts w:ascii="Cambria" w:hAnsi="Cambria"/>
          <w:sz w:val="20"/>
          <w:szCs w:val="20"/>
          <w:lang w:val="es-ES"/>
        </w:rPr>
        <w:t xml:space="preserve">era buscado por las autoridades </w:t>
      </w:r>
      <w:r w:rsidR="005B5A38" w:rsidRPr="0089151E">
        <w:rPr>
          <w:rFonts w:ascii="Cambria" w:hAnsi="Cambria"/>
          <w:sz w:val="20"/>
          <w:szCs w:val="20"/>
          <w:lang w:val="es-ES"/>
        </w:rPr>
        <w:t>peruanas</w:t>
      </w:r>
      <w:r w:rsidR="0098238A" w:rsidRPr="0089151E">
        <w:rPr>
          <w:rFonts w:ascii="Cambria" w:hAnsi="Cambria"/>
          <w:sz w:val="20"/>
          <w:szCs w:val="20"/>
          <w:lang w:val="es-ES"/>
        </w:rPr>
        <w:t xml:space="preserve"> por ser sospechoso de la muerte de una ciudadana peruana. </w:t>
      </w:r>
      <w:r w:rsidR="005B5A38" w:rsidRPr="0089151E">
        <w:rPr>
          <w:rFonts w:ascii="Cambria" w:hAnsi="Cambria"/>
          <w:sz w:val="20"/>
          <w:szCs w:val="20"/>
          <w:lang w:val="es-ES"/>
        </w:rPr>
        <w:t>Indican</w:t>
      </w:r>
      <w:r w:rsidR="0098238A" w:rsidRPr="0089151E">
        <w:rPr>
          <w:rFonts w:ascii="Cambria" w:hAnsi="Cambria"/>
          <w:sz w:val="20"/>
          <w:szCs w:val="20"/>
          <w:lang w:val="es-ES"/>
        </w:rPr>
        <w:t xml:space="preserve"> que el oficial de servicio no comprendió lo que la presunta víctima intentaba explicarle dada la barrera idiomática y por lo tanto</w:t>
      </w:r>
      <w:r w:rsidR="00B11E78">
        <w:rPr>
          <w:rFonts w:ascii="Cambria" w:hAnsi="Cambria"/>
          <w:sz w:val="20"/>
          <w:szCs w:val="20"/>
          <w:lang w:val="es-ES"/>
        </w:rPr>
        <w:t>,</w:t>
      </w:r>
      <w:r w:rsidR="005B5A38" w:rsidRPr="0089151E">
        <w:rPr>
          <w:rFonts w:ascii="Cambria" w:hAnsi="Cambria"/>
          <w:sz w:val="20"/>
          <w:szCs w:val="20"/>
          <w:lang w:val="es-ES"/>
        </w:rPr>
        <w:t xml:space="preserve"> la presunta víctima</w:t>
      </w:r>
      <w:r w:rsidR="0098238A" w:rsidRPr="0089151E">
        <w:rPr>
          <w:rFonts w:ascii="Cambria" w:hAnsi="Cambria"/>
          <w:sz w:val="20"/>
          <w:szCs w:val="20"/>
          <w:lang w:val="es-ES"/>
        </w:rPr>
        <w:t xml:space="preserve"> decidió continuar </w:t>
      </w:r>
      <w:r w:rsidR="005B5A38" w:rsidRPr="0089151E">
        <w:rPr>
          <w:rFonts w:ascii="Cambria" w:hAnsi="Cambria"/>
          <w:sz w:val="20"/>
          <w:szCs w:val="20"/>
          <w:lang w:val="es-ES"/>
        </w:rPr>
        <w:t xml:space="preserve">su </w:t>
      </w:r>
      <w:r w:rsidR="0098238A" w:rsidRPr="0089151E">
        <w:rPr>
          <w:rFonts w:ascii="Cambria" w:hAnsi="Cambria"/>
          <w:sz w:val="20"/>
          <w:szCs w:val="20"/>
          <w:lang w:val="es-ES"/>
        </w:rPr>
        <w:t xml:space="preserve">viaje </w:t>
      </w:r>
      <w:r w:rsidR="005B5A38" w:rsidRPr="0089151E">
        <w:rPr>
          <w:rFonts w:ascii="Cambria" w:hAnsi="Cambria"/>
          <w:sz w:val="20"/>
          <w:szCs w:val="20"/>
          <w:lang w:val="es-ES"/>
        </w:rPr>
        <w:t>haci</w:t>
      </w:r>
      <w:r w:rsidR="0098238A" w:rsidRPr="0089151E">
        <w:rPr>
          <w:rFonts w:ascii="Cambria" w:hAnsi="Cambria"/>
          <w:sz w:val="20"/>
          <w:szCs w:val="20"/>
          <w:lang w:val="es-ES"/>
        </w:rPr>
        <w:t xml:space="preserve">a Santiago. </w:t>
      </w:r>
      <w:r w:rsidR="005B5A38" w:rsidRPr="0089151E">
        <w:rPr>
          <w:rFonts w:ascii="Cambria" w:hAnsi="Cambria"/>
          <w:sz w:val="20"/>
          <w:szCs w:val="20"/>
          <w:lang w:val="es-ES"/>
        </w:rPr>
        <w:t>Señalan</w:t>
      </w:r>
      <w:r w:rsidR="00E600D0" w:rsidRPr="0089151E">
        <w:rPr>
          <w:rFonts w:ascii="Cambria" w:hAnsi="Cambria"/>
          <w:sz w:val="20"/>
          <w:szCs w:val="20"/>
          <w:lang w:val="es-ES"/>
        </w:rPr>
        <w:t xml:space="preserve"> que horas más tarde las autoridades chilenas detuvieron a la</w:t>
      </w:r>
      <w:r w:rsidR="005B5A38" w:rsidRPr="0089151E">
        <w:rPr>
          <w:rFonts w:ascii="Cambria" w:hAnsi="Cambria"/>
          <w:sz w:val="20"/>
          <w:szCs w:val="20"/>
          <w:lang w:val="es-ES"/>
        </w:rPr>
        <w:t xml:space="preserve"> presunta víctima </w:t>
      </w:r>
      <w:r w:rsidR="0098238A" w:rsidRPr="0089151E">
        <w:rPr>
          <w:rFonts w:ascii="Cambria" w:hAnsi="Cambria"/>
          <w:sz w:val="20"/>
          <w:szCs w:val="20"/>
          <w:lang w:val="es-ES"/>
        </w:rPr>
        <w:t xml:space="preserve">en el peaje de </w:t>
      </w:r>
      <w:r w:rsidR="00182D06" w:rsidRPr="0089151E">
        <w:rPr>
          <w:rFonts w:ascii="Cambria" w:hAnsi="Cambria"/>
          <w:sz w:val="20"/>
          <w:szCs w:val="20"/>
          <w:lang w:val="es-ES"/>
        </w:rPr>
        <w:t>Curacaví</w:t>
      </w:r>
      <w:r w:rsidR="00E600D0" w:rsidRPr="0089151E">
        <w:rPr>
          <w:rFonts w:ascii="Cambria" w:hAnsi="Cambria"/>
          <w:sz w:val="20"/>
          <w:szCs w:val="20"/>
          <w:lang w:val="es-ES"/>
        </w:rPr>
        <w:t xml:space="preserve"> a pesar de que no existía una orden internacional </w:t>
      </w:r>
      <w:r w:rsidR="00B11E78">
        <w:rPr>
          <w:rFonts w:ascii="Cambria" w:hAnsi="Cambria"/>
          <w:sz w:val="20"/>
          <w:szCs w:val="20"/>
          <w:lang w:val="es-ES"/>
        </w:rPr>
        <w:t>para</w:t>
      </w:r>
      <w:r w:rsidR="00E600D0" w:rsidRPr="0089151E">
        <w:rPr>
          <w:rFonts w:ascii="Cambria" w:hAnsi="Cambria"/>
          <w:sz w:val="20"/>
          <w:szCs w:val="20"/>
          <w:lang w:val="es-ES"/>
        </w:rPr>
        <w:t xml:space="preserve"> su captura</w:t>
      </w:r>
      <w:r w:rsidR="00182D06" w:rsidRPr="0089151E">
        <w:rPr>
          <w:rFonts w:ascii="Cambria" w:hAnsi="Cambria"/>
          <w:sz w:val="20"/>
          <w:szCs w:val="20"/>
          <w:lang w:val="es-ES"/>
        </w:rPr>
        <w:t xml:space="preserve">. </w:t>
      </w:r>
    </w:p>
    <w:p w:rsidR="00145F32" w:rsidRPr="002476EE" w:rsidRDefault="005B5A38" w:rsidP="000F2C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76EE">
        <w:rPr>
          <w:rFonts w:ascii="Cambria" w:hAnsi="Cambria"/>
          <w:sz w:val="20"/>
          <w:szCs w:val="20"/>
          <w:lang w:val="es-ES"/>
        </w:rPr>
        <w:lastRenderedPageBreak/>
        <w:t>El mismo 3 de junio de 2010, e</w:t>
      </w:r>
      <w:r w:rsidR="00182D06" w:rsidRPr="002476EE">
        <w:rPr>
          <w:rFonts w:ascii="Cambria" w:hAnsi="Cambria"/>
          <w:sz w:val="20"/>
          <w:szCs w:val="20"/>
          <w:lang w:val="es-ES"/>
        </w:rPr>
        <w:t>l Intendente de la Región Metropolitana de Santiago</w:t>
      </w:r>
      <w:r w:rsidRPr="002476EE">
        <w:rPr>
          <w:rFonts w:ascii="Cambria" w:hAnsi="Cambria"/>
          <w:sz w:val="20"/>
          <w:szCs w:val="20"/>
          <w:lang w:val="es-ES"/>
        </w:rPr>
        <w:t xml:space="preserve"> profirió la expulsión de </w:t>
      </w:r>
      <w:r w:rsidR="00182D06" w:rsidRPr="002476EE">
        <w:rPr>
          <w:rFonts w:ascii="Cambria" w:hAnsi="Cambria"/>
          <w:sz w:val="20"/>
          <w:szCs w:val="20"/>
          <w:lang w:val="es-ES"/>
        </w:rPr>
        <w:t xml:space="preserve">la presunta víctima </w:t>
      </w:r>
      <w:r w:rsidR="004310A1" w:rsidRPr="002476EE">
        <w:rPr>
          <w:rFonts w:ascii="Cambria" w:hAnsi="Cambria"/>
          <w:sz w:val="20"/>
          <w:szCs w:val="20"/>
          <w:lang w:val="es-ES"/>
        </w:rPr>
        <w:t>del territorio del Estado</w:t>
      </w:r>
      <w:r w:rsidR="00491DA1" w:rsidRPr="002476EE">
        <w:rPr>
          <w:rFonts w:ascii="Cambria" w:hAnsi="Cambria"/>
          <w:sz w:val="20"/>
          <w:szCs w:val="20"/>
          <w:lang w:val="es-ES"/>
        </w:rPr>
        <w:t xml:space="preserve"> mediante resolución Exenta  No. 970 de 3 de junio de 2010</w:t>
      </w:r>
      <w:r w:rsidRPr="002476EE">
        <w:rPr>
          <w:rFonts w:ascii="Cambria" w:hAnsi="Cambria"/>
          <w:sz w:val="20"/>
          <w:szCs w:val="20"/>
          <w:lang w:val="es-ES"/>
        </w:rPr>
        <w:t xml:space="preserve">. </w:t>
      </w:r>
      <w:r w:rsidR="00145F32" w:rsidRPr="002476EE">
        <w:rPr>
          <w:rFonts w:ascii="Cambria" w:hAnsi="Cambria"/>
          <w:sz w:val="20"/>
          <w:szCs w:val="20"/>
          <w:lang w:val="es-ES"/>
        </w:rPr>
        <w:t xml:space="preserve">La resolución determinó que la presunta víctima había entrado al país de manera ilegal en contravención </w:t>
      </w:r>
      <w:r w:rsidR="00F06FFA" w:rsidRPr="002476EE">
        <w:rPr>
          <w:rFonts w:ascii="Cambria" w:hAnsi="Cambria"/>
          <w:sz w:val="20"/>
          <w:szCs w:val="20"/>
          <w:lang w:val="es-ES"/>
        </w:rPr>
        <w:t xml:space="preserve">al artículo 15(2) </w:t>
      </w:r>
      <w:r w:rsidR="000250CC" w:rsidRPr="002476EE">
        <w:rPr>
          <w:rFonts w:ascii="Cambria" w:hAnsi="Cambria"/>
          <w:sz w:val="20"/>
          <w:szCs w:val="20"/>
          <w:lang w:val="es-ES"/>
        </w:rPr>
        <w:t xml:space="preserve">del Decreto Ley No. 1094 de 1975 (Ley de Extranjería) que prohibía la entrada al país de aquellas personas no nacionales “que </w:t>
      </w:r>
      <w:r w:rsidR="000250CC" w:rsidRPr="002476EE">
        <w:rPr>
          <w:rFonts w:asciiTheme="majorHAnsi" w:hAnsiTheme="majorHAnsi"/>
          <w:sz w:val="20"/>
          <w:szCs w:val="20"/>
          <w:lang w:val="es-PA"/>
        </w:rPr>
        <w:t xml:space="preserve">ejecuten actos contrarios a la moral o a las buenas costumbres…” por lo que el intendente estaba facultado </w:t>
      </w:r>
      <w:r w:rsidR="00E46B68" w:rsidRPr="002476EE">
        <w:rPr>
          <w:rFonts w:asciiTheme="majorHAnsi" w:hAnsiTheme="majorHAnsi"/>
          <w:sz w:val="20"/>
          <w:szCs w:val="20"/>
          <w:lang w:val="es-PA"/>
        </w:rPr>
        <w:t>conforme al artícu</w:t>
      </w:r>
      <w:r w:rsidR="00C6737C" w:rsidRPr="002476EE">
        <w:rPr>
          <w:rFonts w:asciiTheme="majorHAnsi" w:hAnsiTheme="majorHAnsi"/>
          <w:sz w:val="20"/>
          <w:szCs w:val="20"/>
          <w:lang w:val="es-PA"/>
        </w:rPr>
        <w:t>lo 84 del mismo instrumento</w:t>
      </w:r>
      <w:r w:rsidR="00E46B68" w:rsidRPr="002476EE">
        <w:rPr>
          <w:rFonts w:asciiTheme="majorHAnsi" w:hAnsiTheme="majorHAnsi"/>
          <w:sz w:val="20"/>
          <w:szCs w:val="20"/>
          <w:lang w:val="es-PA"/>
        </w:rPr>
        <w:t xml:space="preserve"> para disponer su expulsión “sin más trámite” mediante resolución exenta del trámite de toma de razón.</w:t>
      </w:r>
      <w:r w:rsidR="007747D8" w:rsidRPr="002476EE">
        <w:rPr>
          <w:rFonts w:asciiTheme="majorHAnsi" w:hAnsiTheme="majorHAnsi"/>
          <w:sz w:val="20"/>
          <w:szCs w:val="20"/>
          <w:lang w:val="es-PA"/>
        </w:rPr>
        <w:t xml:space="preserve"> La resolución valoró que la presunta víctima había sido identificada como “presunto autor del ilícito penal de Homicidio Calificado de ciudadana peruana en el Perú”. </w:t>
      </w:r>
    </w:p>
    <w:p w:rsidR="000D1931" w:rsidRPr="0089151E" w:rsidRDefault="00B33708" w:rsidP="000F2C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9151E">
        <w:rPr>
          <w:rFonts w:ascii="Cambria" w:hAnsi="Cambria"/>
          <w:sz w:val="20"/>
          <w:szCs w:val="20"/>
          <w:lang w:val="es-ES"/>
        </w:rPr>
        <w:t>Esboza</w:t>
      </w:r>
      <w:r w:rsidR="00365C68" w:rsidRPr="0089151E">
        <w:rPr>
          <w:rFonts w:ascii="Cambria" w:hAnsi="Cambria"/>
          <w:sz w:val="20"/>
          <w:szCs w:val="20"/>
          <w:lang w:val="es-ES"/>
        </w:rPr>
        <w:t>n</w:t>
      </w:r>
      <w:r w:rsidRPr="0089151E">
        <w:rPr>
          <w:rFonts w:ascii="Cambria" w:hAnsi="Cambria"/>
          <w:sz w:val="20"/>
          <w:szCs w:val="20"/>
          <w:lang w:val="es-ES"/>
        </w:rPr>
        <w:t xml:space="preserve"> que</w:t>
      </w:r>
      <w:r w:rsidR="00232291" w:rsidRPr="0089151E">
        <w:rPr>
          <w:rFonts w:ascii="Cambria" w:hAnsi="Cambria"/>
          <w:sz w:val="20"/>
          <w:szCs w:val="20"/>
          <w:lang w:val="es-ES"/>
        </w:rPr>
        <w:t xml:space="preserve"> durante el procedimiento no le permitieron</w:t>
      </w:r>
      <w:r w:rsidR="00365C68" w:rsidRPr="0089151E">
        <w:rPr>
          <w:rFonts w:ascii="Cambria" w:hAnsi="Cambria"/>
          <w:sz w:val="20"/>
          <w:szCs w:val="20"/>
          <w:lang w:val="es-ES"/>
        </w:rPr>
        <w:t xml:space="preserve"> </w:t>
      </w:r>
      <w:r w:rsidR="00232291" w:rsidRPr="0089151E">
        <w:rPr>
          <w:rFonts w:ascii="Cambria" w:hAnsi="Cambria"/>
          <w:sz w:val="20"/>
          <w:szCs w:val="20"/>
          <w:lang w:val="es-ES"/>
        </w:rPr>
        <w:t xml:space="preserve">utilizar el teléfono o una computadora para </w:t>
      </w:r>
      <w:r w:rsidR="00937BD2" w:rsidRPr="0089151E">
        <w:rPr>
          <w:rFonts w:ascii="Cambria" w:hAnsi="Cambria"/>
          <w:sz w:val="20"/>
          <w:szCs w:val="20"/>
          <w:lang w:val="es-ES"/>
        </w:rPr>
        <w:t xml:space="preserve">contactarse con </w:t>
      </w:r>
      <w:r w:rsidR="00985738" w:rsidRPr="0089151E">
        <w:rPr>
          <w:rFonts w:ascii="Cambria" w:hAnsi="Cambria"/>
          <w:sz w:val="20"/>
          <w:szCs w:val="20"/>
          <w:lang w:val="es-ES"/>
        </w:rPr>
        <w:t>sus familiares</w:t>
      </w:r>
      <w:r w:rsidR="009A7FB8" w:rsidRPr="0089151E">
        <w:rPr>
          <w:rFonts w:ascii="Cambria" w:hAnsi="Cambria"/>
          <w:sz w:val="20"/>
          <w:szCs w:val="20"/>
          <w:lang w:val="es-ES"/>
        </w:rPr>
        <w:t xml:space="preserve">, no le proporcionaron </w:t>
      </w:r>
      <w:r w:rsidR="00232291" w:rsidRPr="0089151E">
        <w:rPr>
          <w:rFonts w:ascii="Cambria" w:hAnsi="Cambria"/>
          <w:sz w:val="20"/>
          <w:szCs w:val="20"/>
          <w:lang w:val="es-ES"/>
        </w:rPr>
        <w:t xml:space="preserve">una efectiva </w:t>
      </w:r>
      <w:r w:rsidR="009A7FB8" w:rsidRPr="0089151E">
        <w:rPr>
          <w:rFonts w:ascii="Cambria" w:hAnsi="Cambria"/>
          <w:sz w:val="20"/>
          <w:szCs w:val="20"/>
          <w:lang w:val="es-ES"/>
        </w:rPr>
        <w:t>asistencia</w:t>
      </w:r>
      <w:r w:rsidR="00985738" w:rsidRPr="0089151E">
        <w:rPr>
          <w:rFonts w:ascii="Cambria" w:hAnsi="Cambria"/>
          <w:sz w:val="20"/>
          <w:szCs w:val="20"/>
          <w:lang w:val="es-ES"/>
        </w:rPr>
        <w:t xml:space="preserve"> legal</w:t>
      </w:r>
      <w:r w:rsidR="00A73A8F" w:rsidRPr="0089151E">
        <w:rPr>
          <w:rFonts w:ascii="Cambria" w:hAnsi="Cambria"/>
          <w:sz w:val="20"/>
          <w:szCs w:val="20"/>
          <w:lang w:val="es-ES"/>
        </w:rPr>
        <w:t xml:space="preserve"> y</w:t>
      </w:r>
      <w:r w:rsidR="00985738" w:rsidRPr="0089151E">
        <w:rPr>
          <w:rFonts w:ascii="Cambria" w:hAnsi="Cambria"/>
          <w:sz w:val="20"/>
          <w:szCs w:val="20"/>
          <w:lang w:val="es-ES"/>
        </w:rPr>
        <w:t xml:space="preserve"> </w:t>
      </w:r>
      <w:r w:rsidR="00365C68" w:rsidRPr="0089151E">
        <w:rPr>
          <w:rFonts w:ascii="Cambria" w:hAnsi="Cambria"/>
          <w:sz w:val="20"/>
          <w:szCs w:val="20"/>
          <w:lang w:val="es-ES"/>
        </w:rPr>
        <w:t xml:space="preserve">no </w:t>
      </w:r>
      <w:r w:rsidR="00B11E78">
        <w:rPr>
          <w:rFonts w:ascii="Cambria" w:hAnsi="Cambria"/>
          <w:sz w:val="20"/>
          <w:szCs w:val="20"/>
          <w:lang w:val="es-ES"/>
        </w:rPr>
        <w:t xml:space="preserve">le </w:t>
      </w:r>
      <w:r w:rsidR="00365C68" w:rsidRPr="0089151E">
        <w:rPr>
          <w:rFonts w:ascii="Cambria" w:hAnsi="Cambria"/>
          <w:sz w:val="20"/>
          <w:szCs w:val="20"/>
          <w:lang w:val="es-ES"/>
        </w:rPr>
        <w:t>brindaron servicio</w:t>
      </w:r>
      <w:r w:rsidR="00A73A8F" w:rsidRPr="0089151E">
        <w:rPr>
          <w:rFonts w:ascii="Cambria" w:hAnsi="Cambria"/>
          <w:sz w:val="20"/>
          <w:szCs w:val="20"/>
          <w:lang w:val="es-ES"/>
        </w:rPr>
        <w:t>s</w:t>
      </w:r>
      <w:r w:rsidR="00365C68" w:rsidRPr="0089151E">
        <w:rPr>
          <w:rFonts w:ascii="Cambria" w:hAnsi="Cambria"/>
          <w:sz w:val="20"/>
          <w:szCs w:val="20"/>
          <w:lang w:val="es-ES"/>
        </w:rPr>
        <w:t xml:space="preserve"> de interpretación. Indican que no había una orden formal de detención emitida en contra la presunta víctima, sea por las autoridades peruanas o por las chilenas, y que fue detenido únicamente en función de</w:t>
      </w:r>
      <w:r w:rsidR="00985738" w:rsidRPr="0089151E">
        <w:rPr>
          <w:rFonts w:ascii="Cambria" w:hAnsi="Cambria"/>
          <w:sz w:val="20"/>
          <w:szCs w:val="20"/>
          <w:lang w:val="es-ES"/>
        </w:rPr>
        <w:t xml:space="preserve"> un pedido de la </w:t>
      </w:r>
      <w:r w:rsidR="00365C68" w:rsidRPr="0089151E">
        <w:rPr>
          <w:rFonts w:ascii="Cambria" w:hAnsi="Cambria"/>
          <w:sz w:val="20"/>
          <w:szCs w:val="20"/>
          <w:lang w:val="es-ES"/>
        </w:rPr>
        <w:t>p</w:t>
      </w:r>
      <w:r w:rsidR="00985738" w:rsidRPr="0089151E">
        <w:rPr>
          <w:rFonts w:ascii="Cambria" w:hAnsi="Cambria"/>
          <w:sz w:val="20"/>
          <w:szCs w:val="20"/>
          <w:lang w:val="es-ES"/>
        </w:rPr>
        <w:t>olicía peruana</w:t>
      </w:r>
      <w:r w:rsidR="00365C68" w:rsidRPr="0089151E">
        <w:rPr>
          <w:rFonts w:ascii="Cambria" w:hAnsi="Cambria"/>
          <w:sz w:val="20"/>
          <w:szCs w:val="20"/>
          <w:lang w:val="es-ES"/>
        </w:rPr>
        <w:t>. Agregan que la presunta víctima permaneció detenida por aproximadamente 24 horas y enseguida fue expulsada del país y entre</w:t>
      </w:r>
      <w:r w:rsidR="0078034C" w:rsidRPr="0089151E">
        <w:rPr>
          <w:rFonts w:ascii="Cambria" w:hAnsi="Cambria"/>
          <w:sz w:val="20"/>
          <w:szCs w:val="20"/>
          <w:lang w:val="es-ES"/>
        </w:rPr>
        <w:t>gada a las autoridades peruanas</w:t>
      </w:r>
      <w:r w:rsidR="00775FD0" w:rsidRPr="0089151E">
        <w:rPr>
          <w:rFonts w:ascii="Cambria" w:hAnsi="Cambria"/>
          <w:sz w:val="20"/>
          <w:szCs w:val="20"/>
          <w:lang w:val="es-ES"/>
        </w:rPr>
        <w:t xml:space="preserve"> el 4 de junio de 2010</w:t>
      </w:r>
      <w:r w:rsidR="0078034C" w:rsidRPr="0089151E">
        <w:rPr>
          <w:rFonts w:ascii="Cambria" w:hAnsi="Cambria"/>
          <w:sz w:val="20"/>
          <w:szCs w:val="20"/>
          <w:lang w:val="es-ES"/>
        </w:rPr>
        <w:t>, sin poder impugnar la decisión de expulsión.</w:t>
      </w:r>
      <w:r w:rsidR="00B72D9F" w:rsidRPr="0089151E">
        <w:rPr>
          <w:rFonts w:ascii="Cambria" w:hAnsi="Cambria"/>
          <w:sz w:val="20"/>
          <w:szCs w:val="20"/>
          <w:lang w:val="es-ES"/>
        </w:rPr>
        <w:t xml:space="preserve"> </w:t>
      </w:r>
    </w:p>
    <w:p w:rsidR="00E27AE1" w:rsidRPr="0089151E" w:rsidRDefault="00495DAA" w:rsidP="000F2C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9151E">
        <w:rPr>
          <w:rFonts w:ascii="Cambria" w:hAnsi="Cambria"/>
          <w:sz w:val="20"/>
          <w:szCs w:val="20"/>
          <w:lang w:val="es-ES"/>
        </w:rPr>
        <w:t>Por su parte, el</w:t>
      </w:r>
      <w:r w:rsidR="00E27AE1" w:rsidRPr="0089151E">
        <w:rPr>
          <w:rFonts w:ascii="Cambria" w:hAnsi="Cambria"/>
          <w:sz w:val="20"/>
          <w:szCs w:val="20"/>
          <w:lang w:val="es-ES"/>
        </w:rPr>
        <w:t xml:space="preserve"> Estado chileno</w:t>
      </w:r>
      <w:r w:rsidRPr="0089151E">
        <w:rPr>
          <w:rFonts w:ascii="Cambria" w:hAnsi="Cambria"/>
          <w:sz w:val="20"/>
          <w:szCs w:val="20"/>
          <w:lang w:val="es-ES"/>
        </w:rPr>
        <w:t xml:space="preserve"> no presenta alegatos sobre los hechos de la petición y sólo cuestiona la falta de agotamiento de los recursos internos y la falta de caracterización de posibles violaciones a los derechos humanos de la presunta víctima. </w:t>
      </w:r>
      <w:r w:rsidR="00AF4641" w:rsidRPr="0089151E">
        <w:rPr>
          <w:rFonts w:ascii="Cambria" w:hAnsi="Cambria"/>
          <w:sz w:val="20"/>
          <w:szCs w:val="20"/>
          <w:lang w:val="es-ES"/>
        </w:rPr>
        <w:t>En ese sentido, sostiene que la presunta víctima contaba con un plazo de 24 horas a partir de la notificación de la decisión de expulsión para impugnarla mediante la presentación de un recurso de reclamación judicial ante la Corte Suprema. Similarmente, sostiene que la presunta víctima podría haber presentado una acción constitucional de amparo preventivo o el recurso de reposición. Además, afirma que la presunta víctima tenía a su disposición el recurso de protección para protegerle de cualquier falta de igualdad ante la ley que pudiera haber sufrido.</w:t>
      </w:r>
    </w:p>
    <w:p w:rsidR="004C616A" w:rsidRPr="0089151E" w:rsidRDefault="004C616A" w:rsidP="00F05B9B">
      <w:pPr>
        <w:pStyle w:val="ListParagraph"/>
        <w:spacing w:before="120" w:after="120"/>
        <w:jc w:val="both"/>
        <w:rPr>
          <w:rFonts w:asciiTheme="majorHAnsi" w:hAnsiTheme="majorHAnsi"/>
          <w:b/>
          <w:bCs/>
          <w:sz w:val="20"/>
          <w:szCs w:val="20"/>
          <w:lang w:val="es-ES"/>
        </w:rPr>
      </w:pPr>
      <w:r w:rsidRPr="0089151E">
        <w:rPr>
          <w:rFonts w:asciiTheme="majorHAnsi" w:hAnsiTheme="majorHAnsi"/>
          <w:b/>
          <w:bCs/>
          <w:sz w:val="20"/>
          <w:szCs w:val="20"/>
          <w:lang w:val="es-ES"/>
        </w:rPr>
        <w:t xml:space="preserve">VI. </w:t>
      </w:r>
      <w:r w:rsidRPr="0089151E">
        <w:rPr>
          <w:rFonts w:asciiTheme="majorHAnsi" w:hAnsiTheme="majorHAnsi"/>
          <w:b/>
          <w:bCs/>
          <w:sz w:val="20"/>
          <w:szCs w:val="20"/>
          <w:lang w:val="es-ES"/>
        </w:rPr>
        <w:tab/>
        <w:t>AGOTAMIENTO DE LOS RECURSOS INTERNOS Y PLAZO DE PRESENTACIÓN</w:t>
      </w:r>
    </w:p>
    <w:p w:rsidR="00E27AE1" w:rsidRPr="0089151E" w:rsidRDefault="00602B41" w:rsidP="000F2C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9151E">
        <w:rPr>
          <w:rFonts w:ascii="Cambria" w:hAnsi="Cambria"/>
          <w:sz w:val="20"/>
          <w:szCs w:val="20"/>
          <w:lang w:val="es-ES"/>
        </w:rPr>
        <w:t xml:space="preserve">La presunta </w:t>
      </w:r>
      <w:r w:rsidR="00F05B9B" w:rsidRPr="0089151E">
        <w:rPr>
          <w:rFonts w:ascii="Cambria" w:hAnsi="Cambria"/>
          <w:sz w:val="20"/>
          <w:szCs w:val="20"/>
          <w:lang w:val="es-ES"/>
        </w:rPr>
        <w:t xml:space="preserve">víctima </w:t>
      </w:r>
      <w:r w:rsidR="008D5E11" w:rsidRPr="0089151E">
        <w:rPr>
          <w:rFonts w:ascii="Cambria" w:hAnsi="Cambria"/>
          <w:sz w:val="20"/>
          <w:szCs w:val="20"/>
          <w:lang w:val="es-ES"/>
        </w:rPr>
        <w:t>manifiesta</w:t>
      </w:r>
      <w:r w:rsidR="00F05B9B" w:rsidRPr="0089151E">
        <w:rPr>
          <w:rFonts w:ascii="Cambria" w:hAnsi="Cambria"/>
          <w:sz w:val="20"/>
          <w:szCs w:val="20"/>
          <w:lang w:val="es-ES"/>
        </w:rPr>
        <w:t xml:space="preserve"> </w:t>
      </w:r>
      <w:r w:rsidR="00232291" w:rsidRPr="0089151E">
        <w:rPr>
          <w:rFonts w:ascii="Cambria" w:hAnsi="Cambria"/>
          <w:sz w:val="20"/>
          <w:szCs w:val="20"/>
          <w:lang w:val="es-ES"/>
        </w:rPr>
        <w:t>que el Estado ha impedid</w:t>
      </w:r>
      <w:r w:rsidR="00AF4641">
        <w:rPr>
          <w:rFonts w:ascii="Cambria" w:hAnsi="Cambria"/>
          <w:sz w:val="20"/>
          <w:szCs w:val="20"/>
          <w:lang w:val="es-ES"/>
        </w:rPr>
        <w:t>o</w:t>
      </w:r>
      <w:r w:rsidR="00232291" w:rsidRPr="0089151E">
        <w:rPr>
          <w:rFonts w:ascii="Cambria" w:hAnsi="Cambria"/>
          <w:sz w:val="20"/>
          <w:szCs w:val="20"/>
          <w:lang w:val="es-ES"/>
        </w:rPr>
        <w:t xml:space="preserve"> el uso de aquellos recursos que pudieran ser adecuados y efectivos, pues se llevó a cabo todo el procedimiento de expulsión y efectiva entrega de la presunta víctima a las autoridades peruanas e</w:t>
      </w:r>
      <w:r w:rsidR="00E27AE1" w:rsidRPr="0089151E">
        <w:rPr>
          <w:rFonts w:ascii="Cambria" w:hAnsi="Cambria"/>
          <w:sz w:val="20"/>
          <w:szCs w:val="20"/>
          <w:lang w:val="es-ES"/>
        </w:rPr>
        <w:t xml:space="preserve">n </w:t>
      </w:r>
      <w:r w:rsidR="00232291" w:rsidRPr="0089151E">
        <w:rPr>
          <w:rFonts w:ascii="Cambria" w:hAnsi="Cambria"/>
          <w:sz w:val="20"/>
          <w:szCs w:val="20"/>
          <w:lang w:val="es-ES"/>
        </w:rPr>
        <w:t>19 horas y 30 minutos</w:t>
      </w:r>
      <w:r w:rsidR="008D5E11" w:rsidRPr="0089151E">
        <w:rPr>
          <w:rFonts w:ascii="Cambria" w:hAnsi="Cambria"/>
          <w:sz w:val="20"/>
          <w:szCs w:val="20"/>
          <w:lang w:val="es-ES"/>
        </w:rPr>
        <w:t>. Por su parte, el Estado manifiesta</w:t>
      </w:r>
      <w:r w:rsidR="00E27AE1" w:rsidRPr="0089151E">
        <w:rPr>
          <w:rFonts w:ascii="Cambria" w:hAnsi="Cambria"/>
          <w:sz w:val="20"/>
          <w:szCs w:val="20"/>
          <w:lang w:val="es-ES"/>
        </w:rPr>
        <w:t xml:space="preserve"> que la presunta víctima no agotó los recursos internos y que la petición debe ser declarada inadmisible.</w:t>
      </w:r>
      <w:r w:rsidR="00DD46F8" w:rsidRPr="0089151E">
        <w:rPr>
          <w:rFonts w:ascii="Cambria" w:hAnsi="Cambria"/>
          <w:sz w:val="20"/>
          <w:szCs w:val="20"/>
          <w:lang w:val="es-ES"/>
        </w:rPr>
        <w:t xml:space="preserve">   </w:t>
      </w:r>
    </w:p>
    <w:p w:rsidR="00B2306E" w:rsidRPr="002476EE" w:rsidRDefault="00E329ED" w:rsidP="000F2C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76EE">
        <w:rPr>
          <w:rFonts w:ascii="Cambria" w:hAnsi="Cambria"/>
          <w:sz w:val="20"/>
          <w:szCs w:val="20"/>
          <w:lang w:val="es-ES"/>
        </w:rPr>
        <w:t xml:space="preserve">La Comisión observa que, en el presente caso, la parte peticionaria alega que la presunta víctima se vio impedida de agotar los recursos internos </w:t>
      </w:r>
      <w:r w:rsidR="002B4037" w:rsidRPr="002476EE">
        <w:rPr>
          <w:rFonts w:ascii="Cambria" w:hAnsi="Cambria"/>
          <w:sz w:val="20"/>
          <w:szCs w:val="20"/>
          <w:lang w:val="es-ES"/>
        </w:rPr>
        <w:t xml:space="preserve">producto de la celeridad con que se condujo el procedimiento </w:t>
      </w:r>
      <w:r w:rsidR="00335EB7" w:rsidRPr="002476EE">
        <w:rPr>
          <w:rFonts w:ascii="Cambria" w:hAnsi="Cambria"/>
          <w:sz w:val="20"/>
          <w:szCs w:val="20"/>
          <w:lang w:val="es-ES"/>
        </w:rPr>
        <w:t>que conllevó a su expulsión</w:t>
      </w:r>
      <w:r w:rsidR="002F7F1A" w:rsidRPr="002476EE">
        <w:rPr>
          <w:rFonts w:ascii="Cambria" w:hAnsi="Cambria"/>
          <w:sz w:val="20"/>
          <w:szCs w:val="20"/>
          <w:lang w:val="es-ES"/>
        </w:rPr>
        <w:t>. En este sentido, la</w:t>
      </w:r>
      <w:r w:rsidRPr="002476EE">
        <w:rPr>
          <w:rFonts w:ascii="Cambria" w:hAnsi="Cambria"/>
          <w:sz w:val="20"/>
          <w:szCs w:val="20"/>
          <w:lang w:val="es-ES"/>
        </w:rPr>
        <w:t xml:space="preserve"> posible aplicabilidad</w:t>
      </w:r>
      <w:r w:rsidR="00335EB7" w:rsidRPr="002476EE">
        <w:rPr>
          <w:rFonts w:ascii="Cambria" w:hAnsi="Cambria"/>
          <w:sz w:val="20"/>
          <w:szCs w:val="20"/>
          <w:lang w:val="es-ES"/>
        </w:rPr>
        <w:t xml:space="preserve"> a la presente petición</w:t>
      </w:r>
      <w:r w:rsidRPr="002476EE">
        <w:rPr>
          <w:rFonts w:ascii="Cambria" w:hAnsi="Cambria"/>
          <w:sz w:val="20"/>
          <w:szCs w:val="20"/>
          <w:lang w:val="es-ES"/>
        </w:rPr>
        <w:t xml:space="preserve"> de alguna de las excepciones al agotamiento de los recursos internos</w:t>
      </w:r>
      <w:r w:rsidR="002F7F1A" w:rsidRPr="002476EE">
        <w:rPr>
          <w:rFonts w:ascii="Cambria" w:hAnsi="Cambria"/>
          <w:sz w:val="20"/>
          <w:szCs w:val="20"/>
          <w:lang w:val="es-ES"/>
        </w:rPr>
        <w:t xml:space="preserve"> </w:t>
      </w:r>
      <w:r w:rsidRPr="002476EE">
        <w:rPr>
          <w:rFonts w:ascii="Cambria" w:hAnsi="Cambria"/>
          <w:sz w:val="20"/>
          <w:szCs w:val="20"/>
          <w:lang w:val="es-ES"/>
        </w:rPr>
        <w:t>estar</w:t>
      </w:r>
      <w:r w:rsidR="002F7F1A" w:rsidRPr="002476EE">
        <w:rPr>
          <w:rFonts w:ascii="Cambria" w:hAnsi="Cambria"/>
          <w:sz w:val="20"/>
          <w:szCs w:val="20"/>
          <w:lang w:val="es-ES"/>
        </w:rPr>
        <w:t xml:space="preserve">ía inextricablemente </w:t>
      </w:r>
      <w:r w:rsidR="00EE6183" w:rsidRPr="002476EE">
        <w:rPr>
          <w:rFonts w:ascii="Cambria" w:hAnsi="Cambria"/>
          <w:sz w:val="20"/>
          <w:szCs w:val="20"/>
          <w:lang w:val="es-ES"/>
        </w:rPr>
        <w:t>ligada con las alegaciones de la parte peticionaria con respecto a supuestas violaciones al debido proceso</w:t>
      </w:r>
      <w:r w:rsidR="00EE6183" w:rsidRPr="002476EE">
        <w:rPr>
          <w:rFonts w:ascii="Cambria" w:hAnsi="Cambria"/>
          <w:bCs/>
          <w:sz w:val="20"/>
          <w:szCs w:val="20"/>
          <w:lang w:val="es-ES"/>
        </w:rPr>
        <w:t>. Ante este tipo de situaciones, la Comisión ha determinado procedente</w:t>
      </w:r>
      <w:r w:rsidR="00403985" w:rsidRPr="002476EE">
        <w:rPr>
          <w:rFonts w:ascii="Cambria" w:hAnsi="Cambria"/>
          <w:bCs/>
          <w:sz w:val="20"/>
          <w:szCs w:val="20"/>
          <w:lang w:val="es-ES"/>
        </w:rPr>
        <w:t>,</w:t>
      </w:r>
      <w:r w:rsidR="00EE6183" w:rsidRPr="002476EE">
        <w:rPr>
          <w:rFonts w:ascii="Cambria" w:hAnsi="Cambria"/>
          <w:bCs/>
          <w:sz w:val="20"/>
          <w:szCs w:val="20"/>
          <w:lang w:val="es-ES"/>
        </w:rPr>
        <w:t xml:space="preserve"> en otras oportunidades</w:t>
      </w:r>
      <w:r w:rsidR="00403985" w:rsidRPr="002476EE">
        <w:rPr>
          <w:rFonts w:ascii="Cambria" w:hAnsi="Cambria"/>
          <w:bCs/>
          <w:sz w:val="20"/>
          <w:szCs w:val="20"/>
          <w:lang w:val="es-ES"/>
        </w:rPr>
        <w:t>,</w:t>
      </w:r>
      <w:r w:rsidR="00EE6183" w:rsidRPr="002476EE">
        <w:rPr>
          <w:rFonts w:ascii="Cambria" w:hAnsi="Cambria"/>
          <w:bCs/>
          <w:sz w:val="20"/>
          <w:szCs w:val="20"/>
          <w:lang w:val="es-ES"/>
        </w:rPr>
        <w:t xml:space="preserve"> acumular el análisis de la cuestión de agotamiento de los recursos internos al examen de fondo</w:t>
      </w:r>
      <w:r w:rsidR="00EE6183" w:rsidRPr="002476EE">
        <w:rPr>
          <w:rStyle w:val="FootnoteReference"/>
          <w:rFonts w:ascii="Cambria" w:hAnsi="Cambria"/>
          <w:bCs/>
          <w:sz w:val="20"/>
          <w:szCs w:val="20"/>
          <w:lang w:val="es-ES"/>
        </w:rPr>
        <w:footnoteReference w:id="5"/>
      </w:r>
      <w:r w:rsidR="00EE6183" w:rsidRPr="002476EE">
        <w:rPr>
          <w:rFonts w:ascii="Cambria" w:hAnsi="Cambria"/>
          <w:bCs/>
          <w:sz w:val="20"/>
          <w:szCs w:val="20"/>
          <w:lang w:val="es-ES"/>
        </w:rPr>
        <w:t xml:space="preserve">. </w:t>
      </w:r>
      <w:r w:rsidR="00403985" w:rsidRPr="002476EE">
        <w:rPr>
          <w:rFonts w:ascii="Cambria" w:hAnsi="Cambria"/>
          <w:bCs/>
          <w:sz w:val="20"/>
          <w:szCs w:val="20"/>
          <w:lang w:val="es-ES"/>
        </w:rPr>
        <w:t xml:space="preserve">Sn embargo, dadas sus conclusiones expuestas en la sección VII de este informe </w:t>
      </w:r>
      <w:r w:rsidR="00BB619D" w:rsidRPr="002476EE">
        <w:rPr>
          <w:rFonts w:ascii="Cambria" w:hAnsi="Cambria"/>
          <w:bCs/>
          <w:sz w:val="20"/>
          <w:szCs w:val="20"/>
          <w:lang w:val="es-ES"/>
        </w:rPr>
        <w:t>en el sentido de que la presente petición no expone suficiente elementos</w:t>
      </w:r>
      <w:r w:rsidR="00FF3E21" w:rsidRPr="002476EE">
        <w:rPr>
          <w:rFonts w:ascii="Cambria" w:hAnsi="Cambria"/>
          <w:bCs/>
          <w:sz w:val="20"/>
          <w:szCs w:val="20"/>
          <w:lang w:val="es-ES"/>
        </w:rPr>
        <w:t xml:space="preserve"> que permitan a la Comisión avanzar a un estudio de fondo, la Comisión concluye que en el presente caso resulta innecesario e imposible realizar una determinación con respecto al agotamiento de los recursos internos. </w:t>
      </w:r>
      <w:r w:rsidR="00BB619D" w:rsidRPr="002476EE">
        <w:rPr>
          <w:rFonts w:ascii="Cambria" w:hAnsi="Cambria"/>
          <w:bCs/>
          <w:sz w:val="20"/>
          <w:szCs w:val="20"/>
          <w:lang w:val="es-ES"/>
        </w:rPr>
        <w:t xml:space="preserve"> </w:t>
      </w:r>
    </w:p>
    <w:p w:rsidR="00F04591" w:rsidRPr="0089151E" w:rsidRDefault="00F04591" w:rsidP="00647756">
      <w:pPr>
        <w:pStyle w:val="ListParagraph"/>
        <w:spacing w:before="120" w:after="120"/>
        <w:jc w:val="both"/>
        <w:rPr>
          <w:rFonts w:asciiTheme="majorHAnsi" w:hAnsiTheme="majorHAnsi"/>
          <w:b/>
          <w:bCs/>
          <w:sz w:val="20"/>
          <w:szCs w:val="20"/>
          <w:lang w:val="es-ES"/>
        </w:rPr>
      </w:pPr>
      <w:r w:rsidRPr="0089151E">
        <w:rPr>
          <w:rFonts w:asciiTheme="majorHAnsi" w:hAnsiTheme="majorHAnsi"/>
          <w:b/>
          <w:bCs/>
          <w:sz w:val="20"/>
          <w:szCs w:val="20"/>
          <w:lang w:val="es-ES"/>
        </w:rPr>
        <w:t>V</w:t>
      </w:r>
      <w:r w:rsidR="000E2789" w:rsidRPr="0089151E">
        <w:rPr>
          <w:rFonts w:asciiTheme="majorHAnsi" w:hAnsiTheme="majorHAnsi"/>
          <w:b/>
          <w:bCs/>
          <w:sz w:val="20"/>
          <w:szCs w:val="20"/>
          <w:lang w:val="es-ES"/>
        </w:rPr>
        <w:t>I</w:t>
      </w:r>
      <w:r w:rsidRPr="0089151E">
        <w:rPr>
          <w:rFonts w:asciiTheme="majorHAnsi" w:hAnsiTheme="majorHAnsi"/>
          <w:b/>
          <w:bCs/>
          <w:sz w:val="20"/>
          <w:szCs w:val="20"/>
          <w:lang w:val="es-ES"/>
        </w:rPr>
        <w:t xml:space="preserve">I. </w:t>
      </w:r>
      <w:r w:rsidRPr="0089151E">
        <w:rPr>
          <w:rFonts w:asciiTheme="majorHAnsi" w:hAnsiTheme="majorHAnsi"/>
          <w:b/>
          <w:bCs/>
          <w:sz w:val="20"/>
          <w:szCs w:val="20"/>
          <w:lang w:val="es-ES"/>
        </w:rPr>
        <w:tab/>
        <w:t>CARACTERIZACIÓN</w:t>
      </w:r>
    </w:p>
    <w:p w:rsidR="00006B74" w:rsidRDefault="00BA7A30" w:rsidP="000F2C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9151E">
        <w:rPr>
          <w:rFonts w:ascii="Cambria" w:hAnsi="Cambria"/>
          <w:sz w:val="20"/>
          <w:szCs w:val="20"/>
          <w:lang w:val="es-ES"/>
        </w:rPr>
        <w:t>La presunta víctima</w:t>
      </w:r>
      <w:r w:rsidR="000B0579" w:rsidRPr="0089151E">
        <w:rPr>
          <w:rFonts w:ascii="Cambria" w:hAnsi="Cambria"/>
          <w:sz w:val="20"/>
          <w:szCs w:val="20"/>
          <w:lang w:val="es-ES"/>
        </w:rPr>
        <w:t xml:space="preserve"> sostiene que el Estado es responsable por la violación </w:t>
      </w:r>
      <w:r w:rsidRPr="0089151E">
        <w:rPr>
          <w:rFonts w:ascii="Cambria" w:hAnsi="Cambria"/>
          <w:sz w:val="20"/>
          <w:szCs w:val="20"/>
          <w:lang w:val="es-ES"/>
        </w:rPr>
        <w:t xml:space="preserve">a sus derechos humanos ya que: i) el proceso de expulsión </w:t>
      </w:r>
      <w:r w:rsidR="00771B35" w:rsidRPr="0089151E">
        <w:rPr>
          <w:rFonts w:ascii="Cambria" w:hAnsi="Cambria"/>
          <w:sz w:val="20"/>
          <w:szCs w:val="20"/>
          <w:lang w:val="es-ES"/>
        </w:rPr>
        <w:t>sumaria</w:t>
      </w:r>
      <w:r w:rsidRPr="0089151E">
        <w:rPr>
          <w:rFonts w:ascii="Cambria" w:hAnsi="Cambria"/>
          <w:sz w:val="20"/>
          <w:szCs w:val="20"/>
          <w:lang w:val="es-ES"/>
        </w:rPr>
        <w:t xml:space="preserve"> le impidió hacer </w:t>
      </w:r>
      <w:r w:rsidR="00C42F78">
        <w:rPr>
          <w:rFonts w:ascii="Cambria" w:hAnsi="Cambria"/>
          <w:sz w:val="20"/>
          <w:szCs w:val="20"/>
          <w:lang w:val="es-ES"/>
        </w:rPr>
        <w:t>vale</w:t>
      </w:r>
      <w:r w:rsidR="00771B35" w:rsidRPr="0089151E">
        <w:rPr>
          <w:rFonts w:ascii="Cambria" w:hAnsi="Cambria"/>
          <w:sz w:val="20"/>
          <w:szCs w:val="20"/>
          <w:lang w:val="es-ES"/>
        </w:rPr>
        <w:t xml:space="preserve">r </w:t>
      </w:r>
      <w:r w:rsidRPr="0089151E">
        <w:rPr>
          <w:rFonts w:ascii="Cambria" w:hAnsi="Cambria"/>
          <w:sz w:val="20"/>
          <w:szCs w:val="20"/>
          <w:lang w:val="es-ES"/>
        </w:rPr>
        <w:t xml:space="preserve">los recursos disponibles para impugnar tal decisión; ii) no contó con asesoramiento letrado o con un intérprete para poder afrontar </w:t>
      </w:r>
      <w:r w:rsidR="00771B35" w:rsidRPr="0089151E">
        <w:rPr>
          <w:rFonts w:ascii="Cambria" w:hAnsi="Cambria"/>
          <w:sz w:val="20"/>
          <w:szCs w:val="20"/>
          <w:lang w:val="es-ES"/>
        </w:rPr>
        <w:t>el proceso de</w:t>
      </w:r>
      <w:r w:rsidRPr="0089151E">
        <w:rPr>
          <w:rFonts w:ascii="Cambria" w:hAnsi="Cambria"/>
          <w:sz w:val="20"/>
          <w:szCs w:val="20"/>
          <w:lang w:val="es-ES"/>
        </w:rPr>
        <w:t xml:space="preserve"> expulsión del territorio. </w:t>
      </w:r>
      <w:r w:rsidR="000B0579" w:rsidRPr="0089151E">
        <w:rPr>
          <w:rFonts w:ascii="Cambria" w:hAnsi="Cambria"/>
          <w:sz w:val="20"/>
          <w:szCs w:val="20"/>
          <w:lang w:val="es-ES"/>
        </w:rPr>
        <w:t>A su vez, el Estado afirma que</w:t>
      </w:r>
      <w:r w:rsidR="00B97946" w:rsidRPr="0089151E">
        <w:rPr>
          <w:rFonts w:ascii="Cambria" w:hAnsi="Cambria"/>
          <w:sz w:val="20"/>
          <w:szCs w:val="20"/>
          <w:lang w:val="es-ES"/>
        </w:rPr>
        <w:t xml:space="preserve"> los hechos alegados no caracterizan violaciones a los derechos humanos porque</w:t>
      </w:r>
      <w:r w:rsidRPr="0089151E">
        <w:rPr>
          <w:rFonts w:ascii="Cambria" w:hAnsi="Cambria"/>
          <w:sz w:val="20"/>
          <w:szCs w:val="20"/>
          <w:lang w:val="es-ES"/>
        </w:rPr>
        <w:t xml:space="preserve"> los hechos expuestos </w:t>
      </w:r>
      <w:r w:rsidR="00E9467E" w:rsidRPr="0089151E">
        <w:rPr>
          <w:rFonts w:ascii="Cambria" w:hAnsi="Cambria"/>
          <w:sz w:val="20"/>
          <w:szCs w:val="20"/>
          <w:lang w:val="es-ES"/>
        </w:rPr>
        <w:t>n</w:t>
      </w:r>
      <w:r w:rsidRPr="0089151E">
        <w:rPr>
          <w:rFonts w:ascii="Cambria" w:hAnsi="Cambria"/>
          <w:sz w:val="20"/>
          <w:szCs w:val="20"/>
          <w:lang w:val="es-ES"/>
        </w:rPr>
        <w:t xml:space="preserve">o constituyen vulneración de derechos </w:t>
      </w:r>
      <w:r w:rsidRPr="0089151E">
        <w:rPr>
          <w:rFonts w:ascii="Cambria" w:hAnsi="Cambria"/>
          <w:sz w:val="20"/>
          <w:szCs w:val="20"/>
          <w:lang w:val="es-ES"/>
        </w:rPr>
        <w:lastRenderedPageBreak/>
        <w:t>convencionales</w:t>
      </w:r>
      <w:r w:rsidR="00495DAA" w:rsidRPr="0089151E">
        <w:rPr>
          <w:rFonts w:ascii="Cambria" w:hAnsi="Cambria"/>
          <w:sz w:val="20"/>
          <w:szCs w:val="20"/>
          <w:lang w:val="es-ES"/>
        </w:rPr>
        <w:t xml:space="preserve"> y agrega que la presunta víctima no señala de qu</w:t>
      </w:r>
      <w:r w:rsidR="00C42F78">
        <w:rPr>
          <w:rFonts w:ascii="Cambria" w:hAnsi="Cambria"/>
          <w:sz w:val="20"/>
          <w:szCs w:val="20"/>
          <w:lang w:val="es-ES"/>
        </w:rPr>
        <w:t>é</w:t>
      </w:r>
      <w:r w:rsidR="00495DAA" w:rsidRPr="0089151E">
        <w:rPr>
          <w:rFonts w:ascii="Cambria" w:hAnsi="Cambria"/>
          <w:sz w:val="20"/>
          <w:szCs w:val="20"/>
          <w:lang w:val="es-ES"/>
        </w:rPr>
        <w:t xml:space="preserve"> forma el Estado habría vulnerado su derecho a la igualdad ante la ley</w:t>
      </w:r>
      <w:r w:rsidRPr="0089151E">
        <w:rPr>
          <w:rFonts w:ascii="Cambria" w:hAnsi="Cambria"/>
          <w:sz w:val="20"/>
          <w:szCs w:val="20"/>
          <w:lang w:val="es-ES"/>
        </w:rPr>
        <w:t xml:space="preserve">. </w:t>
      </w:r>
    </w:p>
    <w:p w:rsidR="001F32E0" w:rsidRPr="002476EE" w:rsidRDefault="00F64DDF" w:rsidP="000F2C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76EE">
        <w:rPr>
          <w:rFonts w:ascii="Cambria" w:hAnsi="Cambria"/>
          <w:sz w:val="20"/>
          <w:szCs w:val="20"/>
          <w:lang w:val="es-ES"/>
        </w:rPr>
        <w:t xml:space="preserve">La Comisión observa que en el presente caso, la expulsión </w:t>
      </w:r>
      <w:r w:rsidR="00DA74C7" w:rsidRPr="002476EE">
        <w:rPr>
          <w:rFonts w:ascii="Cambria" w:hAnsi="Cambria"/>
          <w:sz w:val="20"/>
          <w:szCs w:val="20"/>
          <w:lang w:val="es-ES"/>
        </w:rPr>
        <w:t>de la presunta víctima del territorio chileno fue de un proceso administrativo expedito previsto por la ley doméstica</w:t>
      </w:r>
      <w:r w:rsidR="00C064FC" w:rsidRPr="002476EE">
        <w:rPr>
          <w:rFonts w:ascii="Cambria" w:hAnsi="Cambria"/>
          <w:sz w:val="20"/>
          <w:szCs w:val="20"/>
          <w:lang w:val="es-ES"/>
        </w:rPr>
        <w:t xml:space="preserve"> para</w:t>
      </w:r>
      <w:r w:rsidR="00DA74C7" w:rsidRPr="002476EE">
        <w:rPr>
          <w:rFonts w:ascii="Cambria" w:hAnsi="Cambria"/>
          <w:sz w:val="20"/>
          <w:szCs w:val="20"/>
          <w:lang w:val="es-ES"/>
        </w:rPr>
        <w:t xml:space="preserve"> casos en que se determine que un </w:t>
      </w:r>
      <w:r w:rsidR="00487E1B" w:rsidRPr="002476EE">
        <w:rPr>
          <w:rFonts w:ascii="Cambria" w:hAnsi="Cambria"/>
          <w:sz w:val="20"/>
          <w:szCs w:val="20"/>
          <w:lang w:val="es-ES"/>
        </w:rPr>
        <w:t xml:space="preserve">extranjero entró ilegalmente al país en contravención de una </w:t>
      </w:r>
      <w:r w:rsidR="00C064FC" w:rsidRPr="002476EE">
        <w:rPr>
          <w:rFonts w:ascii="Cambria" w:hAnsi="Cambria"/>
          <w:sz w:val="20"/>
          <w:szCs w:val="20"/>
          <w:lang w:val="es-ES"/>
        </w:rPr>
        <w:t>de las</w:t>
      </w:r>
      <w:r w:rsidR="00487E1B" w:rsidRPr="002476EE">
        <w:rPr>
          <w:rFonts w:ascii="Cambria" w:hAnsi="Cambria"/>
          <w:sz w:val="20"/>
          <w:szCs w:val="20"/>
          <w:lang w:val="es-ES"/>
        </w:rPr>
        <w:t xml:space="preserve"> causales</w:t>
      </w:r>
      <w:r w:rsidR="00C064FC" w:rsidRPr="002476EE">
        <w:rPr>
          <w:rFonts w:ascii="Cambria" w:hAnsi="Cambria"/>
          <w:sz w:val="20"/>
          <w:szCs w:val="20"/>
          <w:lang w:val="es-ES"/>
        </w:rPr>
        <w:t xml:space="preserve"> de prohibición</w:t>
      </w:r>
      <w:r w:rsidR="00487E1B" w:rsidRPr="002476EE">
        <w:rPr>
          <w:rFonts w:ascii="Cambria" w:hAnsi="Cambria"/>
          <w:sz w:val="20"/>
          <w:szCs w:val="20"/>
          <w:lang w:val="es-ES"/>
        </w:rPr>
        <w:t xml:space="preserve"> preestablecidas en la normativa migratoria.</w:t>
      </w:r>
      <w:r w:rsidR="001164CC" w:rsidRPr="002476EE">
        <w:rPr>
          <w:rFonts w:ascii="Cambria" w:hAnsi="Cambria"/>
          <w:sz w:val="20"/>
          <w:szCs w:val="20"/>
          <w:lang w:val="es-ES"/>
        </w:rPr>
        <w:t xml:space="preserve"> </w:t>
      </w:r>
      <w:r w:rsidR="00C51D9F" w:rsidRPr="002476EE">
        <w:rPr>
          <w:rFonts w:ascii="Cambria" w:hAnsi="Cambria"/>
          <w:sz w:val="20"/>
          <w:szCs w:val="20"/>
          <w:lang w:val="es-ES"/>
        </w:rPr>
        <w:t>La Comisión ya ha advertido en el pasado la posibilidad de que l</w:t>
      </w:r>
      <w:r w:rsidR="00C0514E" w:rsidRPr="002476EE">
        <w:rPr>
          <w:rFonts w:ascii="Cambria" w:hAnsi="Cambria"/>
          <w:sz w:val="20"/>
          <w:szCs w:val="20"/>
          <w:lang w:val="es-ES"/>
        </w:rPr>
        <w:t>os procedimientos administrativos migratorios sean utilizados para eludir los procedimientos más estrictos de la extradición hacia un país que desee procesar y/o castigar a una persona</w:t>
      </w:r>
      <w:r w:rsidR="001164CC" w:rsidRPr="002476EE">
        <w:rPr>
          <w:rStyle w:val="FootnoteReference"/>
          <w:rFonts w:ascii="Cambria" w:hAnsi="Cambria"/>
          <w:sz w:val="20"/>
          <w:szCs w:val="20"/>
          <w:lang w:val="es-ES"/>
        </w:rPr>
        <w:footnoteReference w:id="6"/>
      </w:r>
      <w:r w:rsidR="001164CC" w:rsidRPr="002476EE">
        <w:rPr>
          <w:rFonts w:ascii="Cambria" w:hAnsi="Cambria"/>
          <w:sz w:val="20"/>
          <w:szCs w:val="20"/>
          <w:lang w:val="es-ES"/>
        </w:rPr>
        <w:t xml:space="preserve">. Sin </w:t>
      </w:r>
      <w:r w:rsidR="007164DB" w:rsidRPr="002476EE">
        <w:rPr>
          <w:rFonts w:ascii="Cambria" w:hAnsi="Cambria"/>
          <w:sz w:val="20"/>
          <w:szCs w:val="20"/>
          <w:lang w:val="es-ES"/>
        </w:rPr>
        <w:t>desconocer éste riesgo</w:t>
      </w:r>
      <w:r w:rsidR="001164CC" w:rsidRPr="002476EE">
        <w:rPr>
          <w:rFonts w:ascii="Cambria" w:hAnsi="Cambria"/>
          <w:sz w:val="20"/>
          <w:szCs w:val="20"/>
          <w:lang w:val="es-ES"/>
        </w:rPr>
        <w:t>, en el presente caso</w:t>
      </w:r>
      <w:r w:rsidR="007164DB" w:rsidRPr="002476EE">
        <w:rPr>
          <w:rFonts w:ascii="Cambria" w:hAnsi="Cambria"/>
          <w:sz w:val="20"/>
          <w:szCs w:val="20"/>
          <w:lang w:val="es-ES"/>
        </w:rPr>
        <w:t xml:space="preserve"> la Comisión estima que</w:t>
      </w:r>
      <w:r w:rsidR="001164CC" w:rsidRPr="002476EE">
        <w:rPr>
          <w:rFonts w:ascii="Cambria" w:hAnsi="Cambria"/>
          <w:sz w:val="20"/>
          <w:szCs w:val="20"/>
          <w:lang w:val="es-ES"/>
        </w:rPr>
        <w:t xml:space="preserve"> no cuenta con suficientes elementos para concluir que la expulsión de la presunta víctima del territorio chileno haya constituido una extradición encubierta.</w:t>
      </w:r>
      <w:r w:rsidR="00B82782" w:rsidRPr="002476EE">
        <w:rPr>
          <w:rFonts w:ascii="Cambria" w:hAnsi="Cambria"/>
          <w:sz w:val="20"/>
          <w:szCs w:val="20"/>
          <w:lang w:val="es-ES"/>
        </w:rPr>
        <w:t xml:space="preserve"> </w:t>
      </w:r>
      <w:r w:rsidR="001164CC" w:rsidRPr="002476EE">
        <w:rPr>
          <w:rFonts w:ascii="Cambria" w:hAnsi="Cambria"/>
          <w:sz w:val="20"/>
          <w:szCs w:val="20"/>
          <w:lang w:val="es-ES"/>
        </w:rPr>
        <w:t>Los procesos administrati</w:t>
      </w:r>
      <w:r w:rsidR="00B82782" w:rsidRPr="002476EE">
        <w:rPr>
          <w:rFonts w:ascii="Cambria" w:hAnsi="Cambria"/>
          <w:sz w:val="20"/>
          <w:szCs w:val="20"/>
          <w:lang w:val="es-ES"/>
        </w:rPr>
        <w:t xml:space="preserve">vos </w:t>
      </w:r>
      <w:r w:rsidR="001164CC" w:rsidRPr="002476EE">
        <w:rPr>
          <w:rFonts w:ascii="Cambria" w:hAnsi="Cambria"/>
          <w:sz w:val="20"/>
          <w:szCs w:val="20"/>
          <w:lang w:val="es-ES"/>
        </w:rPr>
        <w:t xml:space="preserve">migratorios deben respetar las garantías mínimas del debido proceso </w:t>
      </w:r>
      <w:r w:rsidR="00165B4F" w:rsidRPr="002476EE">
        <w:rPr>
          <w:rFonts w:ascii="Cambria" w:hAnsi="Cambria"/>
          <w:sz w:val="20"/>
          <w:szCs w:val="20"/>
          <w:lang w:val="es-ES"/>
        </w:rPr>
        <w:t>y estar sujetos a la posibilidad de una revisión judicial efectiva. En el presente caso, el peticionario ha alegado que el proceso que conllevó a la expulsión de la presunta víctima no cumplió con el debido proceso y que ésta se vio impedida por e</w:t>
      </w:r>
      <w:r w:rsidR="007164DB" w:rsidRPr="002476EE">
        <w:rPr>
          <w:rFonts w:ascii="Cambria" w:hAnsi="Cambria"/>
          <w:sz w:val="20"/>
          <w:szCs w:val="20"/>
          <w:lang w:val="es-ES"/>
        </w:rPr>
        <w:t xml:space="preserve">l actuar del Estado de agotar los recursos judiciales. Sin embargo, la Comisión estima que no existen en el expediente elementos suficientes que le permitan concluir, prima facie, la </w:t>
      </w:r>
      <w:r w:rsidR="00B82782" w:rsidRPr="002476EE">
        <w:rPr>
          <w:rFonts w:ascii="Cambria" w:hAnsi="Cambria"/>
          <w:sz w:val="20"/>
          <w:szCs w:val="20"/>
          <w:lang w:val="es-ES"/>
        </w:rPr>
        <w:t xml:space="preserve">posibilidad de que se hayan violado derechos contenidos en la Convención Americana en perjuicio de la presunta víctima. Por estas razones, la Comisión concluye que la presente petición resulta inadmisible con fundamento en el artículo 47(b) de la Convención Americana. </w:t>
      </w:r>
    </w:p>
    <w:p w:rsidR="00096B0F" w:rsidRPr="0089151E" w:rsidRDefault="00096B0F" w:rsidP="000F2C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bCs/>
          <w:sz w:val="20"/>
          <w:szCs w:val="20"/>
          <w:lang w:val="es-ES"/>
        </w:rPr>
        <w:t>Por otro lado, la CIDH recuerda que</w:t>
      </w:r>
      <w:r w:rsidR="004954EA" w:rsidRPr="004954EA">
        <w:rPr>
          <w:rFonts w:ascii="Cambria" w:hAnsi="Cambria"/>
          <w:bCs/>
          <w:sz w:val="20"/>
          <w:szCs w:val="20"/>
          <w:lang w:val="es-ES_tradnl"/>
        </w:rPr>
        <w:t xml:space="preserv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004954EA">
        <w:rPr>
          <w:rFonts w:ascii="Cambria" w:hAnsi="Cambria"/>
          <w:bCs/>
          <w:sz w:val="20"/>
          <w:szCs w:val="20"/>
          <w:lang w:val="es-ES_tradnl"/>
        </w:rPr>
        <w:t>.</w:t>
      </w:r>
      <w:r>
        <w:rPr>
          <w:rFonts w:ascii="Cambria" w:hAnsi="Cambria"/>
          <w:bCs/>
          <w:sz w:val="20"/>
          <w:szCs w:val="20"/>
          <w:lang w:val="es-ES"/>
        </w:rPr>
        <w:t xml:space="preserve"> </w:t>
      </w:r>
    </w:p>
    <w:p w:rsidR="003239B8" w:rsidRPr="0089151E"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89151E">
        <w:rPr>
          <w:rFonts w:asciiTheme="majorHAnsi" w:hAnsiTheme="majorHAnsi"/>
          <w:b/>
          <w:bCs/>
          <w:sz w:val="20"/>
          <w:szCs w:val="20"/>
          <w:lang w:val="es-ES"/>
        </w:rPr>
        <w:t>VI</w:t>
      </w:r>
      <w:r w:rsidR="00F04591" w:rsidRPr="0089151E">
        <w:rPr>
          <w:rFonts w:asciiTheme="majorHAnsi" w:hAnsiTheme="majorHAnsi"/>
          <w:b/>
          <w:bCs/>
          <w:sz w:val="20"/>
          <w:szCs w:val="20"/>
          <w:lang w:val="es-ES"/>
        </w:rPr>
        <w:t>II</w:t>
      </w:r>
      <w:r w:rsidR="003239B8" w:rsidRPr="0089151E">
        <w:rPr>
          <w:rFonts w:asciiTheme="majorHAnsi" w:hAnsiTheme="majorHAnsi"/>
          <w:b/>
          <w:bCs/>
          <w:sz w:val="20"/>
          <w:szCs w:val="20"/>
          <w:lang w:val="es-ES"/>
        </w:rPr>
        <w:t xml:space="preserve">. </w:t>
      </w:r>
      <w:r w:rsidR="003239B8" w:rsidRPr="0089151E">
        <w:rPr>
          <w:rFonts w:asciiTheme="majorHAnsi" w:hAnsiTheme="majorHAnsi"/>
          <w:b/>
          <w:bCs/>
          <w:sz w:val="20"/>
          <w:szCs w:val="20"/>
          <w:lang w:val="es-ES"/>
        </w:rPr>
        <w:tab/>
        <w:t>DECISIÓN</w:t>
      </w:r>
    </w:p>
    <w:p w:rsidR="003239B8" w:rsidRPr="002476EE" w:rsidRDefault="003239B8" w:rsidP="000F2C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76EE">
        <w:rPr>
          <w:rFonts w:asciiTheme="majorHAnsi" w:hAnsiTheme="majorHAnsi"/>
          <w:sz w:val="20"/>
          <w:szCs w:val="20"/>
          <w:lang w:val="es-ES"/>
        </w:rPr>
        <w:t xml:space="preserve">Declarar </w:t>
      </w:r>
      <w:r w:rsidR="005D791F" w:rsidRPr="002476EE">
        <w:rPr>
          <w:rFonts w:asciiTheme="majorHAnsi" w:hAnsiTheme="majorHAnsi"/>
          <w:sz w:val="20"/>
          <w:szCs w:val="20"/>
          <w:lang w:val="es-ES"/>
        </w:rPr>
        <w:t>inadmisible la presente petición con fundamento en el artículo 47(b) de la Convención Americana.</w:t>
      </w:r>
    </w:p>
    <w:p w:rsidR="00D93A90" w:rsidRDefault="004A6A54" w:rsidP="000F2C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89151E">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rsidR="00A4349D" w:rsidRPr="00A741D9" w:rsidRDefault="00A4349D" w:rsidP="000F2CFB">
      <w:pPr>
        <w:suppressAutoHyphens/>
        <w:spacing w:after="240"/>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5 días del mes de </w:t>
      </w:r>
      <w:r>
        <w:rPr>
          <w:rFonts w:ascii="Cambria" w:hAnsi="Cambria" w:cs="Arial"/>
          <w:noProof/>
          <w:spacing w:val="-2"/>
          <w:sz w:val="20"/>
          <w:szCs w:val="20"/>
          <w:lang w:val="es-CL"/>
        </w:rPr>
        <w:t>diciembre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Margarette May Macaulay, Francisco José Eguiguren Praeli, Luis Ernesto Vargas Silva y Flávia Piovesan, Miembros de la Comisión.</w:t>
      </w:r>
    </w:p>
    <w:p w:rsidR="00A4349D" w:rsidRPr="00A741D9" w:rsidRDefault="00A4349D" w:rsidP="00A4349D">
      <w:pPr>
        <w:rPr>
          <w:rFonts w:ascii="Cambria" w:hAnsi="Cambria" w:cs="Calibri"/>
          <w:sz w:val="20"/>
          <w:szCs w:val="20"/>
          <w:lang w:val="es-ES"/>
        </w:rPr>
      </w:pPr>
    </w:p>
    <w:p w:rsidR="00A4349D" w:rsidRPr="008F3F4A" w:rsidRDefault="00A4349D" w:rsidP="000F2CFB">
      <w:pPr>
        <w:jc w:val="both"/>
        <w:rPr>
          <w:rFonts w:asciiTheme="majorHAnsi" w:hAnsiTheme="majorHAnsi"/>
          <w:sz w:val="20"/>
          <w:szCs w:val="20"/>
          <w:lang w:val="es-ES_tradnl"/>
        </w:rPr>
      </w:pPr>
      <w:r w:rsidRPr="00A741D9">
        <w:rPr>
          <w:rFonts w:ascii="Cambria" w:hAnsi="Cambria" w:cs="Calibri"/>
          <w:sz w:val="20"/>
          <w:szCs w:val="20"/>
          <w:lang w:val="es-ES"/>
        </w:rPr>
        <w:tab/>
      </w:r>
    </w:p>
    <w:p w:rsidR="00A4349D" w:rsidRPr="00A4349D" w:rsidRDefault="00A4349D" w:rsidP="00A434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color w:val="FF0000"/>
          <w:sz w:val="20"/>
          <w:szCs w:val="20"/>
          <w:lang w:val="pt-BR"/>
        </w:rPr>
      </w:pPr>
    </w:p>
    <w:sectPr w:rsidR="00A4349D" w:rsidRPr="00A4349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A9" w:rsidRDefault="006464A9">
      <w:r>
        <w:separator/>
      </w:r>
    </w:p>
  </w:endnote>
  <w:endnote w:type="continuationSeparator" w:id="0">
    <w:p w:rsidR="006464A9" w:rsidRDefault="0064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11" w:rsidRDefault="00BB4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B4111">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A9" w:rsidRPr="000F35ED" w:rsidRDefault="006464A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464A9" w:rsidRPr="000F35ED" w:rsidRDefault="006464A9" w:rsidP="000F35ED">
      <w:pPr>
        <w:rPr>
          <w:rFonts w:asciiTheme="majorHAnsi" w:hAnsiTheme="majorHAnsi"/>
          <w:sz w:val="16"/>
          <w:szCs w:val="16"/>
        </w:rPr>
      </w:pPr>
      <w:r w:rsidRPr="000F35ED">
        <w:rPr>
          <w:rFonts w:asciiTheme="majorHAnsi" w:hAnsiTheme="majorHAnsi"/>
          <w:sz w:val="16"/>
          <w:szCs w:val="16"/>
        </w:rPr>
        <w:separator/>
      </w:r>
    </w:p>
    <w:p w:rsidR="006464A9" w:rsidRPr="000F35ED" w:rsidRDefault="006464A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6464A9" w:rsidRPr="000F35ED" w:rsidRDefault="006464A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3869E5" w:rsidRDefault="004A6A54" w:rsidP="00DD061E">
      <w:pPr>
        <w:pStyle w:val="FootnoteText"/>
        <w:jc w:val="both"/>
        <w:rPr>
          <w:rFonts w:ascii="Cambria" w:hAnsi="Cambria"/>
          <w:color w:val="auto"/>
          <w:sz w:val="16"/>
          <w:szCs w:val="16"/>
          <w:lang w:val="es-ES"/>
        </w:rPr>
      </w:pPr>
      <w:r w:rsidRPr="003869E5">
        <w:rPr>
          <w:rStyle w:val="FootnoteReference"/>
          <w:rFonts w:ascii="Cambria" w:hAnsi="Cambria"/>
          <w:color w:val="auto"/>
          <w:sz w:val="16"/>
          <w:szCs w:val="16"/>
        </w:rPr>
        <w:footnoteRef/>
      </w:r>
      <w:r w:rsidRPr="003869E5">
        <w:rPr>
          <w:rFonts w:ascii="Cambria" w:hAnsi="Cambria"/>
          <w:color w:val="auto"/>
          <w:sz w:val="16"/>
          <w:szCs w:val="16"/>
          <w:lang w:val="es-ES"/>
        </w:rPr>
        <w:t xml:space="preserve"> Conforme a lo dispuesto en el artículo 17.2.a del Reglamento de la Comisión, </w:t>
      </w:r>
      <w:r w:rsidR="003869E5" w:rsidRPr="003869E5">
        <w:rPr>
          <w:rFonts w:ascii="Cambria" w:hAnsi="Cambria"/>
          <w:color w:val="auto"/>
          <w:sz w:val="16"/>
          <w:szCs w:val="16"/>
          <w:lang w:val="es-ES"/>
        </w:rPr>
        <w:t>la</w:t>
      </w:r>
      <w:r w:rsidR="003942EC" w:rsidRPr="003869E5">
        <w:rPr>
          <w:rFonts w:ascii="Cambria" w:hAnsi="Cambria"/>
          <w:color w:val="auto"/>
          <w:sz w:val="16"/>
          <w:szCs w:val="16"/>
          <w:lang w:val="es-ES"/>
        </w:rPr>
        <w:t xml:space="preserve"> Comisionad</w:t>
      </w:r>
      <w:r w:rsidR="003869E5" w:rsidRPr="003869E5">
        <w:rPr>
          <w:rFonts w:ascii="Cambria" w:hAnsi="Cambria"/>
          <w:color w:val="auto"/>
          <w:sz w:val="16"/>
          <w:szCs w:val="16"/>
          <w:lang w:val="es-ES"/>
        </w:rPr>
        <w:t>a</w:t>
      </w:r>
      <w:r w:rsidR="003942EC" w:rsidRPr="003869E5">
        <w:rPr>
          <w:rFonts w:ascii="Cambria" w:hAnsi="Cambria"/>
          <w:color w:val="auto"/>
          <w:sz w:val="16"/>
          <w:szCs w:val="16"/>
          <w:lang w:val="es-ES"/>
        </w:rPr>
        <w:t xml:space="preserve"> </w:t>
      </w:r>
      <w:r w:rsidR="003869E5" w:rsidRPr="003869E5">
        <w:rPr>
          <w:rFonts w:ascii="Cambria" w:hAnsi="Cambria"/>
          <w:color w:val="auto"/>
          <w:sz w:val="16"/>
          <w:szCs w:val="16"/>
          <w:lang w:val="es-ES"/>
        </w:rPr>
        <w:t>Antonia Urrejola Noguera</w:t>
      </w:r>
      <w:r w:rsidRPr="003869E5">
        <w:rPr>
          <w:rFonts w:ascii="Cambria" w:hAnsi="Cambria"/>
          <w:color w:val="auto"/>
          <w:sz w:val="16"/>
          <w:szCs w:val="16"/>
          <w:lang w:val="es-ES"/>
        </w:rPr>
        <w:t xml:space="preserve">, de nacionalidad </w:t>
      </w:r>
      <w:r w:rsidR="003869E5" w:rsidRPr="003869E5">
        <w:rPr>
          <w:rFonts w:ascii="Cambria" w:hAnsi="Cambria"/>
          <w:color w:val="auto"/>
          <w:sz w:val="16"/>
          <w:szCs w:val="16"/>
          <w:lang w:val="es-ES"/>
        </w:rPr>
        <w:t>chilena</w:t>
      </w:r>
      <w:r w:rsidRPr="003869E5">
        <w:rPr>
          <w:rFonts w:ascii="Cambria" w:hAnsi="Cambria"/>
          <w:color w:val="auto"/>
          <w:sz w:val="16"/>
          <w:szCs w:val="16"/>
          <w:lang w:val="es-ES"/>
        </w:rPr>
        <w:t>, no participó en el debate ni en la decisión del presente asunto.</w:t>
      </w:r>
    </w:p>
  </w:footnote>
  <w:footnote w:id="3">
    <w:p w:rsidR="00B6287F" w:rsidRPr="00DD061E" w:rsidRDefault="00B6287F" w:rsidP="00B6287F">
      <w:pPr>
        <w:pStyle w:val="FootnoteText"/>
        <w:tabs>
          <w:tab w:val="center" w:pos="4680"/>
        </w:tabs>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r>
        <w:rPr>
          <w:rFonts w:ascii="Cambria" w:hAnsi="Cambria"/>
          <w:sz w:val="16"/>
          <w:szCs w:val="16"/>
          <w:lang w:val="es-ES"/>
        </w:rPr>
        <w:tab/>
      </w:r>
    </w:p>
  </w:footnote>
  <w:footnote w:id="4">
    <w:p w:rsidR="008E3BFE" w:rsidRPr="00DD061E" w:rsidRDefault="008E3BFE"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5">
    <w:p w:rsidR="00EE6183" w:rsidRPr="00403985" w:rsidRDefault="00EE6183" w:rsidP="00EE6183">
      <w:pPr>
        <w:pStyle w:val="FootnoteText"/>
        <w:ind w:firstLine="720"/>
        <w:jc w:val="both"/>
        <w:rPr>
          <w:rFonts w:asciiTheme="majorHAnsi" w:hAnsiTheme="majorHAnsi"/>
          <w:sz w:val="16"/>
          <w:szCs w:val="16"/>
          <w:lang w:val="es-PA"/>
        </w:rPr>
      </w:pPr>
      <w:r w:rsidRPr="00403985">
        <w:rPr>
          <w:rStyle w:val="FootnoteReference"/>
          <w:rFonts w:asciiTheme="majorHAnsi" w:hAnsiTheme="majorHAnsi"/>
          <w:color w:val="000000" w:themeColor="text1"/>
          <w:sz w:val="16"/>
          <w:szCs w:val="16"/>
        </w:rPr>
        <w:footnoteRef/>
      </w:r>
      <w:r w:rsidRPr="00403985">
        <w:rPr>
          <w:rFonts w:asciiTheme="majorHAnsi" w:hAnsiTheme="majorHAnsi"/>
          <w:color w:val="000000" w:themeColor="text1"/>
          <w:sz w:val="16"/>
          <w:szCs w:val="16"/>
          <w:lang w:val="es-PA"/>
        </w:rPr>
        <w:t xml:space="preserve"> </w:t>
      </w:r>
      <w:r w:rsidR="00403985" w:rsidRPr="00403985">
        <w:rPr>
          <w:rFonts w:asciiTheme="majorHAnsi" w:hAnsiTheme="majorHAnsi"/>
          <w:color w:val="000000" w:themeColor="text1"/>
          <w:sz w:val="16"/>
          <w:szCs w:val="16"/>
          <w:lang w:val="es-ES"/>
        </w:rPr>
        <w:t xml:space="preserve">CIDH, Informe Nº 121/06 (Admisibilidad), Petición 554–04, </w:t>
      </w:r>
      <w:proofErr w:type="spellStart"/>
      <w:r w:rsidR="00403985" w:rsidRPr="00403985">
        <w:rPr>
          <w:rFonts w:asciiTheme="majorHAnsi" w:hAnsiTheme="majorHAnsi"/>
          <w:color w:val="000000" w:themeColor="text1"/>
          <w:sz w:val="16"/>
          <w:szCs w:val="16"/>
          <w:lang w:val="es-ES"/>
        </w:rPr>
        <w:t>Jhon</w:t>
      </w:r>
      <w:proofErr w:type="spellEnd"/>
      <w:r w:rsidR="00403985" w:rsidRPr="00403985">
        <w:rPr>
          <w:rFonts w:asciiTheme="majorHAnsi" w:hAnsiTheme="majorHAnsi"/>
          <w:color w:val="000000" w:themeColor="text1"/>
          <w:sz w:val="16"/>
          <w:szCs w:val="16"/>
          <w:lang w:val="es-ES"/>
        </w:rPr>
        <w:t xml:space="preserve"> </w:t>
      </w:r>
      <w:proofErr w:type="spellStart"/>
      <w:r w:rsidR="00403985" w:rsidRPr="00403985">
        <w:rPr>
          <w:rFonts w:asciiTheme="majorHAnsi" w:hAnsiTheme="majorHAnsi"/>
          <w:color w:val="000000" w:themeColor="text1"/>
          <w:sz w:val="16"/>
          <w:szCs w:val="16"/>
          <w:lang w:val="es-ES"/>
        </w:rPr>
        <w:t>Doe</w:t>
      </w:r>
      <w:proofErr w:type="spellEnd"/>
      <w:r w:rsidR="00403985" w:rsidRPr="00403985">
        <w:rPr>
          <w:rFonts w:asciiTheme="majorHAnsi" w:hAnsiTheme="majorHAnsi"/>
          <w:color w:val="000000" w:themeColor="text1"/>
          <w:sz w:val="16"/>
          <w:szCs w:val="16"/>
          <w:lang w:val="es-ES"/>
        </w:rPr>
        <w:t xml:space="preserve"> y Otros, Canadá, 27 de octubre de 2006, </w:t>
      </w:r>
      <w:proofErr w:type="spellStart"/>
      <w:r w:rsidR="00403985" w:rsidRPr="00403985">
        <w:rPr>
          <w:rFonts w:asciiTheme="majorHAnsi" w:hAnsiTheme="majorHAnsi"/>
          <w:color w:val="000000" w:themeColor="text1"/>
          <w:sz w:val="16"/>
          <w:szCs w:val="16"/>
          <w:lang w:val="es-ES"/>
        </w:rPr>
        <w:t>párrs</w:t>
      </w:r>
      <w:proofErr w:type="spellEnd"/>
      <w:r w:rsidR="00403985" w:rsidRPr="00403985">
        <w:rPr>
          <w:rFonts w:asciiTheme="majorHAnsi" w:hAnsiTheme="majorHAnsi"/>
          <w:color w:val="000000" w:themeColor="text1"/>
          <w:sz w:val="16"/>
          <w:szCs w:val="16"/>
          <w:lang w:val="es-ES"/>
        </w:rPr>
        <w:t>. 62 y 63.</w:t>
      </w:r>
    </w:p>
  </w:footnote>
  <w:footnote w:id="6">
    <w:p w:rsidR="001164CC" w:rsidRPr="001164CC" w:rsidRDefault="001164CC" w:rsidP="001164CC">
      <w:pPr>
        <w:pStyle w:val="FootnoteText"/>
        <w:tabs>
          <w:tab w:val="center" w:pos="4680"/>
        </w:tabs>
        <w:ind w:firstLine="720"/>
        <w:jc w:val="both"/>
        <w:rPr>
          <w:rFonts w:asciiTheme="majorHAnsi" w:hAnsiTheme="majorHAnsi"/>
          <w:color w:val="auto"/>
          <w:sz w:val="16"/>
          <w:szCs w:val="16"/>
          <w:lang w:val="es-ES"/>
        </w:rPr>
      </w:pPr>
      <w:r w:rsidRPr="001164CC">
        <w:rPr>
          <w:rStyle w:val="FootnoteReference"/>
          <w:rFonts w:asciiTheme="majorHAnsi" w:hAnsiTheme="majorHAnsi"/>
          <w:sz w:val="16"/>
          <w:szCs w:val="16"/>
        </w:rPr>
        <w:footnoteRef/>
      </w:r>
      <w:r w:rsidRPr="001164CC">
        <w:rPr>
          <w:rFonts w:asciiTheme="majorHAnsi" w:hAnsiTheme="majorHAnsi"/>
          <w:sz w:val="16"/>
          <w:szCs w:val="16"/>
          <w:lang w:val="es-PA"/>
        </w:rPr>
        <w:t xml:space="preserve"> </w:t>
      </w:r>
      <w:r w:rsidRPr="001164CC">
        <w:rPr>
          <w:rFonts w:asciiTheme="majorHAnsi" w:hAnsiTheme="majorHAnsi"/>
          <w:color w:val="auto"/>
          <w:sz w:val="16"/>
          <w:szCs w:val="16"/>
          <w:lang w:val="es-ES"/>
        </w:rPr>
        <w:t xml:space="preserve">CIDH. </w:t>
      </w:r>
      <w:r w:rsidRPr="001164CC">
        <w:rPr>
          <w:rFonts w:asciiTheme="majorHAnsi" w:hAnsiTheme="majorHAnsi"/>
          <w:i/>
          <w:color w:val="auto"/>
          <w:sz w:val="16"/>
          <w:szCs w:val="16"/>
          <w:lang w:val="es-AR"/>
        </w:rPr>
        <w:t>Derechos humanos de migrantes, refugiados, apátridas, víctimas de trata de personas y desplazados internos: Normas y estándares del Sistema Interamericano de Derechos Humanos</w:t>
      </w:r>
      <w:r w:rsidRPr="001164CC">
        <w:rPr>
          <w:rFonts w:asciiTheme="majorHAnsi" w:hAnsiTheme="majorHAnsi"/>
          <w:color w:val="auto"/>
          <w:sz w:val="16"/>
          <w:szCs w:val="16"/>
          <w:lang w:val="es-ES"/>
        </w:rPr>
        <w:t>. OEA/</w:t>
      </w:r>
      <w:proofErr w:type="spellStart"/>
      <w:r w:rsidRPr="001164CC">
        <w:rPr>
          <w:rFonts w:asciiTheme="majorHAnsi" w:hAnsiTheme="majorHAnsi"/>
          <w:color w:val="auto"/>
          <w:sz w:val="16"/>
          <w:szCs w:val="16"/>
          <w:lang w:val="es-ES"/>
        </w:rPr>
        <w:t>Ser.L</w:t>
      </w:r>
      <w:proofErr w:type="spellEnd"/>
      <w:r w:rsidRPr="001164CC">
        <w:rPr>
          <w:rFonts w:asciiTheme="majorHAnsi" w:hAnsiTheme="majorHAnsi"/>
          <w:color w:val="auto"/>
          <w:sz w:val="16"/>
          <w:szCs w:val="16"/>
          <w:lang w:val="es-ES"/>
        </w:rPr>
        <w:t>/V/II.Doc. 46/15. Párr. 340.</w:t>
      </w:r>
    </w:p>
    <w:p w:rsidR="001164CC" w:rsidRPr="001164CC" w:rsidRDefault="001164CC">
      <w:pPr>
        <w:pStyle w:val="FootnoteText"/>
        <w:rPr>
          <w:lang w:val="es-P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6464A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11" w:rsidRDefault="00BB4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250CC"/>
    <w:rsid w:val="00026E98"/>
    <w:rsid w:val="000337EF"/>
    <w:rsid w:val="00037E3E"/>
    <w:rsid w:val="00040C3A"/>
    <w:rsid w:val="000419AD"/>
    <w:rsid w:val="00044FF6"/>
    <w:rsid w:val="000545BF"/>
    <w:rsid w:val="00054E55"/>
    <w:rsid w:val="00056FDF"/>
    <w:rsid w:val="000716C5"/>
    <w:rsid w:val="00075E23"/>
    <w:rsid w:val="0009006E"/>
    <w:rsid w:val="0009344A"/>
    <w:rsid w:val="00096B0F"/>
    <w:rsid w:val="000A19F8"/>
    <w:rsid w:val="000A3254"/>
    <w:rsid w:val="000A392E"/>
    <w:rsid w:val="000A575F"/>
    <w:rsid w:val="000A63D0"/>
    <w:rsid w:val="000B0579"/>
    <w:rsid w:val="000B7FAF"/>
    <w:rsid w:val="000C1C69"/>
    <w:rsid w:val="000C3A31"/>
    <w:rsid w:val="000C6DC6"/>
    <w:rsid w:val="000D10DB"/>
    <w:rsid w:val="000D1931"/>
    <w:rsid w:val="000E2789"/>
    <w:rsid w:val="000E5EB5"/>
    <w:rsid w:val="000F2CFB"/>
    <w:rsid w:val="000F35ED"/>
    <w:rsid w:val="00107131"/>
    <w:rsid w:val="0010736F"/>
    <w:rsid w:val="00111A8A"/>
    <w:rsid w:val="00113F73"/>
    <w:rsid w:val="001164CC"/>
    <w:rsid w:val="00117705"/>
    <w:rsid w:val="00121CC2"/>
    <w:rsid w:val="00131D8B"/>
    <w:rsid w:val="00133EE5"/>
    <w:rsid w:val="00136E3D"/>
    <w:rsid w:val="00143EFE"/>
    <w:rsid w:val="00145F32"/>
    <w:rsid w:val="001479C0"/>
    <w:rsid w:val="001503E3"/>
    <w:rsid w:val="0015330B"/>
    <w:rsid w:val="001650B8"/>
    <w:rsid w:val="00165B4F"/>
    <w:rsid w:val="00167A34"/>
    <w:rsid w:val="00176BB3"/>
    <w:rsid w:val="00177EEF"/>
    <w:rsid w:val="00182445"/>
    <w:rsid w:val="00182D06"/>
    <w:rsid w:val="001A7870"/>
    <w:rsid w:val="001B197C"/>
    <w:rsid w:val="001B3A00"/>
    <w:rsid w:val="001B4C00"/>
    <w:rsid w:val="001C1B41"/>
    <w:rsid w:val="001D65EF"/>
    <w:rsid w:val="001E49E7"/>
    <w:rsid w:val="001F271B"/>
    <w:rsid w:val="001F32E0"/>
    <w:rsid w:val="001F7201"/>
    <w:rsid w:val="00204931"/>
    <w:rsid w:val="00223A29"/>
    <w:rsid w:val="002250A3"/>
    <w:rsid w:val="00231294"/>
    <w:rsid w:val="00232291"/>
    <w:rsid w:val="00235217"/>
    <w:rsid w:val="002355A9"/>
    <w:rsid w:val="00246944"/>
    <w:rsid w:val="00246D1F"/>
    <w:rsid w:val="00247403"/>
    <w:rsid w:val="00247542"/>
    <w:rsid w:val="002476EE"/>
    <w:rsid w:val="00266B61"/>
    <w:rsid w:val="0026712A"/>
    <w:rsid w:val="002704DB"/>
    <w:rsid w:val="00277BDA"/>
    <w:rsid w:val="0029575A"/>
    <w:rsid w:val="002A0AAE"/>
    <w:rsid w:val="002A5820"/>
    <w:rsid w:val="002B4037"/>
    <w:rsid w:val="002C3350"/>
    <w:rsid w:val="002D2B26"/>
    <w:rsid w:val="002D7EA2"/>
    <w:rsid w:val="002E187C"/>
    <w:rsid w:val="002E7512"/>
    <w:rsid w:val="002F3724"/>
    <w:rsid w:val="002F7F1A"/>
    <w:rsid w:val="00302733"/>
    <w:rsid w:val="003121D5"/>
    <w:rsid w:val="00314078"/>
    <w:rsid w:val="0031535D"/>
    <w:rsid w:val="003239B8"/>
    <w:rsid w:val="0033169F"/>
    <w:rsid w:val="00335EB7"/>
    <w:rsid w:val="00337139"/>
    <w:rsid w:val="0034224A"/>
    <w:rsid w:val="00343438"/>
    <w:rsid w:val="00344977"/>
    <w:rsid w:val="00346C95"/>
    <w:rsid w:val="00351155"/>
    <w:rsid w:val="00356185"/>
    <w:rsid w:val="00360380"/>
    <w:rsid w:val="00365C68"/>
    <w:rsid w:val="0037519E"/>
    <w:rsid w:val="003869E5"/>
    <w:rsid w:val="00386C6C"/>
    <w:rsid w:val="00386CF0"/>
    <w:rsid w:val="003942EC"/>
    <w:rsid w:val="003A6337"/>
    <w:rsid w:val="003B4FF6"/>
    <w:rsid w:val="003B70FB"/>
    <w:rsid w:val="003C14E9"/>
    <w:rsid w:val="003C6112"/>
    <w:rsid w:val="003C676B"/>
    <w:rsid w:val="003D0A55"/>
    <w:rsid w:val="003D3BC2"/>
    <w:rsid w:val="003D5983"/>
    <w:rsid w:val="003E614F"/>
    <w:rsid w:val="003E6CA1"/>
    <w:rsid w:val="00403985"/>
    <w:rsid w:val="004065A8"/>
    <w:rsid w:val="004153F5"/>
    <w:rsid w:val="004165C2"/>
    <w:rsid w:val="00425DA8"/>
    <w:rsid w:val="004304AD"/>
    <w:rsid w:val="004310A1"/>
    <w:rsid w:val="00432DB3"/>
    <w:rsid w:val="00441ECB"/>
    <w:rsid w:val="00445193"/>
    <w:rsid w:val="00447CCF"/>
    <w:rsid w:val="004565BA"/>
    <w:rsid w:val="00462C1B"/>
    <w:rsid w:val="00467B7E"/>
    <w:rsid w:val="00473BB4"/>
    <w:rsid w:val="00476211"/>
    <w:rsid w:val="00477592"/>
    <w:rsid w:val="00481BB5"/>
    <w:rsid w:val="00486F1C"/>
    <w:rsid w:val="00487E1B"/>
    <w:rsid w:val="00491DA1"/>
    <w:rsid w:val="0049419D"/>
    <w:rsid w:val="004954EA"/>
    <w:rsid w:val="00495DAA"/>
    <w:rsid w:val="004A59CC"/>
    <w:rsid w:val="004A6A54"/>
    <w:rsid w:val="004C20D2"/>
    <w:rsid w:val="004C2312"/>
    <w:rsid w:val="004C4B62"/>
    <w:rsid w:val="004C54C9"/>
    <w:rsid w:val="004C616A"/>
    <w:rsid w:val="004D4ABA"/>
    <w:rsid w:val="004D6025"/>
    <w:rsid w:val="004E19B1"/>
    <w:rsid w:val="004E2649"/>
    <w:rsid w:val="00501399"/>
    <w:rsid w:val="00501652"/>
    <w:rsid w:val="0050633D"/>
    <w:rsid w:val="00507BC4"/>
    <w:rsid w:val="005128E4"/>
    <w:rsid w:val="005133DB"/>
    <w:rsid w:val="00525560"/>
    <w:rsid w:val="005415E6"/>
    <w:rsid w:val="00544216"/>
    <w:rsid w:val="00544C49"/>
    <w:rsid w:val="005516A1"/>
    <w:rsid w:val="00563557"/>
    <w:rsid w:val="0057402A"/>
    <w:rsid w:val="00574CB7"/>
    <w:rsid w:val="005771D0"/>
    <w:rsid w:val="0059191A"/>
    <w:rsid w:val="005921FF"/>
    <w:rsid w:val="00594707"/>
    <w:rsid w:val="00596E79"/>
    <w:rsid w:val="005A24ED"/>
    <w:rsid w:val="005A6D0E"/>
    <w:rsid w:val="005B37CC"/>
    <w:rsid w:val="005B52B0"/>
    <w:rsid w:val="005B5A38"/>
    <w:rsid w:val="005B6806"/>
    <w:rsid w:val="005B6D22"/>
    <w:rsid w:val="005C261A"/>
    <w:rsid w:val="005C4225"/>
    <w:rsid w:val="005C7989"/>
    <w:rsid w:val="005D66AD"/>
    <w:rsid w:val="005D791F"/>
    <w:rsid w:val="005E0B65"/>
    <w:rsid w:val="005E11B2"/>
    <w:rsid w:val="005E203F"/>
    <w:rsid w:val="005E4B83"/>
    <w:rsid w:val="005F0DAD"/>
    <w:rsid w:val="005F0F33"/>
    <w:rsid w:val="00600DEB"/>
    <w:rsid w:val="00602B41"/>
    <w:rsid w:val="006068B7"/>
    <w:rsid w:val="00606FF2"/>
    <w:rsid w:val="00610EA7"/>
    <w:rsid w:val="00625152"/>
    <w:rsid w:val="006277DE"/>
    <w:rsid w:val="00627C9F"/>
    <w:rsid w:val="006311E9"/>
    <w:rsid w:val="00632354"/>
    <w:rsid w:val="00642810"/>
    <w:rsid w:val="006464A9"/>
    <w:rsid w:val="00647756"/>
    <w:rsid w:val="006509DA"/>
    <w:rsid w:val="00652333"/>
    <w:rsid w:val="0067416A"/>
    <w:rsid w:val="006775AB"/>
    <w:rsid w:val="0068009E"/>
    <w:rsid w:val="006819E9"/>
    <w:rsid w:val="006829A3"/>
    <w:rsid w:val="00686471"/>
    <w:rsid w:val="0068794B"/>
    <w:rsid w:val="00691BBE"/>
    <w:rsid w:val="00692219"/>
    <w:rsid w:val="0069402E"/>
    <w:rsid w:val="006A17D2"/>
    <w:rsid w:val="006A73E6"/>
    <w:rsid w:val="006B2D5C"/>
    <w:rsid w:val="006B2EE8"/>
    <w:rsid w:val="006B7BEF"/>
    <w:rsid w:val="006C4EB1"/>
    <w:rsid w:val="006E0166"/>
    <w:rsid w:val="006E0B03"/>
    <w:rsid w:val="006E772A"/>
    <w:rsid w:val="006E7B34"/>
    <w:rsid w:val="0070697F"/>
    <w:rsid w:val="007164DB"/>
    <w:rsid w:val="0072199C"/>
    <w:rsid w:val="00722C9F"/>
    <w:rsid w:val="00724C78"/>
    <w:rsid w:val="007253B8"/>
    <w:rsid w:val="00727B0E"/>
    <w:rsid w:val="0073598C"/>
    <w:rsid w:val="0073741F"/>
    <w:rsid w:val="0076643F"/>
    <w:rsid w:val="007675E6"/>
    <w:rsid w:val="00771B35"/>
    <w:rsid w:val="007747D8"/>
    <w:rsid w:val="00775FD0"/>
    <w:rsid w:val="00776FAE"/>
    <w:rsid w:val="00777F63"/>
    <w:rsid w:val="0078034C"/>
    <w:rsid w:val="007852B5"/>
    <w:rsid w:val="00796A37"/>
    <w:rsid w:val="007A5817"/>
    <w:rsid w:val="007B05C4"/>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338A4"/>
    <w:rsid w:val="00834D49"/>
    <w:rsid w:val="00837C45"/>
    <w:rsid w:val="008411F0"/>
    <w:rsid w:val="008439BC"/>
    <w:rsid w:val="00843D91"/>
    <w:rsid w:val="00844730"/>
    <w:rsid w:val="008457C2"/>
    <w:rsid w:val="00857A82"/>
    <w:rsid w:val="008613F7"/>
    <w:rsid w:val="00867763"/>
    <w:rsid w:val="00871526"/>
    <w:rsid w:val="00873836"/>
    <w:rsid w:val="00875668"/>
    <w:rsid w:val="00885737"/>
    <w:rsid w:val="00890650"/>
    <w:rsid w:val="0089151E"/>
    <w:rsid w:val="00892E13"/>
    <w:rsid w:val="00893D11"/>
    <w:rsid w:val="00897E12"/>
    <w:rsid w:val="008A0F81"/>
    <w:rsid w:val="008A310C"/>
    <w:rsid w:val="008A616A"/>
    <w:rsid w:val="008A7E0F"/>
    <w:rsid w:val="008B12F5"/>
    <w:rsid w:val="008B5932"/>
    <w:rsid w:val="008C5751"/>
    <w:rsid w:val="008D55BA"/>
    <w:rsid w:val="008D5E11"/>
    <w:rsid w:val="008D768D"/>
    <w:rsid w:val="008E0FD8"/>
    <w:rsid w:val="008E328A"/>
    <w:rsid w:val="008E3759"/>
    <w:rsid w:val="008E39C1"/>
    <w:rsid w:val="008E3BFE"/>
    <w:rsid w:val="008E7900"/>
    <w:rsid w:val="008F1912"/>
    <w:rsid w:val="0090270B"/>
    <w:rsid w:val="009041DC"/>
    <w:rsid w:val="00917B5A"/>
    <w:rsid w:val="00920A58"/>
    <w:rsid w:val="00920A8C"/>
    <w:rsid w:val="00934A2C"/>
    <w:rsid w:val="00935F06"/>
    <w:rsid w:val="00937B3A"/>
    <w:rsid w:val="00937BD2"/>
    <w:rsid w:val="00954B82"/>
    <w:rsid w:val="00957000"/>
    <w:rsid w:val="00962436"/>
    <w:rsid w:val="0096706E"/>
    <w:rsid w:val="00974491"/>
    <w:rsid w:val="00975C4E"/>
    <w:rsid w:val="00981FBA"/>
    <w:rsid w:val="0098238A"/>
    <w:rsid w:val="00985738"/>
    <w:rsid w:val="00997BC5"/>
    <w:rsid w:val="009A4F41"/>
    <w:rsid w:val="009A7FB8"/>
    <w:rsid w:val="009B381B"/>
    <w:rsid w:val="009B7529"/>
    <w:rsid w:val="009C2FC5"/>
    <w:rsid w:val="009D1753"/>
    <w:rsid w:val="009D6502"/>
    <w:rsid w:val="009D7611"/>
    <w:rsid w:val="009D78A5"/>
    <w:rsid w:val="009E08DD"/>
    <w:rsid w:val="009E0B61"/>
    <w:rsid w:val="009E53DE"/>
    <w:rsid w:val="009E7C00"/>
    <w:rsid w:val="00A0691C"/>
    <w:rsid w:val="00A11E44"/>
    <w:rsid w:val="00A154C8"/>
    <w:rsid w:val="00A22397"/>
    <w:rsid w:val="00A32313"/>
    <w:rsid w:val="00A328B3"/>
    <w:rsid w:val="00A36BC2"/>
    <w:rsid w:val="00A4349D"/>
    <w:rsid w:val="00A50FCF"/>
    <w:rsid w:val="00A528D1"/>
    <w:rsid w:val="00A6008B"/>
    <w:rsid w:val="00A610CD"/>
    <w:rsid w:val="00A625E0"/>
    <w:rsid w:val="00A6726A"/>
    <w:rsid w:val="00A73A8F"/>
    <w:rsid w:val="00A74947"/>
    <w:rsid w:val="00A758AA"/>
    <w:rsid w:val="00A86CDE"/>
    <w:rsid w:val="00A92093"/>
    <w:rsid w:val="00AA09A2"/>
    <w:rsid w:val="00AA404C"/>
    <w:rsid w:val="00AA7996"/>
    <w:rsid w:val="00AB0123"/>
    <w:rsid w:val="00AB116A"/>
    <w:rsid w:val="00AC19CB"/>
    <w:rsid w:val="00AD1886"/>
    <w:rsid w:val="00AE5488"/>
    <w:rsid w:val="00AE6F91"/>
    <w:rsid w:val="00AF4641"/>
    <w:rsid w:val="00AF5571"/>
    <w:rsid w:val="00B06B4E"/>
    <w:rsid w:val="00B07341"/>
    <w:rsid w:val="00B11E78"/>
    <w:rsid w:val="00B202B5"/>
    <w:rsid w:val="00B2306E"/>
    <w:rsid w:val="00B30539"/>
    <w:rsid w:val="00B314DB"/>
    <w:rsid w:val="00B33708"/>
    <w:rsid w:val="00B34564"/>
    <w:rsid w:val="00B361F2"/>
    <w:rsid w:val="00B3685F"/>
    <w:rsid w:val="00B3718B"/>
    <w:rsid w:val="00B4632A"/>
    <w:rsid w:val="00B5067D"/>
    <w:rsid w:val="00B530F1"/>
    <w:rsid w:val="00B57297"/>
    <w:rsid w:val="00B6287F"/>
    <w:rsid w:val="00B72D9F"/>
    <w:rsid w:val="00B736AF"/>
    <w:rsid w:val="00B742BE"/>
    <w:rsid w:val="00B7687D"/>
    <w:rsid w:val="00B77583"/>
    <w:rsid w:val="00B82782"/>
    <w:rsid w:val="00B87359"/>
    <w:rsid w:val="00B97946"/>
    <w:rsid w:val="00BA276C"/>
    <w:rsid w:val="00BA5544"/>
    <w:rsid w:val="00BA7A30"/>
    <w:rsid w:val="00BB2495"/>
    <w:rsid w:val="00BB306F"/>
    <w:rsid w:val="00BB3FBD"/>
    <w:rsid w:val="00BB4111"/>
    <w:rsid w:val="00BB619D"/>
    <w:rsid w:val="00BC6CD0"/>
    <w:rsid w:val="00BD4B89"/>
    <w:rsid w:val="00BD5922"/>
    <w:rsid w:val="00BD76D9"/>
    <w:rsid w:val="00BF02CB"/>
    <w:rsid w:val="00BF514A"/>
    <w:rsid w:val="00BF6FD8"/>
    <w:rsid w:val="00BF775D"/>
    <w:rsid w:val="00BF79D6"/>
    <w:rsid w:val="00C03680"/>
    <w:rsid w:val="00C0514E"/>
    <w:rsid w:val="00C05330"/>
    <w:rsid w:val="00C054DF"/>
    <w:rsid w:val="00C064FC"/>
    <w:rsid w:val="00C10AFC"/>
    <w:rsid w:val="00C1292E"/>
    <w:rsid w:val="00C21562"/>
    <w:rsid w:val="00C21762"/>
    <w:rsid w:val="00C21FEF"/>
    <w:rsid w:val="00C24543"/>
    <w:rsid w:val="00C256A2"/>
    <w:rsid w:val="00C35A26"/>
    <w:rsid w:val="00C42F78"/>
    <w:rsid w:val="00C51515"/>
    <w:rsid w:val="00C51D9F"/>
    <w:rsid w:val="00C53910"/>
    <w:rsid w:val="00C5660B"/>
    <w:rsid w:val="00C56854"/>
    <w:rsid w:val="00C5788A"/>
    <w:rsid w:val="00C66B72"/>
    <w:rsid w:val="00C6737C"/>
    <w:rsid w:val="00C87AC4"/>
    <w:rsid w:val="00C9551B"/>
    <w:rsid w:val="00C9567A"/>
    <w:rsid w:val="00CA1E7B"/>
    <w:rsid w:val="00CA48A3"/>
    <w:rsid w:val="00CB212D"/>
    <w:rsid w:val="00CB2660"/>
    <w:rsid w:val="00CC5E90"/>
    <w:rsid w:val="00CD046C"/>
    <w:rsid w:val="00CD186A"/>
    <w:rsid w:val="00CD6FAD"/>
    <w:rsid w:val="00CE076C"/>
    <w:rsid w:val="00CE1473"/>
    <w:rsid w:val="00CE5199"/>
    <w:rsid w:val="00CE53C9"/>
    <w:rsid w:val="00CE66D5"/>
    <w:rsid w:val="00CF637A"/>
    <w:rsid w:val="00D059DE"/>
    <w:rsid w:val="00D05ABD"/>
    <w:rsid w:val="00D13FCE"/>
    <w:rsid w:val="00D16562"/>
    <w:rsid w:val="00D17E8C"/>
    <w:rsid w:val="00D306D1"/>
    <w:rsid w:val="00D30800"/>
    <w:rsid w:val="00D34786"/>
    <w:rsid w:val="00D37BFC"/>
    <w:rsid w:val="00D42822"/>
    <w:rsid w:val="00D42B28"/>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9633A"/>
    <w:rsid w:val="00DA74C7"/>
    <w:rsid w:val="00DA7B5F"/>
    <w:rsid w:val="00DB7876"/>
    <w:rsid w:val="00DC11E7"/>
    <w:rsid w:val="00DC31A0"/>
    <w:rsid w:val="00DC7023"/>
    <w:rsid w:val="00DC769A"/>
    <w:rsid w:val="00DD061E"/>
    <w:rsid w:val="00DD3D86"/>
    <w:rsid w:val="00DD46F8"/>
    <w:rsid w:val="00DD4ACE"/>
    <w:rsid w:val="00DE12F0"/>
    <w:rsid w:val="00DE3EA5"/>
    <w:rsid w:val="00DF1208"/>
    <w:rsid w:val="00DF1EC4"/>
    <w:rsid w:val="00DF51E9"/>
    <w:rsid w:val="00E01943"/>
    <w:rsid w:val="00E0330E"/>
    <w:rsid w:val="00E0340B"/>
    <w:rsid w:val="00E04A90"/>
    <w:rsid w:val="00E0551F"/>
    <w:rsid w:val="00E219C7"/>
    <w:rsid w:val="00E26CCA"/>
    <w:rsid w:val="00E27AE1"/>
    <w:rsid w:val="00E27F56"/>
    <w:rsid w:val="00E329ED"/>
    <w:rsid w:val="00E35AFA"/>
    <w:rsid w:val="00E4118C"/>
    <w:rsid w:val="00E43157"/>
    <w:rsid w:val="00E461CE"/>
    <w:rsid w:val="00E46B68"/>
    <w:rsid w:val="00E600D0"/>
    <w:rsid w:val="00E720CA"/>
    <w:rsid w:val="00E75C3B"/>
    <w:rsid w:val="00E84EB5"/>
    <w:rsid w:val="00E85662"/>
    <w:rsid w:val="00E8789F"/>
    <w:rsid w:val="00E92747"/>
    <w:rsid w:val="00E9467E"/>
    <w:rsid w:val="00E97B71"/>
    <w:rsid w:val="00EA17C9"/>
    <w:rsid w:val="00EA3D34"/>
    <w:rsid w:val="00EB454D"/>
    <w:rsid w:val="00EC26E9"/>
    <w:rsid w:val="00EC72AB"/>
    <w:rsid w:val="00ED2F03"/>
    <w:rsid w:val="00ED549D"/>
    <w:rsid w:val="00ED76BE"/>
    <w:rsid w:val="00ED7F05"/>
    <w:rsid w:val="00EE00E9"/>
    <w:rsid w:val="00EE014D"/>
    <w:rsid w:val="00EE6183"/>
    <w:rsid w:val="00EF35AB"/>
    <w:rsid w:val="00EF4C44"/>
    <w:rsid w:val="00EF619B"/>
    <w:rsid w:val="00F00B55"/>
    <w:rsid w:val="00F02AD1"/>
    <w:rsid w:val="00F04591"/>
    <w:rsid w:val="00F05B9B"/>
    <w:rsid w:val="00F06354"/>
    <w:rsid w:val="00F06FFA"/>
    <w:rsid w:val="00F253CC"/>
    <w:rsid w:val="00F332EF"/>
    <w:rsid w:val="00F37106"/>
    <w:rsid w:val="00F519CF"/>
    <w:rsid w:val="00F53168"/>
    <w:rsid w:val="00F56BA5"/>
    <w:rsid w:val="00F60E22"/>
    <w:rsid w:val="00F62584"/>
    <w:rsid w:val="00F63B39"/>
    <w:rsid w:val="00F64DDF"/>
    <w:rsid w:val="00F81395"/>
    <w:rsid w:val="00F81887"/>
    <w:rsid w:val="00F81BB8"/>
    <w:rsid w:val="00F917D1"/>
    <w:rsid w:val="00F9342C"/>
    <w:rsid w:val="00F9653B"/>
    <w:rsid w:val="00FA56EA"/>
    <w:rsid w:val="00FB62CF"/>
    <w:rsid w:val="00FC0F4A"/>
    <w:rsid w:val="00FC3330"/>
    <w:rsid w:val="00FD3C3B"/>
    <w:rsid w:val="00FE07DD"/>
    <w:rsid w:val="00FE6B45"/>
    <w:rsid w:val="00FF3E2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DD09-BA9C-4896-A166-8710CE46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8343</Characters>
  <Application>Microsoft Office Word</Application>
  <DocSecurity>0</DocSecurity>
  <Lines>189</Lines>
  <Paragraphs>87</Paragraphs>
  <ScaleCrop>false</ScaleCrop>
  <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176/19</dc:title>
  <dc:creator/>
  <cp:lastModifiedBy/>
  <cp:revision>1</cp:revision>
  <dcterms:created xsi:type="dcterms:W3CDTF">2020-03-27T13:13:00Z</dcterms:created>
  <dcterms:modified xsi:type="dcterms:W3CDTF">2020-03-27T13:13:00Z</dcterms:modified>
</cp:coreProperties>
</file>