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5DA4A58" wp14:editId="7262CCB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3BCC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544B8A" wp14:editId="63E2DCD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743BEB8" wp14:editId="7CF897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544B8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743BEB8" wp14:editId="7CF897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13F6A5E" wp14:editId="48E0637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A7C5E">
                              <w:rPr>
                                <w:rFonts w:asciiTheme="majorHAnsi" w:hAnsiTheme="majorHAnsi" w:cs="Arial"/>
                                <w:b/>
                                <w:bCs/>
                                <w:color w:val="0D0D0D" w:themeColor="text1" w:themeTint="F2"/>
                                <w:sz w:val="36"/>
                                <w:szCs w:val="22"/>
                                <w:lang w:val="es-ES_tradnl"/>
                              </w:rPr>
                              <w:t>217</w:t>
                            </w:r>
                            <w:r w:rsidR="007B05C4">
                              <w:rPr>
                                <w:rFonts w:asciiTheme="majorHAnsi" w:hAnsiTheme="majorHAnsi" w:cs="Arial"/>
                                <w:b/>
                                <w:bCs/>
                                <w:color w:val="0D0D0D" w:themeColor="text1" w:themeTint="F2"/>
                                <w:sz w:val="36"/>
                                <w:szCs w:val="22"/>
                                <w:lang w:val="es-ES_tradnl"/>
                              </w:rPr>
                              <w:t>/1</w:t>
                            </w:r>
                            <w:r w:rsidR="00CA00AA">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5B07">
                              <w:rPr>
                                <w:rFonts w:asciiTheme="majorHAnsi" w:hAnsiTheme="majorHAnsi" w:cs="Arial"/>
                                <w:b/>
                                <w:color w:val="0D0D0D" w:themeColor="text1" w:themeTint="F2"/>
                                <w:sz w:val="36"/>
                                <w:szCs w:val="22"/>
                                <w:lang w:val="es-ES_tradnl"/>
                              </w:rPr>
                              <w:t>161</w:t>
                            </w:r>
                            <w:r w:rsidR="00246D1F" w:rsidRPr="004E2649">
                              <w:rPr>
                                <w:rFonts w:asciiTheme="majorHAnsi" w:hAnsiTheme="majorHAnsi" w:cs="Arial"/>
                                <w:b/>
                                <w:color w:val="0D0D0D" w:themeColor="text1" w:themeTint="F2"/>
                                <w:sz w:val="36"/>
                                <w:szCs w:val="22"/>
                                <w:lang w:val="es-ES_tradnl"/>
                              </w:rPr>
                              <w:t>-</w:t>
                            </w:r>
                            <w:r w:rsidR="00C55B07">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A6B11">
                              <w:rPr>
                                <w:rFonts w:asciiTheme="majorHAnsi" w:hAnsiTheme="majorHAnsi" w:cs="Arial"/>
                                <w:color w:val="0D0D0D" w:themeColor="text1" w:themeTint="F2"/>
                                <w:szCs w:val="22"/>
                                <w:lang w:val="es-ES_tradnl"/>
                              </w:rPr>
                              <w:t>DE</w:t>
                            </w:r>
                            <w:r w:rsidR="0072199C" w:rsidRPr="0010736F">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4231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GRUPO DE</w:t>
                            </w:r>
                            <w:r w:rsidR="00735D01">
                              <w:rPr>
                                <w:rFonts w:asciiTheme="majorHAnsi" w:hAnsiTheme="majorHAnsi" w:cs="Arial"/>
                                <w:color w:val="0D0D0D" w:themeColor="text1" w:themeTint="F2"/>
                                <w:szCs w:val="22"/>
                                <w:lang w:val="es-ES_tradnl"/>
                              </w:rPr>
                              <w:t xml:space="preserve"> </w:t>
                            </w:r>
                            <w:r w:rsidR="008B10CB">
                              <w:rPr>
                                <w:rFonts w:asciiTheme="majorHAnsi" w:hAnsiTheme="majorHAnsi" w:cs="Arial"/>
                                <w:color w:val="0D0D0D" w:themeColor="text1" w:themeTint="F2"/>
                                <w:szCs w:val="22"/>
                                <w:lang w:val="es-ES_tradnl"/>
                              </w:rPr>
                              <w:t xml:space="preserve">PROFESORES </w:t>
                            </w:r>
                            <w:r>
                              <w:rPr>
                                <w:rFonts w:asciiTheme="majorHAnsi" w:hAnsiTheme="majorHAnsi" w:cs="Arial"/>
                                <w:color w:val="0D0D0D" w:themeColor="text1" w:themeTint="F2"/>
                                <w:szCs w:val="22"/>
                                <w:lang w:val="es-ES_tradnl"/>
                              </w:rPr>
                              <w:t>DE LA EDUCACIÓN MUNICIPALIZADA</w:t>
                            </w:r>
                          </w:p>
                          <w:bookmarkEnd w:id="0"/>
                          <w:p w:rsidR="005B52B0" w:rsidRPr="0010736F" w:rsidRDefault="004231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3F6A5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A7C5E">
                        <w:rPr>
                          <w:rFonts w:asciiTheme="majorHAnsi" w:hAnsiTheme="majorHAnsi" w:cs="Arial"/>
                          <w:b/>
                          <w:bCs/>
                          <w:color w:val="0D0D0D" w:themeColor="text1" w:themeTint="F2"/>
                          <w:sz w:val="36"/>
                          <w:szCs w:val="22"/>
                          <w:lang w:val="es-ES_tradnl"/>
                        </w:rPr>
                        <w:t>217</w:t>
                      </w:r>
                      <w:r w:rsidR="007B05C4">
                        <w:rPr>
                          <w:rFonts w:asciiTheme="majorHAnsi" w:hAnsiTheme="majorHAnsi" w:cs="Arial"/>
                          <w:b/>
                          <w:bCs/>
                          <w:color w:val="0D0D0D" w:themeColor="text1" w:themeTint="F2"/>
                          <w:sz w:val="36"/>
                          <w:szCs w:val="22"/>
                          <w:lang w:val="es-ES_tradnl"/>
                        </w:rPr>
                        <w:t>/1</w:t>
                      </w:r>
                      <w:r w:rsidR="00CA00AA">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55B07">
                        <w:rPr>
                          <w:rFonts w:asciiTheme="majorHAnsi" w:hAnsiTheme="majorHAnsi" w:cs="Arial"/>
                          <w:b/>
                          <w:color w:val="0D0D0D" w:themeColor="text1" w:themeTint="F2"/>
                          <w:sz w:val="36"/>
                          <w:szCs w:val="22"/>
                          <w:lang w:val="es-ES_tradnl"/>
                        </w:rPr>
                        <w:t>161</w:t>
                      </w:r>
                      <w:r w:rsidR="00246D1F" w:rsidRPr="004E2649">
                        <w:rPr>
                          <w:rFonts w:asciiTheme="majorHAnsi" w:hAnsiTheme="majorHAnsi" w:cs="Arial"/>
                          <w:b/>
                          <w:color w:val="0D0D0D" w:themeColor="text1" w:themeTint="F2"/>
                          <w:sz w:val="36"/>
                          <w:szCs w:val="22"/>
                          <w:lang w:val="es-ES_tradnl"/>
                        </w:rPr>
                        <w:t>-</w:t>
                      </w:r>
                      <w:r w:rsidR="00C55B07">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00EA6B11">
                        <w:rPr>
                          <w:rFonts w:asciiTheme="majorHAnsi" w:hAnsiTheme="majorHAnsi" w:cs="Arial"/>
                          <w:color w:val="0D0D0D" w:themeColor="text1" w:themeTint="F2"/>
                          <w:szCs w:val="22"/>
                          <w:lang w:val="es-ES_tradnl"/>
                        </w:rPr>
                        <w:t>DE</w:t>
                      </w:r>
                      <w:r w:rsidR="0072199C" w:rsidRPr="0010736F">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4231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GRUPO DE</w:t>
                      </w:r>
                      <w:r w:rsidR="00735D01">
                        <w:rPr>
                          <w:rFonts w:asciiTheme="majorHAnsi" w:hAnsiTheme="majorHAnsi" w:cs="Arial"/>
                          <w:color w:val="0D0D0D" w:themeColor="text1" w:themeTint="F2"/>
                          <w:szCs w:val="22"/>
                          <w:lang w:val="es-ES_tradnl"/>
                        </w:rPr>
                        <w:t xml:space="preserve"> </w:t>
                      </w:r>
                      <w:r w:rsidR="008B10CB">
                        <w:rPr>
                          <w:rFonts w:asciiTheme="majorHAnsi" w:hAnsiTheme="majorHAnsi" w:cs="Arial"/>
                          <w:color w:val="0D0D0D" w:themeColor="text1" w:themeTint="F2"/>
                          <w:szCs w:val="22"/>
                          <w:lang w:val="es-ES_tradnl"/>
                        </w:rPr>
                        <w:t xml:space="preserve">PROFESORES </w:t>
                      </w:r>
                      <w:r>
                        <w:rPr>
                          <w:rFonts w:asciiTheme="majorHAnsi" w:hAnsiTheme="majorHAnsi" w:cs="Arial"/>
                          <w:color w:val="0D0D0D" w:themeColor="text1" w:themeTint="F2"/>
                          <w:szCs w:val="22"/>
                          <w:lang w:val="es-ES_tradnl"/>
                        </w:rPr>
                        <w:t>DE LA EDUCACIÓN MUNICIPALIZADA</w:t>
                      </w:r>
                    </w:p>
                    <w:bookmarkEnd w:id="2"/>
                    <w:p w:rsidR="005B52B0" w:rsidRPr="0010736F" w:rsidRDefault="004231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35421AB" wp14:editId="2D9C96B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A7C5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244</w:t>
                            </w:r>
                          </w:p>
                          <w:p w:rsidR="00627C9F" w:rsidRPr="003272AC" w:rsidRDefault="00E0735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w:t>
                            </w:r>
                            <w:r w:rsidR="001A7C5E">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w:t>
                            </w:r>
                            <w:r w:rsidR="001A7C5E">
                              <w:rPr>
                                <w:rFonts w:asciiTheme="minorHAnsi" w:hAnsiTheme="minorHAnsi"/>
                                <w:color w:val="FFFFFF" w:themeColor="background1"/>
                                <w:sz w:val="22"/>
                                <w:lang w:val="es-PA"/>
                              </w:rPr>
                              <w:t>bre</w:t>
                            </w:r>
                            <w:r w:rsidR="00627C9F" w:rsidRPr="003272AC">
                              <w:rPr>
                                <w:rFonts w:asciiTheme="minorHAnsi" w:hAnsiTheme="minorHAnsi"/>
                                <w:color w:val="FFFFFF" w:themeColor="background1"/>
                                <w:sz w:val="22"/>
                                <w:lang w:val="es-PA"/>
                              </w:rPr>
                              <w:t xml:space="preserve"> 201</w:t>
                            </w:r>
                            <w:r w:rsidR="004231AF" w:rsidRPr="003272AC">
                              <w:rPr>
                                <w:rFonts w:asciiTheme="minorHAnsi" w:hAnsiTheme="minorHAnsi"/>
                                <w:color w:val="FFFFFF" w:themeColor="background1"/>
                                <w:sz w:val="22"/>
                                <w:lang w:val="es-PA"/>
                              </w:rPr>
                              <w:t>9</w:t>
                            </w:r>
                          </w:p>
                          <w:p w:rsidR="00627C9F" w:rsidRPr="003272AC" w:rsidRDefault="00E0340B" w:rsidP="007A5817">
                            <w:pPr>
                              <w:spacing w:line="276" w:lineRule="auto"/>
                              <w:jc w:val="right"/>
                              <w:rPr>
                                <w:rFonts w:asciiTheme="minorHAnsi" w:hAnsiTheme="minorHAnsi"/>
                                <w:color w:val="FFFFFF" w:themeColor="background1"/>
                                <w:sz w:val="22"/>
                                <w:lang w:val="es-PA"/>
                              </w:rPr>
                            </w:pPr>
                            <w:r w:rsidRPr="003272AC">
                              <w:rPr>
                                <w:rFonts w:asciiTheme="minorHAnsi" w:hAnsiTheme="minorHAnsi"/>
                                <w:color w:val="FFFFFF" w:themeColor="background1"/>
                                <w:sz w:val="22"/>
                                <w:lang w:val="es-PA"/>
                              </w:rPr>
                              <w:t xml:space="preserve">Original: </w:t>
                            </w:r>
                            <w:r w:rsidR="008B12F5" w:rsidRPr="003272AC">
                              <w:rPr>
                                <w:rFonts w:asciiTheme="minorHAnsi" w:hAnsiTheme="minorHAnsi"/>
                                <w:color w:val="FFFFFF" w:themeColor="background1"/>
                                <w:sz w:val="22"/>
                                <w:lang w:val="es-PA"/>
                              </w:rPr>
                              <w:t>e</w:t>
                            </w:r>
                            <w:r w:rsidR="00627C9F" w:rsidRPr="003272AC">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5421A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A7C5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244</w:t>
                      </w:r>
                    </w:p>
                    <w:p w:rsidR="00627C9F" w:rsidRPr="003272AC" w:rsidRDefault="00E0735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w:t>
                      </w:r>
                      <w:r w:rsidR="001A7C5E">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septiem</w:t>
                      </w:r>
                      <w:r w:rsidR="001A7C5E">
                        <w:rPr>
                          <w:rFonts w:asciiTheme="minorHAnsi" w:hAnsiTheme="minorHAnsi"/>
                          <w:color w:val="FFFFFF" w:themeColor="background1"/>
                          <w:sz w:val="22"/>
                          <w:lang w:val="es-PA"/>
                        </w:rPr>
                        <w:t>bre</w:t>
                      </w:r>
                      <w:r w:rsidR="00627C9F" w:rsidRPr="003272AC">
                        <w:rPr>
                          <w:rFonts w:asciiTheme="minorHAnsi" w:hAnsiTheme="minorHAnsi"/>
                          <w:color w:val="FFFFFF" w:themeColor="background1"/>
                          <w:sz w:val="22"/>
                          <w:lang w:val="es-PA"/>
                        </w:rPr>
                        <w:t xml:space="preserve"> 201</w:t>
                      </w:r>
                      <w:r w:rsidR="004231AF" w:rsidRPr="003272AC">
                        <w:rPr>
                          <w:rFonts w:asciiTheme="minorHAnsi" w:hAnsiTheme="minorHAnsi"/>
                          <w:color w:val="FFFFFF" w:themeColor="background1"/>
                          <w:sz w:val="22"/>
                          <w:lang w:val="es-PA"/>
                        </w:rPr>
                        <w:t>9</w:t>
                      </w:r>
                    </w:p>
                    <w:p w:rsidR="00627C9F" w:rsidRPr="003272AC" w:rsidRDefault="00E0340B" w:rsidP="007A5817">
                      <w:pPr>
                        <w:spacing w:line="276" w:lineRule="auto"/>
                        <w:jc w:val="right"/>
                        <w:rPr>
                          <w:rFonts w:asciiTheme="minorHAnsi" w:hAnsiTheme="minorHAnsi"/>
                          <w:color w:val="FFFFFF" w:themeColor="background1"/>
                          <w:sz w:val="22"/>
                          <w:lang w:val="es-PA"/>
                        </w:rPr>
                      </w:pPr>
                      <w:r w:rsidRPr="003272AC">
                        <w:rPr>
                          <w:rFonts w:asciiTheme="minorHAnsi" w:hAnsiTheme="minorHAnsi"/>
                          <w:color w:val="FFFFFF" w:themeColor="background1"/>
                          <w:sz w:val="22"/>
                          <w:lang w:val="es-PA"/>
                        </w:rPr>
                        <w:t xml:space="preserve">Original: </w:t>
                      </w:r>
                      <w:r w:rsidR="008B12F5" w:rsidRPr="003272AC">
                        <w:rPr>
                          <w:rFonts w:asciiTheme="minorHAnsi" w:hAnsiTheme="minorHAnsi"/>
                          <w:color w:val="FFFFFF" w:themeColor="background1"/>
                          <w:sz w:val="22"/>
                          <w:lang w:val="es-PA"/>
                        </w:rPr>
                        <w:t>e</w:t>
                      </w:r>
                      <w:r w:rsidR="00627C9F" w:rsidRPr="003272AC">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4F5634" wp14:editId="5DAAF3A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07353">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E07353">
                              <w:rPr>
                                <w:rFonts w:asciiTheme="majorHAnsi" w:hAnsiTheme="majorHAnsi"/>
                                <w:color w:val="0D0D0D" w:themeColor="text1" w:themeTint="F2"/>
                                <w:sz w:val="18"/>
                                <w:szCs w:val="22"/>
                                <w:lang w:val="es-ES"/>
                              </w:rPr>
                              <w:t>septiem</w:t>
                            </w:r>
                            <w:r w:rsidR="001A7C5E">
                              <w:rPr>
                                <w:rFonts w:asciiTheme="majorHAnsi" w:hAnsiTheme="majorHAnsi"/>
                                <w:color w:val="0D0D0D" w:themeColor="text1" w:themeTint="F2"/>
                                <w:sz w:val="18"/>
                                <w:szCs w:val="22"/>
                                <w:lang w:val="es-ES"/>
                              </w:rPr>
                              <w:t>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231AF">
                              <w:rPr>
                                <w:rFonts w:asciiTheme="majorHAnsi" w:hAnsiTheme="majorHAnsi"/>
                                <w:color w:val="0D0D0D" w:themeColor="text1" w:themeTint="F2"/>
                                <w:sz w:val="18"/>
                                <w:szCs w:val="22"/>
                                <w:lang w:val="es-ES"/>
                              </w:rPr>
                              <w:t>9</w:t>
                            </w:r>
                            <w:r w:rsidR="005C0EB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5634"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07353">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E07353">
                        <w:rPr>
                          <w:rFonts w:asciiTheme="majorHAnsi" w:hAnsiTheme="majorHAnsi"/>
                          <w:color w:val="0D0D0D" w:themeColor="text1" w:themeTint="F2"/>
                          <w:sz w:val="18"/>
                          <w:szCs w:val="22"/>
                          <w:lang w:val="es-ES"/>
                        </w:rPr>
                        <w:t>septiem</w:t>
                      </w:r>
                      <w:r w:rsidR="001A7C5E">
                        <w:rPr>
                          <w:rFonts w:asciiTheme="majorHAnsi" w:hAnsiTheme="majorHAnsi"/>
                          <w:color w:val="0D0D0D" w:themeColor="text1" w:themeTint="F2"/>
                          <w:sz w:val="18"/>
                          <w:szCs w:val="22"/>
                          <w:lang w:val="es-ES"/>
                        </w:rPr>
                        <w:t>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4231AF">
                        <w:rPr>
                          <w:rFonts w:asciiTheme="majorHAnsi" w:hAnsiTheme="majorHAnsi"/>
                          <w:color w:val="0D0D0D" w:themeColor="text1" w:themeTint="F2"/>
                          <w:sz w:val="18"/>
                          <w:szCs w:val="22"/>
                          <w:lang w:val="es-ES"/>
                        </w:rPr>
                        <w:t>9</w:t>
                      </w:r>
                      <w:r w:rsidR="005C0EB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2529475" wp14:editId="3515FBD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7C5E" w:rsidRPr="001A7C5E">
                              <w:rPr>
                                <w:rFonts w:asciiTheme="majorHAnsi" w:hAnsiTheme="majorHAnsi"/>
                                <w:color w:val="595959" w:themeColor="text1" w:themeTint="A6"/>
                                <w:sz w:val="18"/>
                                <w:szCs w:val="18"/>
                                <w:lang w:val="pt-BR"/>
                              </w:rPr>
                              <w:t>217</w:t>
                            </w:r>
                            <w:r w:rsidR="007B05C4" w:rsidRPr="001A7C5E">
                              <w:rPr>
                                <w:rFonts w:asciiTheme="majorHAnsi" w:hAnsiTheme="majorHAnsi"/>
                                <w:color w:val="595959" w:themeColor="text1" w:themeTint="A6"/>
                                <w:sz w:val="18"/>
                                <w:szCs w:val="18"/>
                                <w:lang w:val="pt-BR"/>
                              </w:rPr>
                              <w:t>/</w:t>
                            </w:r>
                            <w:r w:rsidR="00750282" w:rsidRPr="001A7C5E">
                              <w:rPr>
                                <w:rFonts w:asciiTheme="majorHAnsi" w:hAnsiTheme="majorHAnsi"/>
                                <w:color w:val="595959" w:themeColor="text1" w:themeTint="A6"/>
                                <w:sz w:val="18"/>
                                <w:szCs w:val="18"/>
                                <w:lang w:val="pt-BR"/>
                              </w:rPr>
                              <w:t>19</w:t>
                            </w:r>
                            <w:r w:rsidRPr="001A7C5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231AF">
                              <w:rPr>
                                <w:rFonts w:asciiTheme="majorHAnsi" w:hAnsiTheme="majorHAnsi"/>
                                <w:color w:val="595959" w:themeColor="text1" w:themeTint="A6"/>
                                <w:sz w:val="18"/>
                                <w:szCs w:val="18"/>
                                <w:lang w:val="es-ES"/>
                              </w:rPr>
                              <w:t>161-11</w:t>
                            </w:r>
                            <w:r w:rsidR="000433C9">
                              <w:rPr>
                                <w:rFonts w:asciiTheme="majorHAnsi" w:hAnsiTheme="majorHAnsi"/>
                                <w:color w:val="595959" w:themeColor="text1" w:themeTint="A6"/>
                                <w:sz w:val="18"/>
                                <w:szCs w:val="18"/>
                                <w:lang w:val="es-ES"/>
                              </w:rPr>
                              <w:t xml:space="preserve">. </w:t>
                            </w:r>
                            <w:r w:rsidR="004231AF">
                              <w:rPr>
                                <w:rFonts w:asciiTheme="majorHAnsi" w:hAnsiTheme="majorHAnsi"/>
                                <w:color w:val="595959" w:themeColor="text1" w:themeTint="A6"/>
                                <w:sz w:val="18"/>
                                <w:szCs w:val="18"/>
                                <w:lang w:val="es-ES_tradnl"/>
                              </w:rPr>
                              <w:t>Inadmisibilidad. Grupo de Profesores de la Educación Municipalizada. Chile</w:t>
                            </w:r>
                            <w:r w:rsidRPr="00890650">
                              <w:rPr>
                                <w:rFonts w:asciiTheme="majorHAnsi" w:hAnsiTheme="majorHAnsi"/>
                                <w:color w:val="595959" w:themeColor="text1" w:themeTint="A6"/>
                                <w:sz w:val="18"/>
                                <w:szCs w:val="18"/>
                                <w:lang w:val="es-ES_tradnl"/>
                              </w:rPr>
                              <w:t xml:space="preserve">. </w:t>
                            </w:r>
                            <w:r w:rsidR="00E07353">
                              <w:rPr>
                                <w:rFonts w:asciiTheme="majorHAnsi" w:hAnsiTheme="majorHAnsi"/>
                                <w:color w:val="595959" w:themeColor="text1" w:themeTint="A6"/>
                                <w:sz w:val="18"/>
                                <w:szCs w:val="18"/>
                                <w:lang w:val="es-ES"/>
                              </w:rPr>
                              <w:t>11</w:t>
                            </w:r>
                            <w:r w:rsidR="001A7C5E">
                              <w:rPr>
                                <w:rFonts w:asciiTheme="majorHAnsi" w:hAnsiTheme="majorHAnsi"/>
                                <w:color w:val="595959" w:themeColor="text1" w:themeTint="A6"/>
                                <w:sz w:val="18"/>
                                <w:szCs w:val="18"/>
                                <w:lang w:val="es-ES"/>
                              </w:rPr>
                              <w:t xml:space="preserve"> de </w:t>
                            </w:r>
                            <w:r w:rsidR="00E07353">
                              <w:rPr>
                                <w:rFonts w:asciiTheme="majorHAnsi" w:hAnsiTheme="majorHAnsi"/>
                                <w:color w:val="595959" w:themeColor="text1" w:themeTint="A6"/>
                                <w:sz w:val="18"/>
                                <w:szCs w:val="18"/>
                                <w:lang w:val="es-ES"/>
                              </w:rPr>
                              <w:t>septiem</w:t>
                            </w:r>
                            <w:r w:rsidR="001A7C5E">
                              <w:rPr>
                                <w:rFonts w:asciiTheme="majorHAnsi" w:hAnsiTheme="majorHAnsi"/>
                                <w:color w:val="595959" w:themeColor="text1" w:themeTint="A6"/>
                                <w:sz w:val="18"/>
                                <w:szCs w:val="18"/>
                                <w:lang w:val="es-ES"/>
                              </w:rPr>
                              <w:t>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52947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A7C5E" w:rsidRPr="001A7C5E">
                        <w:rPr>
                          <w:rFonts w:asciiTheme="majorHAnsi" w:hAnsiTheme="majorHAnsi"/>
                          <w:color w:val="595959" w:themeColor="text1" w:themeTint="A6"/>
                          <w:sz w:val="18"/>
                          <w:szCs w:val="18"/>
                          <w:lang w:val="pt-BR"/>
                        </w:rPr>
                        <w:t>217</w:t>
                      </w:r>
                      <w:r w:rsidR="007B05C4" w:rsidRPr="001A7C5E">
                        <w:rPr>
                          <w:rFonts w:asciiTheme="majorHAnsi" w:hAnsiTheme="majorHAnsi"/>
                          <w:color w:val="595959" w:themeColor="text1" w:themeTint="A6"/>
                          <w:sz w:val="18"/>
                          <w:szCs w:val="18"/>
                          <w:lang w:val="pt-BR"/>
                        </w:rPr>
                        <w:t>/</w:t>
                      </w:r>
                      <w:r w:rsidR="00750282" w:rsidRPr="001A7C5E">
                        <w:rPr>
                          <w:rFonts w:asciiTheme="majorHAnsi" w:hAnsiTheme="majorHAnsi"/>
                          <w:color w:val="595959" w:themeColor="text1" w:themeTint="A6"/>
                          <w:sz w:val="18"/>
                          <w:szCs w:val="18"/>
                          <w:lang w:val="pt-BR"/>
                        </w:rPr>
                        <w:t>19</w:t>
                      </w:r>
                      <w:r w:rsidRPr="001A7C5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231AF">
                        <w:rPr>
                          <w:rFonts w:asciiTheme="majorHAnsi" w:hAnsiTheme="majorHAnsi"/>
                          <w:color w:val="595959" w:themeColor="text1" w:themeTint="A6"/>
                          <w:sz w:val="18"/>
                          <w:szCs w:val="18"/>
                          <w:lang w:val="es-ES"/>
                        </w:rPr>
                        <w:t>161-11</w:t>
                      </w:r>
                      <w:r w:rsidR="000433C9">
                        <w:rPr>
                          <w:rFonts w:asciiTheme="majorHAnsi" w:hAnsiTheme="majorHAnsi"/>
                          <w:color w:val="595959" w:themeColor="text1" w:themeTint="A6"/>
                          <w:sz w:val="18"/>
                          <w:szCs w:val="18"/>
                          <w:lang w:val="es-ES"/>
                        </w:rPr>
                        <w:t xml:space="preserve">. </w:t>
                      </w:r>
                      <w:r w:rsidR="004231AF">
                        <w:rPr>
                          <w:rFonts w:asciiTheme="majorHAnsi" w:hAnsiTheme="majorHAnsi"/>
                          <w:color w:val="595959" w:themeColor="text1" w:themeTint="A6"/>
                          <w:sz w:val="18"/>
                          <w:szCs w:val="18"/>
                          <w:lang w:val="es-ES_tradnl"/>
                        </w:rPr>
                        <w:t>Inadmisibilidad. Grupo de Profesores de la Educación Municipalizada. Chile</w:t>
                      </w:r>
                      <w:r w:rsidRPr="00890650">
                        <w:rPr>
                          <w:rFonts w:asciiTheme="majorHAnsi" w:hAnsiTheme="majorHAnsi"/>
                          <w:color w:val="595959" w:themeColor="text1" w:themeTint="A6"/>
                          <w:sz w:val="18"/>
                          <w:szCs w:val="18"/>
                          <w:lang w:val="es-ES_tradnl"/>
                        </w:rPr>
                        <w:t xml:space="preserve">. </w:t>
                      </w:r>
                      <w:r w:rsidR="00E07353">
                        <w:rPr>
                          <w:rFonts w:asciiTheme="majorHAnsi" w:hAnsiTheme="majorHAnsi"/>
                          <w:color w:val="595959" w:themeColor="text1" w:themeTint="A6"/>
                          <w:sz w:val="18"/>
                          <w:szCs w:val="18"/>
                          <w:lang w:val="es-ES"/>
                        </w:rPr>
                        <w:t>11</w:t>
                      </w:r>
                      <w:r w:rsidR="001A7C5E">
                        <w:rPr>
                          <w:rFonts w:asciiTheme="majorHAnsi" w:hAnsiTheme="majorHAnsi"/>
                          <w:color w:val="595959" w:themeColor="text1" w:themeTint="A6"/>
                          <w:sz w:val="18"/>
                          <w:szCs w:val="18"/>
                          <w:lang w:val="es-ES"/>
                        </w:rPr>
                        <w:t xml:space="preserve"> de </w:t>
                      </w:r>
                      <w:r w:rsidR="00E07353">
                        <w:rPr>
                          <w:rFonts w:asciiTheme="majorHAnsi" w:hAnsiTheme="majorHAnsi"/>
                          <w:color w:val="595959" w:themeColor="text1" w:themeTint="A6"/>
                          <w:sz w:val="18"/>
                          <w:szCs w:val="18"/>
                          <w:lang w:val="es-ES"/>
                        </w:rPr>
                        <w:t>septiem</w:t>
                      </w:r>
                      <w:r w:rsidR="001A7C5E">
                        <w:rPr>
                          <w:rFonts w:asciiTheme="majorHAnsi" w:hAnsiTheme="majorHAnsi"/>
                          <w:color w:val="595959" w:themeColor="text1" w:themeTint="A6"/>
                          <w:sz w:val="18"/>
                          <w:szCs w:val="18"/>
                          <w:lang w:val="es-ES"/>
                        </w:rPr>
                        <w:t>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76BF8F9" wp14:editId="743B2EF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274661" wp14:editId="24C3CB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6BF8F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274661" wp14:editId="24C3CB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D8590A6" wp14:editId="280AFE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8590A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D0515" w:rsidRDefault="003239B8" w:rsidP="004A6A54">
      <w:pPr>
        <w:spacing w:after="240"/>
        <w:ind w:firstLine="720"/>
        <w:jc w:val="both"/>
        <w:rPr>
          <w:rFonts w:asciiTheme="majorHAnsi" w:hAnsiTheme="majorHAnsi"/>
          <w:b/>
          <w:bCs/>
          <w:sz w:val="19"/>
          <w:szCs w:val="19"/>
          <w:lang w:val="es-ES"/>
        </w:rPr>
      </w:pPr>
      <w:r w:rsidRPr="008D0515">
        <w:rPr>
          <w:rFonts w:asciiTheme="majorHAnsi" w:hAnsiTheme="majorHAnsi"/>
          <w:b/>
          <w:bCs/>
          <w:sz w:val="19"/>
          <w:szCs w:val="19"/>
          <w:lang w:val="es-ES"/>
        </w:rPr>
        <w:lastRenderedPageBreak/>
        <w:t>I.</w:t>
      </w:r>
      <w:r w:rsidRPr="008D0515">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C0EB2" w:rsidTr="004A6A54">
        <w:tc>
          <w:tcPr>
            <w:tcW w:w="3600" w:type="dxa"/>
            <w:tcBorders>
              <w:top w:val="single" w:sz="4"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Parte peticionaria:</w:t>
            </w:r>
          </w:p>
        </w:tc>
        <w:tc>
          <w:tcPr>
            <w:tcW w:w="5760" w:type="dxa"/>
            <w:vAlign w:val="center"/>
          </w:tcPr>
          <w:p w:rsidR="003239B8" w:rsidRPr="008D0515" w:rsidRDefault="00FE09DC" w:rsidP="008B1278">
            <w:pPr>
              <w:jc w:val="both"/>
              <w:rPr>
                <w:rFonts w:asciiTheme="majorHAnsi" w:hAnsiTheme="majorHAnsi"/>
                <w:bCs/>
                <w:sz w:val="19"/>
                <w:szCs w:val="19"/>
                <w:lang w:val="es-AR"/>
              </w:rPr>
            </w:pPr>
            <w:r w:rsidRPr="008D0515">
              <w:rPr>
                <w:rFonts w:asciiTheme="majorHAnsi" w:hAnsiTheme="majorHAnsi"/>
                <w:bCs/>
                <w:sz w:val="19"/>
                <w:szCs w:val="19"/>
                <w:lang w:val="es-AR"/>
              </w:rPr>
              <w:t>Daniela Andrea Abarzúa Órdenes</w:t>
            </w:r>
            <w:r w:rsidR="00BF5DD7" w:rsidRPr="008D0515">
              <w:rPr>
                <w:rFonts w:asciiTheme="majorHAnsi" w:hAnsiTheme="majorHAnsi"/>
                <w:bCs/>
                <w:sz w:val="19"/>
                <w:szCs w:val="19"/>
                <w:lang w:val="es-AR"/>
              </w:rPr>
              <w:t xml:space="preserve"> y Roberto Garretón</w:t>
            </w:r>
            <w:r w:rsidR="002B7BFE" w:rsidRPr="008D0515">
              <w:rPr>
                <w:rFonts w:asciiTheme="majorHAnsi" w:hAnsiTheme="majorHAnsi"/>
                <w:bCs/>
                <w:sz w:val="19"/>
                <w:szCs w:val="19"/>
                <w:lang w:val="es-AR"/>
              </w:rPr>
              <w:t xml:space="preserve"> Enrique</w:t>
            </w:r>
            <w:r w:rsidR="00BF5DD7" w:rsidRPr="008D0515">
              <w:rPr>
                <w:rFonts w:asciiTheme="majorHAnsi" w:hAnsiTheme="majorHAnsi"/>
                <w:bCs/>
                <w:sz w:val="19"/>
                <w:szCs w:val="19"/>
                <w:lang w:val="es-AR"/>
              </w:rPr>
              <w:t xml:space="preserve"> M</w:t>
            </w:r>
            <w:r w:rsidR="002B7BFE" w:rsidRPr="008D0515">
              <w:rPr>
                <w:rFonts w:asciiTheme="majorHAnsi" w:hAnsiTheme="majorHAnsi"/>
                <w:bCs/>
                <w:sz w:val="19"/>
                <w:szCs w:val="19"/>
                <w:lang w:val="es-AR"/>
              </w:rPr>
              <w:t>oreno</w:t>
            </w:r>
          </w:p>
        </w:tc>
      </w:tr>
      <w:tr w:rsidR="003239B8" w:rsidRPr="005C0EB2" w:rsidTr="004A6A54">
        <w:tc>
          <w:tcPr>
            <w:tcW w:w="3600" w:type="dxa"/>
            <w:tcBorders>
              <w:top w:val="single" w:sz="6" w:space="0" w:color="auto"/>
              <w:bottom w:val="single" w:sz="6" w:space="0" w:color="auto"/>
            </w:tcBorders>
            <w:shd w:val="clear" w:color="auto" w:fill="386294"/>
            <w:vAlign w:val="center"/>
          </w:tcPr>
          <w:p w:rsidR="003239B8" w:rsidRPr="008D0515" w:rsidRDefault="007620F0"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D0515">
                  <w:rPr>
                    <w:rFonts w:asciiTheme="majorHAnsi" w:hAnsiTheme="majorHAnsi"/>
                    <w:b/>
                    <w:bCs/>
                    <w:color w:val="FFFFFF" w:themeColor="background1"/>
                    <w:sz w:val="19"/>
                    <w:szCs w:val="19"/>
                  </w:rPr>
                  <w:t>Presunta víctima</w:t>
                </w:r>
              </w:sdtContent>
            </w:sdt>
            <w:r w:rsidR="003239B8" w:rsidRPr="008D0515">
              <w:rPr>
                <w:rFonts w:asciiTheme="majorHAnsi" w:hAnsiTheme="majorHAnsi"/>
                <w:b/>
                <w:bCs/>
                <w:color w:val="FFFFFF" w:themeColor="background1"/>
                <w:sz w:val="19"/>
                <w:szCs w:val="19"/>
              </w:rPr>
              <w:t>:</w:t>
            </w:r>
          </w:p>
        </w:tc>
        <w:tc>
          <w:tcPr>
            <w:tcW w:w="5760" w:type="dxa"/>
            <w:vAlign w:val="center"/>
          </w:tcPr>
          <w:p w:rsidR="003239B8" w:rsidRPr="008D0515" w:rsidRDefault="00965B83" w:rsidP="008D2290">
            <w:pPr>
              <w:jc w:val="both"/>
              <w:rPr>
                <w:rFonts w:asciiTheme="majorHAnsi" w:hAnsiTheme="majorHAnsi"/>
                <w:bCs/>
                <w:sz w:val="19"/>
                <w:szCs w:val="19"/>
                <w:lang w:val="es-AR"/>
              </w:rPr>
            </w:pPr>
            <w:r w:rsidRPr="008D0515">
              <w:rPr>
                <w:rFonts w:asciiTheme="majorHAnsi" w:hAnsiTheme="majorHAnsi"/>
                <w:bCs/>
                <w:sz w:val="19"/>
                <w:szCs w:val="19"/>
                <w:lang w:val="es-ES"/>
              </w:rPr>
              <w:t>Carlos Ernesto Aran Faúndez y otros</w:t>
            </w:r>
            <w:r w:rsidR="00715043" w:rsidRPr="008D0515">
              <w:rPr>
                <w:rStyle w:val="FootnoteReference"/>
                <w:rFonts w:asciiTheme="majorHAnsi" w:hAnsiTheme="majorHAnsi"/>
                <w:b/>
                <w:sz w:val="19"/>
                <w:szCs w:val="19"/>
              </w:rPr>
              <w:footnoteReference w:id="2"/>
            </w:r>
          </w:p>
        </w:tc>
      </w:tr>
      <w:tr w:rsidR="003239B8" w:rsidRPr="008D0515" w:rsidTr="004A6A54">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 xml:space="preserve">Estado </w:t>
            </w:r>
            <w:proofErr w:type="spellStart"/>
            <w:r w:rsidRPr="008D0515">
              <w:rPr>
                <w:rFonts w:asciiTheme="majorHAnsi" w:hAnsiTheme="majorHAnsi"/>
                <w:b/>
                <w:bCs/>
                <w:color w:val="FFFFFF" w:themeColor="background1"/>
                <w:sz w:val="19"/>
                <w:szCs w:val="19"/>
              </w:rPr>
              <w:t>denunciado</w:t>
            </w:r>
            <w:proofErr w:type="spellEnd"/>
            <w:r w:rsidRPr="008D0515">
              <w:rPr>
                <w:rFonts w:asciiTheme="majorHAnsi" w:hAnsiTheme="majorHAnsi"/>
                <w:b/>
                <w:bCs/>
                <w:color w:val="FFFFFF" w:themeColor="background1"/>
                <w:sz w:val="19"/>
                <w:szCs w:val="19"/>
              </w:rPr>
              <w:t>:</w:t>
            </w:r>
          </w:p>
        </w:tc>
        <w:tc>
          <w:tcPr>
            <w:tcW w:w="5760" w:type="dxa"/>
            <w:vAlign w:val="center"/>
          </w:tcPr>
          <w:p w:rsidR="003239B8" w:rsidRPr="008D0515" w:rsidRDefault="00354EF6" w:rsidP="008D2290">
            <w:pPr>
              <w:jc w:val="both"/>
              <w:rPr>
                <w:rFonts w:asciiTheme="majorHAnsi" w:hAnsiTheme="majorHAnsi"/>
                <w:bCs/>
                <w:sz w:val="19"/>
                <w:szCs w:val="19"/>
              </w:rPr>
            </w:pPr>
            <w:r w:rsidRPr="008D0515">
              <w:rPr>
                <w:rFonts w:asciiTheme="majorHAnsi" w:hAnsiTheme="majorHAnsi"/>
                <w:bCs/>
                <w:sz w:val="19"/>
                <w:szCs w:val="19"/>
              </w:rPr>
              <w:t>Chile</w:t>
            </w:r>
            <w:r w:rsidR="004A6A54" w:rsidRPr="008D0515">
              <w:rPr>
                <w:rStyle w:val="FootnoteReference"/>
                <w:rFonts w:asciiTheme="majorHAnsi" w:hAnsiTheme="majorHAnsi"/>
                <w:bCs/>
                <w:sz w:val="19"/>
                <w:szCs w:val="19"/>
              </w:rPr>
              <w:footnoteReference w:id="3"/>
            </w:r>
          </w:p>
        </w:tc>
      </w:tr>
      <w:tr w:rsidR="00223A29" w:rsidRPr="005C0EB2" w:rsidTr="004A6A54">
        <w:tc>
          <w:tcPr>
            <w:tcW w:w="3600" w:type="dxa"/>
            <w:tcBorders>
              <w:top w:val="single" w:sz="6" w:space="0" w:color="auto"/>
              <w:bottom w:val="single" w:sz="6" w:space="0" w:color="auto"/>
            </w:tcBorders>
            <w:shd w:val="clear" w:color="auto" w:fill="386294"/>
            <w:vAlign w:val="center"/>
          </w:tcPr>
          <w:p w:rsidR="00223A29" w:rsidRPr="008D0515" w:rsidRDefault="001B3A00" w:rsidP="00E4118C">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 xml:space="preserve">Derechos </w:t>
            </w:r>
            <w:r w:rsidR="00E4118C" w:rsidRPr="008D0515">
              <w:rPr>
                <w:rFonts w:asciiTheme="majorHAnsi" w:hAnsiTheme="majorHAnsi"/>
                <w:b/>
                <w:bCs/>
                <w:color w:val="FFFFFF" w:themeColor="background1"/>
                <w:sz w:val="19"/>
                <w:szCs w:val="19"/>
              </w:rPr>
              <w:t>invocados</w:t>
            </w:r>
            <w:r w:rsidRPr="008D0515">
              <w:rPr>
                <w:rFonts w:asciiTheme="majorHAnsi" w:hAnsiTheme="majorHAnsi"/>
                <w:b/>
                <w:bCs/>
                <w:color w:val="FFFFFF" w:themeColor="background1"/>
                <w:sz w:val="19"/>
                <w:szCs w:val="19"/>
              </w:rPr>
              <w:t>:</w:t>
            </w:r>
          </w:p>
        </w:tc>
        <w:tc>
          <w:tcPr>
            <w:tcW w:w="5760" w:type="dxa"/>
            <w:vAlign w:val="center"/>
          </w:tcPr>
          <w:p w:rsidR="00223A29" w:rsidRPr="008D0515" w:rsidRDefault="0016495C" w:rsidP="00CA00AA">
            <w:pPr>
              <w:jc w:val="both"/>
              <w:rPr>
                <w:rFonts w:asciiTheme="majorHAnsi" w:hAnsiTheme="majorHAnsi"/>
                <w:bCs/>
                <w:sz w:val="19"/>
                <w:szCs w:val="19"/>
                <w:lang w:val="es-AR"/>
              </w:rPr>
            </w:pPr>
            <w:r w:rsidRPr="008D0515">
              <w:rPr>
                <w:rFonts w:asciiTheme="majorHAnsi" w:hAnsiTheme="majorHAnsi"/>
                <w:bCs/>
                <w:sz w:val="19"/>
                <w:szCs w:val="19"/>
                <w:lang w:val="es-AR"/>
              </w:rPr>
              <w:t>Artículos</w:t>
            </w:r>
            <w:r w:rsidR="007F2ACF" w:rsidRPr="008D0515">
              <w:rPr>
                <w:rFonts w:asciiTheme="majorHAnsi" w:hAnsiTheme="majorHAnsi"/>
                <w:bCs/>
                <w:sz w:val="19"/>
                <w:szCs w:val="19"/>
                <w:lang w:val="es-AR"/>
              </w:rPr>
              <w:t xml:space="preserve"> 7</w:t>
            </w:r>
            <w:r w:rsidRPr="008D0515">
              <w:rPr>
                <w:rFonts w:asciiTheme="majorHAnsi" w:hAnsiTheme="majorHAnsi"/>
                <w:bCs/>
                <w:sz w:val="19"/>
                <w:szCs w:val="19"/>
                <w:lang w:val="es-AR"/>
              </w:rPr>
              <w:t xml:space="preserve"> </w:t>
            </w:r>
            <w:r w:rsidR="007F2ACF" w:rsidRPr="008D0515">
              <w:rPr>
                <w:rFonts w:asciiTheme="majorHAnsi" w:hAnsiTheme="majorHAnsi"/>
                <w:bCs/>
                <w:sz w:val="19"/>
                <w:szCs w:val="19"/>
                <w:lang w:val="es-AR"/>
              </w:rPr>
              <w:t xml:space="preserve">(libertad personal), </w:t>
            </w:r>
            <w:r w:rsidRPr="008D0515">
              <w:rPr>
                <w:rFonts w:asciiTheme="majorHAnsi" w:hAnsiTheme="majorHAnsi"/>
                <w:bCs/>
                <w:sz w:val="19"/>
                <w:szCs w:val="19"/>
                <w:lang w:val="es-AR"/>
              </w:rPr>
              <w:t>21 (propiedad privada)</w:t>
            </w:r>
            <w:r w:rsidR="007F2ACF" w:rsidRPr="008D0515">
              <w:rPr>
                <w:rFonts w:asciiTheme="majorHAnsi" w:hAnsiTheme="majorHAnsi"/>
                <w:bCs/>
                <w:sz w:val="19"/>
                <w:szCs w:val="19"/>
                <w:lang w:val="es-AR"/>
              </w:rPr>
              <w:t>, 24 (igualdad ante la ley)</w:t>
            </w:r>
            <w:r w:rsidR="00CA2289" w:rsidRPr="008D0515">
              <w:rPr>
                <w:rFonts w:asciiTheme="majorHAnsi" w:hAnsiTheme="majorHAnsi"/>
                <w:bCs/>
                <w:sz w:val="19"/>
                <w:szCs w:val="19"/>
                <w:lang w:val="es-AR"/>
              </w:rPr>
              <w:t xml:space="preserve"> </w:t>
            </w:r>
            <w:r w:rsidR="00CA00AA" w:rsidRPr="008D0515">
              <w:rPr>
                <w:rFonts w:asciiTheme="majorHAnsi" w:hAnsiTheme="majorHAnsi"/>
                <w:bCs/>
                <w:sz w:val="19"/>
                <w:szCs w:val="19"/>
                <w:lang w:val="es-AR"/>
              </w:rPr>
              <w:t xml:space="preserve">y </w:t>
            </w:r>
            <w:r w:rsidR="00CA2289" w:rsidRPr="008D0515">
              <w:rPr>
                <w:rFonts w:asciiTheme="majorHAnsi" w:hAnsiTheme="majorHAnsi"/>
                <w:bCs/>
                <w:sz w:val="19"/>
                <w:szCs w:val="19"/>
                <w:lang w:val="es-AR"/>
              </w:rPr>
              <w:t>26 (derechos económicos, sociales y culturales)</w:t>
            </w:r>
            <w:r w:rsidR="007F2ACF" w:rsidRPr="008D0515">
              <w:rPr>
                <w:rFonts w:asciiTheme="majorHAnsi" w:hAnsiTheme="majorHAnsi"/>
                <w:bCs/>
                <w:sz w:val="19"/>
                <w:szCs w:val="19"/>
                <w:lang w:val="es-AR"/>
              </w:rPr>
              <w:t>, de la Convención Americana sobre Derechos Humanos</w:t>
            </w:r>
            <w:r w:rsidR="007F2ACF" w:rsidRPr="008D0515">
              <w:rPr>
                <w:rStyle w:val="FootnoteReference"/>
                <w:rFonts w:asciiTheme="majorHAnsi" w:hAnsiTheme="majorHAnsi"/>
                <w:b/>
                <w:sz w:val="19"/>
                <w:szCs w:val="19"/>
              </w:rPr>
              <w:footnoteReference w:id="4"/>
            </w:r>
            <w:r w:rsidR="007F2ACF" w:rsidRPr="008D0515">
              <w:rPr>
                <w:rFonts w:asciiTheme="majorHAnsi" w:hAnsiTheme="majorHAnsi"/>
                <w:bCs/>
                <w:sz w:val="19"/>
                <w:szCs w:val="19"/>
                <w:lang w:val="es-AR"/>
              </w:rPr>
              <w:t xml:space="preserve"> </w:t>
            </w:r>
            <w:r w:rsidR="007F2ACF" w:rsidRPr="008D0515">
              <w:rPr>
                <w:rFonts w:asciiTheme="majorHAnsi" w:hAnsiTheme="majorHAnsi"/>
                <w:bCs/>
                <w:sz w:val="19"/>
                <w:szCs w:val="19"/>
                <w:lang w:val="es-US"/>
              </w:rPr>
              <w:t>en relación con su artículo 1 (obligación de respetar los derechos)</w:t>
            </w:r>
            <w:r w:rsidR="00F235BF" w:rsidRPr="008D0515">
              <w:rPr>
                <w:rFonts w:asciiTheme="majorHAnsi" w:hAnsiTheme="majorHAnsi"/>
                <w:bCs/>
                <w:sz w:val="19"/>
                <w:szCs w:val="19"/>
                <w:lang w:val="es-US"/>
              </w:rPr>
              <w:t>;</w:t>
            </w:r>
            <w:r w:rsidR="00B05EFE" w:rsidRPr="008D0515">
              <w:rPr>
                <w:rFonts w:asciiTheme="majorHAnsi" w:hAnsiTheme="majorHAnsi"/>
                <w:bCs/>
                <w:sz w:val="19"/>
                <w:szCs w:val="19"/>
                <w:lang w:val="es-US"/>
              </w:rPr>
              <w:t xml:space="preserve"> Artículo</w:t>
            </w:r>
            <w:r w:rsidR="00F235BF" w:rsidRPr="008D0515">
              <w:rPr>
                <w:rFonts w:asciiTheme="majorHAnsi" w:hAnsiTheme="majorHAnsi"/>
                <w:bCs/>
                <w:sz w:val="19"/>
                <w:szCs w:val="19"/>
                <w:lang w:val="es-US"/>
              </w:rPr>
              <w:t xml:space="preserve"> </w:t>
            </w:r>
            <w:r w:rsidR="00B05EFE" w:rsidRPr="008D0515">
              <w:rPr>
                <w:rFonts w:asciiTheme="majorHAnsi" w:hAnsiTheme="majorHAnsi"/>
                <w:bCs/>
                <w:sz w:val="19"/>
                <w:szCs w:val="19"/>
                <w:lang w:val="es-US"/>
              </w:rPr>
              <w:t>XXIII (propiedad)</w:t>
            </w:r>
            <w:r w:rsidR="007F3E89" w:rsidRPr="008D0515">
              <w:rPr>
                <w:rFonts w:asciiTheme="majorHAnsi" w:hAnsiTheme="majorHAnsi"/>
                <w:bCs/>
                <w:sz w:val="19"/>
                <w:szCs w:val="19"/>
                <w:lang w:val="es-US"/>
              </w:rPr>
              <w:t xml:space="preserve"> de la Declaración</w:t>
            </w:r>
            <w:r w:rsidR="00F235BF" w:rsidRPr="008D0515">
              <w:rPr>
                <w:rFonts w:asciiTheme="majorHAnsi" w:hAnsiTheme="majorHAnsi"/>
                <w:bCs/>
                <w:sz w:val="19"/>
                <w:szCs w:val="19"/>
                <w:lang w:val="es-US"/>
              </w:rPr>
              <w:t xml:space="preserve"> Americana</w:t>
            </w:r>
            <w:r w:rsidR="007F3E89" w:rsidRPr="008D0515">
              <w:rPr>
                <w:rFonts w:asciiTheme="majorHAnsi" w:hAnsiTheme="majorHAnsi"/>
                <w:bCs/>
                <w:sz w:val="19"/>
                <w:szCs w:val="19"/>
                <w:lang w:val="es-US"/>
              </w:rPr>
              <w:t xml:space="preserve"> de los Derechos y Deberes del Hombre</w:t>
            </w:r>
            <w:r w:rsidR="00F235BF" w:rsidRPr="008D0515">
              <w:rPr>
                <w:rStyle w:val="FootnoteReference"/>
                <w:rFonts w:asciiTheme="majorHAnsi" w:hAnsiTheme="majorHAnsi"/>
                <w:b/>
                <w:sz w:val="19"/>
                <w:szCs w:val="19"/>
              </w:rPr>
              <w:footnoteReference w:id="5"/>
            </w:r>
            <w:r w:rsidR="007F3E89" w:rsidRPr="008D0515">
              <w:rPr>
                <w:rFonts w:asciiTheme="majorHAnsi" w:hAnsiTheme="majorHAnsi"/>
                <w:bCs/>
                <w:sz w:val="19"/>
                <w:szCs w:val="19"/>
                <w:lang w:val="es-US"/>
              </w:rPr>
              <w:t>;</w:t>
            </w:r>
            <w:r w:rsidR="00CA00AA" w:rsidRPr="008D0515">
              <w:rPr>
                <w:rFonts w:asciiTheme="majorHAnsi" w:hAnsiTheme="majorHAnsi"/>
                <w:bCs/>
                <w:sz w:val="19"/>
                <w:szCs w:val="19"/>
                <w:lang w:val="es-US"/>
              </w:rPr>
              <w:t xml:space="preserve"> y</w:t>
            </w:r>
            <w:r w:rsidR="007F3E89" w:rsidRPr="008D0515">
              <w:rPr>
                <w:rFonts w:asciiTheme="majorHAnsi" w:hAnsiTheme="majorHAnsi"/>
                <w:bCs/>
                <w:sz w:val="19"/>
                <w:szCs w:val="19"/>
                <w:lang w:val="es-US"/>
              </w:rPr>
              <w:t xml:space="preserve"> otros </w:t>
            </w:r>
            <w:r w:rsidR="00CA00AA" w:rsidRPr="008D0515">
              <w:rPr>
                <w:rFonts w:asciiTheme="majorHAnsi" w:hAnsiTheme="majorHAnsi"/>
                <w:bCs/>
                <w:sz w:val="19"/>
                <w:szCs w:val="19"/>
                <w:lang w:val="es-US"/>
              </w:rPr>
              <w:t xml:space="preserve">instrumentos </w:t>
            </w:r>
            <w:r w:rsidR="007F3E89" w:rsidRPr="008D0515">
              <w:rPr>
                <w:rFonts w:asciiTheme="majorHAnsi" w:hAnsiTheme="majorHAnsi"/>
                <w:bCs/>
                <w:sz w:val="19"/>
                <w:szCs w:val="19"/>
                <w:lang w:val="es-US"/>
              </w:rPr>
              <w:t xml:space="preserve"> internacionales</w:t>
            </w:r>
            <w:r w:rsidR="007F3E89" w:rsidRPr="008D0515">
              <w:rPr>
                <w:rStyle w:val="FootnoteReference"/>
                <w:rFonts w:asciiTheme="majorHAnsi" w:hAnsiTheme="majorHAnsi"/>
                <w:b/>
                <w:sz w:val="19"/>
                <w:szCs w:val="19"/>
              </w:rPr>
              <w:footnoteReference w:id="6"/>
            </w:r>
          </w:p>
        </w:tc>
      </w:tr>
    </w:tbl>
    <w:p w:rsidR="003239B8" w:rsidRPr="008D0515" w:rsidRDefault="003239B8" w:rsidP="003239B8">
      <w:pPr>
        <w:spacing w:before="240" w:after="240"/>
        <w:ind w:firstLine="720"/>
        <w:jc w:val="both"/>
        <w:rPr>
          <w:rFonts w:asciiTheme="majorHAnsi" w:hAnsiTheme="majorHAnsi"/>
          <w:b/>
          <w:bCs/>
          <w:sz w:val="19"/>
          <w:szCs w:val="19"/>
          <w:lang w:val="es-ES"/>
        </w:rPr>
      </w:pPr>
      <w:r w:rsidRPr="008D0515">
        <w:rPr>
          <w:rFonts w:asciiTheme="majorHAnsi" w:hAnsiTheme="majorHAnsi"/>
          <w:b/>
          <w:bCs/>
          <w:sz w:val="19"/>
          <w:szCs w:val="19"/>
          <w:lang w:val="es-ES"/>
        </w:rPr>
        <w:t>II.</w:t>
      </w:r>
      <w:r w:rsidRPr="008D0515">
        <w:rPr>
          <w:rFonts w:asciiTheme="majorHAnsi" w:hAnsiTheme="majorHAnsi"/>
          <w:b/>
          <w:bCs/>
          <w:sz w:val="19"/>
          <w:szCs w:val="19"/>
          <w:lang w:val="es-ES"/>
        </w:rPr>
        <w:tab/>
        <w:t>TRÁMITE ANTE LA CIDH</w:t>
      </w:r>
      <w:r w:rsidR="008E3BFE" w:rsidRPr="008D0515">
        <w:rPr>
          <w:rStyle w:val="FootnoteReference"/>
          <w:rFonts w:asciiTheme="majorHAnsi" w:hAnsiTheme="majorHAnsi"/>
          <w:b/>
          <w:sz w:val="19"/>
          <w:szCs w:val="19"/>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D0515" w:rsidTr="004A6A54">
        <w:tc>
          <w:tcPr>
            <w:tcW w:w="3600" w:type="dxa"/>
            <w:tcBorders>
              <w:top w:val="single" w:sz="6" w:space="0" w:color="auto"/>
              <w:bottom w:val="single" w:sz="6" w:space="0" w:color="auto"/>
            </w:tcBorders>
            <w:shd w:val="clear" w:color="auto" w:fill="386294"/>
            <w:vAlign w:val="center"/>
          </w:tcPr>
          <w:p w:rsidR="004C2312" w:rsidRPr="008D0515" w:rsidRDefault="004A6A54" w:rsidP="004A6A54">
            <w:pPr>
              <w:jc w:val="center"/>
              <w:rPr>
                <w:rFonts w:asciiTheme="majorHAnsi" w:hAnsiTheme="majorHAnsi"/>
                <w:b/>
                <w:bCs/>
                <w:color w:val="FFFFFF" w:themeColor="background1"/>
                <w:sz w:val="19"/>
                <w:szCs w:val="19"/>
                <w:lang w:val="es-ES"/>
              </w:rPr>
            </w:pPr>
            <w:r w:rsidRPr="008D0515">
              <w:rPr>
                <w:rFonts w:asciiTheme="majorHAnsi" w:hAnsiTheme="majorHAnsi"/>
                <w:b/>
                <w:bCs/>
                <w:color w:val="FFFFFF" w:themeColor="background1"/>
                <w:sz w:val="19"/>
                <w:szCs w:val="19"/>
                <w:lang w:val="es-ES"/>
              </w:rPr>
              <w:t>P</w:t>
            </w:r>
            <w:r w:rsidR="004C2312" w:rsidRPr="008D0515">
              <w:rPr>
                <w:rFonts w:asciiTheme="majorHAnsi" w:hAnsiTheme="majorHAnsi"/>
                <w:b/>
                <w:bCs/>
                <w:color w:val="FFFFFF" w:themeColor="background1"/>
                <w:sz w:val="19"/>
                <w:szCs w:val="19"/>
                <w:lang w:val="es-ES"/>
              </w:rPr>
              <w:t>resentación de la petición:</w:t>
            </w:r>
          </w:p>
        </w:tc>
        <w:tc>
          <w:tcPr>
            <w:tcW w:w="5760" w:type="dxa"/>
            <w:vAlign w:val="center"/>
          </w:tcPr>
          <w:p w:rsidR="004C2312" w:rsidRPr="008D0515" w:rsidRDefault="0048239D" w:rsidP="002625EA">
            <w:pPr>
              <w:jc w:val="both"/>
              <w:rPr>
                <w:rFonts w:asciiTheme="majorHAnsi" w:hAnsiTheme="majorHAnsi"/>
                <w:bCs/>
                <w:sz w:val="19"/>
                <w:szCs w:val="19"/>
                <w:lang w:val="es-ES"/>
              </w:rPr>
            </w:pPr>
            <w:r w:rsidRPr="008D0515">
              <w:rPr>
                <w:rFonts w:asciiTheme="majorHAnsi" w:hAnsiTheme="majorHAnsi"/>
                <w:bCs/>
                <w:sz w:val="19"/>
                <w:szCs w:val="19"/>
                <w:lang w:val="es-ES"/>
              </w:rPr>
              <w:t>9 de febrero de 2011</w:t>
            </w:r>
          </w:p>
        </w:tc>
      </w:tr>
      <w:tr w:rsidR="001E49E7" w:rsidRPr="005C0EB2" w:rsidTr="004A6A54">
        <w:tc>
          <w:tcPr>
            <w:tcW w:w="3600" w:type="dxa"/>
            <w:tcBorders>
              <w:top w:val="single" w:sz="6" w:space="0" w:color="auto"/>
              <w:bottom w:val="single" w:sz="6" w:space="0" w:color="auto"/>
            </w:tcBorders>
            <w:shd w:val="clear" w:color="auto" w:fill="386294"/>
            <w:vAlign w:val="center"/>
          </w:tcPr>
          <w:p w:rsidR="001E49E7" w:rsidRPr="008D0515" w:rsidRDefault="001E49E7" w:rsidP="001E49E7">
            <w:pPr>
              <w:jc w:val="center"/>
              <w:rPr>
                <w:rFonts w:asciiTheme="majorHAnsi" w:hAnsiTheme="majorHAnsi"/>
                <w:b/>
                <w:bCs/>
                <w:color w:val="FFFFFF" w:themeColor="background1"/>
                <w:sz w:val="19"/>
                <w:szCs w:val="19"/>
                <w:lang w:val="es-ES"/>
              </w:rPr>
            </w:pPr>
            <w:r w:rsidRPr="008D0515">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8D0515" w:rsidRDefault="00E91020" w:rsidP="00B05EFE">
            <w:pPr>
              <w:jc w:val="both"/>
              <w:rPr>
                <w:rFonts w:asciiTheme="majorHAnsi" w:hAnsiTheme="majorHAnsi"/>
                <w:bCs/>
                <w:sz w:val="19"/>
                <w:szCs w:val="19"/>
                <w:lang w:val="es-AR"/>
              </w:rPr>
            </w:pPr>
            <w:r w:rsidRPr="008D0515">
              <w:rPr>
                <w:rFonts w:asciiTheme="majorHAnsi" w:hAnsiTheme="majorHAnsi"/>
                <w:bCs/>
                <w:sz w:val="19"/>
                <w:szCs w:val="19"/>
                <w:lang w:val="es-AR"/>
              </w:rPr>
              <w:t xml:space="preserve">14 de febrero </w:t>
            </w:r>
            <w:r w:rsidR="00B05EFE" w:rsidRPr="008D0515">
              <w:rPr>
                <w:rFonts w:asciiTheme="majorHAnsi" w:hAnsiTheme="majorHAnsi"/>
                <w:bCs/>
                <w:sz w:val="19"/>
                <w:szCs w:val="19"/>
                <w:lang w:val="es-AR"/>
              </w:rPr>
              <w:t>y</w:t>
            </w:r>
            <w:r w:rsidR="00F666C4" w:rsidRPr="008D0515">
              <w:rPr>
                <w:rFonts w:asciiTheme="majorHAnsi" w:hAnsiTheme="majorHAnsi"/>
                <w:bCs/>
                <w:sz w:val="19"/>
                <w:szCs w:val="19"/>
                <w:lang w:val="es-AR"/>
              </w:rPr>
              <w:t xml:space="preserve"> </w:t>
            </w:r>
            <w:r w:rsidR="00BF3D64" w:rsidRPr="008D0515">
              <w:rPr>
                <w:rFonts w:asciiTheme="majorHAnsi" w:hAnsiTheme="majorHAnsi"/>
                <w:bCs/>
                <w:sz w:val="19"/>
                <w:szCs w:val="19"/>
                <w:lang w:val="es-AR"/>
              </w:rPr>
              <w:t>8</w:t>
            </w:r>
            <w:r w:rsidR="00F666C4" w:rsidRPr="008D0515">
              <w:rPr>
                <w:rFonts w:asciiTheme="majorHAnsi" w:hAnsiTheme="majorHAnsi"/>
                <w:bCs/>
                <w:sz w:val="19"/>
                <w:szCs w:val="19"/>
                <w:lang w:val="es-AR"/>
              </w:rPr>
              <w:t xml:space="preserve"> de septiembre de 2011</w:t>
            </w:r>
            <w:r w:rsidR="00D15254" w:rsidRPr="008D0515">
              <w:rPr>
                <w:rFonts w:asciiTheme="majorHAnsi" w:hAnsiTheme="majorHAnsi"/>
                <w:bCs/>
                <w:sz w:val="19"/>
                <w:szCs w:val="19"/>
                <w:lang w:val="es-AR"/>
              </w:rPr>
              <w:t>, 30 de julio de 2014</w:t>
            </w:r>
            <w:r w:rsidR="008D300D" w:rsidRPr="008D0515">
              <w:rPr>
                <w:rStyle w:val="FootnoteReference"/>
                <w:rFonts w:asciiTheme="majorHAnsi" w:hAnsiTheme="majorHAnsi"/>
                <w:sz w:val="19"/>
                <w:szCs w:val="19"/>
                <w:lang w:val="es-AR"/>
              </w:rPr>
              <w:footnoteReference w:id="8"/>
            </w:r>
          </w:p>
        </w:tc>
      </w:tr>
      <w:tr w:rsidR="004C2312" w:rsidRPr="008D0515" w:rsidTr="004A6A54">
        <w:tc>
          <w:tcPr>
            <w:tcW w:w="3600" w:type="dxa"/>
            <w:tcBorders>
              <w:top w:val="single" w:sz="6" w:space="0" w:color="auto"/>
              <w:bottom w:val="single" w:sz="6" w:space="0" w:color="auto"/>
            </w:tcBorders>
            <w:shd w:val="clear" w:color="auto" w:fill="386294"/>
            <w:vAlign w:val="center"/>
          </w:tcPr>
          <w:p w:rsidR="004C2312" w:rsidRPr="008D0515" w:rsidRDefault="004A6A54" w:rsidP="004A6A54">
            <w:pPr>
              <w:jc w:val="center"/>
              <w:rPr>
                <w:rFonts w:asciiTheme="majorHAnsi" w:hAnsiTheme="majorHAnsi"/>
                <w:b/>
                <w:bCs/>
                <w:color w:val="FFFFFF" w:themeColor="background1"/>
                <w:sz w:val="19"/>
                <w:szCs w:val="19"/>
                <w:lang w:val="es-ES"/>
              </w:rPr>
            </w:pPr>
            <w:r w:rsidRPr="008D0515">
              <w:rPr>
                <w:rFonts w:asciiTheme="majorHAnsi" w:hAnsiTheme="majorHAnsi"/>
                <w:b/>
                <w:color w:val="FFFFFF" w:themeColor="background1"/>
                <w:sz w:val="19"/>
                <w:szCs w:val="19"/>
                <w:lang w:val="es-ES"/>
              </w:rPr>
              <w:t>N</w:t>
            </w:r>
            <w:r w:rsidR="004C2312" w:rsidRPr="008D0515">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8D0515" w:rsidRDefault="004D392B" w:rsidP="008D2290">
            <w:pPr>
              <w:jc w:val="both"/>
              <w:rPr>
                <w:rFonts w:asciiTheme="majorHAnsi" w:hAnsiTheme="majorHAnsi"/>
                <w:bCs/>
                <w:sz w:val="19"/>
                <w:szCs w:val="19"/>
                <w:lang w:val="es-ES"/>
              </w:rPr>
            </w:pPr>
            <w:r w:rsidRPr="008D0515">
              <w:rPr>
                <w:rFonts w:asciiTheme="majorHAnsi" w:hAnsiTheme="majorHAnsi"/>
                <w:bCs/>
                <w:sz w:val="19"/>
                <w:szCs w:val="19"/>
                <w:lang w:val="es-ES"/>
              </w:rPr>
              <w:t>31 de julio de 2017</w:t>
            </w:r>
          </w:p>
        </w:tc>
      </w:tr>
      <w:tr w:rsidR="004C2312" w:rsidRPr="008D0515" w:rsidTr="004A6A54">
        <w:tc>
          <w:tcPr>
            <w:tcW w:w="3600" w:type="dxa"/>
            <w:tcBorders>
              <w:top w:val="single" w:sz="6" w:space="0" w:color="auto"/>
              <w:bottom w:val="single" w:sz="6" w:space="0" w:color="auto"/>
            </w:tcBorders>
            <w:shd w:val="clear" w:color="auto" w:fill="386294"/>
            <w:vAlign w:val="center"/>
          </w:tcPr>
          <w:p w:rsidR="004C2312" w:rsidRPr="008D0515" w:rsidRDefault="004A6A54" w:rsidP="004A6A54">
            <w:pPr>
              <w:jc w:val="center"/>
              <w:rPr>
                <w:rFonts w:asciiTheme="majorHAnsi" w:hAnsiTheme="majorHAnsi"/>
                <w:b/>
                <w:bCs/>
                <w:color w:val="FFFFFF" w:themeColor="background1"/>
                <w:sz w:val="19"/>
                <w:szCs w:val="19"/>
                <w:lang w:val="es-ES"/>
              </w:rPr>
            </w:pPr>
            <w:r w:rsidRPr="008D0515">
              <w:rPr>
                <w:rFonts w:asciiTheme="majorHAnsi" w:hAnsiTheme="majorHAnsi"/>
                <w:b/>
                <w:color w:val="FFFFFF" w:themeColor="background1"/>
                <w:sz w:val="19"/>
                <w:szCs w:val="19"/>
                <w:lang w:val="es-ES"/>
              </w:rPr>
              <w:t>P</w:t>
            </w:r>
            <w:r w:rsidR="004C2312" w:rsidRPr="008D0515">
              <w:rPr>
                <w:rFonts w:asciiTheme="majorHAnsi" w:hAnsiTheme="majorHAnsi"/>
                <w:b/>
                <w:color w:val="FFFFFF" w:themeColor="background1"/>
                <w:sz w:val="19"/>
                <w:szCs w:val="19"/>
                <w:lang w:val="es-ES"/>
              </w:rPr>
              <w:t>rimera respuesta del Estado:</w:t>
            </w:r>
          </w:p>
        </w:tc>
        <w:tc>
          <w:tcPr>
            <w:tcW w:w="5760" w:type="dxa"/>
            <w:vAlign w:val="center"/>
          </w:tcPr>
          <w:p w:rsidR="004C2312" w:rsidRPr="008D0515" w:rsidRDefault="009B30BD" w:rsidP="008D2290">
            <w:pPr>
              <w:jc w:val="both"/>
              <w:rPr>
                <w:rFonts w:asciiTheme="majorHAnsi" w:hAnsiTheme="majorHAnsi"/>
                <w:bCs/>
                <w:sz w:val="19"/>
                <w:szCs w:val="19"/>
                <w:lang w:val="es-ES"/>
              </w:rPr>
            </w:pPr>
            <w:r w:rsidRPr="008D0515">
              <w:rPr>
                <w:rFonts w:asciiTheme="majorHAnsi" w:hAnsiTheme="majorHAnsi"/>
                <w:bCs/>
                <w:sz w:val="19"/>
                <w:szCs w:val="19"/>
                <w:lang w:val="es-ES"/>
              </w:rPr>
              <w:t>27 de diciembre de 2017</w:t>
            </w:r>
          </w:p>
        </w:tc>
      </w:tr>
    </w:tbl>
    <w:p w:rsidR="003239B8" w:rsidRPr="008D0515" w:rsidRDefault="003239B8" w:rsidP="003239B8">
      <w:pPr>
        <w:spacing w:before="240" w:after="240"/>
        <w:ind w:firstLine="720"/>
        <w:jc w:val="both"/>
        <w:rPr>
          <w:rFonts w:asciiTheme="majorHAnsi" w:hAnsiTheme="majorHAnsi"/>
          <w:b/>
          <w:bCs/>
          <w:sz w:val="19"/>
          <w:szCs w:val="19"/>
          <w:lang w:val="es-ES"/>
        </w:rPr>
      </w:pPr>
      <w:r w:rsidRPr="008D0515">
        <w:rPr>
          <w:rFonts w:asciiTheme="majorHAnsi" w:hAnsiTheme="majorHAnsi"/>
          <w:b/>
          <w:bCs/>
          <w:sz w:val="19"/>
          <w:szCs w:val="19"/>
          <w:lang w:val="es-ES"/>
        </w:rPr>
        <w:t xml:space="preserve">III. </w:t>
      </w:r>
      <w:r w:rsidRPr="008D0515">
        <w:rPr>
          <w:rFonts w:asciiTheme="majorHAnsi" w:hAnsiTheme="majorHAnsi"/>
          <w:b/>
          <w:bCs/>
          <w:sz w:val="19"/>
          <w:szCs w:val="19"/>
          <w:lang w:val="es-ES"/>
        </w:rPr>
        <w:tab/>
        <w:t>COMPETENCIA</w:t>
      </w:r>
      <w:r w:rsidR="00EE00E9" w:rsidRPr="008D0515">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3239B8" w:rsidRPr="008D0515" w:rsidTr="004A6A54">
        <w:trPr>
          <w:cantSplit/>
        </w:trPr>
        <w:tc>
          <w:tcPr>
            <w:tcW w:w="3600" w:type="dxa"/>
            <w:tcBorders>
              <w:top w:val="single" w:sz="4"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i/>
                <w:color w:val="FFFFFF" w:themeColor="background1"/>
                <w:sz w:val="19"/>
                <w:szCs w:val="19"/>
              </w:rPr>
            </w:pPr>
            <w:r w:rsidRPr="008D0515">
              <w:rPr>
                <w:rFonts w:asciiTheme="majorHAnsi" w:hAnsiTheme="majorHAnsi"/>
                <w:b/>
                <w:bCs/>
                <w:color w:val="FFFFFF" w:themeColor="background1"/>
                <w:sz w:val="19"/>
                <w:szCs w:val="19"/>
              </w:rPr>
              <w:t>Competencia</w:t>
            </w:r>
            <w:r w:rsidRPr="008D0515">
              <w:rPr>
                <w:rFonts w:asciiTheme="majorHAnsi" w:hAnsiTheme="majorHAnsi"/>
                <w:b/>
                <w:bCs/>
                <w:i/>
                <w:color w:val="FFFFFF" w:themeColor="background1"/>
                <w:sz w:val="19"/>
                <w:szCs w:val="19"/>
              </w:rPr>
              <w:t xml:space="preserve"> Ratione personae:</w:t>
            </w:r>
          </w:p>
        </w:tc>
        <w:tc>
          <w:tcPr>
            <w:tcW w:w="5760" w:type="dxa"/>
            <w:vAlign w:val="center"/>
          </w:tcPr>
          <w:p w:rsidR="003239B8" w:rsidRPr="008D0515" w:rsidRDefault="00695ADA" w:rsidP="008D2290">
            <w:pPr>
              <w:rPr>
                <w:rFonts w:asciiTheme="majorHAnsi" w:hAnsiTheme="majorHAnsi"/>
                <w:bCs/>
                <w:sz w:val="19"/>
                <w:szCs w:val="19"/>
              </w:rPr>
            </w:pPr>
            <w:r w:rsidRPr="008D0515">
              <w:rPr>
                <w:rFonts w:asciiTheme="majorHAnsi" w:hAnsiTheme="majorHAnsi"/>
                <w:bCs/>
                <w:sz w:val="19"/>
                <w:szCs w:val="19"/>
              </w:rPr>
              <w:t>Sí</w:t>
            </w:r>
          </w:p>
        </w:tc>
      </w:tr>
      <w:tr w:rsidR="003239B8" w:rsidRPr="008D0515" w:rsidTr="004A6A54">
        <w:trPr>
          <w:cantSplit/>
        </w:trPr>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Competencia</w:t>
            </w:r>
            <w:r w:rsidRPr="008D0515">
              <w:rPr>
                <w:rFonts w:asciiTheme="majorHAnsi" w:hAnsiTheme="majorHAnsi"/>
                <w:b/>
                <w:bCs/>
                <w:i/>
                <w:color w:val="FFFFFF" w:themeColor="background1"/>
                <w:sz w:val="19"/>
                <w:szCs w:val="19"/>
              </w:rPr>
              <w:t xml:space="preserve"> Ratione loci</w:t>
            </w:r>
            <w:r w:rsidRPr="008D0515">
              <w:rPr>
                <w:rFonts w:asciiTheme="majorHAnsi" w:hAnsiTheme="majorHAnsi"/>
                <w:b/>
                <w:bCs/>
                <w:color w:val="FFFFFF" w:themeColor="background1"/>
                <w:sz w:val="19"/>
                <w:szCs w:val="19"/>
              </w:rPr>
              <w:t>:</w:t>
            </w:r>
          </w:p>
        </w:tc>
        <w:tc>
          <w:tcPr>
            <w:tcW w:w="5760" w:type="dxa"/>
            <w:vAlign w:val="center"/>
          </w:tcPr>
          <w:p w:rsidR="003239B8" w:rsidRPr="008D0515" w:rsidRDefault="00695ADA" w:rsidP="008D2290">
            <w:pPr>
              <w:rPr>
                <w:rFonts w:asciiTheme="majorHAnsi" w:hAnsiTheme="majorHAnsi"/>
                <w:bCs/>
                <w:sz w:val="19"/>
                <w:szCs w:val="19"/>
              </w:rPr>
            </w:pPr>
            <w:r w:rsidRPr="008D0515">
              <w:rPr>
                <w:rFonts w:asciiTheme="majorHAnsi" w:hAnsiTheme="majorHAnsi"/>
                <w:bCs/>
                <w:sz w:val="19"/>
                <w:szCs w:val="19"/>
              </w:rPr>
              <w:t>Sí</w:t>
            </w:r>
          </w:p>
        </w:tc>
      </w:tr>
      <w:tr w:rsidR="003239B8" w:rsidRPr="008D0515" w:rsidTr="004A6A54">
        <w:trPr>
          <w:cantSplit/>
        </w:trPr>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Competencia</w:t>
            </w:r>
            <w:r w:rsidRPr="008D0515">
              <w:rPr>
                <w:rFonts w:asciiTheme="majorHAnsi" w:hAnsiTheme="majorHAnsi"/>
                <w:b/>
                <w:bCs/>
                <w:i/>
                <w:color w:val="FFFFFF" w:themeColor="background1"/>
                <w:sz w:val="19"/>
                <w:szCs w:val="19"/>
              </w:rPr>
              <w:t xml:space="preserve"> Ratione temporis</w:t>
            </w:r>
            <w:r w:rsidRPr="008D0515">
              <w:rPr>
                <w:rFonts w:asciiTheme="majorHAnsi" w:hAnsiTheme="majorHAnsi"/>
                <w:b/>
                <w:bCs/>
                <w:color w:val="FFFFFF" w:themeColor="background1"/>
                <w:sz w:val="19"/>
                <w:szCs w:val="19"/>
              </w:rPr>
              <w:t>:</w:t>
            </w:r>
          </w:p>
        </w:tc>
        <w:tc>
          <w:tcPr>
            <w:tcW w:w="5760" w:type="dxa"/>
            <w:vAlign w:val="center"/>
          </w:tcPr>
          <w:p w:rsidR="003239B8" w:rsidRPr="008D0515" w:rsidRDefault="00695ADA" w:rsidP="008D2290">
            <w:pPr>
              <w:rPr>
                <w:rFonts w:asciiTheme="majorHAnsi" w:hAnsiTheme="majorHAnsi"/>
                <w:bCs/>
                <w:sz w:val="19"/>
                <w:szCs w:val="19"/>
              </w:rPr>
            </w:pPr>
            <w:r w:rsidRPr="008D0515">
              <w:rPr>
                <w:rFonts w:asciiTheme="majorHAnsi" w:hAnsiTheme="majorHAnsi"/>
                <w:bCs/>
                <w:sz w:val="19"/>
                <w:szCs w:val="19"/>
              </w:rPr>
              <w:t>Sí</w:t>
            </w:r>
          </w:p>
        </w:tc>
      </w:tr>
      <w:tr w:rsidR="003239B8" w:rsidRPr="008D0515" w:rsidTr="004A6A54">
        <w:trPr>
          <w:cantSplit/>
        </w:trPr>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Competencia</w:t>
            </w:r>
            <w:r w:rsidRPr="008D0515">
              <w:rPr>
                <w:rFonts w:asciiTheme="majorHAnsi" w:hAnsiTheme="majorHAnsi"/>
                <w:b/>
                <w:bCs/>
                <w:i/>
                <w:color w:val="FFFFFF" w:themeColor="background1"/>
                <w:sz w:val="19"/>
                <w:szCs w:val="19"/>
              </w:rPr>
              <w:t xml:space="preserve"> Ratione materia</w:t>
            </w:r>
            <w:r w:rsidR="00EE00E9" w:rsidRPr="008D0515">
              <w:rPr>
                <w:rFonts w:asciiTheme="majorHAnsi" w:hAnsiTheme="majorHAnsi"/>
                <w:b/>
                <w:bCs/>
                <w:i/>
                <w:color w:val="FFFFFF" w:themeColor="background1"/>
                <w:sz w:val="19"/>
                <w:szCs w:val="19"/>
              </w:rPr>
              <w:t>e</w:t>
            </w:r>
            <w:r w:rsidRPr="008D0515">
              <w:rPr>
                <w:rFonts w:asciiTheme="majorHAnsi" w:hAnsiTheme="majorHAnsi"/>
                <w:b/>
                <w:bCs/>
                <w:color w:val="FFFFFF" w:themeColor="background1"/>
                <w:sz w:val="19"/>
                <w:szCs w:val="19"/>
              </w:rPr>
              <w:t>:</w:t>
            </w:r>
          </w:p>
        </w:tc>
        <w:tc>
          <w:tcPr>
            <w:tcW w:w="5760" w:type="dxa"/>
            <w:vAlign w:val="center"/>
          </w:tcPr>
          <w:p w:rsidR="003239B8" w:rsidRPr="008D0515" w:rsidRDefault="00695ADA" w:rsidP="008D2290">
            <w:pPr>
              <w:jc w:val="both"/>
              <w:rPr>
                <w:rFonts w:asciiTheme="majorHAnsi" w:hAnsiTheme="majorHAnsi"/>
                <w:bCs/>
                <w:sz w:val="19"/>
                <w:szCs w:val="19"/>
                <w:lang w:val="es-ES"/>
              </w:rPr>
            </w:pPr>
            <w:r w:rsidRPr="008D0515">
              <w:rPr>
                <w:rFonts w:asciiTheme="majorHAnsi" w:hAnsiTheme="majorHAnsi"/>
                <w:bCs/>
                <w:sz w:val="19"/>
                <w:szCs w:val="19"/>
                <w:lang w:val="es-ES"/>
              </w:rPr>
              <w:t>Sí</w:t>
            </w:r>
          </w:p>
        </w:tc>
      </w:tr>
    </w:tbl>
    <w:p w:rsidR="003239B8" w:rsidRPr="008D0515" w:rsidRDefault="003239B8" w:rsidP="003239B8">
      <w:pPr>
        <w:spacing w:before="240" w:after="240"/>
        <w:ind w:firstLine="720"/>
        <w:jc w:val="both"/>
        <w:rPr>
          <w:rFonts w:asciiTheme="majorHAnsi" w:hAnsiTheme="majorHAnsi"/>
          <w:b/>
          <w:bCs/>
          <w:sz w:val="19"/>
          <w:szCs w:val="19"/>
          <w:lang w:val="es-ES"/>
        </w:rPr>
      </w:pPr>
      <w:r w:rsidRPr="008D0515">
        <w:rPr>
          <w:rFonts w:asciiTheme="majorHAnsi" w:hAnsiTheme="majorHAnsi"/>
          <w:b/>
          <w:bCs/>
          <w:sz w:val="19"/>
          <w:szCs w:val="19"/>
          <w:lang w:val="es-ES"/>
        </w:rPr>
        <w:t xml:space="preserve">IV. </w:t>
      </w:r>
      <w:r w:rsidRPr="008D0515">
        <w:rPr>
          <w:rFonts w:asciiTheme="majorHAnsi" w:hAnsiTheme="majorHAnsi"/>
          <w:b/>
          <w:bCs/>
          <w:sz w:val="19"/>
          <w:szCs w:val="19"/>
          <w:lang w:val="es-ES"/>
        </w:rPr>
        <w:tab/>
      </w:r>
      <w:r w:rsidR="00EE00E9" w:rsidRPr="008D0515">
        <w:rPr>
          <w:rFonts w:asciiTheme="majorHAnsi" w:hAnsiTheme="majorHAnsi"/>
          <w:b/>
          <w:bCs/>
          <w:sz w:val="19"/>
          <w:szCs w:val="19"/>
          <w:lang w:val="es-ES"/>
        </w:rPr>
        <w:t>DUPLICACIÓN</w:t>
      </w:r>
      <w:r w:rsidR="00EE00E9" w:rsidRPr="008D0515">
        <w:rPr>
          <w:rFonts w:asciiTheme="majorHAnsi" w:hAnsiTheme="majorHAnsi"/>
          <w:b/>
          <w:bCs/>
          <w:color w:val="FFFFFF" w:themeColor="background1"/>
          <w:sz w:val="19"/>
          <w:szCs w:val="19"/>
          <w:lang w:val="es-ES"/>
        </w:rPr>
        <w:t xml:space="preserve"> </w:t>
      </w:r>
      <w:r w:rsidR="00EE00E9" w:rsidRPr="008D0515">
        <w:rPr>
          <w:rFonts w:asciiTheme="majorHAnsi" w:hAnsiTheme="majorHAnsi"/>
          <w:b/>
          <w:bCs/>
          <w:sz w:val="19"/>
          <w:szCs w:val="19"/>
          <w:lang w:val="es-ES"/>
        </w:rPr>
        <w:t>DE PROCEDIMIENTOS Y COSA JUZGADA</w:t>
      </w:r>
      <w:r w:rsidR="00EE00E9" w:rsidRPr="008D0515">
        <w:rPr>
          <w:rFonts w:asciiTheme="majorHAnsi" w:hAnsiTheme="majorHAnsi"/>
          <w:b/>
          <w:bCs/>
          <w:i/>
          <w:sz w:val="19"/>
          <w:szCs w:val="19"/>
          <w:lang w:val="es-ES"/>
        </w:rPr>
        <w:t xml:space="preserve"> </w:t>
      </w:r>
      <w:r w:rsidR="00EE00E9" w:rsidRPr="008D0515">
        <w:rPr>
          <w:rFonts w:asciiTheme="majorHAnsi" w:hAnsiTheme="majorHAnsi"/>
          <w:b/>
          <w:bCs/>
          <w:sz w:val="19"/>
          <w:szCs w:val="19"/>
          <w:lang w:val="es-ES"/>
        </w:rPr>
        <w:t xml:space="preserve">INTERNACIONAL, </w:t>
      </w:r>
      <w:r w:rsidRPr="008D0515">
        <w:rPr>
          <w:rFonts w:asciiTheme="majorHAnsi" w:hAnsiTheme="majorHAnsi"/>
          <w:b/>
          <w:bCs/>
          <w:sz w:val="19"/>
          <w:szCs w:val="19"/>
          <w:lang w:val="es-ES"/>
        </w:rPr>
        <w:t xml:space="preserve"> CARACTERIZACIÓN, </w:t>
      </w:r>
      <w:r w:rsidRPr="008D0515">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8D0515" w:rsidTr="004A6A54">
        <w:trPr>
          <w:cantSplit/>
        </w:trPr>
        <w:tc>
          <w:tcPr>
            <w:tcW w:w="3600" w:type="dxa"/>
            <w:tcBorders>
              <w:top w:val="single" w:sz="4" w:space="0" w:color="auto"/>
              <w:bottom w:val="single" w:sz="6" w:space="0" w:color="auto"/>
            </w:tcBorders>
            <w:shd w:val="clear" w:color="auto" w:fill="386294"/>
            <w:vAlign w:val="center"/>
          </w:tcPr>
          <w:p w:rsidR="00EE00E9" w:rsidRPr="008D0515" w:rsidRDefault="00EE00E9" w:rsidP="008D2290">
            <w:pPr>
              <w:jc w:val="center"/>
              <w:rPr>
                <w:rFonts w:asciiTheme="majorHAnsi" w:hAnsiTheme="majorHAnsi"/>
                <w:b/>
                <w:bCs/>
                <w:color w:val="FFFFFF" w:themeColor="background1"/>
                <w:sz w:val="19"/>
                <w:szCs w:val="19"/>
                <w:lang w:val="es-ES"/>
              </w:rPr>
            </w:pPr>
            <w:r w:rsidRPr="008D0515">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8D0515" w:rsidRDefault="00B67DA6" w:rsidP="008D2290">
            <w:pPr>
              <w:jc w:val="both"/>
              <w:rPr>
                <w:rFonts w:asciiTheme="majorHAnsi" w:hAnsiTheme="majorHAnsi"/>
                <w:bCs/>
                <w:sz w:val="19"/>
                <w:szCs w:val="19"/>
                <w:lang w:val="es-ES"/>
              </w:rPr>
            </w:pPr>
            <w:r w:rsidRPr="008D0515">
              <w:rPr>
                <w:rFonts w:asciiTheme="majorHAnsi" w:hAnsiTheme="majorHAnsi"/>
                <w:bCs/>
                <w:sz w:val="19"/>
                <w:szCs w:val="19"/>
                <w:lang w:val="es-ES"/>
              </w:rPr>
              <w:t>No</w:t>
            </w:r>
          </w:p>
        </w:tc>
      </w:tr>
      <w:tr w:rsidR="003239B8" w:rsidRPr="008D0515" w:rsidTr="004A6A54">
        <w:trPr>
          <w:cantSplit/>
        </w:trPr>
        <w:tc>
          <w:tcPr>
            <w:tcW w:w="3600" w:type="dxa"/>
            <w:tcBorders>
              <w:top w:val="single" w:sz="4"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i/>
                <w:color w:val="FFFFFF" w:themeColor="background1"/>
                <w:sz w:val="19"/>
                <w:szCs w:val="19"/>
              </w:rPr>
            </w:pPr>
            <w:r w:rsidRPr="008D0515">
              <w:rPr>
                <w:rFonts w:asciiTheme="majorHAnsi" w:hAnsiTheme="majorHAnsi"/>
                <w:b/>
                <w:bCs/>
                <w:color w:val="FFFFFF" w:themeColor="background1"/>
                <w:sz w:val="19"/>
                <w:szCs w:val="19"/>
              </w:rPr>
              <w:t>Derechos declarados admisibles</w:t>
            </w:r>
            <w:r w:rsidRPr="008D0515">
              <w:rPr>
                <w:rFonts w:asciiTheme="majorHAnsi" w:hAnsiTheme="majorHAnsi"/>
                <w:b/>
                <w:bCs/>
                <w:i/>
                <w:color w:val="FFFFFF" w:themeColor="background1"/>
                <w:sz w:val="19"/>
                <w:szCs w:val="19"/>
              </w:rPr>
              <w:t>:</w:t>
            </w:r>
          </w:p>
        </w:tc>
        <w:tc>
          <w:tcPr>
            <w:tcW w:w="5760" w:type="dxa"/>
            <w:vAlign w:val="center"/>
          </w:tcPr>
          <w:p w:rsidR="003239B8" w:rsidRPr="008D0515" w:rsidRDefault="007A5A01" w:rsidP="008D2290">
            <w:pPr>
              <w:jc w:val="both"/>
              <w:rPr>
                <w:rFonts w:asciiTheme="majorHAnsi" w:hAnsiTheme="majorHAnsi"/>
                <w:bCs/>
                <w:sz w:val="19"/>
                <w:szCs w:val="19"/>
              </w:rPr>
            </w:pPr>
            <w:r w:rsidRPr="008D0515">
              <w:rPr>
                <w:rFonts w:asciiTheme="majorHAnsi" w:hAnsiTheme="majorHAnsi"/>
                <w:bCs/>
                <w:sz w:val="19"/>
                <w:szCs w:val="19"/>
              </w:rPr>
              <w:t>Ninguno</w:t>
            </w:r>
          </w:p>
        </w:tc>
      </w:tr>
      <w:tr w:rsidR="003239B8" w:rsidRPr="008D0515" w:rsidTr="004A6A54">
        <w:trPr>
          <w:cantSplit/>
        </w:trPr>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lang w:val="es-ES"/>
              </w:rPr>
            </w:pPr>
            <w:r w:rsidRPr="008D0515">
              <w:rPr>
                <w:rFonts w:asciiTheme="majorHAnsi" w:hAnsiTheme="majorHAnsi"/>
                <w:b/>
                <w:bCs/>
                <w:color w:val="FFFFFF" w:themeColor="background1"/>
                <w:sz w:val="19"/>
                <w:szCs w:val="19"/>
                <w:lang w:val="es-ES"/>
              </w:rPr>
              <w:t>Agotamiento de recursos internos</w:t>
            </w:r>
            <w:r w:rsidR="00EE00E9" w:rsidRPr="008D0515">
              <w:rPr>
                <w:rFonts w:asciiTheme="majorHAnsi" w:hAnsiTheme="majorHAnsi"/>
                <w:b/>
                <w:bCs/>
                <w:color w:val="FFFFFF" w:themeColor="background1"/>
                <w:sz w:val="19"/>
                <w:szCs w:val="19"/>
                <w:lang w:val="es-ES"/>
              </w:rPr>
              <w:t xml:space="preserve"> o procedencia de una excepción</w:t>
            </w:r>
            <w:r w:rsidRPr="008D0515">
              <w:rPr>
                <w:rFonts w:asciiTheme="majorHAnsi" w:hAnsiTheme="majorHAnsi"/>
                <w:b/>
                <w:bCs/>
                <w:color w:val="FFFFFF" w:themeColor="background1"/>
                <w:sz w:val="19"/>
                <w:szCs w:val="19"/>
                <w:lang w:val="es-ES"/>
              </w:rPr>
              <w:t>:</w:t>
            </w:r>
          </w:p>
        </w:tc>
        <w:tc>
          <w:tcPr>
            <w:tcW w:w="5760" w:type="dxa"/>
            <w:vAlign w:val="center"/>
          </w:tcPr>
          <w:p w:rsidR="003239B8" w:rsidRPr="008D0515" w:rsidRDefault="008B1278" w:rsidP="008B1278">
            <w:pPr>
              <w:rPr>
                <w:rFonts w:asciiTheme="majorHAnsi" w:hAnsiTheme="majorHAnsi"/>
                <w:bCs/>
                <w:sz w:val="19"/>
                <w:szCs w:val="19"/>
                <w:lang w:val="es-ES"/>
              </w:rPr>
            </w:pPr>
            <w:r w:rsidRPr="008D0515">
              <w:rPr>
                <w:rFonts w:asciiTheme="majorHAnsi" w:hAnsiTheme="majorHAnsi"/>
                <w:bCs/>
                <w:sz w:val="19"/>
                <w:szCs w:val="19"/>
                <w:lang w:val="es-ES"/>
              </w:rPr>
              <w:t xml:space="preserve">Sí, </w:t>
            </w:r>
            <w:r w:rsidR="00457E6D" w:rsidRPr="008D0515">
              <w:rPr>
                <w:rFonts w:asciiTheme="majorHAnsi" w:hAnsiTheme="majorHAnsi"/>
                <w:bCs/>
                <w:sz w:val="19"/>
                <w:szCs w:val="19"/>
                <w:lang w:val="es-ES"/>
              </w:rPr>
              <w:t>24 de agosto de 2010</w:t>
            </w:r>
            <w:r w:rsidRPr="008D0515">
              <w:rPr>
                <w:rStyle w:val="FootnoteReference"/>
                <w:rFonts w:asciiTheme="majorHAnsi" w:hAnsiTheme="majorHAnsi"/>
                <w:bCs/>
                <w:sz w:val="19"/>
                <w:szCs w:val="19"/>
              </w:rPr>
              <w:footnoteReference w:id="9"/>
            </w:r>
            <w:r w:rsidR="00BF3D64" w:rsidRPr="008D0515">
              <w:rPr>
                <w:rFonts w:asciiTheme="majorHAnsi" w:hAnsiTheme="majorHAnsi"/>
                <w:bCs/>
                <w:sz w:val="19"/>
                <w:szCs w:val="19"/>
                <w:lang w:val="es-ES"/>
              </w:rPr>
              <w:t xml:space="preserve"> </w:t>
            </w:r>
          </w:p>
        </w:tc>
      </w:tr>
      <w:tr w:rsidR="003239B8" w:rsidRPr="008D0515" w:rsidTr="004A6A54">
        <w:trPr>
          <w:cantSplit/>
        </w:trPr>
        <w:tc>
          <w:tcPr>
            <w:tcW w:w="3600" w:type="dxa"/>
            <w:tcBorders>
              <w:top w:val="single" w:sz="6" w:space="0" w:color="auto"/>
              <w:bottom w:val="single" w:sz="6" w:space="0" w:color="auto"/>
            </w:tcBorders>
            <w:shd w:val="clear" w:color="auto" w:fill="386294"/>
            <w:vAlign w:val="center"/>
          </w:tcPr>
          <w:p w:rsidR="003239B8" w:rsidRPr="008D0515" w:rsidRDefault="003239B8" w:rsidP="008D2290">
            <w:pPr>
              <w:jc w:val="center"/>
              <w:rPr>
                <w:rFonts w:asciiTheme="majorHAnsi" w:hAnsiTheme="majorHAnsi"/>
                <w:b/>
                <w:bCs/>
                <w:color w:val="FFFFFF" w:themeColor="background1"/>
                <w:sz w:val="19"/>
                <w:szCs w:val="19"/>
              </w:rPr>
            </w:pPr>
            <w:r w:rsidRPr="008D0515">
              <w:rPr>
                <w:rFonts w:asciiTheme="majorHAnsi" w:hAnsiTheme="majorHAnsi"/>
                <w:b/>
                <w:bCs/>
                <w:color w:val="FFFFFF" w:themeColor="background1"/>
                <w:sz w:val="19"/>
                <w:szCs w:val="19"/>
              </w:rPr>
              <w:t>Presentación dentro de plazo:</w:t>
            </w:r>
          </w:p>
        </w:tc>
        <w:tc>
          <w:tcPr>
            <w:tcW w:w="5760" w:type="dxa"/>
            <w:vAlign w:val="center"/>
          </w:tcPr>
          <w:p w:rsidR="003239B8" w:rsidRPr="008D0515" w:rsidRDefault="008B1278" w:rsidP="008D2290">
            <w:pPr>
              <w:rPr>
                <w:rFonts w:asciiTheme="majorHAnsi" w:hAnsiTheme="majorHAnsi"/>
                <w:bCs/>
                <w:sz w:val="19"/>
                <w:szCs w:val="19"/>
              </w:rPr>
            </w:pPr>
            <w:r w:rsidRPr="008D0515">
              <w:rPr>
                <w:rFonts w:asciiTheme="majorHAnsi" w:hAnsiTheme="majorHAnsi"/>
                <w:bCs/>
                <w:sz w:val="19"/>
                <w:szCs w:val="19"/>
                <w:lang w:val="es-ES"/>
              </w:rPr>
              <w:t xml:space="preserve">Sí, </w:t>
            </w:r>
            <w:r w:rsidR="000E614D" w:rsidRPr="008D0515">
              <w:rPr>
                <w:rFonts w:asciiTheme="majorHAnsi" w:hAnsiTheme="majorHAnsi"/>
                <w:bCs/>
                <w:sz w:val="19"/>
                <w:szCs w:val="19"/>
                <w:lang w:val="es-ES"/>
              </w:rPr>
              <w:t>9 de febrero de 2011</w:t>
            </w:r>
            <w:r w:rsidR="00CC195D" w:rsidRPr="008D0515">
              <w:rPr>
                <w:rStyle w:val="FootnoteReference"/>
                <w:rFonts w:asciiTheme="majorHAnsi" w:hAnsiTheme="majorHAnsi"/>
                <w:bCs/>
                <w:sz w:val="19"/>
                <w:szCs w:val="19"/>
                <w:lang w:val="es-ES"/>
              </w:rPr>
              <w:footnoteReference w:id="10"/>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B05EFE" w:rsidRDefault="00B05EFE"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A"/>
        </w:rPr>
      </w:pPr>
      <w:r w:rsidRPr="00A14DC3">
        <w:rPr>
          <w:rFonts w:ascii="Cambria" w:hAnsi="Cambria"/>
          <w:sz w:val="20"/>
          <w:szCs w:val="20"/>
          <w:lang w:val="es-PA"/>
        </w:rPr>
        <w:t xml:space="preserve">La parte peticionaria denuncia presuntas violaciones a los derechos humanos de un grupo de docentes de la enseñanza secundaria y básica municipalizada de </w:t>
      </w:r>
      <w:r w:rsidR="008D0515" w:rsidRPr="00A14DC3">
        <w:rPr>
          <w:rFonts w:ascii="Cambria" w:hAnsi="Cambria"/>
          <w:sz w:val="20"/>
          <w:szCs w:val="20"/>
          <w:lang w:val="es-PA"/>
        </w:rPr>
        <w:t>Valparaíso</w:t>
      </w:r>
      <w:r w:rsidR="00191557">
        <w:rPr>
          <w:rFonts w:ascii="Cambria" w:hAnsi="Cambria"/>
          <w:sz w:val="20"/>
          <w:szCs w:val="20"/>
          <w:lang w:val="es-PA"/>
        </w:rPr>
        <w:t xml:space="preserve">. Alega que las presuntas víctimas </w:t>
      </w:r>
      <w:r w:rsidR="00191557">
        <w:rPr>
          <w:rFonts w:ascii="Cambria" w:hAnsi="Cambria"/>
          <w:sz w:val="20"/>
          <w:szCs w:val="20"/>
          <w:lang w:val="es-PA"/>
        </w:rPr>
        <w:lastRenderedPageBreak/>
        <w:t>renunciaron forzosamente a sus empleos para beneficiarse de una ley especial que otorgaba una bonificación por retiro voluntario, esperando también recibir l</w:t>
      </w:r>
      <w:r w:rsidR="00DA530A">
        <w:rPr>
          <w:rFonts w:ascii="Cambria" w:hAnsi="Cambria"/>
          <w:sz w:val="20"/>
          <w:szCs w:val="20"/>
          <w:lang w:val="es-PA"/>
        </w:rPr>
        <w:t xml:space="preserve">as indemnizaciones establecidas </w:t>
      </w:r>
      <w:r w:rsidR="00DA530A" w:rsidRPr="0055297D">
        <w:rPr>
          <w:rFonts w:ascii="Cambria" w:hAnsi="Cambria"/>
          <w:sz w:val="20"/>
          <w:szCs w:val="20"/>
          <w:lang w:val="es-AR"/>
        </w:rPr>
        <w:t>Código</w:t>
      </w:r>
      <w:r w:rsidR="00DA530A">
        <w:rPr>
          <w:rFonts w:ascii="Cambria" w:hAnsi="Cambria"/>
          <w:sz w:val="20"/>
          <w:szCs w:val="20"/>
          <w:lang w:val="es-AR"/>
        </w:rPr>
        <w:t xml:space="preserve"> del Trabajo (en adelante “CT”) por terminación del contrato por disposición del empleador e incumplimiento del aviso previo. Sin embargo, </w:t>
      </w:r>
      <w:r w:rsidR="00AD44C6">
        <w:rPr>
          <w:rFonts w:ascii="Cambria" w:hAnsi="Cambria"/>
          <w:sz w:val="20"/>
          <w:szCs w:val="20"/>
          <w:lang w:val="es-AR"/>
        </w:rPr>
        <w:t>argumenta</w:t>
      </w:r>
      <w:r w:rsidR="00DA530A">
        <w:rPr>
          <w:rFonts w:ascii="Cambria" w:hAnsi="Cambria"/>
          <w:sz w:val="20"/>
          <w:szCs w:val="20"/>
          <w:lang w:val="es-AR"/>
        </w:rPr>
        <w:t xml:space="preserve"> que estas indemnizaciones les </w:t>
      </w:r>
      <w:r w:rsidR="00AD44C6">
        <w:rPr>
          <w:rFonts w:ascii="Cambria" w:hAnsi="Cambria"/>
          <w:sz w:val="20"/>
          <w:szCs w:val="20"/>
          <w:lang w:val="es-AR"/>
        </w:rPr>
        <w:t>fueron ilegal y discriminatoriamente negadas a las presuntas víctimas</w:t>
      </w:r>
      <w:r w:rsidR="00594960">
        <w:rPr>
          <w:rStyle w:val="FootnoteReference"/>
          <w:rFonts w:ascii="Cambria" w:hAnsi="Cambria"/>
          <w:sz w:val="20"/>
          <w:szCs w:val="20"/>
          <w:lang w:val="es-AR"/>
        </w:rPr>
        <w:footnoteReference w:id="11"/>
      </w:r>
      <w:r w:rsidR="00AD44C6">
        <w:rPr>
          <w:rFonts w:ascii="Cambria" w:hAnsi="Cambria"/>
          <w:sz w:val="20"/>
          <w:szCs w:val="20"/>
          <w:lang w:val="es-AR"/>
        </w:rPr>
        <w:t xml:space="preserve">.  </w:t>
      </w:r>
    </w:p>
    <w:p w:rsidR="00B05EFE" w:rsidRPr="00A14DC3" w:rsidRDefault="00B05EFE" w:rsidP="00715B4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PA"/>
        </w:rPr>
      </w:pPr>
    </w:p>
    <w:p w:rsidR="00B05EFE" w:rsidRPr="00B05EFE" w:rsidRDefault="00B05EFE"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A"/>
        </w:rPr>
      </w:pPr>
      <w:r w:rsidRPr="00A14DC3">
        <w:rPr>
          <w:rFonts w:ascii="Cambria" w:hAnsi="Cambria"/>
          <w:sz w:val="20"/>
          <w:szCs w:val="20"/>
          <w:lang w:val="es-PA"/>
        </w:rPr>
        <w:t xml:space="preserve">Manifiesta que hasta 1980 las presuntas víctimas laboraban para la administración central del Estado, hasta que en 1981 la administración de la educación primaria y secundaria fue transferida a los municipios quienes la administraron directamente o a través de “Corporaciones Municipales para el Desarrollo Social”. Señala </w:t>
      </w:r>
      <w:r w:rsidRPr="0055297D">
        <w:rPr>
          <w:rFonts w:ascii="Cambria" w:hAnsi="Cambria"/>
          <w:sz w:val="20"/>
          <w:szCs w:val="20"/>
          <w:lang w:val="es-AR"/>
        </w:rPr>
        <w:t xml:space="preserve">que, pese a pertenecer al sector público, los contratos laborales </w:t>
      </w:r>
      <w:r w:rsidR="001A7C5E" w:rsidRPr="0055297D">
        <w:rPr>
          <w:rFonts w:ascii="Cambria" w:hAnsi="Cambria"/>
          <w:sz w:val="20"/>
          <w:szCs w:val="20"/>
          <w:lang w:val="es-AR"/>
        </w:rPr>
        <w:t>entre docentes</w:t>
      </w:r>
      <w:r w:rsidRPr="0055297D">
        <w:rPr>
          <w:rFonts w:ascii="Cambria" w:hAnsi="Cambria"/>
          <w:sz w:val="20"/>
          <w:szCs w:val="20"/>
          <w:lang w:val="es-AR"/>
        </w:rPr>
        <w:t xml:space="preserve"> y municipios o corporaciones municipales se </w:t>
      </w:r>
      <w:r w:rsidR="00621237" w:rsidRPr="0055297D">
        <w:rPr>
          <w:rFonts w:ascii="Cambria" w:hAnsi="Cambria"/>
          <w:sz w:val="20"/>
          <w:szCs w:val="20"/>
          <w:lang w:val="es-AR"/>
        </w:rPr>
        <w:t>r</w:t>
      </w:r>
      <w:r w:rsidR="00621237">
        <w:rPr>
          <w:rFonts w:ascii="Cambria" w:hAnsi="Cambria"/>
          <w:sz w:val="20"/>
          <w:szCs w:val="20"/>
          <w:lang w:val="es-AR"/>
        </w:rPr>
        <w:t>egía</w:t>
      </w:r>
      <w:r w:rsidR="00374668">
        <w:rPr>
          <w:rFonts w:ascii="Cambria" w:hAnsi="Cambria"/>
          <w:sz w:val="20"/>
          <w:szCs w:val="20"/>
          <w:lang w:val="es-AR"/>
        </w:rPr>
        <w:t>n</w:t>
      </w:r>
      <w:r w:rsidR="00621237" w:rsidRPr="0055297D">
        <w:rPr>
          <w:rFonts w:ascii="Cambria" w:hAnsi="Cambria"/>
          <w:sz w:val="20"/>
          <w:szCs w:val="20"/>
          <w:lang w:val="es-AR"/>
        </w:rPr>
        <w:t xml:space="preserve"> </w:t>
      </w:r>
      <w:r w:rsidRPr="0055297D">
        <w:rPr>
          <w:rFonts w:ascii="Cambria" w:hAnsi="Cambria"/>
          <w:sz w:val="20"/>
          <w:szCs w:val="20"/>
          <w:lang w:val="es-AR"/>
        </w:rPr>
        <w:t>por las normas del Código del Trabajo (en adelante “CT”).</w:t>
      </w:r>
    </w:p>
    <w:p w:rsidR="00B05EFE" w:rsidRPr="00A14DC3" w:rsidRDefault="00B05EFE" w:rsidP="00B05EF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hAnsi="Cambria"/>
          <w:sz w:val="20"/>
          <w:szCs w:val="20"/>
          <w:lang w:val="es-PA"/>
        </w:rPr>
      </w:pPr>
    </w:p>
    <w:p w:rsidR="00B05EFE" w:rsidRPr="000B67FF" w:rsidRDefault="00B05EFE" w:rsidP="00B05E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sidRPr="00C974F1">
        <w:rPr>
          <w:rFonts w:ascii="Cambria" w:hAnsi="Cambria"/>
          <w:sz w:val="20"/>
          <w:szCs w:val="20"/>
          <w:lang w:val="es-AR"/>
        </w:rPr>
        <w:t>Indican que el artículo 163 del CT establece que</w:t>
      </w:r>
      <w:r>
        <w:rPr>
          <w:rFonts w:ascii="Cambria" w:hAnsi="Cambria"/>
          <w:sz w:val="20"/>
          <w:szCs w:val="20"/>
          <w:lang w:val="es-AR"/>
        </w:rPr>
        <w:t>,</w:t>
      </w:r>
      <w:r w:rsidR="00594960">
        <w:rPr>
          <w:rFonts w:ascii="Cambria" w:hAnsi="Cambria"/>
          <w:sz w:val="20"/>
          <w:szCs w:val="20"/>
          <w:lang w:val="es-AR"/>
        </w:rPr>
        <w:t xml:space="preserve"> si el empleador pusiere término</w:t>
      </w:r>
      <w:r w:rsidR="00A82B19">
        <w:rPr>
          <w:rFonts w:ascii="Cambria" w:hAnsi="Cambria"/>
          <w:sz w:val="20"/>
          <w:szCs w:val="20"/>
          <w:lang w:val="es-AR"/>
        </w:rPr>
        <w:t xml:space="preserve"> a la relación laboral</w:t>
      </w:r>
      <w:r w:rsidR="00594960">
        <w:rPr>
          <w:rFonts w:ascii="Cambria" w:hAnsi="Cambria"/>
          <w:sz w:val="20"/>
          <w:szCs w:val="20"/>
          <w:lang w:val="es-AR"/>
        </w:rPr>
        <w:t xml:space="preserve"> en conformidad con el artículo 161 del mismo instrumento</w:t>
      </w:r>
      <w:r w:rsidR="00594960">
        <w:rPr>
          <w:rStyle w:val="FootnoteReference"/>
          <w:rFonts w:ascii="Cambria" w:hAnsi="Cambria"/>
          <w:sz w:val="20"/>
          <w:szCs w:val="20"/>
          <w:lang w:val="es-AR"/>
        </w:rPr>
        <w:footnoteReference w:id="12"/>
      </w:r>
      <w:r>
        <w:rPr>
          <w:rFonts w:ascii="Cambria" w:hAnsi="Cambria"/>
          <w:sz w:val="20"/>
          <w:szCs w:val="20"/>
          <w:lang w:val="es-AR"/>
        </w:rPr>
        <w:t xml:space="preserve">, </w:t>
      </w:r>
      <w:r w:rsidR="008D0515">
        <w:rPr>
          <w:rFonts w:ascii="Cambria" w:hAnsi="Cambria"/>
          <w:sz w:val="20"/>
          <w:szCs w:val="20"/>
          <w:lang w:val="es-AR"/>
        </w:rPr>
        <w:t>é</w:t>
      </w:r>
      <w:r w:rsidRPr="00C974F1">
        <w:rPr>
          <w:rFonts w:ascii="Cambria" w:hAnsi="Cambria"/>
          <w:sz w:val="20"/>
          <w:szCs w:val="20"/>
          <w:lang w:val="es-AR"/>
        </w:rPr>
        <w:t>ste debe pagar al trabajador una indemnización correspondiente a un mes por cada año de servicio de la última remuneración del trab</w:t>
      </w:r>
      <w:r>
        <w:rPr>
          <w:rFonts w:ascii="Cambria" w:hAnsi="Cambria"/>
          <w:sz w:val="20"/>
          <w:szCs w:val="20"/>
          <w:lang w:val="es-AR"/>
        </w:rPr>
        <w:t>ajador</w:t>
      </w:r>
      <w:r>
        <w:rPr>
          <w:rStyle w:val="FootnoteReference"/>
          <w:rFonts w:ascii="Cambria" w:hAnsi="Cambria"/>
          <w:sz w:val="20"/>
          <w:szCs w:val="20"/>
          <w:lang w:val="es-AR"/>
        </w:rPr>
        <w:footnoteReference w:id="13"/>
      </w:r>
      <w:r>
        <w:rPr>
          <w:rFonts w:ascii="Cambria" w:hAnsi="Cambria"/>
          <w:sz w:val="20"/>
          <w:szCs w:val="20"/>
          <w:lang w:val="es-AR"/>
        </w:rPr>
        <w:t>. Resalta que este mismo artículo establece que esta indemnización es compatible con la indemnización sustitutiva al aviso previo que según el CT deben pagar aquellos empleadores que incumplen con la obligación de notificar el cese de la relación laboral con treinta días de anticipación</w:t>
      </w:r>
      <w:r>
        <w:rPr>
          <w:rStyle w:val="FootnoteReference"/>
          <w:rFonts w:ascii="Cambria" w:hAnsi="Cambria"/>
          <w:sz w:val="20"/>
          <w:szCs w:val="20"/>
          <w:lang w:val="es-AR"/>
        </w:rPr>
        <w:footnoteReference w:id="14"/>
      </w:r>
      <w:r>
        <w:rPr>
          <w:rFonts w:ascii="Cambria" w:hAnsi="Cambria"/>
          <w:sz w:val="20"/>
          <w:szCs w:val="20"/>
          <w:lang w:val="es-AR"/>
        </w:rPr>
        <w:t>.</w:t>
      </w:r>
    </w:p>
    <w:p w:rsidR="000B67FF" w:rsidRDefault="000B67FF" w:rsidP="000B67FF">
      <w:pPr>
        <w:pStyle w:val="ListParagraph"/>
        <w:rPr>
          <w:sz w:val="20"/>
          <w:szCs w:val="20"/>
          <w:lang w:val="es-PA"/>
        </w:rPr>
      </w:pPr>
    </w:p>
    <w:p w:rsidR="00715B48" w:rsidRPr="00E1349F" w:rsidRDefault="00B05EFE"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sidRPr="000B67FF">
        <w:rPr>
          <w:rFonts w:ascii="Cambria" w:hAnsi="Cambria"/>
          <w:sz w:val="20"/>
          <w:szCs w:val="20"/>
          <w:lang w:val="es-AR"/>
        </w:rPr>
        <w:t>Agregan que en el 2006 se promulgó la ley 20.158, la que en su artículo 2 transitorio establece una bonificación por retiro voluntario para profesionales de la educación que al 31 de diciembre de 2006 tuvieran 60 años o más (mujeres) y 65 años o más (hombres)</w:t>
      </w:r>
      <w:r>
        <w:rPr>
          <w:rStyle w:val="FootnoteReference"/>
          <w:rFonts w:ascii="Cambria" w:hAnsi="Cambria"/>
          <w:sz w:val="20"/>
          <w:szCs w:val="20"/>
          <w:lang w:val="es-AR"/>
        </w:rPr>
        <w:footnoteReference w:id="15"/>
      </w:r>
      <w:r w:rsidRPr="000B67FF">
        <w:rPr>
          <w:rFonts w:ascii="Cambria" w:hAnsi="Cambria"/>
          <w:sz w:val="20"/>
          <w:szCs w:val="20"/>
          <w:lang w:val="es-AR"/>
        </w:rPr>
        <w:t>. Quienes querían acogerse a este beneficio debían formalizar su renuncia voluntaria a más tarde el 31 de octubre de 2007. El artículo también estableció que este beneficio sería compatible con cualquier otro beneficio homologable que se originara en una causal de similar otorgamiento</w:t>
      </w:r>
      <w:r w:rsidR="00621237">
        <w:rPr>
          <w:rStyle w:val="FootnoteReference"/>
          <w:rFonts w:ascii="Cambria" w:hAnsi="Cambria"/>
          <w:sz w:val="20"/>
          <w:szCs w:val="20"/>
          <w:lang w:val="es-AR"/>
        </w:rPr>
        <w:footnoteReference w:id="16"/>
      </w:r>
      <w:r w:rsidRPr="000B67FF">
        <w:rPr>
          <w:rFonts w:ascii="Cambria" w:hAnsi="Cambria"/>
          <w:sz w:val="20"/>
          <w:szCs w:val="20"/>
          <w:lang w:val="es-AR"/>
        </w:rPr>
        <w:t xml:space="preserve">. La norma también establecía que quienes se acogieran al beneficio no podrían volver a laborar en la educación pública municipal en los cinco años siguientes a la renuncia, a menos que devolvieran la totalidad de la bonificación percibida. </w:t>
      </w:r>
    </w:p>
    <w:p w:rsidR="00E1349F" w:rsidRDefault="00E1349F" w:rsidP="00E1349F">
      <w:pPr>
        <w:pStyle w:val="ListParagraph"/>
        <w:rPr>
          <w:sz w:val="20"/>
          <w:szCs w:val="20"/>
          <w:lang w:val="es-PA"/>
        </w:rPr>
      </w:pPr>
    </w:p>
    <w:p w:rsidR="00773293" w:rsidRPr="002622E8" w:rsidRDefault="00E1349F" w:rsidP="002622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sidRPr="00E1349F">
        <w:rPr>
          <w:rFonts w:ascii="Cambria" w:hAnsi="Cambria"/>
          <w:sz w:val="20"/>
          <w:szCs w:val="20"/>
          <w:lang w:val="es-PA"/>
        </w:rPr>
        <w:t>Indica que, inicialmente, las distintas municipalidades aplicaron la ley 20.158 sin controversia ni objeciones,</w:t>
      </w:r>
      <w:r w:rsidR="00165C6B">
        <w:rPr>
          <w:rFonts w:ascii="Cambria" w:hAnsi="Cambria"/>
          <w:sz w:val="20"/>
          <w:szCs w:val="20"/>
          <w:lang w:val="es-PA"/>
        </w:rPr>
        <w:t xml:space="preserve"> aceptando que la bonificación</w:t>
      </w:r>
      <w:r w:rsidRPr="00E1349F">
        <w:rPr>
          <w:rFonts w:ascii="Cambria" w:hAnsi="Cambria"/>
          <w:sz w:val="20"/>
          <w:szCs w:val="20"/>
          <w:lang w:val="es-PA"/>
        </w:rPr>
        <w:t xml:space="preserve"> por retiro voluntario de la ley 20.158 y las indemnizaciones dispuestas por el artículo 163 del CT eran mutuamente compatibles</w:t>
      </w:r>
      <w:r w:rsidR="006E63BC">
        <w:rPr>
          <w:rFonts w:ascii="Cambria" w:hAnsi="Cambria"/>
          <w:sz w:val="20"/>
          <w:szCs w:val="20"/>
          <w:lang w:val="es-PA"/>
        </w:rPr>
        <w:t xml:space="preserve"> y </w:t>
      </w:r>
      <w:r w:rsidR="004C2E13">
        <w:rPr>
          <w:rFonts w:ascii="Cambria" w:hAnsi="Cambria"/>
          <w:sz w:val="20"/>
          <w:szCs w:val="20"/>
          <w:lang w:val="es-PA"/>
        </w:rPr>
        <w:t>haciendo pago efectivo de</w:t>
      </w:r>
      <w:r w:rsidR="006E63BC">
        <w:rPr>
          <w:rFonts w:ascii="Cambria" w:hAnsi="Cambria"/>
          <w:sz w:val="20"/>
          <w:szCs w:val="20"/>
          <w:lang w:val="es-PA"/>
        </w:rPr>
        <w:t xml:space="preserve"> ambas a los docentes</w:t>
      </w:r>
      <w:r w:rsidR="004C2E13">
        <w:rPr>
          <w:rFonts w:ascii="Cambria" w:hAnsi="Cambria"/>
          <w:sz w:val="20"/>
          <w:szCs w:val="20"/>
          <w:lang w:val="es-PA"/>
        </w:rPr>
        <w:t xml:space="preserve"> que “se vieron forzados, mediante un finiquito, a poner término a sus contratos de trabajo</w:t>
      </w:r>
      <w:r w:rsidR="00D6538B">
        <w:rPr>
          <w:rFonts w:ascii="Cambria" w:hAnsi="Cambria"/>
          <w:sz w:val="20"/>
          <w:szCs w:val="20"/>
          <w:lang w:val="es-PA"/>
        </w:rPr>
        <w:t>”</w:t>
      </w:r>
      <w:r w:rsidR="00D6538B">
        <w:rPr>
          <w:rStyle w:val="FootnoteReference"/>
          <w:rFonts w:ascii="Cambria" w:hAnsi="Cambria"/>
          <w:sz w:val="20"/>
          <w:szCs w:val="20"/>
          <w:lang w:val="es-PA"/>
        </w:rPr>
        <w:footnoteReference w:id="17"/>
      </w:r>
      <w:r w:rsidR="004C2E13">
        <w:rPr>
          <w:rFonts w:ascii="Cambria" w:hAnsi="Cambria"/>
          <w:sz w:val="20"/>
          <w:szCs w:val="20"/>
          <w:lang w:val="es-PA"/>
        </w:rPr>
        <w:t>.</w:t>
      </w:r>
      <w:r w:rsidR="006E63BC">
        <w:rPr>
          <w:rFonts w:ascii="Cambria" w:hAnsi="Cambria"/>
          <w:sz w:val="20"/>
          <w:szCs w:val="20"/>
          <w:lang w:val="es-PA"/>
        </w:rPr>
        <w:t xml:space="preserve"> </w:t>
      </w:r>
      <w:r w:rsidR="004438CD">
        <w:rPr>
          <w:rFonts w:ascii="Cambria" w:hAnsi="Cambria"/>
          <w:sz w:val="20"/>
          <w:szCs w:val="20"/>
          <w:lang w:val="es-PA"/>
        </w:rPr>
        <w:t>Al</w:t>
      </w:r>
      <w:r w:rsidR="002622E8">
        <w:rPr>
          <w:rFonts w:ascii="Cambria" w:hAnsi="Cambria"/>
          <w:sz w:val="20"/>
          <w:szCs w:val="20"/>
          <w:lang w:val="es-PA"/>
        </w:rPr>
        <w:t>ega</w:t>
      </w:r>
      <w:r w:rsidR="004438CD">
        <w:rPr>
          <w:rFonts w:ascii="Cambria" w:hAnsi="Cambria"/>
          <w:sz w:val="20"/>
          <w:szCs w:val="20"/>
          <w:lang w:val="es-PA"/>
        </w:rPr>
        <w:t xml:space="preserve"> que, transcurridos dos años de la publicación de</w:t>
      </w:r>
      <w:r w:rsidR="00B05EFE" w:rsidRPr="002622E8">
        <w:rPr>
          <w:rFonts w:ascii="Cambria" w:hAnsi="Cambria"/>
          <w:sz w:val="20"/>
          <w:szCs w:val="20"/>
          <w:lang w:val="es-PA"/>
        </w:rPr>
        <w:t xml:space="preserve"> </w:t>
      </w:r>
      <w:r w:rsidR="00B05EFE" w:rsidRPr="002622E8">
        <w:rPr>
          <w:rFonts w:ascii="Cambria" w:hAnsi="Cambria"/>
          <w:sz w:val="20"/>
          <w:szCs w:val="20"/>
          <w:lang w:val="es-AR"/>
        </w:rPr>
        <w:t>la ley 20.158</w:t>
      </w:r>
      <w:r w:rsidR="004438CD">
        <w:rPr>
          <w:rFonts w:ascii="Cambria" w:hAnsi="Cambria"/>
          <w:sz w:val="20"/>
          <w:szCs w:val="20"/>
          <w:lang w:val="es-AR"/>
        </w:rPr>
        <w:t>, algunas</w:t>
      </w:r>
      <w:r w:rsidR="00B05EFE" w:rsidRPr="002622E8">
        <w:rPr>
          <w:rFonts w:ascii="Cambria" w:hAnsi="Cambria"/>
          <w:sz w:val="20"/>
          <w:szCs w:val="20"/>
          <w:lang w:val="es-AR"/>
        </w:rPr>
        <w:t xml:space="preserve"> municipalidades o sus corporaciones </w:t>
      </w:r>
      <w:r w:rsidR="00B05EFE" w:rsidRPr="002622E8">
        <w:rPr>
          <w:rFonts w:ascii="Cambria" w:hAnsi="Cambria"/>
          <w:sz w:val="20"/>
          <w:szCs w:val="20"/>
          <w:lang w:val="es-AR"/>
        </w:rPr>
        <w:lastRenderedPageBreak/>
        <w:t xml:space="preserve">“comenzaron a negar los pagos contemplados en el Código del Trabajo o en esa norma, forzando a los docentes que de buena fe esperaban el pago a renunciar a sus empleos”. </w:t>
      </w:r>
      <w:r w:rsidR="00773293" w:rsidRPr="002622E8">
        <w:rPr>
          <w:rFonts w:ascii="Cambria" w:hAnsi="Cambria"/>
          <w:sz w:val="20"/>
          <w:szCs w:val="20"/>
          <w:lang w:val="es-AR"/>
        </w:rPr>
        <w:t>Aporta tablas desglosando las cantidades totales que considera se adeudan a las presuntas víctimas, señalando como abonad</w:t>
      </w:r>
      <w:r w:rsidR="00605E33" w:rsidRPr="002622E8">
        <w:rPr>
          <w:rFonts w:ascii="Cambria" w:hAnsi="Cambria"/>
          <w:sz w:val="20"/>
          <w:szCs w:val="20"/>
          <w:lang w:val="es-AR"/>
        </w:rPr>
        <w:t xml:space="preserve">as las sumas correspondientes a </w:t>
      </w:r>
      <w:r w:rsidR="00773293" w:rsidRPr="002622E8">
        <w:rPr>
          <w:rFonts w:ascii="Cambria" w:hAnsi="Cambria"/>
          <w:sz w:val="20"/>
          <w:szCs w:val="20"/>
          <w:lang w:val="es-AR"/>
        </w:rPr>
        <w:t xml:space="preserve">la bonificación de la </w:t>
      </w:r>
      <w:r w:rsidR="00605E33" w:rsidRPr="002622E8">
        <w:rPr>
          <w:rFonts w:ascii="Cambria" w:hAnsi="Cambria"/>
          <w:sz w:val="20"/>
          <w:szCs w:val="20"/>
          <w:lang w:val="es-AR"/>
        </w:rPr>
        <w:t>ley 20.158 y como pendientes la totalidad de las</w:t>
      </w:r>
      <w:r w:rsidR="00773293" w:rsidRPr="002622E8">
        <w:rPr>
          <w:rFonts w:ascii="Cambria" w:hAnsi="Cambria"/>
          <w:sz w:val="20"/>
          <w:szCs w:val="20"/>
          <w:lang w:val="es-AR"/>
        </w:rPr>
        <w:t xml:space="preserve"> indemnizaciones por años de servicio y falta de aviso previo. </w:t>
      </w:r>
    </w:p>
    <w:p w:rsidR="00773293" w:rsidRDefault="00773293" w:rsidP="00773293">
      <w:pPr>
        <w:pStyle w:val="ListParagraph"/>
        <w:rPr>
          <w:sz w:val="20"/>
          <w:szCs w:val="20"/>
          <w:lang w:val="es-AR"/>
        </w:rPr>
      </w:pPr>
    </w:p>
    <w:p w:rsidR="00B05EFE" w:rsidRPr="00B05EFE" w:rsidRDefault="00B05EFE" w:rsidP="005C0E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A"/>
        </w:rPr>
      </w:pPr>
      <w:r>
        <w:rPr>
          <w:rFonts w:ascii="Cambria" w:hAnsi="Cambria"/>
          <w:sz w:val="20"/>
          <w:szCs w:val="20"/>
          <w:lang w:val="es-AR"/>
        </w:rPr>
        <w:t xml:space="preserve">Indica que </w:t>
      </w:r>
      <w:r w:rsidR="00AA498B">
        <w:rPr>
          <w:rFonts w:ascii="Cambria" w:hAnsi="Cambria"/>
          <w:sz w:val="20"/>
          <w:szCs w:val="20"/>
          <w:lang w:val="es-AR"/>
        </w:rPr>
        <w:t>lo anterior</w:t>
      </w:r>
      <w:r>
        <w:rPr>
          <w:rFonts w:ascii="Cambria" w:hAnsi="Cambria"/>
          <w:sz w:val="20"/>
          <w:szCs w:val="20"/>
          <w:lang w:val="es-AR"/>
        </w:rPr>
        <w:t xml:space="preserve"> ha dado lugar a una gran cantidad de juicios a lo largo del país en los que tantos los juzgados laborales como las cortes de apelaciones han tenido criterios dispares. </w:t>
      </w:r>
      <w:r w:rsidR="00423CAE">
        <w:rPr>
          <w:rFonts w:ascii="Cambria" w:hAnsi="Cambria"/>
          <w:sz w:val="20"/>
          <w:szCs w:val="20"/>
          <w:lang w:val="es-AR"/>
        </w:rPr>
        <w:t>Señala</w:t>
      </w:r>
      <w:r w:rsidR="00E25F11">
        <w:rPr>
          <w:rFonts w:ascii="Cambria" w:hAnsi="Cambria"/>
          <w:sz w:val="20"/>
          <w:szCs w:val="20"/>
          <w:lang w:val="es-AR"/>
        </w:rPr>
        <w:t>,</w:t>
      </w:r>
      <w:r w:rsidR="00423CAE">
        <w:rPr>
          <w:rFonts w:ascii="Cambria" w:hAnsi="Cambria"/>
          <w:sz w:val="20"/>
          <w:szCs w:val="20"/>
          <w:lang w:val="es-AR"/>
        </w:rPr>
        <w:t xml:space="preserve"> sin aportar copia de las sentencias, que</w:t>
      </w:r>
      <w:r>
        <w:rPr>
          <w:rFonts w:ascii="Cambria" w:hAnsi="Cambria"/>
          <w:sz w:val="20"/>
          <w:szCs w:val="20"/>
          <w:lang w:val="es-AR"/>
        </w:rPr>
        <w:t xml:space="preserve"> las presuntas víctimas interpusieron demandas laborales ante el Juzgado del Trabajo de Valparaíso, las cuales fueron desestimadas con fecha 15 de febrero de 2010 (primer grupo) y 15 de </w:t>
      </w:r>
      <w:r w:rsidR="00423CAE">
        <w:rPr>
          <w:rFonts w:ascii="Cambria" w:hAnsi="Cambria"/>
          <w:sz w:val="20"/>
          <w:szCs w:val="20"/>
          <w:lang w:val="es-AR"/>
        </w:rPr>
        <w:t xml:space="preserve">octubre de 2010 (segundo grupo); </w:t>
      </w:r>
      <w:r w:rsidR="00654E2C">
        <w:rPr>
          <w:rFonts w:ascii="Cambria" w:hAnsi="Cambria"/>
          <w:sz w:val="20"/>
          <w:szCs w:val="20"/>
          <w:lang w:val="es-AR"/>
        </w:rPr>
        <w:t xml:space="preserve">y </w:t>
      </w:r>
      <w:r w:rsidR="00423CAE">
        <w:rPr>
          <w:rFonts w:ascii="Cambria" w:hAnsi="Cambria"/>
          <w:sz w:val="20"/>
          <w:szCs w:val="20"/>
          <w:lang w:val="es-AR"/>
        </w:rPr>
        <w:t>que la</w:t>
      </w:r>
      <w:r>
        <w:rPr>
          <w:rFonts w:ascii="Cambria" w:hAnsi="Cambria"/>
          <w:sz w:val="20"/>
          <w:szCs w:val="20"/>
          <w:lang w:val="es-AR"/>
        </w:rPr>
        <w:t xml:space="preserve"> Corte de Apelaciones confirmó estas sentencias el 17 de mayo y 22 de nov</w:t>
      </w:r>
      <w:r w:rsidR="00423CAE">
        <w:rPr>
          <w:rFonts w:ascii="Cambria" w:hAnsi="Cambria"/>
          <w:sz w:val="20"/>
          <w:szCs w:val="20"/>
          <w:lang w:val="es-AR"/>
        </w:rPr>
        <w:t>iembre de 2010, respectivamente</w:t>
      </w:r>
      <w:r w:rsidR="00654E2C">
        <w:rPr>
          <w:rFonts w:ascii="Cambria" w:hAnsi="Cambria"/>
          <w:sz w:val="20"/>
          <w:szCs w:val="20"/>
          <w:lang w:val="es-AR"/>
        </w:rPr>
        <w:t>.</w:t>
      </w:r>
      <w:r w:rsidR="00423CAE">
        <w:rPr>
          <w:rFonts w:ascii="Cambria" w:hAnsi="Cambria"/>
          <w:sz w:val="20"/>
          <w:szCs w:val="20"/>
          <w:lang w:val="es-AR"/>
        </w:rPr>
        <w:t xml:space="preserve"> </w:t>
      </w:r>
      <w:r w:rsidR="00654E2C">
        <w:rPr>
          <w:rFonts w:ascii="Cambria" w:hAnsi="Cambria"/>
          <w:sz w:val="20"/>
          <w:szCs w:val="20"/>
          <w:lang w:val="es-AR"/>
        </w:rPr>
        <w:t>P</w:t>
      </w:r>
      <w:r>
        <w:rPr>
          <w:rFonts w:ascii="Cambria" w:hAnsi="Cambria"/>
          <w:sz w:val="20"/>
          <w:szCs w:val="20"/>
          <w:lang w:val="es-AR"/>
        </w:rPr>
        <w:t>osteriormente,</w:t>
      </w:r>
      <w:r w:rsidR="00654E2C">
        <w:rPr>
          <w:rFonts w:ascii="Cambria" w:hAnsi="Cambria"/>
          <w:sz w:val="20"/>
          <w:szCs w:val="20"/>
          <w:lang w:val="es-AR"/>
        </w:rPr>
        <w:t xml:space="preserve"> </w:t>
      </w:r>
      <w:r>
        <w:rPr>
          <w:rFonts w:ascii="Cambria" w:hAnsi="Cambria"/>
          <w:sz w:val="20"/>
          <w:szCs w:val="20"/>
          <w:lang w:val="es-AR"/>
        </w:rPr>
        <w:t>interpusieron recursos de unificación de Jurisprudencia</w:t>
      </w:r>
      <w:r w:rsidRPr="000D05CB">
        <w:rPr>
          <w:rStyle w:val="FootnoteReference"/>
          <w:rFonts w:ascii="Cambria" w:hAnsi="Cambria"/>
          <w:bCs/>
          <w:sz w:val="20"/>
          <w:szCs w:val="20"/>
        </w:rPr>
        <w:footnoteReference w:id="18"/>
      </w:r>
      <w:r>
        <w:rPr>
          <w:rFonts w:ascii="Cambria" w:hAnsi="Cambria"/>
          <w:sz w:val="20"/>
          <w:szCs w:val="20"/>
          <w:lang w:val="es-AR"/>
        </w:rPr>
        <w:t xml:space="preserve"> que fueron negados el 10 de agosto de 2010 </w:t>
      </w:r>
      <w:r w:rsidR="00340B32">
        <w:rPr>
          <w:rFonts w:ascii="Cambria" w:hAnsi="Cambria"/>
          <w:sz w:val="20"/>
          <w:szCs w:val="20"/>
          <w:lang w:val="es-AR"/>
        </w:rPr>
        <w:t xml:space="preserve">(afirmando que </w:t>
      </w:r>
      <w:r w:rsidR="0005193F">
        <w:rPr>
          <w:rFonts w:ascii="Cambria" w:hAnsi="Cambria"/>
          <w:sz w:val="20"/>
          <w:szCs w:val="20"/>
          <w:lang w:val="es-AR"/>
        </w:rPr>
        <w:t>“</w:t>
      </w:r>
      <w:r w:rsidR="00340B32">
        <w:rPr>
          <w:rFonts w:ascii="Cambria" w:hAnsi="Cambria"/>
          <w:sz w:val="20"/>
          <w:szCs w:val="20"/>
          <w:lang w:val="es-AR"/>
        </w:rPr>
        <w:t>el recurso se sustenta en hechos no acreditados, esto es, los vicios de consentimiento alegados como fundamento de la demanda</w:t>
      </w:r>
      <w:r w:rsidR="0005193F">
        <w:rPr>
          <w:rFonts w:ascii="Cambria" w:hAnsi="Cambria"/>
          <w:sz w:val="20"/>
          <w:szCs w:val="20"/>
          <w:lang w:val="es-AR"/>
        </w:rPr>
        <w:t>”</w:t>
      </w:r>
      <w:r w:rsidR="00340B32">
        <w:rPr>
          <w:rFonts w:ascii="Cambria" w:hAnsi="Cambria"/>
          <w:sz w:val="20"/>
          <w:szCs w:val="20"/>
          <w:lang w:val="es-AR"/>
        </w:rPr>
        <w:t xml:space="preserve">) </w:t>
      </w:r>
      <w:r>
        <w:rPr>
          <w:rFonts w:ascii="Cambria" w:hAnsi="Cambria"/>
          <w:sz w:val="20"/>
          <w:szCs w:val="20"/>
          <w:lang w:val="es-AR"/>
        </w:rPr>
        <w:t>y 28 de enero de 2011</w:t>
      </w:r>
      <w:r w:rsidR="00D1214E">
        <w:rPr>
          <w:rFonts w:ascii="Cambria" w:hAnsi="Cambria"/>
          <w:sz w:val="20"/>
          <w:szCs w:val="20"/>
          <w:lang w:val="es-AR"/>
        </w:rPr>
        <w:t xml:space="preserve"> (</w:t>
      </w:r>
      <w:r w:rsidR="000B087C">
        <w:rPr>
          <w:rFonts w:ascii="Cambria" w:hAnsi="Cambria"/>
          <w:sz w:val="20"/>
          <w:szCs w:val="20"/>
          <w:lang w:val="es-AR"/>
        </w:rPr>
        <w:t>concluyendo “</w:t>
      </w:r>
      <w:r w:rsidR="00AF60F7">
        <w:rPr>
          <w:rFonts w:ascii="Cambria" w:hAnsi="Cambria"/>
          <w:sz w:val="20"/>
          <w:szCs w:val="20"/>
          <w:lang w:val="es-AR"/>
        </w:rPr>
        <w:t>que las sentenci</w:t>
      </w:r>
      <w:r w:rsidR="000B087C">
        <w:rPr>
          <w:rFonts w:ascii="Cambria" w:hAnsi="Cambria"/>
          <w:sz w:val="20"/>
          <w:szCs w:val="20"/>
          <w:lang w:val="es-AR"/>
        </w:rPr>
        <w:t>as en que se apoya este recurso…</w:t>
      </w:r>
      <w:r w:rsidR="00AF60F7">
        <w:rPr>
          <w:rFonts w:ascii="Cambria" w:hAnsi="Cambria"/>
          <w:sz w:val="20"/>
          <w:szCs w:val="20"/>
          <w:lang w:val="es-AR"/>
        </w:rPr>
        <w:t xml:space="preserve"> no contienen interpretación distinta a la sostenida en la resol</w:t>
      </w:r>
      <w:bookmarkStart w:id="1" w:name="_GoBack"/>
      <w:bookmarkEnd w:id="1"/>
      <w:r w:rsidR="00AF60F7">
        <w:rPr>
          <w:rFonts w:ascii="Cambria" w:hAnsi="Cambria"/>
          <w:sz w:val="20"/>
          <w:szCs w:val="20"/>
          <w:lang w:val="es-AR"/>
        </w:rPr>
        <w:t>ución objeto de este arbitrio</w:t>
      </w:r>
      <w:r w:rsidR="000B087C">
        <w:rPr>
          <w:rFonts w:ascii="Cambria" w:hAnsi="Cambria"/>
          <w:sz w:val="20"/>
          <w:szCs w:val="20"/>
          <w:lang w:val="es-AR"/>
        </w:rPr>
        <w:t>”</w:t>
      </w:r>
      <w:r w:rsidR="00D1214E">
        <w:rPr>
          <w:rFonts w:ascii="Cambria" w:hAnsi="Cambria"/>
          <w:sz w:val="20"/>
          <w:szCs w:val="20"/>
          <w:lang w:val="es-AR"/>
        </w:rPr>
        <w:t>)</w:t>
      </w:r>
      <w:r>
        <w:rPr>
          <w:rFonts w:ascii="Cambria" w:hAnsi="Cambria"/>
          <w:sz w:val="20"/>
          <w:szCs w:val="20"/>
          <w:lang w:val="es-AR"/>
        </w:rPr>
        <w:t xml:space="preserve">. </w:t>
      </w:r>
      <w:r w:rsidR="00773293">
        <w:rPr>
          <w:rFonts w:ascii="Cambria" w:hAnsi="Cambria"/>
          <w:sz w:val="20"/>
          <w:szCs w:val="20"/>
          <w:lang w:val="es-AR"/>
        </w:rPr>
        <w:t>Contra esta denegatoria interpusieron recursos</w:t>
      </w:r>
      <w:r>
        <w:rPr>
          <w:rFonts w:ascii="Cambria" w:hAnsi="Cambria"/>
          <w:sz w:val="20"/>
          <w:szCs w:val="20"/>
          <w:lang w:val="es-AR"/>
        </w:rPr>
        <w:t xml:space="preserve"> de reposición o reconsideración, desestimados el 24 de agosto de 2010 y 4 de marzo de 2011. Alega que con estas decisiones se agotó la jurisdicción doméstica. </w:t>
      </w:r>
    </w:p>
    <w:p w:rsidR="00B05EFE" w:rsidRPr="00A14DC3" w:rsidRDefault="00B05EFE" w:rsidP="005C0EB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PA"/>
        </w:rPr>
      </w:pPr>
    </w:p>
    <w:p w:rsidR="00B05EFE" w:rsidRDefault="00B05EFE" w:rsidP="005C0E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A"/>
        </w:rPr>
      </w:pPr>
      <w:r w:rsidRPr="00A14DC3">
        <w:rPr>
          <w:rFonts w:ascii="Cambria" w:hAnsi="Cambria"/>
          <w:sz w:val="20"/>
          <w:szCs w:val="20"/>
          <w:lang w:val="es-PA"/>
        </w:rPr>
        <w:t xml:space="preserve">La parte peticionaria alega que la ley 20.158 se promulgó con el fin mejorar las condiciones laborales de quienes trabajaban en la enseñanza pública, por lo que no puede ser interpretada en un sentido que restrinja beneficios preexistentes. Considera que el Estado violó los derechos de las presuntas víctimas a la propiedad y a la seguridad porque la ley les concedió beneficios que ingresaron a su patrimonio de los que luego fueron injustificadamente despojados. De igual manera, argumenta que el Estado violó el derecho a la igualdad ante la ley y el principio “igual salario por trabajo igual” pues las presuntas víctimas fueron discriminadas con respecto a otras personas que cumplieron exactamente los mismos requisitos y fueron despedidas de la misma manera por municipalidades y corporaciones que si dieron cumplimiento estricto a la ley y pagaron todos los beneficios. </w:t>
      </w:r>
    </w:p>
    <w:p w:rsidR="00B05EFE" w:rsidRPr="00A14DC3" w:rsidRDefault="00B05EFE" w:rsidP="005C0EB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PA"/>
        </w:rPr>
      </w:pPr>
    </w:p>
    <w:p w:rsidR="00B05EFE" w:rsidRDefault="00B05EFE" w:rsidP="005C0E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r>
        <w:rPr>
          <w:rFonts w:ascii="Cambria" w:hAnsi="Cambria"/>
          <w:sz w:val="20"/>
          <w:szCs w:val="20"/>
          <w:lang w:val="es-AR"/>
        </w:rPr>
        <w:t xml:space="preserve">El Estado, por su parte, argumenta que la parte peticionaria denuncia la violación del derecho al trabajo, basándose en instrumentos jurídicos respecto a los cuales la Comisión no tiene competencia </w:t>
      </w:r>
      <w:r w:rsidRPr="00090D50">
        <w:rPr>
          <w:rFonts w:ascii="Cambria" w:hAnsi="Cambria"/>
          <w:i/>
          <w:sz w:val="20"/>
          <w:szCs w:val="20"/>
          <w:lang w:val="es-AR"/>
        </w:rPr>
        <w:t>ratione materiae</w:t>
      </w:r>
      <w:r>
        <w:rPr>
          <w:rFonts w:ascii="Cambria" w:hAnsi="Cambria"/>
          <w:sz w:val="20"/>
          <w:szCs w:val="20"/>
          <w:lang w:val="es-AR"/>
        </w:rPr>
        <w:t xml:space="preserve">, tales como el Pacto Internacional de Derechos Económicos, Sociales y Culturales y la Declaración Universal de </w:t>
      </w:r>
      <w:r w:rsidR="001A7C5E">
        <w:rPr>
          <w:rFonts w:ascii="Cambria" w:hAnsi="Cambria"/>
          <w:sz w:val="20"/>
          <w:szCs w:val="20"/>
          <w:lang w:val="es-AR"/>
        </w:rPr>
        <w:t>Derechos Humanos</w:t>
      </w:r>
      <w:r>
        <w:rPr>
          <w:rFonts w:ascii="Cambria" w:hAnsi="Cambria"/>
          <w:sz w:val="20"/>
          <w:szCs w:val="20"/>
          <w:lang w:val="es-AR"/>
        </w:rPr>
        <w:t>. Señala que Chile no ha ratificado el Protocolo de San Salvado</w:t>
      </w:r>
      <w:r w:rsidR="00A766B9">
        <w:rPr>
          <w:rFonts w:ascii="Cambria" w:hAnsi="Cambria"/>
          <w:sz w:val="20"/>
          <w:szCs w:val="20"/>
          <w:lang w:val="es-AR"/>
        </w:rPr>
        <w:t>r</w:t>
      </w:r>
      <w:r>
        <w:rPr>
          <w:rFonts w:ascii="Cambria" w:hAnsi="Cambria"/>
          <w:sz w:val="20"/>
          <w:szCs w:val="20"/>
          <w:lang w:val="es-AR"/>
        </w:rPr>
        <w:t xml:space="preserve"> y que, si bien este derecho se encuentra en la Declaración Americana de Derechos y Deberes del Hombre, es</w:t>
      </w:r>
      <w:r w:rsidR="00090D50">
        <w:rPr>
          <w:rFonts w:ascii="Cambria" w:hAnsi="Cambria"/>
          <w:sz w:val="20"/>
          <w:szCs w:val="20"/>
          <w:lang w:val="es-AR"/>
        </w:rPr>
        <w:t>to</w:t>
      </w:r>
      <w:r>
        <w:rPr>
          <w:rFonts w:ascii="Cambria" w:hAnsi="Cambria"/>
          <w:sz w:val="20"/>
          <w:szCs w:val="20"/>
          <w:lang w:val="es-AR"/>
        </w:rPr>
        <w:t xml:space="preserve"> no lo incorpora al sistema de peticiones de la Convención.</w:t>
      </w:r>
    </w:p>
    <w:p w:rsidR="00B05EFE" w:rsidRPr="00BF3F8B" w:rsidRDefault="00B05EFE" w:rsidP="005C0EB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AR"/>
        </w:rPr>
      </w:pPr>
    </w:p>
    <w:p w:rsidR="00B05EFE" w:rsidRPr="00DB3424" w:rsidRDefault="00B05EFE" w:rsidP="005C0E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PA"/>
        </w:rPr>
      </w:pPr>
      <w:r w:rsidRPr="00144871">
        <w:rPr>
          <w:rFonts w:ascii="Cambria" w:hAnsi="Cambria"/>
          <w:sz w:val="20"/>
          <w:szCs w:val="20"/>
          <w:lang w:val="es-PA"/>
        </w:rPr>
        <w:t xml:space="preserve">También alega que la finalidad de la parte peticionaria es que la Comisión actúe ilegítimamente como un tribunal de alzada para revisar las decisiones emitidas por los tribunales domésticos, por su simple desacuerdo con estas. Indica que la compatibilidad o no </w:t>
      </w:r>
      <w:r w:rsidRPr="00144871">
        <w:rPr>
          <w:rFonts w:ascii="Cambria" w:hAnsi="Cambria"/>
          <w:sz w:val="20"/>
          <w:szCs w:val="20"/>
          <w:lang w:val="es-AR"/>
        </w:rPr>
        <w:t xml:space="preserve">de la indemnización por años de servicio que establece el CT con la bonificación por retiro señalada en la ley 20.158 es un tema que debe ser definido por los tribunales domésticos y que no corresponde a instancias internacionales. Resalta que la parte peticionaria no ha denunciado que los tribunales domésticos hayan cometido violaciones al debido proceso al resolver las pretensiones de las presuntas víctimas. </w:t>
      </w:r>
      <w:r>
        <w:rPr>
          <w:rFonts w:ascii="Cambria" w:hAnsi="Cambria"/>
          <w:sz w:val="20"/>
          <w:szCs w:val="20"/>
          <w:lang w:val="es-AR"/>
        </w:rPr>
        <w:t>Agrega</w:t>
      </w:r>
      <w:r w:rsidRPr="00144871">
        <w:rPr>
          <w:rFonts w:ascii="Cambria" w:hAnsi="Cambria"/>
          <w:sz w:val="20"/>
          <w:szCs w:val="20"/>
          <w:lang w:val="es-AR"/>
        </w:rPr>
        <w:t xml:space="preserve"> que </w:t>
      </w:r>
      <w:r>
        <w:rPr>
          <w:rFonts w:ascii="Cambria" w:hAnsi="Cambria"/>
          <w:sz w:val="20"/>
          <w:szCs w:val="20"/>
          <w:lang w:val="es-AR"/>
        </w:rPr>
        <w:t xml:space="preserve">la </w:t>
      </w:r>
      <w:r w:rsidRPr="00144871">
        <w:rPr>
          <w:rFonts w:ascii="Cambria" w:hAnsi="Cambria"/>
          <w:sz w:val="20"/>
          <w:szCs w:val="20"/>
          <w:lang w:val="es-AR"/>
        </w:rPr>
        <w:t>parte pe</w:t>
      </w:r>
      <w:r>
        <w:rPr>
          <w:rFonts w:ascii="Cambria" w:hAnsi="Cambria"/>
          <w:sz w:val="20"/>
          <w:szCs w:val="20"/>
          <w:lang w:val="es-AR"/>
        </w:rPr>
        <w:t>ticionaria no ha aportado las sentencias que según sus alegatos habrían reconocido a otras personas los derechos negados a las presuntas víctimas</w:t>
      </w:r>
      <w:r w:rsidR="00AA498B">
        <w:rPr>
          <w:rStyle w:val="FootnoteReference"/>
          <w:rFonts w:ascii="Cambria" w:hAnsi="Cambria"/>
          <w:sz w:val="20"/>
          <w:szCs w:val="20"/>
          <w:lang w:val="es-AR"/>
        </w:rPr>
        <w:footnoteReference w:id="19"/>
      </w:r>
      <w:r>
        <w:rPr>
          <w:rFonts w:ascii="Cambria" w:hAnsi="Cambria"/>
          <w:sz w:val="20"/>
          <w:szCs w:val="20"/>
          <w:lang w:val="es-AR"/>
        </w:rPr>
        <w:t>.</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715B48" w:rsidRDefault="00374C69"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no cuenta con copia de las demandas presentadas ni de las decisiones emitidas a nivel doméstico</w:t>
      </w:r>
      <w:r w:rsidR="00E25F11">
        <w:rPr>
          <w:rFonts w:ascii="Cambria" w:hAnsi="Cambria"/>
          <w:sz w:val="20"/>
          <w:szCs w:val="20"/>
          <w:lang w:val="es-ES"/>
        </w:rPr>
        <w:t xml:space="preserve">, </w:t>
      </w:r>
      <w:r w:rsidR="00C23703">
        <w:rPr>
          <w:rFonts w:ascii="Cambria" w:hAnsi="Cambria"/>
          <w:sz w:val="20"/>
          <w:szCs w:val="20"/>
          <w:lang w:val="es-ES"/>
        </w:rPr>
        <w:t xml:space="preserve">excepto </w:t>
      </w:r>
      <w:r w:rsidR="00F66676">
        <w:rPr>
          <w:rFonts w:ascii="Cambria" w:hAnsi="Cambria"/>
          <w:sz w:val="20"/>
          <w:szCs w:val="20"/>
          <w:lang w:val="es-ES"/>
        </w:rPr>
        <w:t>la</w:t>
      </w:r>
      <w:r w:rsidR="00090D50">
        <w:rPr>
          <w:rFonts w:ascii="Cambria" w:hAnsi="Cambria"/>
          <w:sz w:val="20"/>
          <w:szCs w:val="20"/>
          <w:lang w:val="es-ES"/>
        </w:rPr>
        <w:t>s resoluciones</w:t>
      </w:r>
      <w:r w:rsidR="00F66676">
        <w:rPr>
          <w:rFonts w:ascii="Cambria" w:hAnsi="Cambria"/>
          <w:sz w:val="20"/>
          <w:szCs w:val="20"/>
          <w:lang w:val="es-ES"/>
        </w:rPr>
        <w:t xml:space="preserve"> </w:t>
      </w:r>
      <w:r w:rsidR="00C23703">
        <w:rPr>
          <w:rFonts w:ascii="Cambria" w:hAnsi="Cambria"/>
          <w:sz w:val="20"/>
          <w:szCs w:val="20"/>
          <w:lang w:val="es-ES"/>
        </w:rPr>
        <w:t>de denegatoria de</w:t>
      </w:r>
      <w:r w:rsidR="00090D50">
        <w:rPr>
          <w:rFonts w:ascii="Cambria" w:hAnsi="Cambria"/>
          <w:sz w:val="20"/>
          <w:szCs w:val="20"/>
          <w:lang w:val="es-ES"/>
        </w:rPr>
        <w:t xml:space="preserve"> </w:t>
      </w:r>
      <w:r w:rsidR="00F66676">
        <w:rPr>
          <w:rFonts w:ascii="Cambria" w:hAnsi="Cambria"/>
          <w:sz w:val="20"/>
          <w:szCs w:val="20"/>
          <w:lang w:val="es-ES"/>
        </w:rPr>
        <w:t>l</w:t>
      </w:r>
      <w:r w:rsidR="00090D50">
        <w:rPr>
          <w:rFonts w:ascii="Cambria" w:hAnsi="Cambria"/>
          <w:sz w:val="20"/>
          <w:szCs w:val="20"/>
          <w:lang w:val="es-ES"/>
        </w:rPr>
        <w:t>os</w:t>
      </w:r>
      <w:r w:rsidR="00C23703">
        <w:rPr>
          <w:rFonts w:ascii="Cambria" w:hAnsi="Cambria"/>
          <w:sz w:val="20"/>
          <w:szCs w:val="20"/>
          <w:lang w:val="es-ES"/>
        </w:rPr>
        <w:t xml:space="preserve"> recurso</w:t>
      </w:r>
      <w:r w:rsidR="00090D50">
        <w:rPr>
          <w:rFonts w:ascii="Cambria" w:hAnsi="Cambria"/>
          <w:sz w:val="20"/>
          <w:szCs w:val="20"/>
          <w:lang w:val="es-ES"/>
        </w:rPr>
        <w:t>s</w:t>
      </w:r>
      <w:r w:rsidR="00E25F11">
        <w:rPr>
          <w:rFonts w:ascii="Cambria" w:hAnsi="Cambria"/>
          <w:sz w:val="20"/>
          <w:szCs w:val="20"/>
          <w:lang w:val="es-ES"/>
        </w:rPr>
        <w:t xml:space="preserve"> de unificación de jurisprudencia</w:t>
      </w:r>
      <w:r w:rsidR="00F66676">
        <w:rPr>
          <w:rFonts w:ascii="Cambria" w:hAnsi="Cambria"/>
          <w:sz w:val="20"/>
          <w:szCs w:val="20"/>
          <w:lang w:val="es-ES"/>
        </w:rPr>
        <w:t xml:space="preserve"> de ambos grupos,</w:t>
      </w:r>
      <w:r w:rsidR="00C23703">
        <w:rPr>
          <w:rFonts w:ascii="Cambria" w:hAnsi="Cambria"/>
          <w:sz w:val="20"/>
          <w:szCs w:val="20"/>
          <w:lang w:val="es-ES"/>
        </w:rPr>
        <w:t xml:space="preserve"> en la que no consta</w:t>
      </w:r>
      <w:r w:rsidR="00090D50">
        <w:rPr>
          <w:rFonts w:ascii="Cambria" w:hAnsi="Cambria"/>
          <w:sz w:val="20"/>
          <w:szCs w:val="20"/>
          <w:lang w:val="es-ES"/>
        </w:rPr>
        <w:t>n</w:t>
      </w:r>
      <w:r w:rsidR="00C23703">
        <w:rPr>
          <w:rFonts w:ascii="Cambria" w:hAnsi="Cambria"/>
          <w:sz w:val="20"/>
          <w:szCs w:val="20"/>
          <w:lang w:val="es-ES"/>
        </w:rPr>
        <w:t xml:space="preserve"> los nombres de las partes</w:t>
      </w:r>
      <w:r>
        <w:rPr>
          <w:rFonts w:ascii="Cambria" w:hAnsi="Cambria"/>
          <w:sz w:val="20"/>
          <w:szCs w:val="20"/>
          <w:lang w:val="es-ES"/>
        </w:rPr>
        <w:t>. Sin embargo, a falta de objeción por parte del Estado a lo aseverado por la parte peticionaria al respecto</w:t>
      </w:r>
      <w:r w:rsidR="00715B48">
        <w:rPr>
          <w:rFonts w:ascii="Cambria" w:hAnsi="Cambria"/>
          <w:sz w:val="20"/>
          <w:szCs w:val="20"/>
          <w:lang w:val="es-ES"/>
        </w:rPr>
        <w:t xml:space="preserve">, esta Comisión concluye que la jurisdicción </w:t>
      </w:r>
      <w:r w:rsidR="00715B48">
        <w:rPr>
          <w:rFonts w:ascii="Cambria" w:hAnsi="Cambria"/>
          <w:sz w:val="20"/>
          <w:szCs w:val="20"/>
          <w:lang w:val="es-ES"/>
        </w:rPr>
        <w:lastRenderedPageBreak/>
        <w:t>doméstica se agotó con las resoluciones dictadas el 24 de agosto de 2010 (primer grupo) y 4 de marzo de 2011 (segundo grupo), por lo que la petición cumple con el requisito señalado en el artículo 46.1.a de la Convención. Dado que las peticiones fueron presentad</w:t>
      </w:r>
      <w:r w:rsidR="00821766">
        <w:rPr>
          <w:rFonts w:ascii="Cambria" w:hAnsi="Cambria"/>
          <w:sz w:val="20"/>
          <w:szCs w:val="20"/>
          <w:lang w:val="es-ES"/>
        </w:rPr>
        <w:t>as el 9</w:t>
      </w:r>
      <w:r w:rsidR="00244EFD">
        <w:rPr>
          <w:rFonts w:ascii="Cambria" w:hAnsi="Cambria"/>
          <w:sz w:val="20"/>
          <w:szCs w:val="20"/>
          <w:lang w:val="es-ES"/>
        </w:rPr>
        <w:t xml:space="preserve"> de febrero</w:t>
      </w:r>
      <w:r w:rsidR="00821766">
        <w:rPr>
          <w:rFonts w:ascii="Cambria" w:hAnsi="Cambria"/>
          <w:sz w:val="20"/>
          <w:szCs w:val="20"/>
          <w:lang w:val="es-ES"/>
        </w:rPr>
        <w:t xml:space="preserve"> y 2 de septiembre</w:t>
      </w:r>
      <w:r w:rsidR="00244EFD">
        <w:rPr>
          <w:rFonts w:ascii="Cambria" w:hAnsi="Cambria"/>
          <w:sz w:val="20"/>
          <w:szCs w:val="20"/>
          <w:lang w:val="es-ES"/>
        </w:rPr>
        <w:t xml:space="preserve"> de 2011,</w:t>
      </w:r>
      <w:r w:rsidR="00715B48">
        <w:rPr>
          <w:rFonts w:ascii="Cambria" w:hAnsi="Cambria"/>
          <w:sz w:val="20"/>
          <w:szCs w:val="20"/>
          <w:lang w:val="es-ES"/>
        </w:rPr>
        <w:t xml:space="preserve"> la Comisión considera que estas cumplen el plazo de presentación señalado en el artículo 46.1(b) del mismo instrumento.</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214ACF" w:rsidRPr="00214ACF" w:rsidRDefault="0051495D"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w:t>
      </w:r>
      <w:r w:rsidR="004160BF">
        <w:rPr>
          <w:rFonts w:ascii="Cambria" w:hAnsi="Cambria"/>
          <w:sz w:val="20"/>
          <w:szCs w:val="20"/>
          <w:lang w:val="es-ES"/>
        </w:rPr>
        <w:t>lo</w:t>
      </w:r>
      <w:r>
        <w:rPr>
          <w:rFonts w:ascii="Cambria" w:hAnsi="Cambria"/>
          <w:sz w:val="20"/>
          <w:szCs w:val="20"/>
          <w:lang w:val="es-ES"/>
        </w:rPr>
        <w:t xml:space="preserve"> </w:t>
      </w:r>
      <w:r w:rsidR="004939A2">
        <w:rPr>
          <w:rFonts w:ascii="Cambria" w:hAnsi="Cambria"/>
          <w:sz w:val="20"/>
          <w:szCs w:val="20"/>
          <w:lang w:val="es-ES"/>
        </w:rPr>
        <w:t>alegado</w:t>
      </w:r>
      <w:r w:rsidR="004160BF">
        <w:rPr>
          <w:rFonts w:ascii="Cambria" w:hAnsi="Cambria"/>
          <w:sz w:val="20"/>
          <w:szCs w:val="20"/>
          <w:lang w:val="es-ES"/>
        </w:rPr>
        <w:t xml:space="preserve"> por la parte peticionaria</w:t>
      </w:r>
      <w:r w:rsidR="004939A2">
        <w:rPr>
          <w:rFonts w:ascii="Cambria" w:hAnsi="Cambria"/>
          <w:sz w:val="20"/>
          <w:szCs w:val="20"/>
          <w:lang w:val="es-ES"/>
        </w:rPr>
        <w:t xml:space="preserve"> es que</w:t>
      </w:r>
      <w:r w:rsidR="0048797B">
        <w:rPr>
          <w:rFonts w:ascii="Cambria" w:hAnsi="Cambria"/>
          <w:sz w:val="20"/>
          <w:szCs w:val="20"/>
          <w:lang w:val="es-ES"/>
        </w:rPr>
        <w:t xml:space="preserve"> </w:t>
      </w:r>
      <w:r w:rsidR="00715B48">
        <w:rPr>
          <w:rFonts w:ascii="Cambria" w:hAnsi="Cambria"/>
          <w:sz w:val="20"/>
          <w:szCs w:val="20"/>
          <w:lang w:val="es-ES"/>
        </w:rPr>
        <w:t>la municipalidad de Valparaiso y los tribunales domésticos</w:t>
      </w:r>
      <w:r w:rsidR="004939A2">
        <w:rPr>
          <w:rFonts w:ascii="Cambria" w:hAnsi="Cambria"/>
          <w:sz w:val="20"/>
          <w:szCs w:val="20"/>
          <w:lang w:val="es-ES"/>
        </w:rPr>
        <w:t xml:space="preserve"> violaron la Convención Americana </w:t>
      </w:r>
      <w:r w:rsidR="00305375">
        <w:rPr>
          <w:rFonts w:ascii="Cambria" w:hAnsi="Cambria"/>
          <w:sz w:val="20"/>
          <w:szCs w:val="20"/>
          <w:lang w:val="es-ES"/>
        </w:rPr>
        <w:t>porque negaron</w:t>
      </w:r>
      <w:r w:rsidR="00715B48">
        <w:rPr>
          <w:rFonts w:ascii="Cambria" w:hAnsi="Cambria"/>
          <w:sz w:val="20"/>
          <w:szCs w:val="20"/>
          <w:lang w:val="es-ES"/>
        </w:rPr>
        <w:t xml:space="preserve"> a las presuntas víctimas </w:t>
      </w:r>
      <w:r w:rsidR="00D67642">
        <w:rPr>
          <w:rFonts w:ascii="Cambria" w:hAnsi="Cambria"/>
          <w:sz w:val="20"/>
          <w:szCs w:val="20"/>
          <w:lang w:val="es-ES"/>
        </w:rPr>
        <w:t xml:space="preserve">prestaciones </w:t>
      </w:r>
      <w:r w:rsidR="00715B48">
        <w:rPr>
          <w:rFonts w:ascii="Cambria" w:hAnsi="Cambria"/>
          <w:sz w:val="20"/>
          <w:szCs w:val="20"/>
          <w:lang w:val="es-ES"/>
        </w:rPr>
        <w:t>laboral</w:t>
      </w:r>
      <w:r w:rsidR="00D67642">
        <w:rPr>
          <w:rFonts w:ascii="Cambria" w:hAnsi="Cambria"/>
          <w:sz w:val="20"/>
          <w:szCs w:val="20"/>
          <w:lang w:val="es-ES"/>
        </w:rPr>
        <w:t>es</w:t>
      </w:r>
      <w:r w:rsidR="00715B48">
        <w:rPr>
          <w:rFonts w:ascii="Cambria" w:hAnsi="Cambria"/>
          <w:sz w:val="20"/>
          <w:szCs w:val="20"/>
          <w:lang w:val="es-ES"/>
        </w:rPr>
        <w:t xml:space="preserve"> a la</w:t>
      </w:r>
      <w:r w:rsidR="00333823">
        <w:rPr>
          <w:rFonts w:ascii="Cambria" w:hAnsi="Cambria"/>
          <w:sz w:val="20"/>
          <w:szCs w:val="20"/>
          <w:lang w:val="es-ES"/>
        </w:rPr>
        <w:t>s</w:t>
      </w:r>
      <w:r w:rsidR="00715B48">
        <w:rPr>
          <w:rFonts w:ascii="Cambria" w:hAnsi="Cambria"/>
          <w:sz w:val="20"/>
          <w:szCs w:val="20"/>
          <w:lang w:val="es-ES"/>
        </w:rPr>
        <w:t xml:space="preserve"> que tenían derecho, desconociendo que la ley establecía una compatibilidad entre la</w:t>
      </w:r>
      <w:r w:rsidR="00090D50">
        <w:rPr>
          <w:rFonts w:ascii="Cambria" w:hAnsi="Cambria"/>
          <w:sz w:val="20"/>
          <w:szCs w:val="20"/>
          <w:lang w:val="es-ES"/>
        </w:rPr>
        <w:t>s</w:t>
      </w:r>
      <w:r w:rsidR="00715B48">
        <w:rPr>
          <w:rFonts w:ascii="Cambria" w:hAnsi="Cambria"/>
          <w:sz w:val="20"/>
          <w:szCs w:val="20"/>
          <w:lang w:val="es-ES"/>
        </w:rPr>
        <w:t xml:space="preserve"> indemnizaci</w:t>
      </w:r>
      <w:r w:rsidR="00D67642">
        <w:rPr>
          <w:rFonts w:ascii="Cambria" w:hAnsi="Cambria"/>
          <w:sz w:val="20"/>
          <w:szCs w:val="20"/>
          <w:lang w:val="es-ES"/>
        </w:rPr>
        <w:t>ones por años de servicio y falta de aviso previo contempladas en el CT</w:t>
      </w:r>
      <w:r w:rsidR="00715B48">
        <w:rPr>
          <w:rFonts w:ascii="Cambria" w:hAnsi="Cambria"/>
          <w:sz w:val="20"/>
          <w:szCs w:val="20"/>
          <w:lang w:val="es-ES"/>
        </w:rPr>
        <w:t xml:space="preserve"> y el beneficio</w:t>
      </w:r>
      <w:r w:rsidR="00715B48" w:rsidRPr="002D140A">
        <w:rPr>
          <w:rFonts w:ascii="Cambria" w:hAnsi="Cambria"/>
          <w:sz w:val="20"/>
          <w:szCs w:val="20"/>
          <w:lang w:val="es-PA"/>
        </w:rPr>
        <w:t xml:space="preserve"> </w:t>
      </w:r>
      <w:r w:rsidR="00715B48" w:rsidRPr="00A14DC3">
        <w:rPr>
          <w:rFonts w:ascii="Cambria" w:hAnsi="Cambria"/>
          <w:sz w:val="20"/>
          <w:szCs w:val="20"/>
          <w:lang w:val="es-PA"/>
        </w:rPr>
        <w:t>por retiro voluntario de la ley 20.158</w:t>
      </w:r>
      <w:r w:rsidR="00715B48">
        <w:rPr>
          <w:rFonts w:ascii="Cambria" w:hAnsi="Cambria"/>
          <w:sz w:val="20"/>
          <w:szCs w:val="20"/>
          <w:lang w:val="es-PA"/>
        </w:rPr>
        <w:t>.</w:t>
      </w:r>
      <w:r w:rsidR="004939A2">
        <w:rPr>
          <w:rFonts w:ascii="Cambria" w:hAnsi="Cambria"/>
          <w:sz w:val="20"/>
          <w:szCs w:val="20"/>
          <w:lang w:val="es-PA"/>
        </w:rPr>
        <w:t xml:space="preserve"> </w:t>
      </w:r>
    </w:p>
    <w:p w:rsidR="008315F0" w:rsidRPr="00CC1856" w:rsidRDefault="004160BF" w:rsidP="00CC18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C1856">
        <w:rPr>
          <w:rFonts w:ascii="Cambria" w:hAnsi="Cambria"/>
          <w:sz w:val="20"/>
          <w:szCs w:val="20"/>
          <w:lang w:val="es-PA"/>
        </w:rPr>
        <w:t xml:space="preserve"> </w:t>
      </w:r>
      <w:r w:rsidR="00214ACF" w:rsidRPr="00CC1856">
        <w:rPr>
          <w:rFonts w:ascii="Cambria" w:hAnsi="Cambria"/>
          <w:sz w:val="20"/>
          <w:szCs w:val="20"/>
          <w:lang w:val="es-ES"/>
        </w:rPr>
        <w:t>L</w:t>
      </w:r>
      <w:r w:rsidRPr="00CC1856">
        <w:rPr>
          <w:rFonts w:ascii="Cambria" w:hAnsi="Cambria"/>
          <w:sz w:val="20"/>
          <w:szCs w:val="20"/>
          <w:lang w:val="es-PA"/>
        </w:rPr>
        <w:t xml:space="preserve">a Comisión resalta que el no pago por parte de un Estado de prestaciones que según el derecho interno le corresponden a sus trabajadores generalmente implica violaciones a la Convención Americana. En el presente caso, </w:t>
      </w:r>
      <w:r w:rsidR="00214ACF" w:rsidRPr="00CC1856">
        <w:rPr>
          <w:rFonts w:ascii="Cambria" w:hAnsi="Cambria"/>
          <w:sz w:val="20"/>
          <w:szCs w:val="20"/>
          <w:lang w:val="es-PA"/>
        </w:rPr>
        <w:t>la parte peticionaria ha</w:t>
      </w:r>
      <w:r w:rsidRPr="00CC1856">
        <w:rPr>
          <w:rFonts w:ascii="Cambria" w:hAnsi="Cambria"/>
          <w:sz w:val="20"/>
          <w:szCs w:val="20"/>
          <w:lang w:val="es-PA"/>
        </w:rPr>
        <w:t xml:space="preserve"> explicado porqué, según su interpretación del derecho interno, le corresponderían</w:t>
      </w:r>
      <w:r w:rsidR="009C322B">
        <w:rPr>
          <w:rFonts w:ascii="Cambria" w:hAnsi="Cambria"/>
          <w:sz w:val="20"/>
          <w:szCs w:val="20"/>
          <w:lang w:val="es-PA"/>
        </w:rPr>
        <w:t xml:space="preserve"> a las presuntas víctimas</w:t>
      </w:r>
      <w:r w:rsidRPr="00CC1856">
        <w:rPr>
          <w:rFonts w:ascii="Cambria" w:hAnsi="Cambria"/>
          <w:sz w:val="20"/>
          <w:szCs w:val="20"/>
          <w:lang w:val="es-PA"/>
        </w:rPr>
        <w:t xml:space="preserve"> las prestaciones reclamadas. Sin embargo, también han reconocido que no existe consenso a nivel doméstico respecto a la compatibilidad entre el beneficio que se les pagó y las otras prestaciones reclamadas, con decisiones divergentes por parte de distintos tribunales domésticos. </w:t>
      </w:r>
      <w:r w:rsidR="00214ACF" w:rsidRPr="00CC1856">
        <w:rPr>
          <w:rFonts w:ascii="Cambria" w:hAnsi="Cambria"/>
          <w:sz w:val="20"/>
          <w:szCs w:val="20"/>
          <w:lang w:val="es-PA"/>
        </w:rPr>
        <w:t xml:space="preserve">Dada su naturaleza, </w:t>
      </w:r>
      <w:r w:rsidR="00CC1856" w:rsidRPr="00CC1856">
        <w:rPr>
          <w:rFonts w:ascii="Cambria" w:hAnsi="Cambria"/>
          <w:sz w:val="20"/>
          <w:szCs w:val="20"/>
          <w:lang w:val="es-PA"/>
        </w:rPr>
        <w:t>no</w:t>
      </w:r>
      <w:r w:rsidR="00096F1B" w:rsidRPr="00CC1856">
        <w:rPr>
          <w:rFonts w:ascii="Cambria" w:hAnsi="Cambria"/>
          <w:sz w:val="20"/>
          <w:szCs w:val="20"/>
          <w:lang w:val="es-PA"/>
        </w:rPr>
        <w:t xml:space="preserve"> le corresponde a la Comisión</w:t>
      </w:r>
      <w:r w:rsidR="001F49D6" w:rsidRPr="00CC1856">
        <w:rPr>
          <w:rFonts w:ascii="Cambria" w:hAnsi="Cambria"/>
          <w:sz w:val="20"/>
          <w:szCs w:val="20"/>
          <w:lang w:val="es-PA"/>
        </w:rPr>
        <w:t xml:space="preserve"> dirimir controversia</w:t>
      </w:r>
      <w:r w:rsidR="006F2C8C" w:rsidRPr="00CC1856">
        <w:rPr>
          <w:rFonts w:ascii="Cambria" w:hAnsi="Cambria"/>
          <w:sz w:val="20"/>
          <w:szCs w:val="20"/>
          <w:lang w:val="es-PA"/>
        </w:rPr>
        <w:t>s</w:t>
      </w:r>
      <w:r w:rsidR="001F49D6" w:rsidRPr="00CC1856">
        <w:rPr>
          <w:rFonts w:ascii="Cambria" w:hAnsi="Cambria"/>
          <w:sz w:val="20"/>
          <w:szCs w:val="20"/>
          <w:lang w:val="es-PA"/>
        </w:rPr>
        <w:t xml:space="preserve"> respecto a la interpretación del derecho interno</w:t>
      </w:r>
      <w:r w:rsidR="00214ACF">
        <w:rPr>
          <w:rStyle w:val="FootnoteReference"/>
          <w:rFonts w:ascii="Cambria" w:hAnsi="Cambria"/>
          <w:sz w:val="20"/>
          <w:szCs w:val="20"/>
          <w:lang w:val="es-PA"/>
        </w:rPr>
        <w:footnoteReference w:id="20"/>
      </w:r>
      <w:r w:rsidR="00214ACF" w:rsidRPr="00CC1856">
        <w:rPr>
          <w:rFonts w:ascii="Cambria" w:hAnsi="Cambria"/>
          <w:sz w:val="20"/>
          <w:szCs w:val="20"/>
          <w:lang w:val="es-PA"/>
        </w:rPr>
        <w:t>.</w:t>
      </w:r>
      <w:r w:rsidR="00BA0EC0" w:rsidRPr="00CC1856">
        <w:rPr>
          <w:rFonts w:ascii="Cambria" w:hAnsi="Cambria"/>
          <w:sz w:val="20"/>
          <w:szCs w:val="20"/>
          <w:lang w:val="es-PA"/>
        </w:rPr>
        <w:t xml:space="preserve"> </w:t>
      </w:r>
      <w:r w:rsidR="00CC1856">
        <w:rPr>
          <w:rFonts w:ascii="Cambria" w:hAnsi="Cambria"/>
          <w:sz w:val="20"/>
          <w:szCs w:val="20"/>
          <w:lang w:val="es-PA"/>
        </w:rPr>
        <w:t>Las partes no han aportado copia de las decisiones internas que denegaron las prestaciones reclamadas ni ning</w:t>
      </w:r>
      <w:r w:rsidR="00791579">
        <w:rPr>
          <w:rFonts w:ascii="Cambria" w:hAnsi="Cambria"/>
          <w:sz w:val="20"/>
          <w:szCs w:val="20"/>
          <w:lang w:val="es-PA"/>
        </w:rPr>
        <w:t>ún otro elemento que le permita</w:t>
      </w:r>
      <w:r w:rsidR="00CC1856">
        <w:rPr>
          <w:rFonts w:ascii="Cambria" w:hAnsi="Cambria"/>
          <w:sz w:val="20"/>
          <w:szCs w:val="20"/>
          <w:lang w:val="es-PA"/>
        </w:rPr>
        <w:t xml:space="preserve"> a la Comisión realizar un examen prima facie respecto </w:t>
      </w:r>
      <w:r w:rsidR="005A559A">
        <w:rPr>
          <w:rFonts w:ascii="Cambria" w:hAnsi="Cambria"/>
          <w:sz w:val="20"/>
          <w:szCs w:val="20"/>
          <w:lang w:val="es-PA"/>
        </w:rPr>
        <w:t xml:space="preserve">a si las mismas pudieran adolecer de vicios tales como arbitrariedad, desviación del poder, irrazonabilidad u cualquier otro que pudiera implicar </w:t>
      </w:r>
      <w:r w:rsidR="009C322B">
        <w:rPr>
          <w:rFonts w:ascii="Cambria" w:hAnsi="Cambria"/>
          <w:sz w:val="20"/>
          <w:szCs w:val="20"/>
          <w:lang w:val="es-PA"/>
        </w:rPr>
        <w:t xml:space="preserve">violaciones a alguno de los instrumentos internacionales sobre los que tiene competencia. </w:t>
      </w:r>
      <w:r w:rsidR="005A559A">
        <w:rPr>
          <w:rFonts w:ascii="Cambria" w:hAnsi="Cambria"/>
          <w:sz w:val="20"/>
          <w:szCs w:val="20"/>
          <w:lang w:val="es-PA"/>
        </w:rPr>
        <w:t xml:space="preserve"> </w:t>
      </w:r>
    </w:p>
    <w:p w:rsidR="0072080A" w:rsidRPr="0072080A" w:rsidRDefault="00715B48" w:rsidP="00145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315F0">
        <w:rPr>
          <w:rFonts w:asciiTheme="majorHAnsi" w:hAnsiTheme="majorHAnsi"/>
          <w:sz w:val="20"/>
          <w:szCs w:val="20"/>
          <w:lang w:val="es-PA"/>
        </w:rPr>
        <w:t xml:space="preserve">La Comisión observa que la parte peticionaria también ha alegado que las presuntas víctimas esperaban de buena fe y tenían una expectativa cierta de recibir </w:t>
      </w:r>
      <w:r w:rsidR="00316084" w:rsidRPr="008315F0">
        <w:rPr>
          <w:rFonts w:asciiTheme="majorHAnsi" w:hAnsiTheme="majorHAnsi"/>
          <w:sz w:val="20"/>
          <w:szCs w:val="20"/>
          <w:lang w:val="es-PA"/>
        </w:rPr>
        <w:t>las tres prestaciones</w:t>
      </w:r>
      <w:r w:rsidRPr="008315F0">
        <w:rPr>
          <w:rFonts w:asciiTheme="majorHAnsi" w:hAnsiTheme="majorHAnsi"/>
          <w:sz w:val="20"/>
          <w:szCs w:val="20"/>
          <w:lang w:val="es-PA"/>
        </w:rPr>
        <w:t xml:space="preserve">, puesto que por dos años </w:t>
      </w:r>
      <w:r w:rsidR="00316084" w:rsidRPr="008315F0">
        <w:rPr>
          <w:rFonts w:asciiTheme="majorHAnsi" w:hAnsiTheme="majorHAnsi"/>
          <w:sz w:val="20"/>
          <w:szCs w:val="20"/>
          <w:lang w:val="es-PA"/>
        </w:rPr>
        <w:t>estas</w:t>
      </w:r>
      <w:r w:rsidRPr="008315F0">
        <w:rPr>
          <w:rFonts w:asciiTheme="majorHAnsi" w:hAnsiTheme="majorHAnsi"/>
          <w:sz w:val="20"/>
          <w:szCs w:val="20"/>
          <w:lang w:val="es-PA"/>
        </w:rPr>
        <w:t xml:space="preserve"> fueron pagadas conjuntamente sin objeción por las municipalidades. También ha</w:t>
      </w:r>
      <w:r w:rsidR="00C22C5D" w:rsidRPr="008315F0">
        <w:rPr>
          <w:rFonts w:asciiTheme="majorHAnsi" w:hAnsiTheme="majorHAnsi"/>
          <w:sz w:val="20"/>
          <w:szCs w:val="20"/>
          <w:lang w:val="es-PA"/>
        </w:rPr>
        <w:t>n</w:t>
      </w:r>
      <w:r w:rsidRPr="008315F0">
        <w:rPr>
          <w:rFonts w:asciiTheme="majorHAnsi" w:hAnsiTheme="majorHAnsi"/>
          <w:sz w:val="20"/>
          <w:szCs w:val="20"/>
          <w:lang w:val="es-PA"/>
        </w:rPr>
        <w:t xml:space="preserve"> alegado que el negar el pago de la</w:t>
      </w:r>
      <w:r w:rsidR="00305375" w:rsidRPr="008315F0">
        <w:rPr>
          <w:rFonts w:asciiTheme="majorHAnsi" w:hAnsiTheme="majorHAnsi"/>
          <w:sz w:val="20"/>
          <w:szCs w:val="20"/>
          <w:lang w:val="es-PA"/>
        </w:rPr>
        <w:t xml:space="preserve">s prestaciones </w:t>
      </w:r>
      <w:r w:rsidRPr="008315F0">
        <w:rPr>
          <w:rFonts w:asciiTheme="majorHAnsi" w:hAnsiTheme="majorHAnsi"/>
          <w:sz w:val="20"/>
          <w:szCs w:val="20"/>
          <w:lang w:val="es-PA"/>
        </w:rPr>
        <w:t>a las presuntas víctimas, cuando a otras personas en mismas circunstancias se les reconoció, vulnera el derecho a la igualdad ante la ley y el principio de igual remuneración por igual trabajo. Sin emb</w:t>
      </w:r>
      <w:r w:rsidR="0072080A">
        <w:rPr>
          <w:rFonts w:asciiTheme="majorHAnsi" w:hAnsiTheme="majorHAnsi"/>
          <w:sz w:val="20"/>
          <w:szCs w:val="20"/>
          <w:lang w:val="es-PA"/>
        </w:rPr>
        <w:t>argo, la Comisión ya se ha pronunciado en el sentido “que la mera invocación de otros fallos sobre la misma materia con resultados diferentes, no es suficiente para caracterizar prima facie una posible violación del artículo 24 de la Convención”</w:t>
      </w:r>
      <w:r w:rsidRPr="00DA58FB">
        <w:rPr>
          <w:rStyle w:val="FootnoteReference"/>
          <w:rFonts w:cs="Calibri"/>
          <w:lang w:val="es-ES"/>
        </w:rPr>
        <w:footnoteReference w:id="21"/>
      </w:r>
      <w:r w:rsidRPr="008315F0">
        <w:rPr>
          <w:rFonts w:asciiTheme="majorHAnsi" w:hAnsiTheme="majorHAnsi" w:cs="Calibri"/>
          <w:sz w:val="20"/>
          <w:szCs w:val="20"/>
          <w:lang w:val="es-ES"/>
        </w:rPr>
        <w:t>.</w:t>
      </w:r>
      <w:r w:rsidR="00404F15">
        <w:rPr>
          <w:rFonts w:asciiTheme="majorHAnsi" w:hAnsiTheme="majorHAnsi" w:cs="Calibri"/>
          <w:sz w:val="20"/>
          <w:szCs w:val="20"/>
          <w:lang w:val="es-ES"/>
        </w:rPr>
        <w:t xml:space="preserve"> N</w:t>
      </w:r>
      <w:r w:rsidR="0072080A">
        <w:rPr>
          <w:rFonts w:asciiTheme="majorHAnsi" w:hAnsiTheme="majorHAnsi" w:cs="Calibri"/>
          <w:sz w:val="20"/>
          <w:szCs w:val="20"/>
          <w:lang w:val="es-ES"/>
        </w:rPr>
        <w:t xml:space="preserve">o constan en expediente </w:t>
      </w:r>
      <w:r w:rsidR="00404F15">
        <w:rPr>
          <w:rFonts w:asciiTheme="majorHAnsi" w:hAnsiTheme="majorHAnsi" w:cs="Calibri"/>
          <w:sz w:val="20"/>
          <w:szCs w:val="20"/>
          <w:lang w:val="es-ES"/>
        </w:rPr>
        <w:t xml:space="preserve">las decisiones que, según se aduce, reconocieron los derechos negados a las presuntas víctimas a otras personas en similares situaciones. Por esta razón, es imposible para la Comisión </w:t>
      </w:r>
      <w:r w:rsidR="00253A47">
        <w:rPr>
          <w:rFonts w:asciiTheme="majorHAnsi" w:hAnsiTheme="majorHAnsi" w:cs="Calibri"/>
          <w:sz w:val="20"/>
          <w:szCs w:val="20"/>
          <w:lang w:val="es-ES"/>
        </w:rPr>
        <w:t>realizar un análisis respecto a una posible violación del derecho a la igualdad ante la ley</w:t>
      </w:r>
      <w:r w:rsidR="00FE1249">
        <w:rPr>
          <w:rFonts w:asciiTheme="majorHAnsi" w:hAnsiTheme="majorHAnsi" w:cs="Calibri"/>
          <w:sz w:val="20"/>
          <w:szCs w:val="20"/>
          <w:lang w:val="es-ES"/>
        </w:rPr>
        <w:t xml:space="preserve">; no bastando lo expuesto por los peticionarios, aún presumiéndose como cierto, para concluir </w:t>
      </w:r>
      <w:r w:rsidR="00FE1249" w:rsidRPr="00BF2FB5">
        <w:rPr>
          <w:rFonts w:asciiTheme="majorHAnsi" w:hAnsiTheme="majorHAnsi" w:cs="Calibri"/>
          <w:i/>
          <w:sz w:val="20"/>
          <w:szCs w:val="20"/>
          <w:lang w:val="es-ES"/>
        </w:rPr>
        <w:t>prima facie</w:t>
      </w:r>
      <w:r w:rsidR="00FE1249">
        <w:rPr>
          <w:rFonts w:asciiTheme="majorHAnsi" w:hAnsiTheme="majorHAnsi" w:cs="Calibri"/>
          <w:sz w:val="20"/>
          <w:szCs w:val="20"/>
          <w:lang w:val="es-ES"/>
        </w:rPr>
        <w:t xml:space="preserve"> su posible violación. </w:t>
      </w:r>
    </w:p>
    <w:p w:rsidR="00715B48" w:rsidRPr="008315F0" w:rsidRDefault="00FE1249" w:rsidP="00145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cs="Calibri"/>
          <w:sz w:val="20"/>
          <w:szCs w:val="20"/>
          <w:lang w:val="es-ES"/>
        </w:rPr>
        <w:t>Por último, l</w:t>
      </w:r>
      <w:r w:rsidR="00715B48" w:rsidRPr="008315F0">
        <w:rPr>
          <w:rFonts w:asciiTheme="majorHAnsi" w:hAnsiTheme="majorHAnsi" w:cs="Calibri"/>
          <w:sz w:val="20"/>
          <w:szCs w:val="20"/>
          <w:lang w:val="es-ES"/>
        </w:rPr>
        <w:t>a Comisión también toma nota que la parte p</w:t>
      </w:r>
      <w:r>
        <w:rPr>
          <w:rFonts w:asciiTheme="majorHAnsi" w:hAnsiTheme="majorHAnsi" w:cs="Calibri"/>
          <w:sz w:val="20"/>
          <w:szCs w:val="20"/>
          <w:lang w:val="es-ES"/>
        </w:rPr>
        <w:t>eticionaria ha hecho referencia</w:t>
      </w:r>
      <w:r w:rsidR="00715B48" w:rsidRPr="008315F0">
        <w:rPr>
          <w:rFonts w:asciiTheme="majorHAnsi" w:hAnsiTheme="majorHAnsi" w:cs="Calibri"/>
          <w:sz w:val="20"/>
          <w:szCs w:val="20"/>
          <w:lang w:val="es-ES"/>
        </w:rPr>
        <w:t xml:space="preserve"> que las presuntas víctimas </w:t>
      </w:r>
      <w:r w:rsidR="00791579">
        <w:rPr>
          <w:rFonts w:asciiTheme="majorHAnsi" w:hAnsiTheme="majorHAnsi" w:cs="Calibri"/>
          <w:sz w:val="20"/>
          <w:szCs w:val="20"/>
          <w:lang w:val="es-ES"/>
        </w:rPr>
        <w:t xml:space="preserve">fueron forzadas a renunciar a sus trabajos. Cualquier acto del Estado que atente contra la liberalidad con que debe contar toda persona al decidir sobre si continuar o no en su empleo pudiera implicar violaciones a la Convención Americana. </w:t>
      </w:r>
      <w:r w:rsidR="00715B48" w:rsidRPr="008315F0">
        <w:rPr>
          <w:rFonts w:asciiTheme="majorHAnsi" w:hAnsiTheme="majorHAnsi" w:cs="Calibri"/>
          <w:sz w:val="20"/>
          <w:szCs w:val="20"/>
          <w:lang w:val="es-ES"/>
        </w:rPr>
        <w:t>Sin embargo,</w:t>
      </w:r>
      <w:r w:rsidR="00791579">
        <w:rPr>
          <w:rFonts w:asciiTheme="majorHAnsi" w:hAnsiTheme="majorHAnsi" w:cs="Calibri"/>
          <w:sz w:val="20"/>
          <w:szCs w:val="20"/>
          <w:lang w:val="es-ES"/>
        </w:rPr>
        <w:t xml:space="preserve"> la parte peticionaria</w:t>
      </w:r>
      <w:r w:rsidR="00715B48" w:rsidRPr="008315F0">
        <w:rPr>
          <w:rFonts w:asciiTheme="majorHAnsi" w:hAnsiTheme="majorHAnsi" w:cs="Calibri"/>
          <w:sz w:val="20"/>
          <w:szCs w:val="20"/>
          <w:lang w:val="es-ES"/>
        </w:rPr>
        <w:t xml:space="preserve"> no ha expuesto claramente las razones por las cuales </w:t>
      </w:r>
      <w:r w:rsidR="00333823" w:rsidRPr="008315F0">
        <w:rPr>
          <w:rFonts w:asciiTheme="majorHAnsi" w:hAnsiTheme="majorHAnsi" w:cs="Calibri"/>
          <w:sz w:val="20"/>
          <w:szCs w:val="20"/>
          <w:lang w:val="es-ES"/>
        </w:rPr>
        <w:t>considera que las renuncias no debe</w:t>
      </w:r>
      <w:r w:rsidR="00715B48" w:rsidRPr="008315F0">
        <w:rPr>
          <w:rFonts w:asciiTheme="majorHAnsi" w:hAnsiTheme="majorHAnsi" w:cs="Calibri"/>
          <w:sz w:val="20"/>
          <w:szCs w:val="20"/>
          <w:lang w:val="es-ES"/>
        </w:rPr>
        <w:t>n considerarse voluntarias</w:t>
      </w:r>
      <w:r w:rsidR="00791579">
        <w:rPr>
          <w:rFonts w:asciiTheme="majorHAnsi" w:hAnsiTheme="majorHAnsi" w:cs="Calibri"/>
          <w:sz w:val="20"/>
          <w:szCs w:val="20"/>
          <w:lang w:val="es-ES"/>
        </w:rPr>
        <w:t xml:space="preserve"> ni</w:t>
      </w:r>
      <w:r w:rsidR="00715B48" w:rsidRPr="008315F0">
        <w:rPr>
          <w:rFonts w:asciiTheme="majorHAnsi" w:hAnsiTheme="majorHAnsi" w:cs="Calibri"/>
          <w:sz w:val="20"/>
          <w:szCs w:val="20"/>
          <w:lang w:val="es-ES"/>
        </w:rPr>
        <w:t xml:space="preserve"> </w:t>
      </w:r>
      <w:r w:rsidR="00B0642F">
        <w:rPr>
          <w:rFonts w:asciiTheme="majorHAnsi" w:hAnsiTheme="majorHAnsi" w:cs="Calibri"/>
          <w:sz w:val="20"/>
          <w:szCs w:val="20"/>
          <w:lang w:val="es-ES"/>
        </w:rPr>
        <w:t>se desprende</w:t>
      </w:r>
      <w:r w:rsidR="00791579">
        <w:rPr>
          <w:rFonts w:asciiTheme="majorHAnsi" w:hAnsiTheme="majorHAnsi" w:cs="Calibri"/>
          <w:sz w:val="20"/>
          <w:szCs w:val="20"/>
          <w:lang w:val="es-ES"/>
        </w:rPr>
        <w:t xml:space="preserve"> del expediente ningún otro elemento que le indicie </w:t>
      </w:r>
      <w:r w:rsidR="00791579" w:rsidRPr="00BF2FB5">
        <w:rPr>
          <w:rFonts w:asciiTheme="majorHAnsi" w:hAnsiTheme="majorHAnsi" w:cs="Calibri"/>
          <w:i/>
          <w:sz w:val="20"/>
          <w:szCs w:val="20"/>
          <w:lang w:val="es-ES"/>
        </w:rPr>
        <w:t>prima facie</w:t>
      </w:r>
      <w:r w:rsidR="00791579">
        <w:rPr>
          <w:rFonts w:asciiTheme="majorHAnsi" w:hAnsiTheme="majorHAnsi" w:cs="Calibri"/>
          <w:sz w:val="20"/>
          <w:szCs w:val="20"/>
          <w:lang w:val="es-ES"/>
        </w:rPr>
        <w:t xml:space="preserve"> a la Comisión una posible </w:t>
      </w:r>
      <w:r w:rsidR="00B0642F">
        <w:rPr>
          <w:rFonts w:asciiTheme="majorHAnsi" w:hAnsiTheme="majorHAnsi" w:cs="Calibri"/>
          <w:sz w:val="20"/>
          <w:szCs w:val="20"/>
          <w:lang w:val="es-ES"/>
        </w:rPr>
        <w:t>infracción a la libre voluntad de las presuntas víctimas.</w:t>
      </w:r>
    </w:p>
    <w:p w:rsidR="00715B48" w:rsidRPr="00D11506" w:rsidRDefault="00715B48"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cs="Calibri"/>
          <w:sz w:val="20"/>
          <w:szCs w:val="20"/>
          <w:lang w:val="es-ES"/>
        </w:rPr>
        <w:t>Por las razones expuestas, la Comisión concluye que en el present</w:t>
      </w:r>
      <w:r w:rsidR="008B10CB">
        <w:rPr>
          <w:rFonts w:asciiTheme="majorHAnsi" w:hAnsiTheme="majorHAnsi" w:cs="Calibri"/>
          <w:sz w:val="20"/>
          <w:szCs w:val="20"/>
          <w:lang w:val="es-ES"/>
        </w:rPr>
        <w:t>e</w:t>
      </w:r>
      <w:r>
        <w:rPr>
          <w:rFonts w:asciiTheme="majorHAnsi" w:hAnsiTheme="majorHAnsi" w:cs="Calibri"/>
          <w:sz w:val="20"/>
          <w:szCs w:val="20"/>
          <w:lang w:val="es-ES"/>
        </w:rPr>
        <w:t xml:space="preserve"> caso no cuenta con elementos que le permitan concluir, ni siquiera </w:t>
      </w:r>
      <w:r w:rsidRPr="00E62D43">
        <w:rPr>
          <w:rFonts w:asciiTheme="majorHAnsi" w:hAnsiTheme="majorHAnsi" w:cs="Calibri"/>
          <w:i/>
          <w:sz w:val="20"/>
          <w:szCs w:val="20"/>
          <w:lang w:val="es-ES"/>
        </w:rPr>
        <w:t>prima facie</w:t>
      </w:r>
      <w:r>
        <w:rPr>
          <w:rFonts w:asciiTheme="majorHAnsi" w:hAnsiTheme="majorHAnsi" w:cs="Calibri"/>
          <w:sz w:val="20"/>
          <w:szCs w:val="20"/>
          <w:lang w:val="es-ES"/>
        </w:rPr>
        <w:t xml:space="preserve">, posibles violaciones a la Convención Americana y que la petición resulta inadmisible con fundamento en el artículo 47(b) de la Convención. </w:t>
      </w:r>
    </w:p>
    <w:p w:rsidR="00715B48" w:rsidRPr="00715B48" w:rsidRDefault="00715B48" w:rsidP="00715B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11506">
        <w:rPr>
          <w:rFonts w:asciiTheme="majorHAnsi" w:hAnsiTheme="majorHAnsi" w:cs="Calibri"/>
          <w:sz w:val="20"/>
          <w:szCs w:val="20"/>
          <w:lang w:val="es-ES"/>
        </w:rPr>
        <w:lastRenderedPageBreak/>
        <w:t xml:space="preserve">Respecto a las aducidas violaciones a la Declaración Universal de Derechos Humanos, Pacto Internacional de Derechos Civiles y Políticos y el Pacto Internacional de Derechos Económicos, Sociales y Culturales, la Comisión carece de competencia </w:t>
      </w:r>
      <w:r w:rsidRPr="00D11506">
        <w:rPr>
          <w:rFonts w:asciiTheme="majorHAnsi" w:hAnsiTheme="majorHAnsi" w:cs="Calibri"/>
          <w:i/>
          <w:sz w:val="20"/>
          <w:szCs w:val="20"/>
          <w:lang w:val="es-ES"/>
        </w:rPr>
        <w:t>ratione materiae</w:t>
      </w:r>
      <w:r w:rsidRPr="00D11506">
        <w:rPr>
          <w:rFonts w:asciiTheme="majorHAnsi" w:hAnsiTheme="majorHAnsi" w:cs="Calibri"/>
          <w:sz w:val="20"/>
          <w:szCs w:val="20"/>
          <w:lang w:val="es-ES"/>
        </w:rPr>
        <w:t xml:space="preserve"> para pronunciarse sobre violaciones a </w:t>
      </w:r>
      <w:r>
        <w:rPr>
          <w:rFonts w:asciiTheme="majorHAnsi" w:hAnsiTheme="majorHAnsi" w:cs="Calibri"/>
          <w:sz w:val="20"/>
          <w:szCs w:val="20"/>
          <w:lang w:val="es-ES"/>
        </w:rPr>
        <w:t>instrumentos</w:t>
      </w:r>
      <w:r w:rsidRPr="00D11506">
        <w:rPr>
          <w:rFonts w:asciiTheme="majorHAnsi" w:hAnsiTheme="majorHAnsi" w:cs="Calibri"/>
          <w:sz w:val="20"/>
          <w:szCs w:val="20"/>
          <w:lang w:val="es-ES"/>
        </w:rPr>
        <w:t xml:space="preserve"> fuera del Sistema Interamericano, sin perjuicio que pueda recurrir a los estándares establecidos en otros </w:t>
      </w:r>
      <w:r>
        <w:rPr>
          <w:rFonts w:asciiTheme="majorHAnsi" w:hAnsiTheme="majorHAnsi" w:cs="Calibri"/>
          <w:sz w:val="20"/>
          <w:szCs w:val="20"/>
          <w:lang w:val="es-ES"/>
        </w:rPr>
        <w:t>instrumentos</w:t>
      </w:r>
      <w:r w:rsidRPr="00D11506">
        <w:rPr>
          <w:rFonts w:asciiTheme="majorHAnsi" w:hAnsiTheme="majorHAnsi" w:cs="Calibri"/>
          <w:sz w:val="20"/>
          <w:szCs w:val="20"/>
          <w:lang w:val="es-ES"/>
        </w:rPr>
        <w:t xml:space="preserve"> a fin de interpretar las normas de la Convención en virtud del artículo 29 de la misma</w:t>
      </w:r>
      <w:r w:rsidRPr="00D11506">
        <w:rPr>
          <w:rStyle w:val="FootnoteReference"/>
          <w:rFonts w:asciiTheme="majorHAnsi" w:hAnsiTheme="majorHAnsi" w:cs="Calibri"/>
          <w:sz w:val="20"/>
          <w:szCs w:val="20"/>
          <w:lang w:val="es-ES"/>
        </w:rPr>
        <w:footnoteReference w:id="22"/>
      </w:r>
      <w:r w:rsidRPr="00D11506">
        <w:rPr>
          <w:rFonts w:asciiTheme="majorHAnsi" w:hAnsiTheme="majorHAnsi" w:cs="Calibri"/>
          <w:sz w:val="20"/>
          <w:szCs w:val="20"/>
          <w:lang w:val="es-ES"/>
        </w:rPr>
        <w:t>.</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7A5A01">
        <w:rPr>
          <w:rFonts w:eastAsia="Arial Unicode MS" w:cs="Times New Roman"/>
          <w:color w:val="auto"/>
          <w:sz w:val="20"/>
          <w:szCs w:val="20"/>
          <w:lang w:val="es-ES" w:eastAsia="en-US"/>
        </w:rPr>
        <w:t xml:space="preserve">inadmisible la presente </w:t>
      </w:r>
      <w:r w:rsidRPr="000419AD">
        <w:rPr>
          <w:rFonts w:eastAsia="Arial Unicode MS" w:cs="Times New Roman"/>
          <w:color w:val="auto"/>
          <w:sz w:val="20"/>
          <w:szCs w:val="20"/>
          <w:lang w:val="es-ES" w:eastAsia="en-US"/>
        </w:rPr>
        <w:t xml:space="preserve">petición </w:t>
      </w:r>
    </w:p>
    <w:p w:rsidR="000419AD" w:rsidRPr="000419AD" w:rsidRDefault="000419AD" w:rsidP="000419AD">
      <w:pPr>
        <w:pStyle w:val="ListParagraph"/>
        <w:rPr>
          <w:rFonts w:eastAsia="Arial Unicode MS" w:cs="Times New Roman"/>
          <w:color w:val="auto"/>
          <w:sz w:val="20"/>
          <w:szCs w:val="20"/>
          <w:lang w:val="es-ES" w:eastAsia="en-US"/>
        </w:rPr>
      </w:pPr>
    </w:p>
    <w:p w:rsidR="007A5A01" w:rsidRPr="007C07E5" w:rsidRDefault="004A6A54" w:rsidP="007A5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y </w:t>
      </w:r>
    </w:p>
    <w:p w:rsidR="00C55B07" w:rsidRDefault="007A5A01" w:rsidP="00C55B0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w:t>
      </w:r>
      <w:r w:rsidR="004A6A54" w:rsidRPr="009B7794">
        <w:rPr>
          <w:rFonts w:asciiTheme="majorHAnsi" w:hAnsiTheme="majorHAnsi"/>
          <w:sz w:val="20"/>
          <w:szCs w:val="20"/>
          <w:lang w:val="es-ES"/>
        </w:rPr>
        <w:t>ublicar esta decisión e incluirla en su Informe Anual a la Asamblea General de la Organización de los Estados Americanos.</w:t>
      </w:r>
    </w:p>
    <w:p w:rsidR="00E07353" w:rsidRPr="00D35091" w:rsidRDefault="00E07353" w:rsidP="00E07353">
      <w:pPr>
        <w:suppressAutoHyphens/>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11 días del mes de </w:t>
      </w:r>
      <w:r>
        <w:rPr>
          <w:rFonts w:ascii="Cambria" w:hAnsi="Cambria" w:cs="Arial"/>
          <w:noProof/>
          <w:spacing w:val="-2"/>
          <w:sz w:val="20"/>
          <w:szCs w:val="20"/>
          <w:lang w:val="es-CL"/>
        </w:rPr>
        <w:t>septiembre</w:t>
      </w:r>
      <w:r>
        <w:rPr>
          <w:rFonts w:ascii="Cambria" w:hAnsi="Cambria"/>
          <w:sz w:val="20"/>
          <w:szCs w:val="20"/>
          <w:lang w:val="es-ES"/>
        </w:rPr>
        <w:t xml:space="preserve"> de 2019.  </w:t>
      </w:r>
      <w:r w:rsidRPr="00A741D9">
        <w:rPr>
          <w:rFonts w:ascii="Cambria" w:hAnsi="Cambria"/>
          <w:sz w:val="20"/>
          <w:szCs w:val="20"/>
          <w:lang w:val="es-ES"/>
        </w:rPr>
        <w:t xml:space="preserve">(Firmado): </w:t>
      </w:r>
      <w:r w:rsidRPr="00D35091">
        <w:rPr>
          <w:rFonts w:ascii="Cambria" w:hAnsi="Cambria"/>
          <w:sz w:val="20"/>
          <w:szCs w:val="20"/>
          <w:lang w:val="es-ES"/>
        </w:rPr>
        <w:t xml:space="preserve">Esmeralda E. Arosemena Bernal de Troitiño, Presidenta; Joel Hernández García, </w:t>
      </w:r>
      <w:r w:rsidRPr="00D35091">
        <w:rPr>
          <w:rFonts w:ascii="Cambria" w:hAnsi="Cambria"/>
          <w:spacing w:val="-2"/>
          <w:sz w:val="20"/>
          <w:szCs w:val="20"/>
          <w:lang w:val="es-ES"/>
        </w:rPr>
        <w:t xml:space="preserve">Primer Vicepresidente; </w:t>
      </w:r>
      <w:r w:rsidRPr="00D35091">
        <w:rPr>
          <w:rFonts w:ascii="Cambria" w:hAnsi="Cambria"/>
          <w:sz w:val="20"/>
          <w:szCs w:val="20"/>
          <w:lang w:val="es-ES"/>
        </w:rPr>
        <w:t>Margarette May Macaulay, Francisco José Eguiguren Praeli, Luis Ernesto Vargas Silva y Flávia Piovesan, Miembros de la Comisión.</w:t>
      </w:r>
    </w:p>
    <w:p w:rsidR="00E07353" w:rsidRPr="00A741D9" w:rsidRDefault="00E07353" w:rsidP="00E07353">
      <w:pPr>
        <w:suppressAutoHyphens/>
        <w:ind w:firstLine="720"/>
        <w:jc w:val="both"/>
        <w:rPr>
          <w:rFonts w:ascii="Cambria" w:hAnsi="Cambria" w:cs="Calibri"/>
          <w:sz w:val="20"/>
          <w:szCs w:val="20"/>
          <w:lang w:val="es-ES"/>
        </w:rPr>
      </w:pPr>
    </w:p>
    <w:p w:rsidR="005C0EB2" w:rsidRPr="00D33A79" w:rsidRDefault="00E07353" w:rsidP="005C0EB2">
      <w:pPr>
        <w:jc w:val="both"/>
        <w:rPr>
          <w:rFonts w:asciiTheme="majorHAnsi" w:hAnsiTheme="majorHAnsi"/>
          <w:sz w:val="20"/>
          <w:szCs w:val="20"/>
          <w:lang w:val="es-ES"/>
        </w:rPr>
      </w:pPr>
      <w:r w:rsidRPr="00A741D9">
        <w:rPr>
          <w:rFonts w:ascii="Cambria" w:hAnsi="Cambria" w:cs="Calibri"/>
          <w:sz w:val="20"/>
          <w:szCs w:val="20"/>
          <w:lang w:val="es-ES"/>
        </w:rPr>
        <w:tab/>
      </w:r>
    </w:p>
    <w:p w:rsidR="00E07353" w:rsidRPr="00D33A79" w:rsidRDefault="00E07353" w:rsidP="00E07353">
      <w:pPr>
        <w:jc w:val="center"/>
        <w:rPr>
          <w:rFonts w:asciiTheme="majorHAnsi" w:hAnsiTheme="majorHAnsi"/>
          <w:sz w:val="20"/>
          <w:szCs w:val="20"/>
          <w:lang w:val="es-ES"/>
        </w:rPr>
      </w:pPr>
    </w:p>
    <w:p w:rsidR="00E07353" w:rsidRPr="00974491" w:rsidRDefault="00E07353" w:rsidP="00E07353">
      <w:pPr>
        <w:rPr>
          <w:rFonts w:ascii="Cambria" w:hAnsi="Cambria" w:cs="Calibri"/>
          <w:sz w:val="20"/>
          <w:szCs w:val="20"/>
          <w:lang w:val="es-ES"/>
        </w:rPr>
      </w:pPr>
    </w:p>
    <w:p w:rsidR="00E07353" w:rsidRDefault="00E07353">
      <w:pPr>
        <w:rPr>
          <w:rFonts w:ascii="Cambria" w:hAnsi="Cambria" w:cs="Calibri"/>
          <w:sz w:val="20"/>
          <w:szCs w:val="20"/>
          <w:lang w:val="es-ES"/>
        </w:rPr>
      </w:pPr>
      <w:r>
        <w:rPr>
          <w:rFonts w:ascii="Cambria" w:hAnsi="Cambria" w:cs="Calibri"/>
          <w:sz w:val="20"/>
          <w:szCs w:val="20"/>
          <w:lang w:val="es-ES"/>
        </w:rPr>
        <w:br w:type="page"/>
      </w:r>
    </w:p>
    <w:p w:rsidR="00C55B07" w:rsidRDefault="00C55B07" w:rsidP="00C55B07">
      <w:pPr>
        <w:rPr>
          <w:rFonts w:ascii="Cambria" w:hAnsi="Cambria" w:cs="Calibri"/>
          <w:sz w:val="20"/>
          <w:szCs w:val="20"/>
          <w:lang w:val="es-ES"/>
        </w:rPr>
      </w:pPr>
      <w:r>
        <w:rPr>
          <w:rFonts w:ascii="Cambria" w:hAnsi="Cambria" w:cs="Calibri"/>
          <w:sz w:val="20"/>
          <w:szCs w:val="20"/>
          <w:lang w:val="es-ES"/>
        </w:rPr>
        <w:lastRenderedPageBreak/>
        <w:t>Personas señaladas como presuntas víctimas:</w:t>
      </w:r>
    </w:p>
    <w:p w:rsidR="00C55B07" w:rsidRDefault="00C55B07" w:rsidP="00C55B07">
      <w:pPr>
        <w:rPr>
          <w:rFonts w:ascii="Cambria" w:hAnsi="Cambria" w:cs="Calibri"/>
          <w:sz w:val="20"/>
          <w:szCs w:val="20"/>
          <w:lang w:val="es-ES"/>
        </w:rPr>
      </w:pPr>
      <w:r>
        <w:rPr>
          <w:rFonts w:ascii="Cambria" w:hAnsi="Cambria" w:cs="Calibri"/>
          <w:sz w:val="20"/>
          <w:szCs w:val="20"/>
          <w:lang w:val="es-ES"/>
        </w:rPr>
        <w:tab/>
      </w:r>
    </w:p>
    <w:p w:rsidR="00C55B07" w:rsidRPr="0059148E" w:rsidRDefault="00C55B07" w:rsidP="00C55B07">
      <w:pPr>
        <w:rPr>
          <w:rFonts w:ascii="Cambria" w:hAnsi="Cambria" w:cs="Calibri"/>
          <w:sz w:val="20"/>
          <w:szCs w:val="20"/>
          <w:u w:val="single"/>
          <w:lang w:val="es-ES"/>
        </w:rPr>
      </w:pPr>
      <w:r>
        <w:rPr>
          <w:rFonts w:ascii="Cambria" w:hAnsi="Cambria" w:cs="Calibri"/>
          <w:sz w:val="20"/>
          <w:szCs w:val="20"/>
          <w:u w:val="single"/>
          <w:lang w:val="es-ES"/>
        </w:rPr>
        <w:t>Primer Grupo: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Carlos Ernesto Aran Faúndez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Teodolinda Rosa Barrientos Cancino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Germán Cardemil Casellas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Pablo Nelson Carrasco Pino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María Jhon Contreras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Lucía Agustina Norambuena Mora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María Eliana Oyarzún Veloso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Gabriela Teresa Del Carmen Retamal Araya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Ángela Rico Garbarino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Sara Leonor Lucy Santibáñez Maldonado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Berta Petronila Suazo Duran.</w:t>
      </w:r>
    </w:p>
    <w:p w:rsidR="00C55B07" w:rsidRDefault="00C55B07" w:rsidP="00C55B07">
      <w:pPr>
        <w:rPr>
          <w:rFonts w:cs="Calibri"/>
          <w:sz w:val="20"/>
          <w:szCs w:val="20"/>
          <w:u w:val="single"/>
          <w:lang w:val="es-ES"/>
        </w:rPr>
      </w:pPr>
    </w:p>
    <w:p w:rsidR="00C55B07" w:rsidRPr="00715B48" w:rsidRDefault="00C55B07" w:rsidP="00C55B07">
      <w:pPr>
        <w:rPr>
          <w:rFonts w:asciiTheme="majorHAnsi" w:hAnsiTheme="majorHAnsi" w:cs="Calibri"/>
          <w:sz w:val="20"/>
          <w:szCs w:val="20"/>
          <w:u w:val="single"/>
          <w:lang w:val="es-ES"/>
        </w:rPr>
      </w:pPr>
      <w:r w:rsidRPr="00715B48">
        <w:rPr>
          <w:rFonts w:asciiTheme="majorHAnsi" w:hAnsiTheme="majorHAnsi" w:cs="Calibri"/>
          <w:sz w:val="20"/>
          <w:szCs w:val="20"/>
          <w:u w:val="single"/>
          <w:lang w:val="es-ES"/>
        </w:rPr>
        <w:t>Segundo Grupo: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Edda Aguilar Rodríguez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Alicia del Carmen Bahamondes Albornoz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Luisa del Carmen Bernal Farias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Florencia Felicia Burgos Ardavan</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Rosalía De Lourdes Bustos Cárcamo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Cecilia Gimena Bustos Farias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Mirtha Cabezas Toro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Anne Silvia Caceres Espinoza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Cecilia del Carmen Cajas Tapia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Regina Cariaga Bermejo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Ana Francisca Carrero Correa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Eugenia del Carmen Cueto Ortiz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Fresia Cecilia del Fierro Cifuentes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Estela Teresa Díaz Rojas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Ilia Berta Escobar Ordenes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Emilia Cecilia García Dinamarca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Nancy del Carmen González Escudero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Georgina Yolanda González Pino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Nelly del Carmen Gulf Grez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Sofía Del Carmen Hasember Velasco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Isabel Margarita Hidalgo Núñez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Gabriela del Carmen Ibaceta Fuentes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Patricia Angélica Hinostroza Munster</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Maria Filomena Luengo Sepúlveda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Teresa del Rosario Luengo Sepúlveda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Lidia Beatriz Maldonado Matus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Hermosina del Carmen Mercado Méndez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Juan Ignacio Martínez Jorquera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Cecilia Florencia del Carmen Mercado Ruiz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Sara Florencia Miranda Azocar</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Nora Otilia Muñoz Carrasco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Alicia de las Mercedes Navaro Gómez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Luisa del Carmen Núñez García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Juana Rosalía Ernestina Olivarí Severino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Eliana Cristina Olguín Herrera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O´higgins Osorio Cisterna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Mafalda Emperatriz Pizarro Narváez</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Adriana Ester Placencia Cáceres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Maria Ester Pacheco Pacheco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lastRenderedPageBreak/>
        <w:t>Maria Elcira de los Dolores Saavedra Montecino</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Mónica del Carmen Tobar Silva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Blanca del Carmen Toro Varas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Maria Mercedes Ulriksen Godoy</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Hortensia del Carmen Uribe Saavedra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Edelmira Rosa Valencia Cabrera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Norma del Transito Vargas Miranda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Teresa del Carmen Vera Aguirre</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Ximena del Carmen Villalobos Alanis</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Ester Elba Zamorano Ponce</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Myriam Inés Villalón Quezada</w:t>
      </w:r>
    </w:p>
    <w:p w:rsidR="00C55B07" w:rsidRDefault="00C55B07" w:rsidP="00C55B07">
      <w:pPr>
        <w:pStyle w:val="ListParagraph"/>
        <w:numPr>
          <w:ilvl w:val="0"/>
          <w:numId w:val="110"/>
        </w:numPr>
        <w:rPr>
          <w:rFonts w:cs="Calibri"/>
          <w:sz w:val="20"/>
          <w:szCs w:val="20"/>
          <w:lang w:val="es-ES"/>
        </w:rPr>
      </w:pPr>
      <w:r>
        <w:rPr>
          <w:rFonts w:cs="Calibri"/>
          <w:sz w:val="20"/>
          <w:szCs w:val="20"/>
          <w:lang w:val="es-ES"/>
        </w:rPr>
        <w:t>Doris María Zúñiga Garay</w:t>
      </w:r>
    </w:p>
    <w:p w:rsidR="00C55B07" w:rsidRPr="00D126C1" w:rsidRDefault="00C55B07" w:rsidP="00C55B07">
      <w:pPr>
        <w:pStyle w:val="ListParagraph"/>
        <w:numPr>
          <w:ilvl w:val="0"/>
          <w:numId w:val="110"/>
        </w:numPr>
        <w:rPr>
          <w:rFonts w:cs="Calibri"/>
          <w:sz w:val="20"/>
          <w:szCs w:val="20"/>
          <w:lang w:val="es-ES"/>
        </w:rPr>
      </w:pPr>
      <w:r>
        <w:rPr>
          <w:rFonts w:cs="Calibri"/>
          <w:sz w:val="20"/>
          <w:szCs w:val="20"/>
          <w:lang w:val="es-ES"/>
        </w:rPr>
        <w:t>Erica Rosa Espinoza Basualdo</w:t>
      </w:r>
    </w:p>
    <w:p w:rsidR="00C55B07" w:rsidRPr="00C55B07" w:rsidRDefault="00C55B07" w:rsidP="00C55B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sectPr w:rsidR="00C55B07" w:rsidRPr="00C55B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F0" w:rsidRDefault="007620F0">
      <w:r>
        <w:separator/>
      </w:r>
    </w:p>
  </w:endnote>
  <w:endnote w:type="continuationSeparator" w:id="0">
    <w:p w:rsidR="007620F0" w:rsidRDefault="007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77" w:rsidRDefault="008E0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0D77">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F0" w:rsidRPr="000F35ED" w:rsidRDefault="007620F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620F0" w:rsidRPr="000F35ED" w:rsidRDefault="007620F0" w:rsidP="000F35ED">
      <w:pPr>
        <w:rPr>
          <w:rFonts w:asciiTheme="majorHAnsi" w:hAnsiTheme="majorHAnsi"/>
          <w:sz w:val="16"/>
          <w:szCs w:val="16"/>
        </w:rPr>
      </w:pPr>
      <w:r w:rsidRPr="000F35ED">
        <w:rPr>
          <w:rFonts w:asciiTheme="majorHAnsi" w:hAnsiTheme="majorHAnsi"/>
          <w:sz w:val="16"/>
          <w:szCs w:val="16"/>
        </w:rPr>
        <w:separator/>
      </w:r>
    </w:p>
    <w:p w:rsidR="007620F0" w:rsidRPr="000F35ED" w:rsidRDefault="007620F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620F0" w:rsidRPr="000F35ED" w:rsidRDefault="007620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715043" w:rsidRPr="009819CF" w:rsidRDefault="00715043" w:rsidP="005C0EB2">
      <w:pPr>
        <w:pStyle w:val="FootnoteText"/>
        <w:jc w:val="both"/>
        <w:rPr>
          <w:rFonts w:asciiTheme="majorHAnsi" w:hAnsiTheme="majorHAnsi"/>
          <w:sz w:val="16"/>
          <w:szCs w:val="16"/>
          <w:lang w:val="es-ES"/>
        </w:rPr>
      </w:pPr>
      <w:r w:rsidRPr="009819CF">
        <w:rPr>
          <w:rStyle w:val="FootnoteReference"/>
          <w:rFonts w:asciiTheme="majorHAnsi" w:hAnsiTheme="majorHAnsi"/>
          <w:sz w:val="16"/>
          <w:szCs w:val="16"/>
        </w:rPr>
        <w:footnoteRef/>
      </w:r>
      <w:r w:rsidRPr="009819CF">
        <w:rPr>
          <w:rFonts w:asciiTheme="majorHAnsi" w:hAnsiTheme="majorHAnsi"/>
          <w:sz w:val="16"/>
          <w:szCs w:val="16"/>
          <w:lang w:val="es-ES"/>
        </w:rPr>
        <w:t xml:space="preserve"> </w:t>
      </w:r>
      <w:r w:rsidR="004E7E7E" w:rsidRPr="009819CF">
        <w:rPr>
          <w:rFonts w:asciiTheme="majorHAnsi" w:hAnsiTheme="majorHAnsi"/>
          <w:sz w:val="16"/>
          <w:szCs w:val="16"/>
          <w:lang w:val="es-ES"/>
        </w:rPr>
        <w:t>La presente p</w:t>
      </w:r>
      <w:r w:rsidR="00F52CA3">
        <w:rPr>
          <w:rFonts w:asciiTheme="majorHAnsi" w:hAnsiTheme="majorHAnsi"/>
          <w:sz w:val="16"/>
          <w:szCs w:val="16"/>
          <w:lang w:val="es-ES"/>
        </w:rPr>
        <w:t>etición inicialmente hacía</w:t>
      </w:r>
      <w:r w:rsidRPr="009819CF">
        <w:rPr>
          <w:rFonts w:asciiTheme="majorHAnsi" w:hAnsiTheme="majorHAnsi"/>
          <w:sz w:val="16"/>
          <w:szCs w:val="16"/>
          <w:lang w:val="es-ES"/>
        </w:rPr>
        <w:t xml:space="preserve"> referencia a </w:t>
      </w:r>
      <w:r w:rsidR="004D12CE">
        <w:rPr>
          <w:rFonts w:asciiTheme="majorHAnsi" w:hAnsiTheme="majorHAnsi"/>
          <w:sz w:val="16"/>
          <w:szCs w:val="16"/>
          <w:lang w:val="es-ES"/>
        </w:rPr>
        <w:t>11</w:t>
      </w:r>
      <w:r w:rsidR="00F52CA3">
        <w:rPr>
          <w:rFonts w:asciiTheme="majorHAnsi" w:hAnsiTheme="majorHAnsi"/>
          <w:sz w:val="16"/>
          <w:szCs w:val="16"/>
          <w:lang w:val="es-ES"/>
        </w:rPr>
        <w:t xml:space="preserve"> presuntas víctimas. Luego se le acumuló el expediente de la </w:t>
      </w:r>
      <w:r w:rsidR="004D12CE">
        <w:rPr>
          <w:rFonts w:asciiTheme="majorHAnsi" w:hAnsiTheme="majorHAnsi"/>
          <w:sz w:val="16"/>
          <w:szCs w:val="16"/>
          <w:lang w:val="es-ES"/>
        </w:rPr>
        <w:t>P-167-11</w:t>
      </w:r>
      <w:r w:rsidR="00F52CA3">
        <w:rPr>
          <w:rFonts w:asciiTheme="majorHAnsi" w:hAnsiTheme="majorHAnsi"/>
          <w:sz w:val="16"/>
          <w:szCs w:val="16"/>
          <w:lang w:val="es-ES"/>
        </w:rPr>
        <w:t>, (la cual fue cancelada por duplicar la presente petición} dentro de la cual se había presentado solicitud</w:t>
      </w:r>
      <w:r w:rsidR="004D12CE">
        <w:rPr>
          <w:rFonts w:asciiTheme="majorHAnsi" w:hAnsiTheme="majorHAnsi"/>
          <w:sz w:val="16"/>
          <w:szCs w:val="16"/>
          <w:lang w:val="es-ES"/>
        </w:rPr>
        <w:t xml:space="preserve"> </w:t>
      </w:r>
      <w:r w:rsidR="00821766">
        <w:rPr>
          <w:rFonts w:asciiTheme="majorHAnsi" w:hAnsiTheme="majorHAnsi"/>
          <w:sz w:val="16"/>
          <w:szCs w:val="16"/>
          <w:lang w:val="es-ES"/>
        </w:rPr>
        <w:t>para la inclusión de 52</w:t>
      </w:r>
      <w:r w:rsidR="004D12CE">
        <w:rPr>
          <w:rFonts w:asciiTheme="majorHAnsi" w:hAnsiTheme="majorHAnsi"/>
          <w:sz w:val="16"/>
          <w:szCs w:val="16"/>
          <w:lang w:val="es-ES"/>
        </w:rPr>
        <w:t xml:space="preserve"> presuntas víctimas</w:t>
      </w:r>
      <w:r w:rsidR="00821766">
        <w:rPr>
          <w:rFonts w:asciiTheme="majorHAnsi" w:hAnsiTheme="majorHAnsi"/>
          <w:sz w:val="16"/>
          <w:szCs w:val="16"/>
          <w:lang w:val="es-ES"/>
        </w:rPr>
        <w:t xml:space="preserve"> adicionales</w:t>
      </w:r>
      <w:r w:rsidR="004D12CE">
        <w:rPr>
          <w:rFonts w:asciiTheme="majorHAnsi" w:hAnsiTheme="majorHAnsi"/>
          <w:sz w:val="16"/>
          <w:szCs w:val="16"/>
          <w:lang w:val="es-ES"/>
        </w:rPr>
        <w:t xml:space="preserve">. Los dos grupos de víctimas son detalladas en documento anexo y en el informe serán referidos como primer </w:t>
      </w:r>
      <w:r w:rsidR="00B145A3">
        <w:rPr>
          <w:rFonts w:asciiTheme="majorHAnsi" w:hAnsiTheme="majorHAnsi"/>
          <w:sz w:val="16"/>
          <w:szCs w:val="16"/>
          <w:lang w:val="es-ES"/>
        </w:rPr>
        <w:t>grupo y</w:t>
      </w:r>
      <w:r w:rsidR="00821766">
        <w:rPr>
          <w:rFonts w:asciiTheme="majorHAnsi" w:hAnsiTheme="majorHAnsi"/>
          <w:sz w:val="16"/>
          <w:szCs w:val="16"/>
          <w:lang w:val="es-ES"/>
        </w:rPr>
        <w:t xml:space="preserve"> segundo grupo </w:t>
      </w:r>
      <w:r w:rsidR="004D12CE">
        <w:rPr>
          <w:rFonts w:asciiTheme="majorHAnsi" w:hAnsiTheme="majorHAnsi"/>
          <w:sz w:val="16"/>
          <w:szCs w:val="16"/>
          <w:lang w:val="es-ES"/>
        </w:rPr>
        <w:t xml:space="preserve">respectivamente. </w:t>
      </w:r>
    </w:p>
  </w:footnote>
  <w:footnote w:id="3">
    <w:p w:rsidR="004A6A54" w:rsidRPr="009819CF" w:rsidRDefault="004A6A54" w:rsidP="005C0EB2">
      <w:pPr>
        <w:pStyle w:val="FootnoteText"/>
        <w:jc w:val="both"/>
        <w:rPr>
          <w:rFonts w:asciiTheme="majorHAnsi" w:hAnsiTheme="majorHAnsi"/>
          <w:sz w:val="16"/>
          <w:szCs w:val="16"/>
          <w:lang w:val="es-ES"/>
        </w:rPr>
      </w:pPr>
      <w:r w:rsidRPr="009819CF">
        <w:rPr>
          <w:rStyle w:val="FootnoteReference"/>
          <w:rFonts w:asciiTheme="majorHAnsi" w:hAnsiTheme="majorHAnsi"/>
        </w:rPr>
        <w:footnoteRef/>
      </w:r>
      <w:r w:rsidRPr="009819CF">
        <w:rPr>
          <w:rFonts w:asciiTheme="majorHAnsi" w:hAnsiTheme="majorHAnsi"/>
          <w:lang w:val="es-ES"/>
        </w:rPr>
        <w:t xml:space="preserve"> </w:t>
      </w:r>
      <w:r w:rsidRPr="009819CF">
        <w:rPr>
          <w:rFonts w:asciiTheme="majorHAnsi" w:hAnsiTheme="majorHAnsi"/>
          <w:sz w:val="16"/>
          <w:szCs w:val="16"/>
          <w:lang w:val="es-ES"/>
        </w:rPr>
        <w:t xml:space="preserve">Conforme a lo dispuesto en el artículo 17.2.a </w:t>
      </w:r>
      <w:r w:rsidR="001216EB" w:rsidRPr="009819CF">
        <w:rPr>
          <w:rFonts w:asciiTheme="majorHAnsi" w:hAnsiTheme="majorHAnsi"/>
          <w:sz w:val="16"/>
          <w:szCs w:val="16"/>
          <w:lang w:val="es-ES"/>
        </w:rPr>
        <w:t xml:space="preserve">del Reglamento de la Comisión, </w:t>
      </w:r>
      <w:r w:rsidRPr="009819CF">
        <w:rPr>
          <w:rFonts w:asciiTheme="majorHAnsi" w:hAnsiTheme="majorHAnsi"/>
          <w:sz w:val="16"/>
          <w:szCs w:val="16"/>
          <w:lang w:val="es-ES"/>
        </w:rPr>
        <w:t>l</w:t>
      </w:r>
      <w:r w:rsidR="001216EB" w:rsidRPr="009819CF">
        <w:rPr>
          <w:rFonts w:asciiTheme="majorHAnsi" w:hAnsiTheme="majorHAnsi"/>
          <w:sz w:val="16"/>
          <w:szCs w:val="16"/>
          <w:lang w:val="es-ES"/>
        </w:rPr>
        <w:t>a Comisionada Antonia Urrejola Noguera</w:t>
      </w:r>
      <w:r w:rsidRPr="009819CF">
        <w:rPr>
          <w:rFonts w:asciiTheme="majorHAnsi" w:hAnsiTheme="majorHAnsi"/>
          <w:sz w:val="16"/>
          <w:szCs w:val="16"/>
          <w:lang w:val="es-ES"/>
        </w:rPr>
        <w:t xml:space="preserve">, de nacionalidad </w:t>
      </w:r>
      <w:r w:rsidR="001216EB" w:rsidRPr="009819CF">
        <w:rPr>
          <w:rFonts w:asciiTheme="majorHAnsi" w:hAnsiTheme="majorHAnsi"/>
          <w:sz w:val="16"/>
          <w:szCs w:val="16"/>
          <w:lang w:val="es-ES"/>
        </w:rPr>
        <w:t>chilena,</w:t>
      </w:r>
      <w:r w:rsidRPr="009819CF">
        <w:rPr>
          <w:rFonts w:asciiTheme="majorHAnsi" w:hAnsiTheme="majorHAnsi"/>
          <w:sz w:val="16"/>
          <w:szCs w:val="16"/>
          <w:lang w:val="es-ES"/>
        </w:rPr>
        <w:t xml:space="preserve"> no participó en el debate ni en la decisión del presente asunto.</w:t>
      </w:r>
    </w:p>
  </w:footnote>
  <w:footnote w:id="4">
    <w:p w:rsidR="007F2ACF" w:rsidRPr="009819CF" w:rsidRDefault="007F2ACF" w:rsidP="005C0EB2">
      <w:pPr>
        <w:pStyle w:val="FootnoteText"/>
        <w:jc w:val="both"/>
        <w:rPr>
          <w:rFonts w:asciiTheme="majorHAnsi" w:hAnsiTheme="majorHAnsi"/>
          <w:sz w:val="16"/>
          <w:szCs w:val="16"/>
          <w:lang w:val="es-ES"/>
        </w:rPr>
      </w:pPr>
      <w:r w:rsidRPr="009819CF">
        <w:rPr>
          <w:rStyle w:val="FootnoteReference"/>
          <w:rFonts w:asciiTheme="majorHAnsi" w:hAnsiTheme="majorHAnsi"/>
          <w:sz w:val="16"/>
          <w:szCs w:val="16"/>
        </w:rPr>
        <w:footnoteRef/>
      </w:r>
      <w:r w:rsidRPr="009819CF">
        <w:rPr>
          <w:rFonts w:asciiTheme="majorHAnsi" w:hAnsiTheme="majorHAnsi"/>
          <w:sz w:val="16"/>
          <w:szCs w:val="16"/>
          <w:lang w:val="es-ES"/>
        </w:rPr>
        <w:t xml:space="preserve"> En adelante “Convención” o “Convención Americana”.</w:t>
      </w:r>
    </w:p>
  </w:footnote>
  <w:footnote w:id="5">
    <w:p w:rsidR="00F235BF" w:rsidRPr="009819CF" w:rsidRDefault="00F235BF" w:rsidP="005C0EB2">
      <w:pPr>
        <w:pStyle w:val="FootnoteText"/>
        <w:jc w:val="both"/>
        <w:rPr>
          <w:rFonts w:asciiTheme="majorHAnsi" w:hAnsiTheme="majorHAnsi"/>
          <w:sz w:val="16"/>
          <w:szCs w:val="16"/>
          <w:lang w:val="es-ES"/>
        </w:rPr>
      </w:pPr>
      <w:r w:rsidRPr="009819CF">
        <w:rPr>
          <w:rStyle w:val="FootnoteReference"/>
          <w:rFonts w:asciiTheme="majorHAnsi" w:hAnsiTheme="majorHAnsi"/>
          <w:sz w:val="16"/>
          <w:szCs w:val="16"/>
        </w:rPr>
        <w:footnoteRef/>
      </w:r>
      <w:r w:rsidRPr="009819CF">
        <w:rPr>
          <w:rFonts w:asciiTheme="majorHAnsi" w:hAnsiTheme="majorHAnsi"/>
          <w:sz w:val="16"/>
          <w:szCs w:val="16"/>
          <w:lang w:val="es-ES"/>
        </w:rPr>
        <w:t xml:space="preserve"> En adelante “Declaración” o “Declaración Americana”.</w:t>
      </w:r>
    </w:p>
  </w:footnote>
  <w:footnote w:id="6">
    <w:p w:rsidR="007F3E89" w:rsidRPr="009819CF" w:rsidRDefault="007F3E89" w:rsidP="005C0EB2">
      <w:pPr>
        <w:pStyle w:val="FootnoteText"/>
        <w:jc w:val="both"/>
        <w:rPr>
          <w:rFonts w:asciiTheme="majorHAnsi" w:hAnsiTheme="majorHAnsi"/>
          <w:sz w:val="16"/>
          <w:szCs w:val="16"/>
          <w:lang w:val="es-ES"/>
        </w:rPr>
      </w:pPr>
      <w:r w:rsidRPr="009819CF">
        <w:rPr>
          <w:rStyle w:val="FootnoteReference"/>
          <w:rFonts w:asciiTheme="majorHAnsi" w:hAnsiTheme="majorHAnsi"/>
          <w:sz w:val="16"/>
          <w:szCs w:val="16"/>
        </w:rPr>
        <w:footnoteRef/>
      </w:r>
      <w:r w:rsidRPr="009819CF">
        <w:rPr>
          <w:rFonts w:asciiTheme="majorHAnsi" w:hAnsiTheme="majorHAnsi"/>
          <w:sz w:val="16"/>
          <w:szCs w:val="16"/>
          <w:lang w:val="es-ES"/>
        </w:rPr>
        <w:t xml:space="preserve"> Artículo 3, 23 de la Declaración Universal de los Derechos Humanos; Artículo 9 del Pacto Internacional de Derechos Civiles y Pol</w:t>
      </w:r>
      <w:r w:rsidR="006C6D7E" w:rsidRPr="009819CF">
        <w:rPr>
          <w:rFonts w:asciiTheme="majorHAnsi" w:hAnsiTheme="majorHAnsi"/>
          <w:sz w:val="16"/>
          <w:szCs w:val="16"/>
          <w:lang w:val="es-ES"/>
        </w:rPr>
        <w:t>íticos; Artículo 2.2 del Pacto Internacional de Derechos Económicos, Sociales y Culturales.</w:t>
      </w:r>
    </w:p>
  </w:footnote>
  <w:footnote w:id="7">
    <w:p w:rsidR="008E3BFE" w:rsidRPr="009819CF" w:rsidRDefault="008E3BFE" w:rsidP="005C0EB2">
      <w:pPr>
        <w:pStyle w:val="FootnoteText"/>
        <w:jc w:val="both"/>
        <w:rPr>
          <w:rFonts w:asciiTheme="majorHAnsi" w:hAnsiTheme="majorHAnsi"/>
          <w:sz w:val="16"/>
          <w:szCs w:val="16"/>
          <w:lang w:val="es-ES"/>
        </w:rPr>
      </w:pPr>
      <w:r w:rsidRPr="009819CF">
        <w:rPr>
          <w:rStyle w:val="FootnoteReference"/>
          <w:rFonts w:asciiTheme="majorHAnsi" w:hAnsiTheme="majorHAnsi"/>
          <w:sz w:val="16"/>
          <w:szCs w:val="16"/>
        </w:rPr>
        <w:footnoteRef/>
      </w:r>
      <w:r w:rsidRPr="009819CF">
        <w:rPr>
          <w:rFonts w:asciiTheme="majorHAnsi" w:hAnsiTheme="majorHAnsi"/>
          <w:sz w:val="16"/>
          <w:szCs w:val="16"/>
          <w:lang w:val="es-ES"/>
        </w:rPr>
        <w:t xml:space="preserve"> Las observaciones de cada parte fueron debidamente trasladadas a la parte contraria.</w:t>
      </w:r>
    </w:p>
  </w:footnote>
  <w:footnote w:id="8">
    <w:p w:rsidR="008D300D" w:rsidRPr="009819CF" w:rsidRDefault="008D300D" w:rsidP="005C0EB2">
      <w:pPr>
        <w:pStyle w:val="FootnoteText"/>
        <w:jc w:val="both"/>
        <w:rPr>
          <w:rFonts w:asciiTheme="majorHAnsi" w:hAnsiTheme="majorHAnsi"/>
          <w:sz w:val="16"/>
          <w:szCs w:val="16"/>
          <w:lang w:val="es-PA"/>
        </w:rPr>
      </w:pPr>
      <w:r w:rsidRPr="009819CF">
        <w:rPr>
          <w:rStyle w:val="FootnoteReference"/>
          <w:rFonts w:asciiTheme="majorHAnsi" w:hAnsiTheme="majorHAnsi"/>
          <w:sz w:val="16"/>
          <w:szCs w:val="16"/>
        </w:rPr>
        <w:footnoteRef/>
      </w:r>
      <w:r w:rsidRPr="009819CF">
        <w:rPr>
          <w:rFonts w:asciiTheme="majorHAnsi" w:hAnsiTheme="majorHAnsi"/>
          <w:sz w:val="16"/>
          <w:szCs w:val="16"/>
          <w:lang w:val="es-PA"/>
        </w:rPr>
        <w:t xml:space="preserve"> La parte peticionaria ha remitido escritos con posterioridad solicitando la admisibilidad de la petición. </w:t>
      </w:r>
    </w:p>
  </w:footnote>
  <w:footnote w:id="9">
    <w:p w:rsidR="008B1278" w:rsidRPr="00E52992" w:rsidRDefault="008B1278" w:rsidP="005C0EB2">
      <w:pPr>
        <w:pStyle w:val="FootnoteText"/>
        <w:jc w:val="both"/>
        <w:rPr>
          <w:lang w:val="es-PA"/>
        </w:rPr>
      </w:pPr>
      <w:r w:rsidRPr="009819CF">
        <w:rPr>
          <w:rStyle w:val="FootnoteReference"/>
          <w:rFonts w:asciiTheme="majorHAnsi" w:hAnsiTheme="majorHAnsi"/>
          <w:sz w:val="16"/>
          <w:szCs w:val="16"/>
        </w:rPr>
        <w:footnoteRef/>
      </w:r>
      <w:r w:rsidR="00E52992">
        <w:rPr>
          <w:rFonts w:asciiTheme="majorHAnsi" w:hAnsiTheme="majorHAnsi"/>
          <w:sz w:val="16"/>
          <w:szCs w:val="16"/>
          <w:lang w:val="es-ES"/>
        </w:rPr>
        <w:t xml:space="preserve"> Con respecto al segundo grupo </w:t>
      </w:r>
      <w:r w:rsidR="001A7C5E">
        <w:rPr>
          <w:rFonts w:asciiTheme="majorHAnsi" w:hAnsiTheme="majorHAnsi"/>
          <w:sz w:val="16"/>
          <w:szCs w:val="16"/>
          <w:lang w:val="es-ES"/>
        </w:rPr>
        <w:t>de presuntas</w:t>
      </w:r>
      <w:r w:rsidR="00E52992">
        <w:rPr>
          <w:rFonts w:asciiTheme="majorHAnsi" w:hAnsiTheme="majorHAnsi"/>
          <w:sz w:val="16"/>
          <w:szCs w:val="16"/>
          <w:lang w:val="es-ES"/>
        </w:rPr>
        <w:t xml:space="preserve"> </w:t>
      </w:r>
      <w:r w:rsidR="001A7C5E">
        <w:rPr>
          <w:rFonts w:asciiTheme="majorHAnsi" w:hAnsiTheme="majorHAnsi"/>
          <w:sz w:val="16"/>
          <w:szCs w:val="16"/>
          <w:lang w:val="es-PA"/>
        </w:rPr>
        <w:t>víctimas</w:t>
      </w:r>
      <w:r w:rsidR="00E52992">
        <w:rPr>
          <w:rFonts w:asciiTheme="majorHAnsi" w:hAnsiTheme="majorHAnsi"/>
          <w:sz w:val="16"/>
          <w:szCs w:val="16"/>
          <w:lang w:val="es-PA"/>
        </w:rPr>
        <w:t xml:space="preserve"> los recursos se agotaron el 4 de marzo de 2011</w:t>
      </w:r>
    </w:p>
  </w:footnote>
  <w:footnote w:id="10">
    <w:p w:rsidR="00CC195D" w:rsidRPr="00CC195D" w:rsidRDefault="00CC195D" w:rsidP="005C0EB2">
      <w:pPr>
        <w:pStyle w:val="FootnoteText"/>
        <w:jc w:val="both"/>
        <w:rPr>
          <w:rFonts w:asciiTheme="majorHAnsi" w:hAnsiTheme="majorHAnsi"/>
          <w:sz w:val="16"/>
          <w:szCs w:val="16"/>
          <w:lang w:val="es-PA"/>
        </w:rPr>
      </w:pPr>
      <w:r w:rsidRPr="00CC195D">
        <w:rPr>
          <w:rStyle w:val="FootnoteReference"/>
          <w:rFonts w:asciiTheme="majorHAnsi" w:hAnsiTheme="majorHAnsi"/>
          <w:sz w:val="16"/>
          <w:szCs w:val="16"/>
        </w:rPr>
        <w:footnoteRef/>
      </w:r>
      <w:r w:rsidRPr="00CC195D">
        <w:rPr>
          <w:rFonts w:asciiTheme="majorHAnsi" w:hAnsiTheme="majorHAnsi"/>
          <w:sz w:val="16"/>
          <w:szCs w:val="16"/>
          <w:lang w:val="es-PA"/>
        </w:rPr>
        <w:t xml:space="preserve"> </w:t>
      </w:r>
      <w:r>
        <w:rPr>
          <w:rFonts w:asciiTheme="majorHAnsi" w:hAnsiTheme="majorHAnsi"/>
          <w:sz w:val="16"/>
          <w:szCs w:val="16"/>
          <w:lang w:val="es-PA"/>
        </w:rPr>
        <w:t xml:space="preserve">La </w:t>
      </w:r>
      <w:r w:rsidR="00E52992">
        <w:rPr>
          <w:rFonts w:asciiTheme="majorHAnsi" w:hAnsiTheme="majorHAnsi"/>
          <w:sz w:val="16"/>
          <w:szCs w:val="16"/>
          <w:lang w:val="es-PA"/>
        </w:rPr>
        <w:t>solicitud para la incorporación del segundo grupo de presuntas víctimas se present</w:t>
      </w:r>
      <w:r w:rsidR="00F52CA3">
        <w:rPr>
          <w:rFonts w:asciiTheme="majorHAnsi" w:hAnsiTheme="majorHAnsi"/>
          <w:sz w:val="16"/>
          <w:szCs w:val="16"/>
          <w:lang w:val="es-PA"/>
        </w:rPr>
        <w:t xml:space="preserve">ó el 2 de septiembre de </w:t>
      </w:r>
      <w:r w:rsidR="00B145A3">
        <w:rPr>
          <w:rFonts w:asciiTheme="majorHAnsi" w:hAnsiTheme="majorHAnsi"/>
          <w:sz w:val="16"/>
          <w:szCs w:val="16"/>
          <w:lang w:val="es-PA"/>
        </w:rPr>
        <w:t>2011.</w:t>
      </w:r>
      <w:r>
        <w:rPr>
          <w:rFonts w:asciiTheme="majorHAnsi" w:hAnsiTheme="majorHAnsi"/>
          <w:sz w:val="16"/>
          <w:szCs w:val="16"/>
          <w:lang w:val="es-PA"/>
        </w:rPr>
        <w:t xml:space="preserve"> </w:t>
      </w:r>
    </w:p>
  </w:footnote>
  <w:footnote w:id="11">
    <w:p w:rsidR="00594960" w:rsidRPr="000B67FF" w:rsidRDefault="00594960" w:rsidP="005C0E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6"/>
          <w:szCs w:val="16"/>
          <w:lang w:val="es-PA"/>
        </w:rPr>
      </w:pPr>
      <w:r w:rsidRPr="000B67FF">
        <w:rPr>
          <w:rStyle w:val="FootnoteReference"/>
          <w:rFonts w:asciiTheme="majorHAnsi" w:hAnsiTheme="majorHAnsi"/>
          <w:sz w:val="16"/>
          <w:szCs w:val="16"/>
        </w:rPr>
        <w:footnoteRef/>
      </w:r>
      <w:r w:rsidRPr="000B67FF">
        <w:rPr>
          <w:rFonts w:asciiTheme="majorHAnsi" w:hAnsiTheme="majorHAnsi"/>
          <w:sz w:val="16"/>
          <w:szCs w:val="16"/>
          <w:lang w:val="es-PA"/>
        </w:rPr>
        <w:t xml:space="preserve"> La parte peticionaria señala que también es aplicable a las presuntas víctimas la ley 19.070 la cual</w:t>
      </w:r>
      <w:r w:rsidRPr="000B67FF">
        <w:rPr>
          <w:rFonts w:asciiTheme="majorHAnsi" w:hAnsiTheme="majorHAnsi"/>
          <w:sz w:val="16"/>
          <w:szCs w:val="16"/>
          <w:lang w:val="es-AR"/>
        </w:rPr>
        <w:t xml:space="preserve"> establece en su artículo 87 </w:t>
      </w:r>
      <w:r w:rsidR="000B67FF" w:rsidRPr="000B67FF">
        <w:rPr>
          <w:rFonts w:asciiTheme="majorHAnsi" w:hAnsiTheme="majorHAnsi"/>
          <w:sz w:val="16"/>
          <w:szCs w:val="16"/>
          <w:lang w:val="es-AR"/>
        </w:rPr>
        <w:t>una indemnización adicional a las contempladas en el CT. Sin embargo, en las tablas donde desglosan los montos que se alegan como adeudados no detallan montos que tengan como fundamento esta ley.</w:t>
      </w:r>
    </w:p>
  </w:footnote>
  <w:footnote w:id="12">
    <w:p w:rsidR="00594960" w:rsidRPr="00926224" w:rsidRDefault="00594960" w:rsidP="005C0EB2">
      <w:pPr>
        <w:pStyle w:val="FootnoteText"/>
        <w:jc w:val="both"/>
        <w:rPr>
          <w:lang w:val="es-PA"/>
        </w:rPr>
      </w:pPr>
      <w:r w:rsidRPr="00A14DC3">
        <w:rPr>
          <w:rStyle w:val="FootnoteReference"/>
          <w:rFonts w:ascii="Cambria" w:hAnsi="Cambria"/>
          <w:sz w:val="16"/>
          <w:szCs w:val="16"/>
        </w:rPr>
        <w:footnoteRef/>
      </w:r>
      <w:r w:rsidRPr="00A14DC3">
        <w:rPr>
          <w:rFonts w:ascii="Cambria" w:hAnsi="Cambria"/>
          <w:sz w:val="16"/>
          <w:szCs w:val="16"/>
          <w:lang w:val="es-PA"/>
        </w:rPr>
        <w:t xml:space="preserve"> Artículo 161 del CT “… el empleador podrá poner término al contrato de trabajo invocando como causal las necesidades de la empresa, establecimiento o servicio, tales como las derivadas de la racionalización o modernización de los mismos, bajas en la productividad, cambios en las condiciones del mercado o de la economía, que hagan necesaria la separación de uno o más trabajadores…”</w:t>
      </w:r>
      <w:r w:rsidR="00F228E6">
        <w:rPr>
          <w:rFonts w:ascii="Cambria" w:hAnsi="Cambria"/>
          <w:sz w:val="16"/>
          <w:szCs w:val="16"/>
          <w:lang w:val="es-PA"/>
        </w:rPr>
        <w:t xml:space="preserve">.  El artículo 2° transitorio de la ley 19.070, según interpretación de la Contraloría, establece que los docentes también tiene derecho a esta prestación cuando el cese de servicios se produce por una “causal similar” a las establecidas en el artículo 161 del CT.  </w:t>
      </w:r>
    </w:p>
  </w:footnote>
  <w:footnote w:id="13">
    <w:p w:rsidR="00B05EFE" w:rsidRPr="00A14DC3" w:rsidRDefault="00B05EFE" w:rsidP="005C0EB2">
      <w:pPr>
        <w:pStyle w:val="FootnoteText"/>
        <w:jc w:val="both"/>
        <w:rPr>
          <w:rFonts w:ascii="Cambria" w:hAnsi="Cambria"/>
          <w:sz w:val="16"/>
          <w:szCs w:val="16"/>
          <w:lang w:val="es-PA"/>
        </w:rPr>
      </w:pPr>
      <w:r w:rsidRPr="00A14DC3">
        <w:rPr>
          <w:rStyle w:val="FootnoteReference"/>
          <w:rFonts w:ascii="Cambria" w:hAnsi="Cambria"/>
          <w:sz w:val="16"/>
          <w:szCs w:val="16"/>
        </w:rPr>
        <w:footnoteRef/>
      </w:r>
      <w:r w:rsidRPr="00A14DC3">
        <w:rPr>
          <w:rFonts w:ascii="Cambria" w:hAnsi="Cambria"/>
          <w:sz w:val="16"/>
          <w:szCs w:val="16"/>
          <w:lang w:val="es-PA"/>
        </w:rPr>
        <w:t xml:space="preserve"> Señala que, aunque más adelante se estableció un límite máximo de once años para este beneficio, este límite no aplica para el caso de las presuntas víctimas por disposición del artículo 7 transitorio del CT el cual establece que el límite no se aplicará a quienes “hubieren sido contratados con anterioridad al 14 de agosto de 1981”. Indica que todas las presuntas víctimas venían trabajando sin interrupción para el Estado desde antes de esa fecha. </w:t>
      </w:r>
    </w:p>
  </w:footnote>
  <w:footnote w:id="14">
    <w:p w:rsidR="00B05EFE" w:rsidRPr="00A14DC3" w:rsidRDefault="00B05EFE" w:rsidP="005C0EB2">
      <w:pPr>
        <w:pStyle w:val="FootnoteText"/>
        <w:jc w:val="both"/>
        <w:rPr>
          <w:rFonts w:ascii="Cambria" w:hAnsi="Cambria"/>
          <w:sz w:val="16"/>
          <w:szCs w:val="16"/>
          <w:lang w:val="es-PA"/>
        </w:rPr>
      </w:pPr>
      <w:r w:rsidRPr="00A14DC3">
        <w:rPr>
          <w:rStyle w:val="FootnoteReference"/>
          <w:rFonts w:ascii="Cambria" w:hAnsi="Cambria"/>
          <w:sz w:val="16"/>
          <w:szCs w:val="16"/>
        </w:rPr>
        <w:footnoteRef/>
      </w:r>
      <w:r w:rsidRPr="00A14DC3">
        <w:rPr>
          <w:rFonts w:ascii="Cambria" w:hAnsi="Cambria"/>
          <w:sz w:val="16"/>
          <w:szCs w:val="16"/>
          <w:lang w:val="es-PA"/>
        </w:rPr>
        <w:t xml:space="preserve"> Indica que esta indemnización es equivalente a treinta días de remuneración.</w:t>
      </w:r>
    </w:p>
  </w:footnote>
  <w:footnote w:id="15">
    <w:p w:rsidR="00B05EFE" w:rsidRPr="00A14DC3" w:rsidRDefault="00B05EFE" w:rsidP="005C0EB2">
      <w:pPr>
        <w:pStyle w:val="FootnoteText"/>
        <w:jc w:val="both"/>
        <w:rPr>
          <w:rFonts w:ascii="Cambria" w:hAnsi="Cambria"/>
          <w:sz w:val="16"/>
          <w:szCs w:val="16"/>
          <w:lang w:val="es-PA"/>
        </w:rPr>
      </w:pPr>
      <w:r w:rsidRPr="00A14DC3">
        <w:rPr>
          <w:rStyle w:val="FootnoteReference"/>
          <w:rFonts w:ascii="Cambria" w:hAnsi="Cambria"/>
          <w:sz w:val="16"/>
          <w:szCs w:val="16"/>
        </w:rPr>
        <w:footnoteRef/>
      </w:r>
      <w:r w:rsidRPr="00A14DC3">
        <w:rPr>
          <w:rFonts w:ascii="Cambria" w:hAnsi="Cambria"/>
          <w:sz w:val="16"/>
          <w:szCs w:val="16"/>
          <w:lang w:val="es-PA"/>
        </w:rPr>
        <w:t xml:space="preserve"> El artículo también hacía el beneficio </w:t>
      </w:r>
      <w:proofErr w:type="spellStart"/>
      <w:r w:rsidRPr="00A14DC3">
        <w:rPr>
          <w:rFonts w:ascii="Cambria" w:hAnsi="Cambria"/>
          <w:sz w:val="16"/>
          <w:szCs w:val="16"/>
          <w:lang w:val="es-PA"/>
        </w:rPr>
        <w:t>extendible</w:t>
      </w:r>
      <w:proofErr w:type="spellEnd"/>
      <w:r w:rsidRPr="00A14DC3">
        <w:rPr>
          <w:rFonts w:ascii="Cambria" w:hAnsi="Cambria"/>
          <w:sz w:val="16"/>
          <w:szCs w:val="16"/>
          <w:lang w:val="es-PA"/>
        </w:rPr>
        <w:t xml:space="preserve"> a quienes cumplieran con la edad de jubilación entre 1 de enero de 2007 y 28 de febrero de 2009 y presentaran su renuncia anticipada antes del 31 de octubre de 2007. </w:t>
      </w:r>
    </w:p>
  </w:footnote>
  <w:footnote w:id="16">
    <w:p w:rsidR="00621237" w:rsidRPr="007D6DE3" w:rsidRDefault="00621237" w:rsidP="005C0E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lang w:val="es-PA"/>
        </w:rPr>
      </w:pPr>
      <w:r w:rsidRPr="007D6DE3">
        <w:rPr>
          <w:rStyle w:val="FootnoteReference"/>
          <w:rFonts w:asciiTheme="majorHAnsi" w:hAnsiTheme="majorHAnsi"/>
          <w:sz w:val="16"/>
          <w:szCs w:val="16"/>
        </w:rPr>
        <w:footnoteRef/>
      </w:r>
      <w:r w:rsidRPr="00E1349F">
        <w:rPr>
          <w:rFonts w:asciiTheme="majorHAnsi" w:hAnsiTheme="majorHAnsi"/>
          <w:sz w:val="16"/>
          <w:szCs w:val="16"/>
          <w:lang w:val="es-PA"/>
        </w:rPr>
        <w:t xml:space="preserve"> Alega</w:t>
      </w:r>
      <w:r w:rsidRPr="00E1349F">
        <w:rPr>
          <w:rFonts w:ascii="Cambria" w:hAnsi="Cambria"/>
          <w:sz w:val="16"/>
          <w:szCs w:val="16"/>
          <w:lang w:val="es-PA"/>
        </w:rPr>
        <w:t xml:space="preserve"> que por</w:t>
      </w:r>
      <w:r w:rsidR="001C4246" w:rsidRPr="00E1349F">
        <w:rPr>
          <w:rFonts w:ascii="Cambria" w:hAnsi="Cambria"/>
          <w:sz w:val="16"/>
          <w:szCs w:val="16"/>
          <w:lang w:val="es-PA"/>
        </w:rPr>
        <w:t xml:space="preserve"> dos</w:t>
      </w:r>
      <w:r w:rsidRPr="00E1349F">
        <w:rPr>
          <w:rFonts w:ascii="Cambria" w:hAnsi="Cambria"/>
          <w:sz w:val="16"/>
          <w:szCs w:val="16"/>
          <w:lang w:val="es-PA"/>
        </w:rPr>
        <w:t xml:space="preserve"> años se </w:t>
      </w:r>
      <w:r w:rsidRPr="00332DEE">
        <w:rPr>
          <w:rFonts w:ascii="Cambria" w:hAnsi="Cambria"/>
          <w:sz w:val="16"/>
          <w:szCs w:val="16"/>
          <w:lang w:val="es-PA"/>
        </w:rPr>
        <w:t xml:space="preserve">interpretó que el beneficio por retiro voluntario de la ley 20.158 y las indemnizaciones dispuestas por el artículo 163 del CT eran mutuamente compatibles </w:t>
      </w:r>
      <w:r w:rsidRPr="00E1349F">
        <w:rPr>
          <w:rFonts w:ascii="Cambria" w:hAnsi="Cambria"/>
          <w:sz w:val="16"/>
          <w:szCs w:val="16"/>
          <w:lang w:val="es-PA"/>
        </w:rPr>
        <w:t xml:space="preserve">sin que las municipalidades objetaran o invocaran una incompatibilidad. </w:t>
      </w:r>
      <w:r w:rsidRPr="00332DEE">
        <w:rPr>
          <w:rFonts w:ascii="Cambria" w:hAnsi="Cambria"/>
          <w:sz w:val="16"/>
          <w:szCs w:val="16"/>
          <w:lang w:val="es-PA"/>
        </w:rPr>
        <w:t>Resalta que el 25 de septiembre de 2008 la Contraloría emitió dictamen</w:t>
      </w:r>
      <w:r w:rsidR="00EB36EE">
        <w:rPr>
          <w:rFonts w:ascii="Cambria" w:hAnsi="Cambria"/>
          <w:sz w:val="16"/>
          <w:szCs w:val="16"/>
          <w:lang w:val="es-PA"/>
        </w:rPr>
        <w:t xml:space="preserve"> dirigido al Alcalde de la Granja</w:t>
      </w:r>
      <w:r w:rsidRPr="00332DEE">
        <w:rPr>
          <w:rFonts w:ascii="Cambria" w:hAnsi="Cambria"/>
          <w:sz w:val="16"/>
          <w:szCs w:val="16"/>
          <w:lang w:val="es-PA"/>
        </w:rPr>
        <w:t xml:space="preserve"> concluyendo que no existía incompatibilidad entre ambos beneficios, el cual era vinculante para todos los órganos de la administración pública</w:t>
      </w:r>
      <w:r w:rsidR="00D8507C">
        <w:rPr>
          <w:rFonts w:ascii="Cambria" w:hAnsi="Cambria"/>
          <w:sz w:val="16"/>
          <w:szCs w:val="16"/>
          <w:lang w:val="es-PA"/>
        </w:rPr>
        <w:t xml:space="preserve"> (con fundamento en que el artículo 2 transitorio de la ley 19.070 establece que los docentes podrán recibir la indemnización por años de servicio cuando el cese efectivo de servicios se </w:t>
      </w:r>
      <w:proofErr w:type="spellStart"/>
      <w:r w:rsidR="00D8507C">
        <w:rPr>
          <w:rFonts w:ascii="Cambria" w:hAnsi="Cambria"/>
          <w:sz w:val="16"/>
          <w:szCs w:val="16"/>
          <w:lang w:val="es-PA"/>
        </w:rPr>
        <w:t>de</w:t>
      </w:r>
      <w:proofErr w:type="spellEnd"/>
      <w:r w:rsidR="00D8507C">
        <w:rPr>
          <w:rFonts w:ascii="Cambria" w:hAnsi="Cambria"/>
          <w:sz w:val="16"/>
          <w:szCs w:val="16"/>
          <w:lang w:val="es-PA"/>
        </w:rPr>
        <w:t xml:space="preserve">  por “alguna causal similar” a las establecidas en el artículo 161</w:t>
      </w:r>
      <w:r w:rsidR="00715D28">
        <w:rPr>
          <w:rFonts w:ascii="Cambria" w:hAnsi="Cambria"/>
          <w:sz w:val="16"/>
          <w:szCs w:val="16"/>
          <w:lang w:val="es-PA"/>
        </w:rPr>
        <w:t xml:space="preserve"> del CT y que el cese por jubilación, se asimila a estas causales)</w:t>
      </w:r>
      <w:r w:rsidRPr="00332DEE">
        <w:rPr>
          <w:rFonts w:ascii="Cambria" w:hAnsi="Cambria"/>
          <w:sz w:val="16"/>
          <w:szCs w:val="16"/>
          <w:lang w:val="es-PA"/>
        </w:rPr>
        <w:t xml:space="preserve">. </w:t>
      </w:r>
    </w:p>
  </w:footnote>
  <w:footnote w:id="17">
    <w:p w:rsidR="00D6538B" w:rsidRPr="00D6538B" w:rsidRDefault="00D6538B" w:rsidP="005C0E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16"/>
          <w:szCs w:val="16"/>
          <w:lang w:val="es-PA"/>
        </w:rPr>
      </w:pPr>
      <w:r w:rsidRPr="00D6538B">
        <w:rPr>
          <w:rStyle w:val="FootnoteReference"/>
          <w:rFonts w:asciiTheme="majorHAnsi" w:hAnsiTheme="majorHAnsi"/>
          <w:sz w:val="16"/>
          <w:szCs w:val="16"/>
        </w:rPr>
        <w:footnoteRef/>
      </w:r>
      <w:r w:rsidRPr="00D6538B">
        <w:rPr>
          <w:rFonts w:asciiTheme="majorHAnsi" w:hAnsiTheme="majorHAnsi"/>
          <w:sz w:val="16"/>
          <w:szCs w:val="16"/>
          <w:lang w:val="es-PA"/>
        </w:rPr>
        <w:t xml:space="preserve"> </w:t>
      </w:r>
      <w:r>
        <w:rPr>
          <w:rFonts w:asciiTheme="majorHAnsi" w:hAnsiTheme="majorHAnsi"/>
          <w:sz w:val="16"/>
          <w:szCs w:val="16"/>
          <w:lang w:val="es-PA"/>
        </w:rPr>
        <w:t>Alega</w:t>
      </w:r>
      <w:r w:rsidRPr="00D6538B">
        <w:rPr>
          <w:rFonts w:asciiTheme="majorHAnsi" w:hAnsiTheme="majorHAnsi"/>
          <w:sz w:val="16"/>
          <w:szCs w:val="16"/>
          <w:lang w:val="es-PA"/>
        </w:rPr>
        <w:t xml:space="preserve"> que, cuando algunas municipalidades se negaron a hacer los pagos, los juzgados de trabajo acogieron las demandas de los trabajadores, disponiendo el pago de ambas prestaciones</w:t>
      </w:r>
      <w:r w:rsidR="002622E8">
        <w:rPr>
          <w:rFonts w:asciiTheme="majorHAnsi" w:hAnsiTheme="majorHAnsi"/>
          <w:sz w:val="16"/>
          <w:szCs w:val="16"/>
          <w:lang w:val="es-PA"/>
        </w:rPr>
        <w:t xml:space="preserve">. Indica que oportunamente aportará sentencias de distintos tribunales del país que evidencian lo señalado. Sin embargo, estas no constan en el expediente. </w:t>
      </w:r>
    </w:p>
  </w:footnote>
  <w:footnote w:id="18">
    <w:p w:rsidR="00B05EFE" w:rsidRPr="00E875F0" w:rsidRDefault="00B05EFE" w:rsidP="005C0EB2">
      <w:pPr>
        <w:pStyle w:val="FootnoteText"/>
        <w:jc w:val="both"/>
        <w:rPr>
          <w:rFonts w:asciiTheme="majorHAnsi" w:hAnsiTheme="majorHAnsi"/>
          <w:sz w:val="16"/>
          <w:szCs w:val="16"/>
          <w:lang w:val="es-ES"/>
        </w:rPr>
      </w:pPr>
      <w:r w:rsidRPr="00D6538B">
        <w:rPr>
          <w:rStyle w:val="FootnoteReference"/>
          <w:rFonts w:asciiTheme="majorHAnsi" w:hAnsiTheme="majorHAnsi"/>
          <w:sz w:val="16"/>
          <w:szCs w:val="16"/>
        </w:rPr>
        <w:footnoteRef/>
      </w:r>
      <w:r w:rsidRPr="00D6538B">
        <w:rPr>
          <w:rFonts w:asciiTheme="majorHAnsi" w:hAnsiTheme="majorHAnsi"/>
          <w:sz w:val="16"/>
          <w:szCs w:val="16"/>
          <w:lang w:val="es-ES"/>
        </w:rPr>
        <w:t xml:space="preserve"> Recurso contemplado en el artículo 483 A del Código del Trabajo, destinado a lograr la unificación de la jurisprudencia.</w:t>
      </w:r>
    </w:p>
  </w:footnote>
  <w:footnote w:id="19">
    <w:p w:rsidR="00AA498B" w:rsidRPr="00AA498B" w:rsidRDefault="00AA498B" w:rsidP="005C0EB2">
      <w:pPr>
        <w:pStyle w:val="FootnoteText"/>
        <w:jc w:val="both"/>
        <w:rPr>
          <w:lang w:val="es-PA"/>
        </w:rPr>
      </w:pPr>
      <w:r w:rsidRPr="00E875F0">
        <w:rPr>
          <w:rStyle w:val="FootnoteReference"/>
          <w:rFonts w:asciiTheme="majorHAnsi" w:hAnsiTheme="majorHAnsi"/>
          <w:sz w:val="16"/>
          <w:szCs w:val="16"/>
        </w:rPr>
        <w:footnoteRef/>
      </w:r>
      <w:r w:rsidRPr="00E875F0">
        <w:rPr>
          <w:rFonts w:asciiTheme="majorHAnsi" w:hAnsiTheme="majorHAnsi"/>
          <w:sz w:val="16"/>
          <w:szCs w:val="16"/>
          <w:lang w:val="es-PA"/>
        </w:rPr>
        <w:t xml:space="preserve"> Pese </w:t>
      </w:r>
      <w:r w:rsidR="00E875F0" w:rsidRPr="00E875F0">
        <w:rPr>
          <w:rFonts w:asciiTheme="majorHAnsi" w:hAnsiTheme="majorHAnsi"/>
          <w:sz w:val="16"/>
          <w:szCs w:val="16"/>
          <w:lang w:val="es-PA"/>
        </w:rPr>
        <w:t>a que la parte peticionaria señala en sus escritos que oportunamente aportará estas sentencias, las mismas no constan en expediente al momento de emitirse esta decisión.</w:t>
      </w:r>
    </w:p>
  </w:footnote>
  <w:footnote w:id="20">
    <w:p w:rsidR="00214ACF" w:rsidRPr="00214ACF" w:rsidRDefault="00214ACF" w:rsidP="005C0EB2">
      <w:pPr>
        <w:pStyle w:val="FootnoteText"/>
        <w:jc w:val="both"/>
        <w:rPr>
          <w:rFonts w:asciiTheme="majorHAnsi" w:hAnsiTheme="majorHAnsi"/>
          <w:sz w:val="16"/>
          <w:szCs w:val="16"/>
          <w:lang w:val="es-PA"/>
        </w:rPr>
      </w:pPr>
      <w:r w:rsidRPr="00214ACF">
        <w:rPr>
          <w:rStyle w:val="FootnoteReference"/>
          <w:rFonts w:asciiTheme="majorHAnsi" w:hAnsiTheme="majorHAnsi"/>
          <w:sz w:val="16"/>
          <w:szCs w:val="16"/>
        </w:rPr>
        <w:footnoteRef/>
      </w:r>
      <w:r w:rsidRPr="00214ACF">
        <w:rPr>
          <w:rFonts w:asciiTheme="majorHAnsi" w:hAnsiTheme="majorHAnsi"/>
          <w:sz w:val="16"/>
          <w:szCs w:val="16"/>
          <w:lang w:val="es-ES"/>
        </w:rPr>
        <w:t xml:space="preserve"> CIDH, Informe Nº 5/05 (Admisibilidad), Petición 3156/02, Gustavo </w:t>
      </w:r>
      <w:proofErr w:type="spellStart"/>
      <w:r w:rsidRPr="00214ACF">
        <w:rPr>
          <w:rFonts w:asciiTheme="majorHAnsi" w:hAnsiTheme="majorHAnsi"/>
          <w:sz w:val="16"/>
          <w:szCs w:val="16"/>
          <w:lang w:val="es-ES"/>
        </w:rPr>
        <w:t>Sastoque</w:t>
      </w:r>
      <w:proofErr w:type="spellEnd"/>
      <w:r w:rsidRPr="00214ACF">
        <w:rPr>
          <w:rFonts w:asciiTheme="majorHAnsi" w:hAnsiTheme="majorHAnsi"/>
          <w:sz w:val="16"/>
          <w:szCs w:val="16"/>
          <w:lang w:val="es-ES"/>
        </w:rPr>
        <w:t xml:space="preserve"> Alfonso, Colombia, 22 de febrero de 2005, párr. 28.</w:t>
      </w:r>
    </w:p>
  </w:footnote>
  <w:footnote w:id="21">
    <w:p w:rsidR="00715B48" w:rsidRPr="00770597" w:rsidRDefault="00715B48" w:rsidP="005C0EB2">
      <w:pPr>
        <w:pStyle w:val="FootnoteText"/>
        <w:jc w:val="both"/>
        <w:rPr>
          <w:rFonts w:asciiTheme="majorHAnsi" w:hAnsiTheme="majorHAnsi"/>
          <w:color w:val="auto"/>
          <w:sz w:val="16"/>
          <w:szCs w:val="16"/>
          <w:lang w:val="es-ES"/>
        </w:rPr>
      </w:pPr>
      <w:r w:rsidRPr="00770597">
        <w:rPr>
          <w:rStyle w:val="FootnoteReference"/>
          <w:rFonts w:asciiTheme="majorHAnsi" w:hAnsiTheme="majorHAnsi"/>
          <w:color w:val="auto"/>
          <w:sz w:val="16"/>
          <w:szCs w:val="16"/>
          <w:lang w:val="es-ES"/>
        </w:rPr>
        <w:footnoteRef/>
      </w:r>
      <w:r w:rsidRPr="00770597">
        <w:rPr>
          <w:rFonts w:asciiTheme="majorHAnsi" w:hAnsiTheme="majorHAnsi"/>
          <w:color w:val="auto"/>
          <w:sz w:val="16"/>
          <w:szCs w:val="16"/>
          <w:lang w:val="es-ES"/>
        </w:rPr>
        <w:t xml:space="preserve"> CIDH, Informe No. 91/17. Petición 1400-07. Inadmisibilidad. Adriana Sonia Peralta. Argentina. 7 de julio de 2017, párr. 14.</w:t>
      </w:r>
    </w:p>
  </w:footnote>
  <w:footnote w:id="22">
    <w:p w:rsidR="00715B48" w:rsidRPr="00770597" w:rsidRDefault="00715B48" w:rsidP="005C0EB2">
      <w:pPr>
        <w:pStyle w:val="FootnoteText"/>
        <w:jc w:val="both"/>
        <w:rPr>
          <w:color w:val="auto"/>
          <w:sz w:val="18"/>
          <w:szCs w:val="18"/>
          <w:lang w:val="es-ES"/>
        </w:rPr>
      </w:pPr>
      <w:r w:rsidRPr="00770597">
        <w:rPr>
          <w:rStyle w:val="FootnoteReference"/>
          <w:rFonts w:asciiTheme="majorHAnsi" w:hAnsiTheme="majorHAnsi"/>
          <w:color w:val="auto"/>
          <w:sz w:val="16"/>
          <w:szCs w:val="16"/>
          <w:lang w:val="es-ES"/>
        </w:rPr>
        <w:footnoteRef/>
      </w:r>
      <w:r w:rsidRPr="00770597">
        <w:rPr>
          <w:rFonts w:asciiTheme="majorHAnsi" w:hAnsiTheme="majorHAnsi"/>
          <w:color w:val="auto"/>
          <w:sz w:val="16"/>
          <w:szCs w:val="16"/>
          <w:lang w:val="es-ES"/>
        </w:rPr>
        <w:t xml:space="preserve"> CIDH, Informe No. 26/17. Petición 1208-08. Admisibilidad. William Olaya Moreno y familia. Colombia. 18 de marzo de 2017, párr. 9.</w:t>
      </w:r>
      <w:r w:rsidRPr="00770597">
        <w:rPr>
          <w:color w:val="auto"/>
          <w:sz w:val="18"/>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F3CDC9C" wp14:editId="6CE831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620F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77" w:rsidRDefault="008E0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4151227"/>
    <w:multiLevelType w:val="hybridMultilevel"/>
    <w:tmpl w:val="56BA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37F3F"/>
    <w:multiLevelType w:val="hybridMultilevel"/>
    <w:tmpl w:val="2DCA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8"/>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1"/>
  </w:num>
  <w:num w:numId="60">
    <w:abstractNumId w:val="12"/>
  </w:num>
  <w:num w:numId="61">
    <w:abstractNumId w:val="13"/>
  </w:num>
  <w:num w:numId="62">
    <w:abstractNumId w:val="14"/>
  </w:num>
  <w:num w:numId="63">
    <w:abstractNumId w:val="15"/>
  </w:num>
  <w:num w:numId="64">
    <w:abstractNumId w:val="17"/>
  </w:num>
  <w:num w:numId="65">
    <w:abstractNumId w:val="18"/>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6"/>
  </w:num>
  <w:num w:numId="109">
    <w:abstractNumId w:val="48"/>
  </w:num>
  <w:num w:numId="110">
    <w:abstractNumId w:val="9"/>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74"/>
    <w:rsid w:val="000048C2"/>
    <w:rsid w:val="00006E1F"/>
    <w:rsid w:val="000070D7"/>
    <w:rsid w:val="0001788C"/>
    <w:rsid w:val="000337EF"/>
    <w:rsid w:val="00040C3A"/>
    <w:rsid w:val="000419AD"/>
    <w:rsid w:val="000433C9"/>
    <w:rsid w:val="00047229"/>
    <w:rsid w:val="000507D2"/>
    <w:rsid w:val="0005193F"/>
    <w:rsid w:val="00054188"/>
    <w:rsid w:val="00055ACD"/>
    <w:rsid w:val="000669A5"/>
    <w:rsid w:val="000716C5"/>
    <w:rsid w:val="00075E23"/>
    <w:rsid w:val="000834CF"/>
    <w:rsid w:val="00090D50"/>
    <w:rsid w:val="0009344A"/>
    <w:rsid w:val="00096F1B"/>
    <w:rsid w:val="000A392E"/>
    <w:rsid w:val="000A575F"/>
    <w:rsid w:val="000A698B"/>
    <w:rsid w:val="000B087C"/>
    <w:rsid w:val="000B67FF"/>
    <w:rsid w:val="000D05CB"/>
    <w:rsid w:val="000D10DB"/>
    <w:rsid w:val="000D2A57"/>
    <w:rsid w:val="000E5EB5"/>
    <w:rsid w:val="000E614D"/>
    <w:rsid w:val="000F1A79"/>
    <w:rsid w:val="000F35ED"/>
    <w:rsid w:val="00101144"/>
    <w:rsid w:val="001055CB"/>
    <w:rsid w:val="00105827"/>
    <w:rsid w:val="00107131"/>
    <w:rsid w:val="0010736F"/>
    <w:rsid w:val="00110D0B"/>
    <w:rsid w:val="00113F73"/>
    <w:rsid w:val="001216EB"/>
    <w:rsid w:val="00121CC2"/>
    <w:rsid w:val="00125E6C"/>
    <w:rsid w:val="0013227E"/>
    <w:rsid w:val="00133EE5"/>
    <w:rsid w:val="001457F4"/>
    <w:rsid w:val="00154D7B"/>
    <w:rsid w:val="0016267A"/>
    <w:rsid w:val="0016451F"/>
    <w:rsid w:val="0016495C"/>
    <w:rsid w:val="00165C6B"/>
    <w:rsid w:val="00167A34"/>
    <w:rsid w:val="001867B7"/>
    <w:rsid w:val="00191557"/>
    <w:rsid w:val="001A3C69"/>
    <w:rsid w:val="001A7870"/>
    <w:rsid w:val="001A7C5E"/>
    <w:rsid w:val="001B0194"/>
    <w:rsid w:val="001B3A00"/>
    <w:rsid w:val="001C1B41"/>
    <w:rsid w:val="001C4246"/>
    <w:rsid w:val="001C4B6F"/>
    <w:rsid w:val="001D0BCD"/>
    <w:rsid w:val="001D65EF"/>
    <w:rsid w:val="001E2656"/>
    <w:rsid w:val="001E333D"/>
    <w:rsid w:val="001E49E7"/>
    <w:rsid w:val="001E63EF"/>
    <w:rsid w:val="001F49D6"/>
    <w:rsid w:val="001F7201"/>
    <w:rsid w:val="00202DCA"/>
    <w:rsid w:val="00211134"/>
    <w:rsid w:val="00214ACF"/>
    <w:rsid w:val="00223A29"/>
    <w:rsid w:val="002250A3"/>
    <w:rsid w:val="002272BF"/>
    <w:rsid w:val="00235217"/>
    <w:rsid w:val="00244EFD"/>
    <w:rsid w:val="00246D1F"/>
    <w:rsid w:val="00247403"/>
    <w:rsid w:val="00247542"/>
    <w:rsid w:val="00252BB2"/>
    <w:rsid w:val="00253A47"/>
    <w:rsid w:val="00256568"/>
    <w:rsid w:val="002622E8"/>
    <w:rsid w:val="00263A4B"/>
    <w:rsid w:val="00266B61"/>
    <w:rsid w:val="0026712A"/>
    <w:rsid w:val="002704DB"/>
    <w:rsid w:val="00270FBE"/>
    <w:rsid w:val="002A0AAE"/>
    <w:rsid w:val="002A2CC2"/>
    <w:rsid w:val="002A5820"/>
    <w:rsid w:val="002B7BFE"/>
    <w:rsid w:val="002D2B26"/>
    <w:rsid w:val="002D4594"/>
    <w:rsid w:val="002D7AE1"/>
    <w:rsid w:val="002D7EA2"/>
    <w:rsid w:val="002E187C"/>
    <w:rsid w:val="002E2257"/>
    <w:rsid w:val="00300429"/>
    <w:rsid w:val="00302733"/>
    <w:rsid w:val="00305375"/>
    <w:rsid w:val="003064D1"/>
    <w:rsid w:val="00312B9D"/>
    <w:rsid w:val="00313201"/>
    <w:rsid w:val="00314078"/>
    <w:rsid w:val="0031535D"/>
    <w:rsid w:val="00316084"/>
    <w:rsid w:val="003239B8"/>
    <w:rsid w:val="003272AC"/>
    <w:rsid w:val="0033169F"/>
    <w:rsid w:val="00333823"/>
    <w:rsid w:val="00340B32"/>
    <w:rsid w:val="00344977"/>
    <w:rsid w:val="00346C95"/>
    <w:rsid w:val="003515E8"/>
    <w:rsid w:val="00352CE5"/>
    <w:rsid w:val="00354EF6"/>
    <w:rsid w:val="00355359"/>
    <w:rsid w:val="00356185"/>
    <w:rsid w:val="00360380"/>
    <w:rsid w:val="0036137C"/>
    <w:rsid w:val="00372C09"/>
    <w:rsid w:val="00374532"/>
    <w:rsid w:val="00374668"/>
    <w:rsid w:val="00374C69"/>
    <w:rsid w:val="0037519E"/>
    <w:rsid w:val="00386CF0"/>
    <w:rsid w:val="003A222C"/>
    <w:rsid w:val="003A50C7"/>
    <w:rsid w:val="003B70FB"/>
    <w:rsid w:val="003C676B"/>
    <w:rsid w:val="003D0BCC"/>
    <w:rsid w:val="003D3BC2"/>
    <w:rsid w:val="003D5F96"/>
    <w:rsid w:val="003D6DD7"/>
    <w:rsid w:val="003E2BC5"/>
    <w:rsid w:val="003E6CA1"/>
    <w:rsid w:val="004033D7"/>
    <w:rsid w:val="00404F15"/>
    <w:rsid w:val="004065A8"/>
    <w:rsid w:val="004160BF"/>
    <w:rsid w:val="004165C2"/>
    <w:rsid w:val="004231AF"/>
    <w:rsid w:val="00423CAE"/>
    <w:rsid w:val="00424B8D"/>
    <w:rsid w:val="0043500D"/>
    <w:rsid w:val="00441ECB"/>
    <w:rsid w:val="004438CD"/>
    <w:rsid w:val="00445193"/>
    <w:rsid w:val="00457E6D"/>
    <w:rsid w:val="00462C1B"/>
    <w:rsid w:val="00465DD7"/>
    <w:rsid w:val="00466C1A"/>
    <w:rsid w:val="00467B7E"/>
    <w:rsid w:val="004715B3"/>
    <w:rsid w:val="00473BB4"/>
    <w:rsid w:val="00477592"/>
    <w:rsid w:val="0048239D"/>
    <w:rsid w:val="00486F1C"/>
    <w:rsid w:val="0048797B"/>
    <w:rsid w:val="00493238"/>
    <w:rsid w:val="004939A2"/>
    <w:rsid w:val="0049419D"/>
    <w:rsid w:val="004A6A54"/>
    <w:rsid w:val="004B37CE"/>
    <w:rsid w:val="004B74CF"/>
    <w:rsid w:val="004C20D2"/>
    <w:rsid w:val="004C2312"/>
    <w:rsid w:val="004C2E13"/>
    <w:rsid w:val="004C4B62"/>
    <w:rsid w:val="004C54C9"/>
    <w:rsid w:val="004D0A66"/>
    <w:rsid w:val="004D12CE"/>
    <w:rsid w:val="004D341C"/>
    <w:rsid w:val="004D392B"/>
    <w:rsid w:val="004D4ABA"/>
    <w:rsid w:val="004D6025"/>
    <w:rsid w:val="004E2649"/>
    <w:rsid w:val="004E519E"/>
    <w:rsid w:val="004E7E7E"/>
    <w:rsid w:val="00500A6E"/>
    <w:rsid w:val="00501399"/>
    <w:rsid w:val="0050633D"/>
    <w:rsid w:val="00507BC4"/>
    <w:rsid w:val="005128E4"/>
    <w:rsid w:val="005133DB"/>
    <w:rsid w:val="0051495D"/>
    <w:rsid w:val="0052350C"/>
    <w:rsid w:val="00525560"/>
    <w:rsid w:val="00544C49"/>
    <w:rsid w:val="005516A1"/>
    <w:rsid w:val="00551925"/>
    <w:rsid w:val="00554A25"/>
    <w:rsid w:val="00563557"/>
    <w:rsid w:val="0057402A"/>
    <w:rsid w:val="005771D0"/>
    <w:rsid w:val="00582E89"/>
    <w:rsid w:val="0059148E"/>
    <w:rsid w:val="0059191A"/>
    <w:rsid w:val="005921FF"/>
    <w:rsid w:val="00594960"/>
    <w:rsid w:val="005A24ED"/>
    <w:rsid w:val="005A41A1"/>
    <w:rsid w:val="005A559A"/>
    <w:rsid w:val="005A6D0E"/>
    <w:rsid w:val="005B52B0"/>
    <w:rsid w:val="005B6806"/>
    <w:rsid w:val="005C08EC"/>
    <w:rsid w:val="005C0EB2"/>
    <w:rsid w:val="005C20BA"/>
    <w:rsid w:val="005C4225"/>
    <w:rsid w:val="005F0DAD"/>
    <w:rsid w:val="005F0F33"/>
    <w:rsid w:val="005F7ACF"/>
    <w:rsid w:val="00600DEB"/>
    <w:rsid w:val="0060545D"/>
    <w:rsid w:val="00605E33"/>
    <w:rsid w:val="00621237"/>
    <w:rsid w:val="00627C9F"/>
    <w:rsid w:val="00630B37"/>
    <w:rsid w:val="006311E9"/>
    <w:rsid w:val="00632354"/>
    <w:rsid w:val="006356B8"/>
    <w:rsid w:val="00642810"/>
    <w:rsid w:val="00646ACA"/>
    <w:rsid w:val="006475DB"/>
    <w:rsid w:val="00650E11"/>
    <w:rsid w:val="0065145F"/>
    <w:rsid w:val="00651684"/>
    <w:rsid w:val="00652333"/>
    <w:rsid w:val="00654E2C"/>
    <w:rsid w:val="0068009E"/>
    <w:rsid w:val="00692219"/>
    <w:rsid w:val="00695ADA"/>
    <w:rsid w:val="006A17D2"/>
    <w:rsid w:val="006A73E6"/>
    <w:rsid w:val="006B2D5C"/>
    <w:rsid w:val="006C3205"/>
    <w:rsid w:val="006C3EA8"/>
    <w:rsid w:val="006C4EB1"/>
    <w:rsid w:val="006C6D7E"/>
    <w:rsid w:val="006E0166"/>
    <w:rsid w:val="006E2FFB"/>
    <w:rsid w:val="006E58B3"/>
    <w:rsid w:val="006E63BC"/>
    <w:rsid w:val="006E7B34"/>
    <w:rsid w:val="006F2C8C"/>
    <w:rsid w:val="006F2D94"/>
    <w:rsid w:val="00705237"/>
    <w:rsid w:val="0070697F"/>
    <w:rsid w:val="00707EE6"/>
    <w:rsid w:val="00715043"/>
    <w:rsid w:val="00715B48"/>
    <w:rsid w:val="00715D28"/>
    <w:rsid w:val="00717575"/>
    <w:rsid w:val="0072080A"/>
    <w:rsid w:val="0072199C"/>
    <w:rsid w:val="00722C9F"/>
    <w:rsid w:val="007253B8"/>
    <w:rsid w:val="00731E11"/>
    <w:rsid w:val="00735D01"/>
    <w:rsid w:val="0073741F"/>
    <w:rsid w:val="00740F65"/>
    <w:rsid w:val="00750282"/>
    <w:rsid w:val="00753E80"/>
    <w:rsid w:val="007620F0"/>
    <w:rsid w:val="0076643F"/>
    <w:rsid w:val="00770597"/>
    <w:rsid w:val="00773293"/>
    <w:rsid w:val="00777F63"/>
    <w:rsid w:val="00780748"/>
    <w:rsid w:val="00787200"/>
    <w:rsid w:val="00791579"/>
    <w:rsid w:val="007A5817"/>
    <w:rsid w:val="007A5A01"/>
    <w:rsid w:val="007B05C4"/>
    <w:rsid w:val="007B60E9"/>
    <w:rsid w:val="007B6CC3"/>
    <w:rsid w:val="007B72C5"/>
    <w:rsid w:val="007B76D3"/>
    <w:rsid w:val="007C04F7"/>
    <w:rsid w:val="007C07E5"/>
    <w:rsid w:val="007C3334"/>
    <w:rsid w:val="007C4D63"/>
    <w:rsid w:val="007C6ACA"/>
    <w:rsid w:val="007D2B98"/>
    <w:rsid w:val="007D6DE3"/>
    <w:rsid w:val="007E0A20"/>
    <w:rsid w:val="007E21BC"/>
    <w:rsid w:val="007E7C82"/>
    <w:rsid w:val="007F1AAE"/>
    <w:rsid w:val="007F2ACF"/>
    <w:rsid w:val="007F3E89"/>
    <w:rsid w:val="007F588D"/>
    <w:rsid w:val="00802D76"/>
    <w:rsid w:val="00803F1C"/>
    <w:rsid w:val="0080600E"/>
    <w:rsid w:val="00817612"/>
    <w:rsid w:val="008210CA"/>
    <w:rsid w:val="00821766"/>
    <w:rsid w:val="00822978"/>
    <w:rsid w:val="00823E39"/>
    <w:rsid w:val="00824DDF"/>
    <w:rsid w:val="008315F0"/>
    <w:rsid w:val="008338A4"/>
    <w:rsid w:val="00834D49"/>
    <w:rsid w:val="00837C45"/>
    <w:rsid w:val="00844730"/>
    <w:rsid w:val="008457C2"/>
    <w:rsid w:val="00854792"/>
    <w:rsid w:val="008571BD"/>
    <w:rsid w:val="00857A82"/>
    <w:rsid w:val="00860895"/>
    <w:rsid w:val="00873836"/>
    <w:rsid w:val="00885737"/>
    <w:rsid w:val="00890650"/>
    <w:rsid w:val="008932D4"/>
    <w:rsid w:val="00894437"/>
    <w:rsid w:val="00897E12"/>
    <w:rsid w:val="008A7E0F"/>
    <w:rsid w:val="008B10CB"/>
    <w:rsid w:val="008B1278"/>
    <w:rsid w:val="008B12F5"/>
    <w:rsid w:val="008B26BA"/>
    <w:rsid w:val="008B293D"/>
    <w:rsid w:val="008B65D5"/>
    <w:rsid w:val="008D0515"/>
    <w:rsid w:val="008D1DDA"/>
    <w:rsid w:val="008D300D"/>
    <w:rsid w:val="008D768D"/>
    <w:rsid w:val="008E0D77"/>
    <w:rsid w:val="008E3759"/>
    <w:rsid w:val="008E3BFE"/>
    <w:rsid w:val="008E4748"/>
    <w:rsid w:val="008F1912"/>
    <w:rsid w:val="008F5F52"/>
    <w:rsid w:val="0090270B"/>
    <w:rsid w:val="009041DC"/>
    <w:rsid w:val="00904DEF"/>
    <w:rsid w:val="00910401"/>
    <w:rsid w:val="00917B5A"/>
    <w:rsid w:val="00920A58"/>
    <w:rsid w:val="00920A8C"/>
    <w:rsid w:val="00922ED4"/>
    <w:rsid w:val="00934A2C"/>
    <w:rsid w:val="00944A9F"/>
    <w:rsid w:val="00965B83"/>
    <w:rsid w:val="0096706E"/>
    <w:rsid w:val="00974491"/>
    <w:rsid w:val="00975C4E"/>
    <w:rsid w:val="009819CF"/>
    <w:rsid w:val="00981FBA"/>
    <w:rsid w:val="00997BC5"/>
    <w:rsid w:val="009A4F41"/>
    <w:rsid w:val="009B2C12"/>
    <w:rsid w:val="009B30BD"/>
    <w:rsid w:val="009B381B"/>
    <w:rsid w:val="009B6CE1"/>
    <w:rsid w:val="009C322B"/>
    <w:rsid w:val="009D11BB"/>
    <w:rsid w:val="009D1753"/>
    <w:rsid w:val="009D7611"/>
    <w:rsid w:val="009E0B61"/>
    <w:rsid w:val="009E53DE"/>
    <w:rsid w:val="00A11212"/>
    <w:rsid w:val="00A11E44"/>
    <w:rsid w:val="00A131A4"/>
    <w:rsid w:val="00A2606A"/>
    <w:rsid w:val="00A27DEB"/>
    <w:rsid w:val="00A328B3"/>
    <w:rsid w:val="00A3466E"/>
    <w:rsid w:val="00A43A6F"/>
    <w:rsid w:val="00A452BC"/>
    <w:rsid w:val="00A45EF6"/>
    <w:rsid w:val="00A50FCF"/>
    <w:rsid w:val="00A528D1"/>
    <w:rsid w:val="00A610CD"/>
    <w:rsid w:val="00A758AA"/>
    <w:rsid w:val="00A766B9"/>
    <w:rsid w:val="00A82B19"/>
    <w:rsid w:val="00AA09A2"/>
    <w:rsid w:val="00AA498B"/>
    <w:rsid w:val="00AA7996"/>
    <w:rsid w:val="00AB0491"/>
    <w:rsid w:val="00AC19CB"/>
    <w:rsid w:val="00AC25D8"/>
    <w:rsid w:val="00AD396A"/>
    <w:rsid w:val="00AD44C6"/>
    <w:rsid w:val="00AE5488"/>
    <w:rsid w:val="00AE6F91"/>
    <w:rsid w:val="00AF5008"/>
    <w:rsid w:val="00AF5571"/>
    <w:rsid w:val="00AF60F7"/>
    <w:rsid w:val="00B05EFE"/>
    <w:rsid w:val="00B06375"/>
    <w:rsid w:val="00B0642F"/>
    <w:rsid w:val="00B07341"/>
    <w:rsid w:val="00B145A3"/>
    <w:rsid w:val="00B14B27"/>
    <w:rsid w:val="00B30539"/>
    <w:rsid w:val="00B314DB"/>
    <w:rsid w:val="00B34348"/>
    <w:rsid w:val="00B34D5C"/>
    <w:rsid w:val="00B361F2"/>
    <w:rsid w:val="00B36DB4"/>
    <w:rsid w:val="00B3718B"/>
    <w:rsid w:val="00B3745F"/>
    <w:rsid w:val="00B4632A"/>
    <w:rsid w:val="00B47F5C"/>
    <w:rsid w:val="00B530F1"/>
    <w:rsid w:val="00B67DA6"/>
    <w:rsid w:val="00B71BC3"/>
    <w:rsid w:val="00B8207F"/>
    <w:rsid w:val="00BA0EC0"/>
    <w:rsid w:val="00BA276C"/>
    <w:rsid w:val="00BA769A"/>
    <w:rsid w:val="00BB306F"/>
    <w:rsid w:val="00BC0898"/>
    <w:rsid w:val="00BD4B89"/>
    <w:rsid w:val="00BD5922"/>
    <w:rsid w:val="00BD6541"/>
    <w:rsid w:val="00BE506B"/>
    <w:rsid w:val="00BF02CB"/>
    <w:rsid w:val="00BF2FB5"/>
    <w:rsid w:val="00BF3128"/>
    <w:rsid w:val="00BF3705"/>
    <w:rsid w:val="00BF3D64"/>
    <w:rsid w:val="00BF5DD7"/>
    <w:rsid w:val="00BF6FD8"/>
    <w:rsid w:val="00C03680"/>
    <w:rsid w:val="00C054DF"/>
    <w:rsid w:val="00C17C4F"/>
    <w:rsid w:val="00C21762"/>
    <w:rsid w:val="00C21FEF"/>
    <w:rsid w:val="00C22C5D"/>
    <w:rsid w:val="00C23703"/>
    <w:rsid w:val="00C24543"/>
    <w:rsid w:val="00C25241"/>
    <w:rsid w:val="00C256A2"/>
    <w:rsid w:val="00C25D6C"/>
    <w:rsid w:val="00C346B8"/>
    <w:rsid w:val="00C51515"/>
    <w:rsid w:val="00C55B07"/>
    <w:rsid w:val="00C5660B"/>
    <w:rsid w:val="00C66B72"/>
    <w:rsid w:val="00C70928"/>
    <w:rsid w:val="00C87AC4"/>
    <w:rsid w:val="00C90A75"/>
    <w:rsid w:val="00C92819"/>
    <w:rsid w:val="00C9567A"/>
    <w:rsid w:val="00CA00AA"/>
    <w:rsid w:val="00CA2289"/>
    <w:rsid w:val="00CA2DE5"/>
    <w:rsid w:val="00CB212D"/>
    <w:rsid w:val="00CB2660"/>
    <w:rsid w:val="00CB3542"/>
    <w:rsid w:val="00CC1856"/>
    <w:rsid w:val="00CC195D"/>
    <w:rsid w:val="00CC4695"/>
    <w:rsid w:val="00CC5E90"/>
    <w:rsid w:val="00CD046C"/>
    <w:rsid w:val="00CD0E13"/>
    <w:rsid w:val="00CD221E"/>
    <w:rsid w:val="00CD58DE"/>
    <w:rsid w:val="00CD789A"/>
    <w:rsid w:val="00CE076C"/>
    <w:rsid w:val="00CE3419"/>
    <w:rsid w:val="00CE5199"/>
    <w:rsid w:val="00CE66D5"/>
    <w:rsid w:val="00CF637A"/>
    <w:rsid w:val="00D0133D"/>
    <w:rsid w:val="00D059DE"/>
    <w:rsid w:val="00D05ABD"/>
    <w:rsid w:val="00D11DC3"/>
    <w:rsid w:val="00D1214E"/>
    <w:rsid w:val="00D126C1"/>
    <w:rsid w:val="00D13FCE"/>
    <w:rsid w:val="00D15254"/>
    <w:rsid w:val="00D306D1"/>
    <w:rsid w:val="00D30800"/>
    <w:rsid w:val="00D34786"/>
    <w:rsid w:val="00D34A55"/>
    <w:rsid w:val="00D37BFC"/>
    <w:rsid w:val="00D46D25"/>
    <w:rsid w:val="00D47A8E"/>
    <w:rsid w:val="00D52D14"/>
    <w:rsid w:val="00D6538B"/>
    <w:rsid w:val="00D67642"/>
    <w:rsid w:val="00D712D3"/>
    <w:rsid w:val="00D71422"/>
    <w:rsid w:val="00D72DC6"/>
    <w:rsid w:val="00D7558D"/>
    <w:rsid w:val="00D772EA"/>
    <w:rsid w:val="00D81D92"/>
    <w:rsid w:val="00D8467F"/>
    <w:rsid w:val="00D8507C"/>
    <w:rsid w:val="00D8544F"/>
    <w:rsid w:val="00D876F9"/>
    <w:rsid w:val="00DA530A"/>
    <w:rsid w:val="00DA6643"/>
    <w:rsid w:val="00DA7B5F"/>
    <w:rsid w:val="00DB0E4C"/>
    <w:rsid w:val="00DC11E7"/>
    <w:rsid w:val="00DC24E3"/>
    <w:rsid w:val="00DC360E"/>
    <w:rsid w:val="00DC7023"/>
    <w:rsid w:val="00DC769A"/>
    <w:rsid w:val="00DD3D86"/>
    <w:rsid w:val="00DD4AD2"/>
    <w:rsid w:val="00DD4D9F"/>
    <w:rsid w:val="00DE26E0"/>
    <w:rsid w:val="00DE57C6"/>
    <w:rsid w:val="00DE6F47"/>
    <w:rsid w:val="00DE79B5"/>
    <w:rsid w:val="00DF1EC4"/>
    <w:rsid w:val="00E02B8F"/>
    <w:rsid w:val="00E0340B"/>
    <w:rsid w:val="00E04A90"/>
    <w:rsid w:val="00E0551F"/>
    <w:rsid w:val="00E07353"/>
    <w:rsid w:val="00E1349F"/>
    <w:rsid w:val="00E219C7"/>
    <w:rsid w:val="00E25F11"/>
    <w:rsid w:val="00E4118C"/>
    <w:rsid w:val="00E43157"/>
    <w:rsid w:val="00E461CE"/>
    <w:rsid w:val="00E52992"/>
    <w:rsid w:val="00E52FD6"/>
    <w:rsid w:val="00E569EE"/>
    <w:rsid w:val="00E67BBB"/>
    <w:rsid w:val="00E720CA"/>
    <w:rsid w:val="00E84EB5"/>
    <w:rsid w:val="00E85662"/>
    <w:rsid w:val="00E864CA"/>
    <w:rsid w:val="00E872A1"/>
    <w:rsid w:val="00E875F0"/>
    <w:rsid w:val="00E8789F"/>
    <w:rsid w:val="00E91020"/>
    <w:rsid w:val="00E97B71"/>
    <w:rsid w:val="00EA3D34"/>
    <w:rsid w:val="00EA6B11"/>
    <w:rsid w:val="00EB36EE"/>
    <w:rsid w:val="00EB454D"/>
    <w:rsid w:val="00EC0056"/>
    <w:rsid w:val="00ED224C"/>
    <w:rsid w:val="00ED549D"/>
    <w:rsid w:val="00ED76BE"/>
    <w:rsid w:val="00EE00E9"/>
    <w:rsid w:val="00EF12DF"/>
    <w:rsid w:val="00EF619B"/>
    <w:rsid w:val="00F00B55"/>
    <w:rsid w:val="00F02AD1"/>
    <w:rsid w:val="00F05349"/>
    <w:rsid w:val="00F05EB5"/>
    <w:rsid w:val="00F228E6"/>
    <w:rsid w:val="00F235BF"/>
    <w:rsid w:val="00F253CC"/>
    <w:rsid w:val="00F37106"/>
    <w:rsid w:val="00F43E15"/>
    <w:rsid w:val="00F519CF"/>
    <w:rsid w:val="00F52CA3"/>
    <w:rsid w:val="00F56BA5"/>
    <w:rsid w:val="00F60E22"/>
    <w:rsid w:val="00F66676"/>
    <w:rsid w:val="00F666C4"/>
    <w:rsid w:val="00F81395"/>
    <w:rsid w:val="00F81BB8"/>
    <w:rsid w:val="00F917D1"/>
    <w:rsid w:val="00F9653B"/>
    <w:rsid w:val="00F978A4"/>
    <w:rsid w:val="00FA57D9"/>
    <w:rsid w:val="00FA7A7C"/>
    <w:rsid w:val="00FB62CF"/>
    <w:rsid w:val="00FC38BB"/>
    <w:rsid w:val="00FD1784"/>
    <w:rsid w:val="00FD3C3B"/>
    <w:rsid w:val="00FE07DD"/>
    <w:rsid w:val="00FE09DC"/>
    <w:rsid w:val="00FE124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00AA"/>
    <w:rPr>
      <w:sz w:val="16"/>
      <w:szCs w:val="16"/>
    </w:rPr>
  </w:style>
  <w:style w:type="paragraph" w:styleId="CommentText">
    <w:name w:val="annotation text"/>
    <w:basedOn w:val="Normal"/>
    <w:link w:val="CommentTextChar"/>
    <w:uiPriority w:val="99"/>
    <w:semiHidden/>
    <w:unhideWhenUsed/>
    <w:rsid w:val="00CA00AA"/>
    <w:rPr>
      <w:sz w:val="20"/>
      <w:szCs w:val="20"/>
    </w:rPr>
  </w:style>
  <w:style w:type="character" w:customStyle="1" w:styleId="CommentTextChar">
    <w:name w:val="Comment Text Char"/>
    <w:basedOn w:val="DefaultParagraphFont"/>
    <w:link w:val="CommentText"/>
    <w:uiPriority w:val="99"/>
    <w:semiHidden/>
    <w:rsid w:val="00CA00AA"/>
    <w:rPr>
      <w:lang w:val="en-US" w:eastAsia="en-US"/>
    </w:rPr>
  </w:style>
  <w:style w:type="paragraph" w:styleId="CommentSubject">
    <w:name w:val="annotation subject"/>
    <w:basedOn w:val="CommentText"/>
    <w:next w:val="CommentText"/>
    <w:link w:val="CommentSubjectChar"/>
    <w:uiPriority w:val="99"/>
    <w:semiHidden/>
    <w:unhideWhenUsed/>
    <w:rsid w:val="00CA00AA"/>
    <w:rPr>
      <w:b/>
      <w:bCs/>
    </w:rPr>
  </w:style>
  <w:style w:type="character" w:customStyle="1" w:styleId="CommentSubjectChar">
    <w:name w:val="Comment Subject Char"/>
    <w:basedOn w:val="CommentTextChar"/>
    <w:link w:val="CommentSubject"/>
    <w:uiPriority w:val="99"/>
    <w:semiHidden/>
    <w:rsid w:val="00CA00A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1310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779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07D9"/>
    <w:rsid w:val="001E7699"/>
    <w:rsid w:val="00200092"/>
    <w:rsid w:val="00200821"/>
    <w:rsid w:val="00203CEE"/>
    <w:rsid w:val="00394049"/>
    <w:rsid w:val="003C0376"/>
    <w:rsid w:val="003C6667"/>
    <w:rsid w:val="003F0E08"/>
    <w:rsid w:val="00472EC7"/>
    <w:rsid w:val="004F2DF8"/>
    <w:rsid w:val="00562D08"/>
    <w:rsid w:val="00586E57"/>
    <w:rsid w:val="006B2BCB"/>
    <w:rsid w:val="006E420C"/>
    <w:rsid w:val="00710FEF"/>
    <w:rsid w:val="007D5694"/>
    <w:rsid w:val="007F60BF"/>
    <w:rsid w:val="00871883"/>
    <w:rsid w:val="00880E11"/>
    <w:rsid w:val="008B6ECA"/>
    <w:rsid w:val="009402FD"/>
    <w:rsid w:val="009A261B"/>
    <w:rsid w:val="00A2398F"/>
    <w:rsid w:val="00AC15A4"/>
    <w:rsid w:val="00AC5F4F"/>
    <w:rsid w:val="00B0336C"/>
    <w:rsid w:val="00B55306"/>
    <w:rsid w:val="00C51EC5"/>
    <w:rsid w:val="00E75210"/>
    <w:rsid w:val="00ED5D24"/>
    <w:rsid w:val="00F00D2F"/>
    <w:rsid w:val="00F128DF"/>
    <w:rsid w:val="00F24F8E"/>
    <w:rsid w:val="00F9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BC10-E304-46CA-A236-6AD48B47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2640</Words>
  <Characters>13892</Characters>
  <Application>Microsoft Office Word</Application>
  <DocSecurity>0</DocSecurity>
  <Lines>375</Lines>
  <Paragraphs>129</Paragraphs>
  <ScaleCrop>false</ScaleCrop>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217/19</dc:title>
  <dc:creator/>
  <cp:lastModifiedBy/>
  <cp:revision>1</cp:revision>
  <dcterms:created xsi:type="dcterms:W3CDTF">2020-03-27T13:10:00Z</dcterms:created>
  <dcterms:modified xsi:type="dcterms:W3CDTF">2020-03-27T13:10:00Z</dcterms:modified>
</cp:coreProperties>
</file>