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51" w:rsidRPr="00AF1DFA" w:rsidRDefault="00610851" w:rsidP="000E0504">
      <w:pPr>
        <w:spacing w:after="0" w:line="240" w:lineRule="auto"/>
        <w:jc w:val="both"/>
        <w:rPr>
          <w:rFonts w:ascii="Cambria" w:hAnsi="Cambria" w:cs="Univers"/>
          <w:b/>
          <w:bCs/>
          <w:sz w:val="20"/>
          <w:szCs w:val="20"/>
          <w:lang w:val="es-ES_tradnl"/>
        </w:rPr>
      </w:pPr>
      <w:bookmarkStart w:id="0" w:name="_GoBack"/>
      <w:bookmarkEnd w:id="0"/>
      <w:r w:rsidRPr="00AF1DFA">
        <w:rPr>
          <w:rFonts w:ascii="Cambria" w:hAnsi="Cambria"/>
          <w:noProof/>
          <w:sz w:val="20"/>
          <w:szCs w:val="20"/>
        </w:rPr>
        <mc:AlternateContent>
          <mc:Choice Requires="wps">
            <w:drawing>
              <wp:anchor distT="0" distB="0" distL="114300" distR="114300" simplePos="0" relativeHeight="251659264" behindDoc="0" locked="0" layoutInCell="1" allowOverlap="1" wp14:anchorId="636182E0" wp14:editId="2EE6B89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C3B93"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AF1DFA">
        <w:rPr>
          <w:rFonts w:ascii="Cambria" w:hAnsi="Cambria"/>
          <w:noProof/>
          <w:sz w:val="20"/>
          <w:szCs w:val="20"/>
        </w:rPr>
        <mc:AlternateContent>
          <mc:Choice Requires="wps">
            <w:drawing>
              <wp:anchor distT="0" distB="0" distL="114300" distR="114300" simplePos="0" relativeHeight="251663360" behindDoc="0" locked="0" layoutInCell="1" allowOverlap="1" wp14:anchorId="64457F28" wp14:editId="592C01B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642C" w:rsidRDefault="00BA642C" w:rsidP="00610851">
                            <w:r>
                              <w:rPr>
                                <w:noProof/>
                              </w:rPr>
                              <w:drawing>
                                <wp:inline distT="0" distB="0" distL="0" distR="0" wp14:anchorId="231FDAC9" wp14:editId="18190EC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57F2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A642C" w:rsidRDefault="00BA642C" w:rsidP="00610851">
                      <w:r>
                        <w:rPr>
                          <w:noProof/>
                        </w:rPr>
                        <w:drawing>
                          <wp:inline distT="0" distB="0" distL="0" distR="0" wp14:anchorId="231FDAC9" wp14:editId="18190EC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610851" w:rsidRPr="00AF1DFA" w:rsidRDefault="00610851" w:rsidP="000E0504">
      <w:pPr>
        <w:tabs>
          <w:tab w:val="center" w:pos="5400"/>
        </w:tabs>
        <w:suppressAutoHyphens/>
        <w:spacing w:after="0" w:line="240" w:lineRule="auto"/>
        <w:jc w:val="both"/>
        <w:rPr>
          <w:rFonts w:ascii="Cambria" w:hAnsi="Cambria"/>
          <w:sz w:val="20"/>
          <w:szCs w:val="20"/>
          <w:lang w:val="es-ES"/>
        </w:rPr>
      </w:pPr>
    </w:p>
    <w:p w:rsidR="00610851" w:rsidRPr="00AF1DFA" w:rsidRDefault="00610851" w:rsidP="000E0504">
      <w:pPr>
        <w:tabs>
          <w:tab w:val="center" w:pos="5400"/>
        </w:tabs>
        <w:suppressAutoHyphens/>
        <w:spacing w:after="0" w:line="240" w:lineRule="auto"/>
        <w:jc w:val="both"/>
        <w:rPr>
          <w:rFonts w:ascii="Cambria" w:hAnsi="Cambria"/>
          <w:sz w:val="20"/>
          <w:szCs w:val="20"/>
          <w:lang w:val="es-ES"/>
        </w:rPr>
      </w:pPr>
    </w:p>
    <w:p w:rsidR="00610851" w:rsidRPr="00AF1DFA" w:rsidRDefault="00610851" w:rsidP="000E0504">
      <w:pPr>
        <w:tabs>
          <w:tab w:val="center" w:pos="5400"/>
        </w:tabs>
        <w:suppressAutoHyphens/>
        <w:spacing w:after="0" w:line="240" w:lineRule="auto"/>
        <w:rPr>
          <w:rFonts w:ascii="Cambria" w:hAnsi="Cambria"/>
          <w:sz w:val="20"/>
          <w:szCs w:val="20"/>
          <w:lang w:val="es-ES_tradnl"/>
        </w:rPr>
      </w:pPr>
    </w:p>
    <w:p w:rsidR="00610851" w:rsidRPr="00AF1DFA" w:rsidRDefault="00610851" w:rsidP="000E0504">
      <w:pPr>
        <w:tabs>
          <w:tab w:val="center" w:pos="5400"/>
        </w:tabs>
        <w:suppressAutoHyphens/>
        <w:spacing w:after="0" w:line="240" w:lineRule="auto"/>
        <w:rPr>
          <w:rFonts w:ascii="Cambria" w:hAnsi="Cambria"/>
          <w:sz w:val="20"/>
          <w:szCs w:val="20"/>
          <w:lang w:val="es-ES_tradnl"/>
        </w:rPr>
      </w:pPr>
    </w:p>
    <w:p w:rsidR="00610851" w:rsidRPr="00AF1DFA" w:rsidRDefault="00610851" w:rsidP="000E0504">
      <w:pPr>
        <w:tabs>
          <w:tab w:val="center" w:pos="5400"/>
        </w:tabs>
        <w:suppressAutoHyphens/>
        <w:spacing w:after="0" w:line="240" w:lineRule="auto"/>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r w:rsidRPr="00AF1DFA">
        <w:rPr>
          <w:rFonts w:ascii="Cambria" w:hAnsi="Cambria"/>
          <w:noProof/>
          <w:sz w:val="20"/>
          <w:szCs w:val="20"/>
        </w:rPr>
        <mc:AlternateContent>
          <mc:Choice Requires="wps">
            <w:drawing>
              <wp:anchor distT="0" distB="0" distL="114300" distR="114300" simplePos="0" relativeHeight="251660288" behindDoc="0" locked="0" layoutInCell="1" allowOverlap="1" wp14:anchorId="084B9232" wp14:editId="5634362B">
                <wp:simplePos x="0" y="0"/>
                <wp:positionH relativeFrom="column">
                  <wp:posOffset>1373815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642C" w:rsidRPr="00EE37C3" w:rsidRDefault="00BA642C" w:rsidP="00486857">
                            <w:pPr>
                              <w:spacing w:after="0" w:line="276" w:lineRule="auto"/>
                              <w:rPr>
                                <w:rFonts w:ascii="Cambria" w:hAnsi="Cambria" w:cs="Arial"/>
                                <w:b/>
                                <w:bCs/>
                                <w:color w:val="0D0D0D" w:themeColor="text1" w:themeTint="F2"/>
                                <w:sz w:val="36"/>
                                <w:lang w:val="es-MX"/>
                              </w:rPr>
                            </w:pPr>
                            <w:r w:rsidRPr="00EE37C3">
                              <w:rPr>
                                <w:rFonts w:ascii="Cambria" w:hAnsi="Cambria" w:cs="Arial"/>
                                <w:b/>
                                <w:bCs/>
                                <w:color w:val="0D0D0D" w:themeColor="text1" w:themeTint="F2"/>
                                <w:sz w:val="36"/>
                                <w:lang w:val="es-MX"/>
                              </w:rPr>
                              <w:t xml:space="preserve">INFORME </w:t>
                            </w:r>
                            <w:r w:rsidRPr="00EE37C3">
                              <w:rPr>
                                <w:rFonts w:ascii="Cambria" w:hAnsi="Cambria" w:cs="Arial"/>
                                <w:b/>
                                <w:bCs/>
                                <w:color w:val="0D0D0D" w:themeColor="text1" w:themeTint="F2"/>
                                <w:sz w:val="36"/>
                                <w:szCs w:val="40"/>
                                <w:lang w:val="es-MX"/>
                              </w:rPr>
                              <w:t>No.</w:t>
                            </w:r>
                            <w:r w:rsidRPr="00EE37C3">
                              <w:rPr>
                                <w:rFonts w:ascii="Cambria" w:hAnsi="Cambria" w:cs="Arial"/>
                                <w:b/>
                                <w:bCs/>
                                <w:color w:val="0D0D0D" w:themeColor="text1" w:themeTint="F2"/>
                                <w:sz w:val="36"/>
                                <w:lang w:val="es-MX"/>
                              </w:rPr>
                              <w:t xml:space="preserve"> </w:t>
                            </w:r>
                            <w:r w:rsidR="00314DEA">
                              <w:rPr>
                                <w:rFonts w:ascii="Cambria" w:hAnsi="Cambria" w:cs="Arial"/>
                                <w:b/>
                                <w:bCs/>
                                <w:color w:val="0D0D0D" w:themeColor="text1" w:themeTint="F2"/>
                                <w:sz w:val="36"/>
                                <w:lang w:val="es-MX"/>
                              </w:rPr>
                              <w:t>37</w:t>
                            </w:r>
                            <w:r w:rsidRPr="00EE37C3">
                              <w:rPr>
                                <w:rFonts w:ascii="Cambria" w:hAnsi="Cambria" w:cs="Arial"/>
                                <w:b/>
                                <w:bCs/>
                                <w:color w:val="0D0D0D" w:themeColor="text1" w:themeTint="F2"/>
                                <w:sz w:val="36"/>
                                <w:lang w:val="es-MX"/>
                              </w:rPr>
                              <w:t>/19</w:t>
                            </w:r>
                          </w:p>
                          <w:p w:rsidR="00BA642C" w:rsidRPr="00EE37C3" w:rsidRDefault="00BA642C" w:rsidP="00486857">
                            <w:pPr>
                              <w:spacing w:after="0" w:line="276" w:lineRule="auto"/>
                              <w:rPr>
                                <w:rFonts w:ascii="Cambria" w:hAnsi="Cambria" w:cs="Arial"/>
                                <w:b/>
                                <w:bCs/>
                                <w:color w:val="0D0D0D" w:themeColor="text1" w:themeTint="F2"/>
                                <w:sz w:val="36"/>
                                <w:lang w:val="es-MX"/>
                              </w:rPr>
                            </w:pPr>
                            <w:r w:rsidRPr="00EE37C3">
                              <w:rPr>
                                <w:rFonts w:ascii="Cambria" w:hAnsi="Cambria" w:cs="Arial"/>
                                <w:b/>
                                <w:color w:val="0D0D0D" w:themeColor="text1" w:themeTint="F2"/>
                                <w:sz w:val="36"/>
                                <w:lang w:val="es-MX"/>
                              </w:rPr>
                              <w:t>CASO 12.190</w:t>
                            </w:r>
                          </w:p>
                          <w:p w:rsidR="00BA642C" w:rsidRPr="00EE37C3" w:rsidRDefault="00BA642C" w:rsidP="00486857">
                            <w:pPr>
                              <w:spacing w:after="0" w:line="276" w:lineRule="auto"/>
                              <w:rPr>
                                <w:rFonts w:ascii="Cambria" w:hAnsi="Cambria" w:cs="Arial"/>
                                <w:color w:val="0D0D0D" w:themeColor="text1" w:themeTint="F2"/>
                                <w:sz w:val="24"/>
                                <w:lang w:val="es-ES_tradnl"/>
                              </w:rPr>
                            </w:pPr>
                            <w:r w:rsidRPr="00EE37C3">
                              <w:rPr>
                                <w:rFonts w:ascii="Cambria" w:hAnsi="Cambria" w:cs="Arial"/>
                                <w:color w:val="0D0D0D" w:themeColor="text1" w:themeTint="F2"/>
                                <w:sz w:val="24"/>
                                <w:lang w:val="es-ES_tradnl"/>
                              </w:rPr>
                              <w:t xml:space="preserve">INFORME DE SOLUCIÓN AMISTOSA </w:t>
                            </w:r>
                          </w:p>
                          <w:p w:rsidR="00486857" w:rsidRDefault="00486857" w:rsidP="00486857">
                            <w:pPr>
                              <w:spacing w:after="0" w:line="276" w:lineRule="auto"/>
                              <w:rPr>
                                <w:rFonts w:ascii="Cambria" w:hAnsi="Cambria" w:cs="Arial"/>
                                <w:color w:val="0D0D0D" w:themeColor="text1" w:themeTint="F2"/>
                                <w:sz w:val="24"/>
                                <w:lang w:val="es-ES_tradnl"/>
                              </w:rPr>
                            </w:pPr>
                            <w:bookmarkStart w:id="1" w:name="_ftnref1"/>
                          </w:p>
                          <w:p w:rsidR="00BA642C" w:rsidRPr="00EE37C3" w:rsidRDefault="00BA642C" w:rsidP="00486857">
                            <w:pPr>
                              <w:spacing w:after="0" w:line="276" w:lineRule="auto"/>
                              <w:rPr>
                                <w:rFonts w:ascii="Cambria" w:hAnsi="Cambria" w:cs="Arial"/>
                                <w:color w:val="0D0D0D" w:themeColor="text1" w:themeTint="F2"/>
                                <w:sz w:val="24"/>
                                <w:lang w:val="es-MX"/>
                              </w:rPr>
                            </w:pPr>
                            <w:r w:rsidRPr="00EE37C3">
                              <w:rPr>
                                <w:rFonts w:ascii="Cambria" w:hAnsi="Cambria" w:cs="Arial"/>
                                <w:color w:val="0D0D0D" w:themeColor="text1" w:themeTint="F2"/>
                                <w:sz w:val="24"/>
                                <w:lang w:val="es-ES_tradnl"/>
                              </w:rPr>
                              <w:t>JOSE LUIS TAPIA Y OTROS CARABINEROS</w:t>
                            </w:r>
                          </w:p>
                          <w:bookmarkEnd w:id="1"/>
                          <w:p w:rsidR="00BA642C" w:rsidRPr="00EE37C3" w:rsidRDefault="00BA642C" w:rsidP="00486857">
                            <w:pPr>
                              <w:spacing w:after="0" w:line="276" w:lineRule="auto"/>
                              <w:rPr>
                                <w:rFonts w:ascii="Cambria" w:hAnsi="Cambria" w:cs="Arial"/>
                                <w:color w:val="0D0D0D" w:themeColor="text1" w:themeTint="F2"/>
                                <w:sz w:val="24"/>
                                <w:lang w:val="es-ES"/>
                              </w:rPr>
                            </w:pPr>
                            <w:r w:rsidRPr="00EE37C3">
                              <w:rPr>
                                <w:rFonts w:ascii="Cambria" w:hAnsi="Cambria" w:cs="Arial"/>
                                <w:color w:val="0D0D0D" w:themeColor="text1" w:themeTint="F2"/>
                                <w:sz w:val="24"/>
                                <w:lang w:val="es-ES_tradnl"/>
                              </w:rPr>
                              <w:t>CHILE</w:t>
                            </w:r>
                          </w:p>
                          <w:p w:rsidR="00BA642C" w:rsidRPr="00AE5488" w:rsidRDefault="00BA642C" w:rsidP="00610851">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9232" id="Text Box 5" o:spid="_x0000_s1027" type="#_x0000_t202" style="position:absolute;left:0;text-align:left;margin-left:108.1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" filled="f" stroked="f" strokeweight=".5pt">
                <v:textbox>
                  <w:txbxContent>
                    <w:p w:rsidR="00BA642C" w:rsidRPr="00EE37C3" w:rsidRDefault="00BA642C" w:rsidP="00486857">
                      <w:pPr>
                        <w:spacing w:after="0" w:line="276" w:lineRule="auto"/>
                        <w:rPr>
                          <w:rFonts w:ascii="Cambria" w:hAnsi="Cambria" w:cs="Arial"/>
                          <w:b/>
                          <w:bCs/>
                          <w:color w:val="0D0D0D" w:themeColor="text1" w:themeTint="F2"/>
                          <w:sz w:val="36"/>
                          <w:lang w:val="es-MX"/>
                        </w:rPr>
                      </w:pPr>
                      <w:r w:rsidRPr="00EE37C3">
                        <w:rPr>
                          <w:rFonts w:ascii="Cambria" w:hAnsi="Cambria" w:cs="Arial"/>
                          <w:b/>
                          <w:bCs/>
                          <w:color w:val="0D0D0D" w:themeColor="text1" w:themeTint="F2"/>
                          <w:sz w:val="36"/>
                          <w:lang w:val="es-MX"/>
                        </w:rPr>
                        <w:t xml:space="preserve">INFORME </w:t>
                      </w:r>
                      <w:r w:rsidRPr="00EE37C3">
                        <w:rPr>
                          <w:rFonts w:ascii="Cambria" w:hAnsi="Cambria" w:cs="Arial"/>
                          <w:b/>
                          <w:bCs/>
                          <w:color w:val="0D0D0D" w:themeColor="text1" w:themeTint="F2"/>
                          <w:sz w:val="36"/>
                          <w:szCs w:val="40"/>
                          <w:lang w:val="es-MX"/>
                        </w:rPr>
                        <w:t>No.</w:t>
                      </w:r>
                      <w:r w:rsidRPr="00EE37C3">
                        <w:rPr>
                          <w:rFonts w:ascii="Cambria" w:hAnsi="Cambria" w:cs="Arial"/>
                          <w:b/>
                          <w:bCs/>
                          <w:color w:val="0D0D0D" w:themeColor="text1" w:themeTint="F2"/>
                          <w:sz w:val="36"/>
                          <w:lang w:val="es-MX"/>
                        </w:rPr>
                        <w:t xml:space="preserve"> </w:t>
                      </w:r>
                      <w:r w:rsidR="00314DEA">
                        <w:rPr>
                          <w:rFonts w:ascii="Cambria" w:hAnsi="Cambria" w:cs="Arial"/>
                          <w:b/>
                          <w:bCs/>
                          <w:color w:val="0D0D0D" w:themeColor="text1" w:themeTint="F2"/>
                          <w:sz w:val="36"/>
                          <w:lang w:val="es-MX"/>
                        </w:rPr>
                        <w:t>37</w:t>
                      </w:r>
                      <w:r w:rsidRPr="00EE37C3">
                        <w:rPr>
                          <w:rFonts w:ascii="Cambria" w:hAnsi="Cambria" w:cs="Arial"/>
                          <w:b/>
                          <w:bCs/>
                          <w:color w:val="0D0D0D" w:themeColor="text1" w:themeTint="F2"/>
                          <w:sz w:val="36"/>
                          <w:lang w:val="es-MX"/>
                        </w:rPr>
                        <w:t>/19</w:t>
                      </w:r>
                    </w:p>
                    <w:p w:rsidR="00BA642C" w:rsidRPr="00EE37C3" w:rsidRDefault="00BA642C" w:rsidP="00486857">
                      <w:pPr>
                        <w:spacing w:after="0" w:line="276" w:lineRule="auto"/>
                        <w:rPr>
                          <w:rFonts w:ascii="Cambria" w:hAnsi="Cambria" w:cs="Arial"/>
                          <w:b/>
                          <w:bCs/>
                          <w:color w:val="0D0D0D" w:themeColor="text1" w:themeTint="F2"/>
                          <w:sz w:val="36"/>
                          <w:lang w:val="es-MX"/>
                        </w:rPr>
                      </w:pPr>
                      <w:r w:rsidRPr="00EE37C3">
                        <w:rPr>
                          <w:rFonts w:ascii="Cambria" w:hAnsi="Cambria" w:cs="Arial"/>
                          <w:b/>
                          <w:color w:val="0D0D0D" w:themeColor="text1" w:themeTint="F2"/>
                          <w:sz w:val="36"/>
                          <w:lang w:val="es-MX"/>
                        </w:rPr>
                        <w:t>CASO 12.190</w:t>
                      </w:r>
                    </w:p>
                    <w:p w:rsidR="00BA642C" w:rsidRPr="00EE37C3" w:rsidRDefault="00BA642C" w:rsidP="00486857">
                      <w:pPr>
                        <w:spacing w:after="0" w:line="276" w:lineRule="auto"/>
                        <w:rPr>
                          <w:rFonts w:ascii="Cambria" w:hAnsi="Cambria" w:cs="Arial"/>
                          <w:color w:val="0D0D0D" w:themeColor="text1" w:themeTint="F2"/>
                          <w:sz w:val="24"/>
                          <w:lang w:val="es-ES_tradnl"/>
                        </w:rPr>
                      </w:pPr>
                      <w:r w:rsidRPr="00EE37C3">
                        <w:rPr>
                          <w:rFonts w:ascii="Cambria" w:hAnsi="Cambria" w:cs="Arial"/>
                          <w:color w:val="0D0D0D" w:themeColor="text1" w:themeTint="F2"/>
                          <w:sz w:val="24"/>
                          <w:lang w:val="es-ES_tradnl"/>
                        </w:rPr>
                        <w:t xml:space="preserve">INFORME DE SOLUCIÓN AMISTOSA </w:t>
                      </w:r>
                    </w:p>
                    <w:p w:rsidR="00486857" w:rsidRDefault="00486857" w:rsidP="00486857">
                      <w:pPr>
                        <w:spacing w:after="0" w:line="276" w:lineRule="auto"/>
                        <w:rPr>
                          <w:rFonts w:ascii="Cambria" w:hAnsi="Cambria" w:cs="Arial"/>
                          <w:color w:val="0D0D0D" w:themeColor="text1" w:themeTint="F2"/>
                          <w:sz w:val="24"/>
                          <w:lang w:val="es-ES_tradnl"/>
                        </w:rPr>
                      </w:pPr>
                      <w:bookmarkStart w:id="2" w:name="_ftnref1"/>
                    </w:p>
                    <w:p w:rsidR="00BA642C" w:rsidRPr="00EE37C3" w:rsidRDefault="00BA642C" w:rsidP="00486857">
                      <w:pPr>
                        <w:spacing w:after="0" w:line="276" w:lineRule="auto"/>
                        <w:rPr>
                          <w:rFonts w:ascii="Cambria" w:hAnsi="Cambria" w:cs="Arial"/>
                          <w:color w:val="0D0D0D" w:themeColor="text1" w:themeTint="F2"/>
                          <w:sz w:val="24"/>
                          <w:lang w:val="es-MX"/>
                        </w:rPr>
                      </w:pPr>
                      <w:r w:rsidRPr="00EE37C3">
                        <w:rPr>
                          <w:rFonts w:ascii="Cambria" w:hAnsi="Cambria" w:cs="Arial"/>
                          <w:color w:val="0D0D0D" w:themeColor="text1" w:themeTint="F2"/>
                          <w:sz w:val="24"/>
                          <w:lang w:val="es-ES_tradnl"/>
                        </w:rPr>
                        <w:t>JOSE LUIS TAPIA Y OTROS CARABINEROS</w:t>
                      </w:r>
                    </w:p>
                    <w:bookmarkEnd w:id="2"/>
                    <w:p w:rsidR="00BA642C" w:rsidRPr="00EE37C3" w:rsidRDefault="00BA642C" w:rsidP="00486857">
                      <w:pPr>
                        <w:spacing w:after="0" w:line="276" w:lineRule="auto"/>
                        <w:rPr>
                          <w:rFonts w:ascii="Cambria" w:hAnsi="Cambria" w:cs="Arial"/>
                          <w:color w:val="0D0D0D" w:themeColor="text1" w:themeTint="F2"/>
                          <w:sz w:val="24"/>
                          <w:lang w:val="es-ES"/>
                        </w:rPr>
                      </w:pPr>
                      <w:r w:rsidRPr="00EE37C3">
                        <w:rPr>
                          <w:rFonts w:ascii="Cambria" w:hAnsi="Cambria" w:cs="Arial"/>
                          <w:color w:val="0D0D0D" w:themeColor="text1" w:themeTint="F2"/>
                          <w:sz w:val="24"/>
                          <w:lang w:val="es-ES_tradnl"/>
                        </w:rPr>
                        <w:t>CHILE</w:t>
                      </w:r>
                    </w:p>
                    <w:p w:rsidR="00BA642C" w:rsidRPr="00AE5488" w:rsidRDefault="00BA642C" w:rsidP="00610851">
                      <w:pPr>
                        <w:rPr>
                          <w:color w:val="0D0D0D" w:themeColor="text1" w:themeTint="F2"/>
                          <w:lang w:val="es-ES_tradnl"/>
                        </w:rPr>
                      </w:pPr>
                    </w:p>
                  </w:txbxContent>
                </v:textbox>
              </v:shape>
            </w:pict>
          </mc:Fallback>
        </mc:AlternateContent>
      </w:r>
      <w:r w:rsidRPr="00AF1DFA">
        <w:rPr>
          <w:rFonts w:ascii="Cambria" w:hAnsi="Cambria"/>
          <w:noProof/>
          <w:sz w:val="20"/>
          <w:szCs w:val="20"/>
        </w:rPr>
        <mc:AlternateContent>
          <mc:Choice Requires="wps">
            <w:drawing>
              <wp:anchor distT="0" distB="0" distL="114300" distR="114300" simplePos="0" relativeHeight="251662336" behindDoc="0" locked="0" layoutInCell="1" allowOverlap="1" wp14:anchorId="2C0EFDB1" wp14:editId="5627429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642C" w:rsidRPr="00D13B44" w:rsidRDefault="00BA642C" w:rsidP="00486857">
                            <w:pPr>
                              <w:spacing w:after="0" w:line="276" w:lineRule="auto"/>
                              <w:jc w:val="right"/>
                              <w:rPr>
                                <w:color w:val="FFFFFF" w:themeColor="background1"/>
                                <w:lang w:val="es-MX"/>
                              </w:rPr>
                            </w:pPr>
                            <w:r w:rsidRPr="00D13B44">
                              <w:rPr>
                                <w:color w:val="FFFFFF" w:themeColor="background1"/>
                                <w:lang w:val="es-MX"/>
                              </w:rPr>
                              <w:t>OEA/</w:t>
                            </w:r>
                            <w:proofErr w:type="spellStart"/>
                            <w:r w:rsidRPr="00D13B44">
                              <w:rPr>
                                <w:color w:val="FFFFFF" w:themeColor="background1"/>
                                <w:lang w:val="es-MX"/>
                              </w:rPr>
                              <w:t>Ser.L</w:t>
                            </w:r>
                            <w:proofErr w:type="spellEnd"/>
                            <w:r w:rsidRPr="00D13B44">
                              <w:rPr>
                                <w:color w:val="FFFFFF" w:themeColor="background1"/>
                                <w:lang w:val="es-MX"/>
                              </w:rPr>
                              <w:t>/V/II.</w:t>
                            </w:r>
                          </w:p>
                          <w:p w:rsidR="00BA642C" w:rsidRPr="00314DEA" w:rsidRDefault="00BA642C" w:rsidP="00486857">
                            <w:pPr>
                              <w:spacing w:after="0" w:line="276" w:lineRule="auto"/>
                              <w:jc w:val="right"/>
                              <w:rPr>
                                <w:color w:val="FFFFFF" w:themeColor="background1"/>
                                <w:lang w:val="es-VE"/>
                              </w:rPr>
                            </w:pPr>
                            <w:r w:rsidRPr="00314DEA">
                              <w:rPr>
                                <w:color w:val="FFFFFF" w:themeColor="background1"/>
                                <w:lang w:val="es-VE"/>
                              </w:rPr>
                              <w:t xml:space="preserve">Doc. </w:t>
                            </w:r>
                            <w:r w:rsidR="00314DEA" w:rsidRPr="00314DEA">
                              <w:rPr>
                                <w:color w:val="FFFFFF" w:themeColor="background1"/>
                                <w:lang w:val="es-VE"/>
                              </w:rPr>
                              <w:t>42</w:t>
                            </w:r>
                          </w:p>
                          <w:p w:rsidR="00BA642C" w:rsidRPr="00B56F29" w:rsidRDefault="00314DEA" w:rsidP="00486857">
                            <w:pPr>
                              <w:spacing w:after="0" w:line="276" w:lineRule="auto"/>
                              <w:jc w:val="right"/>
                              <w:rPr>
                                <w:color w:val="FFFFFF" w:themeColor="background1"/>
                                <w:lang w:val="es-BO"/>
                              </w:rPr>
                            </w:pPr>
                            <w:r>
                              <w:rPr>
                                <w:color w:val="FFFFFF" w:themeColor="background1"/>
                                <w:lang w:val="es-BO"/>
                              </w:rPr>
                              <w:t>16</w:t>
                            </w:r>
                            <w:r w:rsidR="00BA642C" w:rsidRPr="00B56F29">
                              <w:rPr>
                                <w:color w:val="FFFFFF" w:themeColor="background1"/>
                                <w:lang w:val="es-BO"/>
                              </w:rPr>
                              <w:t xml:space="preserve"> </w:t>
                            </w:r>
                            <w:r w:rsidR="00BA642C">
                              <w:rPr>
                                <w:color w:val="FFFFFF" w:themeColor="background1"/>
                                <w:lang w:val="es-BO"/>
                              </w:rPr>
                              <w:t>abril  2019</w:t>
                            </w:r>
                          </w:p>
                          <w:p w:rsidR="00BA642C" w:rsidRPr="00B56F29" w:rsidRDefault="00BA642C" w:rsidP="00486857">
                            <w:pPr>
                              <w:spacing w:after="0" w:line="276" w:lineRule="auto"/>
                              <w:jc w:val="right"/>
                              <w:rPr>
                                <w:color w:val="FFFFFF" w:themeColor="background1"/>
                                <w:lang w:val="es-BO"/>
                              </w:rPr>
                            </w:pPr>
                            <w:r w:rsidRPr="00B56F29">
                              <w:rPr>
                                <w:color w:val="FFFFFF" w:themeColor="background1"/>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FDB1"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A642C" w:rsidRPr="00D13B44" w:rsidRDefault="00BA642C" w:rsidP="00486857">
                      <w:pPr>
                        <w:spacing w:after="0" w:line="276" w:lineRule="auto"/>
                        <w:jc w:val="right"/>
                        <w:rPr>
                          <w:color w:val="FFFFFF" w:themeColor="background1"/>
                          <w:lang w:val="es-MX"/>
                        </w:rPr>
                      </w:pPr>
                      <w:r w:rsidRPr="00D13B44">
                        <w:rPr>
                          <w:color w:val="FFFFFF" w:themeColor="background1"/>
                          <w:lang w:val="es-MX"/>
                        </w:rPr>
                        <w:t>OEA/</w:t>
                      </w:r>
                      <w:proofErr w:type="spellStart"/>
                      <w:r w:rsidRPr="00D13B44">
                        <w:rPr>
                          <w:color w:val="FFFFFF" w:themeColor="background1"/>
                          <w:lang w:val="es-MX"/>
                        </w:rPr>
                        <w:t>Ser.L</w:t>
                      </w:r>
                      <w:proofErr w:type="spellEnd"/>
                      <w:r w:rsidRPr="00D13B44">
                        <w:rPr>
                          <w:color w:val="FFFFFF" w:themeColor="background1"/>
                          <w:lang w:val="es-MX"/>
                        </w:rPr>
                        <w:t>/V/II.</w:t>
                      </w:r>
                    </w:p>
                    <w:p w:rsidR="00BA642C" w:rsidRPr="00314DEA" w:rsidRDefault="00BA642C" w:rsidP="00486857">
                      <w:pPr>
                        <w:spacing w:after="0" w:line="276" w:lineRule="auto"/>
                        <w:jc w:val="right"/>
                        <w:rPr>
                          <w:color w:val="FFFFFF" w:themeColor="background1"/>
                          <w:lang w:val="es-VE"/>
                        </w:rPr>
                      </w:pPr>
                      <w:r w:rsidRPr="00314DEA">
                        <w:rPr>
                          <w:color w:val="FFFFFF" w:themeColor="background1"/>
                          <w:lang w:val="es-VE"/>
                        </w:rPr>
                        <w:t xml:space="preserve">Doc. </w:t>
                      </w:r>
                      <w:r w:rsidR="00314DEA" w:rsidRPr="00314DEA">
                        <w:rPr>
                          <w:color w:val="FFFFFF" w:themeColor="background1"/>
                          <w:lang w:val="es-VE"/>
                        </w:rPr>
                        <w:t>42</w:t>
                      </w:r>
                    </w:p>
                    <w:p w:rsidR="00BA642C" w:rsidRPr="00B56F29" w:rsidRDefault="00314DEA" w:rsidP="00486857">
                      <w:pPr>
                        <w:spacing w:after="0" w:line="276" w:lineRule="auto"/>
                        <w:jc w:val="right"/>
                        <w:rPr>
                          <w:color w:val="FFFFFF" w:themeColor="background1"/>
                          <w:lang w:val="es-BO"/>
                        </w:rPr>
                      </w:pPr>
                      <w:r>
                        <w:rPr>
                          <w:color w:val="FFFFFF" w:themeColor="background1"/>
                          <w:lang w:val="es-BO"/>
                        </w:rPr>
                        <w:t>16</w:t>
                      </w:r>
                      <w:r w:rsidR="00BA642C" w:rsidRPr="00B56F29">
                        <w:rPr>
                          <w:color w:val="FFFFFF" w:themeColor="background1"/>
                          <w:lang w:val="es-BO"/>
                        </w:rPr>
                        <w:t xml:space="preserve"> </w:t>
                      </w:r>
                      <w:r w:rsidR="00BA642C">
                        <w:rPr>
                          <w:color w:val="FFFFFF" w:themeColor="background1"/>
                          <w:lang w:val="es-BO"/>
                        </w:rPr>
                        <w:t>abril  2019</w:t>
                      </w:r>
                    </w:p>
                    <w:p w:rsidR="00BA642C" w:rsidRPr="00B56F29" w:rsidRDefault="00BA642C" w:rsidP="00486857">
                      <w:pPr>
                        <w:spacing w:after="0" w:line="276" w:lineRule="auto"/>
                        <w:jc w:val="right"/>
                        <w:rPr>
                          <w:color w:val="FFFFFF" w:themeColor="background1"/>
                          <w:lang w:val="es-BO"/>
                        </w:rPr>
                      </w:pPr>
                      <w:r w:rsidRPr="00B56F29">
                        <w:rPr>
                          <w:color w:val="FFFFFF" w:themeColor="background1"/>
                          <w:lang w:val="es-BO"/>
                        </w:rPr>
                        <w:t>Original: español</w:t>
                      </w:r>
                    </w:p>
                  </w:txbxContent>
                </v:textbox>
              </v:shape>
            </w:pict>
          </mc:Fallback>
        </mc:AlternateContent>
      </w: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cs="Arial"/>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610851" w:rsidRPr="00AF1DFA" w:rsidRDefault="00610851" w:rsidP="000E0504">
      <w:pPr>
        <w:tabs>
          <w:tab w:val="center" w:pos="5400"/>
        </w:tabs>
        <w:suppressAutoHyphens/>
        <w:spacing w:after="0" w:line="240" w:lineRule="auto"/>
        <w:jc w:val="center"/>
        <w:rPr>
          <w:rFonts w:ascii="Cambria" w:hAnsi="Cambria"/>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C40F2F" w:rsidRPr="00AF1DFA" w:rsidRDefault="00C40F2F" w:rsidP="000E0504">
      <w:pPr>
        <w:tabs>
          <w:tab w:val="center" w:pos="5400"/>
        </w:tabs>
        <w:suppressAutoHyphens/>
        <w:spacing w:after="0" w:line="240" w:lineRule="auto"/>
        <w:jc w:val="center"/>
        <w:rPr>
          <w:rFonts w:ascii="Cambria" w:hAnsi="Cambria"/>
          <w:b/>
          <w:sz w:val="20"/>
          <w:szCs w:val="20"/>
          <w:lang w:val="es-ES_tradnl"/>
        </w:rPr>
      </w:pPr>
    </w:p>
    <w:p w:rsidR="00610851" w:rsidRPr="00AF1DFA" w:rsidRDefault="00486857" w:rsidP="000E0504">
      <w:pPr>
        <w:tabs>
          <w:tab w:val="center" w:pos="5400"/>
        </w:tabs>
        <w:suppressAutoHyphens/>
        <w:spacing w:after="0" w:line="240" w:lineRule="auto"/>
        <w:jc w:val="center"/>
        <w:rPr>
          <w:rFonts w:ascii="Cambria" w:hAnsi="Cambria"/>
          <w:b/>
          <w:sz w:val="20"/>
          <w:szCs w:val="20"/>
          <w:lang w:val="es-ES_tradnl"/>
        </w:rPr>
        <w:sectPr w:rsidR="00610851" w:rsidRPr="00AF1DFA" w:rsidSect="00BA64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26"/>
        </w:sectPr>
      </w:pPr>
      <w:r w:rsidRPr="00AF1DFA">
        <w:rPr>
          <w:rFonts w:ascii="Cambria" w:hAnsi="Cambria"/>
          <w:noProof/>
          <w:sz w:val="20"/>
          <w:szCs w:val="20"/>
        </w:rPr>
        <mc:AlternateContent>
          <mc:Choice Requires="wps">
            <w:drawing>
              <wp:anchor distT="0" distB="0" distL="114300" distR="114300" simplePos="0" relativeHeight="251659776" behindDoc="0" locked="0" layoutInCell="1" allowOverlap="1" wp14:anchorId="3B33A700" wp14:editId="479A91A7">
                <wp:simplePos x="0" y="0"/>
                <wp:positionH relativeFrom="column">
                  <wp:posOffset>1209040</wp:posOffset>
                </wp:positionH>
                <wp:positionV relativeFrom="paragraph">
                  <wp:posOffset>92075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642C" w:rsidRPr="00C40F2F" w:rsidRDefault="00C40F2F" w:rsidP="00610851">
                            <w:pPr>
                              <w:tabs>
                                <w:tab w:val="center" w:pos="5400"/>
                              </w:tabs>
                              <w:suppressAutoHyphens/>
                              <w:spacing w:before="60"/>
                              <w:rPr>
                                <w:rFonts w:ascii="Cambria" w:hAnsi="Cambria"/>
                                <w:color w:val="0D0D0D" w:themeColor="text1" w:themeTint="F2"/>
                                <w:sz w:val="18"/>
                                <w:szCs w:val="20"/>
                                <w:lang w:val="es-ES"/>
                              </w:rPr>
                            </w:pPr>
                            <w:r w:rsidRPr="00C40F2F">
                              <w:rPr>
                                <w:rFonts w:ascii="Cambria" w:hAnsi="Cambria"/>
                                <w:color w:val="0D0D0D" w:themeColor="text1" w:themeTint="F2"/>
                                <w:sz w:val="18"/>
                                <w:szCs w:val="20"/>
                                <w:lang w:val="es-ES"/>
                              </w:rPr>
                              <w:t xml:space="preserve">Aprobado electrónicamente por la Comisión el </w:t>
                            </w:r>
                            <w:r>
                              <w:rPr>
                                <w:rFonts w:ascii="Cambria" w:hAnsi="Cambria"/>
                                <w:color w:val="0D0D0D" w:themeColor="text1" w:themeTint="F2"/>
                                <w:sz w:val="18"/>
                                <w:szCs w:val="20"/>
                                <w:lang w:val="es-ES"/>
                              </w:rPr>
                              <w:t>1</w:t>
                            </w:r>
                            <w:r w:rsidR="00314DEA">
                              <w:rPr>
                                <w:rFonts w:ascii="Cambria" w:hAnsi="Cambria"/>
                                <w:color w:val="0D0D0D" w:themeColor="text1" w:themeTint="F2"/>
                                <w:sz w:val="18"/>
                                <w:szCs w:val="20"/>
                                <w:lang w:val="es-ES"/>
                              </w:rPr>
                              <w:t>6</w:t>
                            </w:r>
                            <w:r>
                              <w:rPr>
                                <w:rFonts w:ascii="Cambria" w:hAnsi="Cambria"/>
                                <w:color w:val="0D0D0D" w:themeColor="text1" w:themeTint="F2"/>
                                <w:sz w:val="18"/>
                                <w:szCs w:val="20"/>
                                <w:lang w:val="es-ES"/>
                              </w:rPr>
                              <w:t xml:space="preserve"> de abril de 2019</w:t>
                            </w:r>
                            <w:r w:rsidRPr="00C40F2F">
                              <w:rPr>
                                <w:rFonts w:ascii="Cambria" w:hAnsi="Cambria"/>
                                <w:color w:val="0D0D0D" w:themeColor="text1" w:themeTint="F2"/>
                                <w:sz w:val="18"/>
                                <w:szCs w:val="20"/>
                                <w:lang w:val="es-ES"/>
                              </w:rPr>
                              <w:t>.</w:t>
                            </w:r>
                            <w:r w:rsidR="00BA642C" w:rsidRPr="00487D35">
                              <w:rPr>
                                <w:rFonts w:ascii="Cambria" w:hAnsi="Cambria"/>
                                <w:color w:val="0D0D0D" w:themeColor="text1" w:themeTint="F2"/>
                                <w:sz w:val="18"/>
                                <w:szCs w:val="20"/>
                                <w:highlight w:val="yellow"/>
                                <w:lang w:val="es-ES"/>
                              </w:rPr>
                              <w:br/>
                            </w:r>
                          </w:p>
                          <w:p w:rsidR="00BA642C" w:rsidRPr="00167A34" w:rsidRDefault="00BA642C" w:rsidP="00610851">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A700" id="Text Box 7" o:spid="_x0000_s1029" type="#_x0000_t202" style="position:absolute;left:0;text-align:left;margin-left:95.2pt;margin-top:7.25pt;width:388.5pt;height:5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" filled="f" stroked="f" strokeweight=".5pt">
                <v:textbox>
                  <w:txbxContent>
                    <w:p w:rsidR="00BA642C" w:rsidRPr="00C40F2F" w:rsidRDefault="00C40F2F" w:rsidP="00610851">
                      <w:pPr>
                        <w:tabs>
                          <w:tab w:val="center" w:pos="5400"/>
                        </w:tabs>
                        <w:suppressAutoHyphens/>
                        <w:spacing w:before="60"/>
                        <w:rPr>
                          <w:rFonts w:ascii="Cambria" w:hAnsi="Cambria"/>
                          <w:color w:val="0D0D0D" w:themeColor="text1" w:themeTint="F2"/>
                          <w:sz w:val="18"/>
                          <w:szCs w:val="20"/>
                          <w:lang w:val="es-ES"/>
                        </w:rPr>
                      </w:pPr>
                      <w:r w:rsidRPr="00C40F2F">
                        <w:rPr>
                          <w:rFonts w:ascii="Cambria" w:hAnsi="Cambria"/>
                          <w:color w:val="0D0D0D" w:themeColor="text1" w:themeTint="F2"/>
                          <w:sz w:val="18"/>
                          <w:szCs w:val="20"/>
                          <w:lang w:val="es-ES"/>
                        </w:rPr>
                        <w:t xml:space="preserve">Aprobado electrónicamente por la Comisión el </w:t>
                      </w:r>
                      <w:r>
                        <w:rPr>
                          <w:rFonts w:ascii="Cambria" w:hAnsi="Cambria"/>
                          <w:color w:val="0D0D0D" w:themeColor="text1" w:themeTint="F2"/>
                          <w:sz w:val="18"/>
                          <w:szCs w:val="20"/>
                          <w:lang w:val="es-ES"/>
                        </w:rPr>
                        <w:t>1</w:t>
                      </w:r>
                      <w:r w:rsidR="00314DEA">
                        <w:rPr>
                          <w:rFonts w:ascii="Cambria" w:hAnsi="Cambria"/>
                          <w:color w:val="0D0D0D" w:themeColor="text1" w:themeTint="F2"/>
                          <w:sz w:val="18"/>
                          <w:szCs w:val="20"/>
                          <w:lang w:val="es-ES"/>
                        </w:rPr>
                        <w:t>6</w:t>
                      </w:r>
                      <w:r>
                        <w:rPr>
                          <w:rFonts w:ascii="Cambria" w:hAnsi="Cambria"/>
                          <w:color w:val="0D0D0D" w:themeColor="text1" w:themeTint="F2"/>
                          <w:sz w:val="18"/>
                          <w:szCs w:val="20"/>
                          <w:lang w:val="es-ES"/>
                        </w:rPr>
                        <w:t xml:space="preserve"> de abril de 2019</w:t>
                      </w:r>
                      <w:r w:rsidRPr="00C40F2F">
                        <w:rPr>
                          <w:rFonts w:ascii="Cambria" w:hAnsi="Cambria"/>
                          <w:color w:val="0D0D0D" w:themeColor="text1" w:themeTint="F2"/>
                          <w:sz w:val="18"/>
                          <w:szCs w:val="20"/>
                          <w:lang w:val="es-ES"/>
                        </w:rPr>
                        <w:t>.</w:t>
                      </w:r>
                      <w:r w:rsidR="00BA642C" w:rsidRPr="00487D35">
                        <w:rPr>
                          <w:rFonts w:ascii="Cambria" w:hAnsi="Cambria"/>
                          <w:color w:val="0D0D0D" w:themeColor="text1" w:themeTint="F2"/>
                          <w:sz w:val="18"/>
                          <w:szCs w:val="20"/>
                          <w:highlight w:val="yellow"/>
                          <w:lang w:val="es-ES"/>
                        </w:rPr>
                        <w:br/>
                      </w:r>
                    </w:p>
                    <w:p w:rsidR="00BA642C" w:rsidRPr="00167A34" w:rsidRDefault="00BA642C" w:rsidP="00610851">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r w:rsidRPr="00AF1DFA">
        <w:rPr>
          <w:rFonts w:ascii="Cambria" w:hAnsi="Cambria"/>
          <w:noProof/>
          <w:sz w:val="20"/>
          <w:szCs w:val="20"/>
        </w:rPr>
        <mc:AlternateContent>
          <mc:Choice Requires="wps">
            <w:drawing>
              <wp:anchor distT="0" distB="0" distL="114300" distR="114300" simplePos="0" relativeHeight="251664896" behindDoc="0" locked="0" layoutInCell="1" allowOverlap="1" wp14:anchorId="0FD287AA" wp14:editId="1AAB4FFD">
                <wp:simplePos x="0" y="0"/>
                <wp:positionH relativeFrom="column">
                  <wp:posOffset>1196340</wp:posOffset>
                </wp:positionH>
                <wp:positionV relativeFrom="paragraph">
                  <wp:posOffset>765175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D35" w:rsidRPr="00487D35" w:rsidRDefault="00487D35" w:rsidP="00487D35">
                            <w:pPr>
                              <w:spacing w:line="276" w:lineRule="auto"/>
                              <w:rPr>
                                <w:rFonts w:ascii="Cambria" w:hAnsi="Cambria"/>
                                <w:color w:val="595959" w:themeColor="text1" w:themeTint="A6"/>
                                <w:sz w:val="18"/>
                                <w:szCs w:val="18"/>
                                <w:lang w:val="es-ES"/>
                              </w:rPr>
                            </w:pPr>
                            <w:r w:rsidRPr="00487D35">
                              <w:rPr>
                                <w:rFonts w:ascii="Cambria" w:hAnsi="Cambria"/>
                                <w:b/>
                                <w:color w:val="595959" w:themeColor="text1" w:themeTint="A6"/>
                                <w:sz w:val="18"/>
                                <w:szCs w:val="18"/>
                                <w:lang w:val="pt-BR"/>
                              </w:rPr>
                              <w:t>Citar como:</w:t>
                            </w:r>
                            <w:r w:rsidRPr="00487D35">
                              <w:rPr>
                                <w:rFonts w:ascii="Cambria" w:hAnsi="Cambria"/>
                                <w:color w:val="595959" w:themeColor="text1" w:themeTint="A6"/>
                                <w:sz w:val="18"/>
                                <w:szCs w:val="18"/>
                                <w:lang w:val="pt-BR"/>
                              </w:rPr>
                              <w:t xml:space="preserve"> CIDH, Informe No. </w:t>
                            </w:r>
                            <w:r w:rsidR="00314DEA" w:rsidRPr="00314DEA">
                              <w:rPr>
                                <w:rFonts w:ascii="Cambria" w:hAnsi="Cambria"/>
                                <w:color w:val="595959" w:themeColor="text1" w:themeTint="A6"/>
                                <w:sz w:val="18"/>
                                <w:szCs w:val="18"/>
                                <w:lang w:val="pt-BR"/>
                              </w:rPr>
                              <w:t>37</w:t>
                            </w:r>
                            <w:r w:rsidR="00C40F2F" w:rsidRPr="00314DEA">
                              <w:rPr>
                                <w:rFonts w:ascii="Cambria" w:hAnsi="Cambria"/>
                                <w:color w:val="595959" w:themeColor="text1" w:themeTint="A6"/>
                                <w:sz w:val="18"/>
                                <w:szCs w:val="18"/>
                                <w:lang w:val="pt-BR"/>
                              </w:rPr>
                              <w:t>/19</w:t>
                            </w:r>
                            <w:r w:rsidRPr="00314DEA">
                              <w:rPr>
                                <w:rFonts w:ascii="Cambria" w:hAnsi="Cambria"/>
                                <w:color w:val="595959" w:themeColor="text1" w:themeTint="A6"/>
                                <w:sz w:val="18"/>
                                <w:szCs w:val="18"/>
                                <w:lang w:val="pt-BR"/>
                              </w:rPr>
                              <w:t xml:space="preserve">, Caso 12.190. </w:t>
                            </w:r>
                            <w:r w:rsidRPr="00487D35">
                              <w:rPr>
                                <w:rFonts w:ascii="Cambria" w:hAnsi="Cambria"/>
                                <w:color w:val="595959" w:themeColor="text1" w:themeTint="A6"/>
                                <w:sz w:val="18"/>
                                <w:szCs w:val="18"/>
                                <w:lang w:val="es-ES_tradnl"/>
                              </w:rPr>
                              <w:t xml:space="preserve">Solución Amistosa. </w:t>
                            </w:r>
                            <w:r>
                              <w:rPr>
                                <w:rFonts w:ascii="Cambria" w:hAnsi="Cambria"/>
                                <w:color w:val="595959" w:themeColor="text1" w:themeTint="A6"/>
                                <w:sz w:val="18"/>
                                <w:szCs w:val="18"/>
                                <w:lang w:val="es-ES_tradnl"/>
                              </w:rPr>
                              <w:t>Jose Luis Tapia y Otros</w:t>
                            </w:r>
                            <w:r w:rsidRPr="00487D35">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Chile</w:t>
                            </w:r>
                            <w:r w:rsidRPr="00487D35">
                              <w:rPr>
                                <w:rFonts w:ascii="Cambria" w:hAnsi="Cambria"/>
                                <w:color w:val="595959" w:themeColor="text1" w:themeTint="A6"/>
                                <w:sz w:val="18"/>
                                <w:szCs w:val="18"/>
                                <w:lang w:val="es-ES_tradnl"/>
                              </w:rPr>
                              <w:t xml:space="preserve">. </w:t>
                            </w:r>
                            <w:r w:rsidR="00314DEA">
                              <w:rPr>
                                <w:rFonts w:ascii="Cambria" w:hAnsi="Cambria"/>
                                <w:color w:val="595959" w:themeColor="text1" w:themeTint="A6"/>
                                <w:sz w:val="18"/>
                                <w:szCs w:val="18"/>
                                <w:lang w:val="es-ES"/>
                              </w:rPr>
                              <w:t>16</w:t>
                            </w:r>
                            <w:r w:rsidR="00C40F2F" w:rsidRPr="00C40F2F">
                              <w:rPr>
                                <w:rFonts w:ascii="Cambria" w:hAnsi="Cambria"/>
                                <w:color w:val="595959" w:themeColor="text1" w:themeTint="A6"/>
                                <w:sz w:val="18"/>
                                <w:szCs w:val="18"/>
                                <w:lang w:val="es-ES"/>
                              </w:rPr>
                              <w:t xml:space="preserve"> de abril de 2019</w:t>
                            </w:r>
                            <w:r w:rsidRPr="00487D35">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87AA" id="Text Box 10" o:spid="_x0000_s1030" type="#_x0000_t202" style="position:absolute;left:0;text-align:left;margin-left:94.2pt;margin-top:60.25pt;width:389.25pt;height: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" filled="f" stroked="f" strokeweight=".5pt">
                <v:textbox>
                  <w:txbxContent>
                    <w:p w:rsidR="00487D35" w:rsidRPr="00487D35" w:rsidRDefault="00487D35" w:rsidP="00487D35">
                      <w:pPr>
                        <w:spacing w:line="276" w:lineRule="auto"/>
                        <w:rPr>
                          <w:rFonts w:ascii="Cambria" w:hAnsi="Cambria"/>
                          <w:color w:val="595959" w:themeColor="text1" w:themeTint="A6"/>
                          <w:sz w:val="18"/>
                          <w:szCs w:val="18"/>
                          <w:lang w:val="es-ES"/>
                        </w:rPr>
                      </w:pPr>
                      <w:r w:rsidRPr="00487D35">
                        <w:rPr>
                          <w:rFonts w:ascii="Cambria" w:hAnsi="Cambria"/>
                          <w:b/>
                          <w:color w:val="595959" w:themeColor="text1" w:themeTint="A6"/>
                          <w:sz w:val="18"/>
                          <w:szCs w:val="18"/>
                          <w:lang w:val="pt-BR"/>
                        </w:rPr>
                        <w:t>Citar como:</w:t>
                      </w:r>
                      <w:r w:rsidRPr="00487D35">
                        <w:rPr>
                          <w:rFonts w:ascii="Cambria" w:hAnsi="Cambria"/>
                          <w:color w:val="595959" w:themeColor="text1" w:themeTint="A6"/>
                          <w:sz w:val="18"/>
                          <w:szCs w:val="18"/>
                          <w:lang w:val="pt-BR"/>
                        </w:rPr>
                        <w:t xml:space="preserve"> CIDH, Informe No. </w:t>
                      </w:r>
                      <w:r w:rsidR="00314DEA" w:rsidRPr="00314DEA">
                        <w:rPr>
                          <w:rFonts w:ascii="Cambria" w:hAnsi="Cambria"/>
                          <w:color w:val="595959" w:themeColor="text1" w:themeTint="A6"/>
                          <w:sz w:val="18"/>
                          <w:szCs w:val="18"/>
                          <w:lang w:val="pt-BR"/>
                        </w:rPr>
                        <w:t>37</w:t>
                      </w:r>
                      <w:r w:rsidR="00C40F2F" w:rsidRPr="00314DEA">
                        <w:rPr>
                          <w:rFonts w:ascii="Cambria" w:hAnsi="Cambria"/>
                          <w:color w:val="595959" w:themeColor="text1" w:themeTint="A6"/>
                          <w:sz w:val="18"/>
                          <w:szCs w:val="18"/>
                          <w:lang w:val="pt-BR"/>
                        </w:rPr>
                        <w:t>/19</w:t>
                      </w:r>
                      <w:r w:rsidRPr="00314DEA">
                        <w:rPr>
                          <w:rFonts w:ascii="Cambria" w:hAnsi="Cambria"/>
                          <w:color w:val="595959" w:themeColor="text1" w:themeTint="A6"/>
                          <w:sz w:val="18"/>
                          <w:szCs w:val="18"/>
                          <w:lang w:val="pt-BR"/>
                        </w:rPr>
                        <w:t xml:space="preserve">, Caso 12.190. </w:t>
                      </w:r>
                      <w:r w:rsidRPr="00487D35">
                        <w:rPr>
                          <w:rFonts w:ascii="Cambria" w:hAnsi="Cambria"/>
                          <w:color w:val="595959" w:themeColor="text1" w:themeTint="A6"/>
                          <w:sz w:val="18"/>
                          <w:szCs w:val="18"/>
                          <w:lang w:val="es-ES_tradnl"/>
                        </w:rPr>
                        <w:t xml:space="preserve">Solución Amistosa. </w:t>
                      </w:r>
                      <w:r>
                        <w:rPr>
                          <w:rFonts w:ascii="Cambria" w:hAnsi="Cambria"/>
                          <w:color w:val="595959" w:themeColor="text1" w:themeTint="A6"/>
                          <w:sz w:val="18"/>
                          <w:szCs w:val="18"/>
                          <w:lang w:val="es-ES_tradnl"/>
                        </w:rPr>
                        <w:t>Jose Luis Tapia y Otros</w:t>
                      </w:r>
                      <w:r w:rsidRPr="00487D35">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Chile</w:t>
                      </w:r>
                      <w:r w:rsidRPr="00487D35">
                        <w:rPr>
                          <w:rFonts w:ascii="Cambria" w:hAnsi="Cambria"/>
                          <w:color w:val="595959" w:themeColor="text1" w:themeTint="A6"/>
                          <w:sz w:val="18"/>
                          <w:szCs w:val="18"/>
                          <w:lang w:val="es-ES_tradnl"/>
                        </w:rPr>
                        <w:t xml:space="preserve">. </w:t>
                      </w:r>
                      <w:r w:rsidR="00314DEA">
                        <w:rPr>
                          <w:rFonts w:ascii="Cambria" w:hAnsi="Cambria"/>
                          <w:color w:val="595959" w:themeColor="text1" w:themeTint="A6"/>
                          <w:sz w:val="18"/>
                          <w:szCs w:val="18"/>
                          <w:lang w:val="es-ES"/>
                        </w:rPr>
                        <w:t>16</w:t>
                      </w:r>
                      <w:r w:rsidR="00C40F2F" w:rsidRPr="00C40F2F">
                        <w:rPr>
                          <w:rFonts w:ascii="Cambria" w:hAnsi="Cambria"/>
                          <w:color w:val="595959" w:themeColor="text1" w:themeTint="A6"/>
                          <w:sz w:val="18"/>
                          <w:szCs w:val="18"/>
                          <w:lang w:val="es-ES"/>
                        </w:rPr>
                        <w:t xml:space="preserve"> de abril de 2019</w:t>
                      </w:r>
                      <w:r w:rsidRPr="00487D35">
                        <w:rPr>
                          <w:rFonts w:ascii="Cambria" w:hAnsi="Cambria"/>
                          <w:color w:val="595959" w:themeColor="text1" w:themeTint="A6"/>
                          <w:sz w:val="18"/>
                          <w:szCs w:val="18"/>
                          <w:lang w:val="es-ES"/>
                        </w:rPr>
                        <w:t>.</w:t>
                      </w:r>
                    </w:p>
                  </w:txbxContent>
                </v:textbox>
              </v:shape>
            </w:pict>
          </mc:Fallback>
        </mc:AlternateContent>
      </w:r>
      <w:r w:rsidRPr="00D72DC6">
        <w:rPr>
          <w:noProof/>
          <w:color w:val="FFFFFF" w:themeColor="background1"/>
          <w14:textFill>
            <w14:noFill/>
          </w14:textFill>
        </w:rPr>
        <w:drawing>
          <wp:anchor distT="0" distB="0" distL="114300" distR="114300" simplePos="0" relativeHeight="251669504" behindDoc="0" locked="0" layoutInCell="1" allowOverlap="1">
            <wp:simplePos x="0" y="0"/>
            <wp:positionH relativeFrom="margin">
              <wp:posOffset>1350010</wp:posOffset>
            </wp:positionH>
            <wp:positionV relativeFrom="margin">
              <wp:posOffset>8124825</wp:posOffset>
            </wp:positionV>
            <wp:extent cx="1338942" cy="390525"/>
            <wp:effectExtent l="0" t="0" r="0" b="0"/>
            <wp:wrapSquare wrapText="bothSides"/>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8942" cy="390525"/>
                    </a:xfrm>
                    <a:prstGeom prst="rect">
                      <a:avLst/>
                    </a:prstGeom>
                    <a:noFill/>
                    <a:ln>
                      <a:noFill/>
                    </a:ln>
                  </pic:spPr>
                </pic:pic>
              </a:graphicData>
            </a:graphic>
          </wp:anchor>
        </w:drawing>
      </w:r>
      <w:r w:rsidR="00610851" w:rsidRPr="00AF1DFA">
        <w:rPr>
          <w:rFonts w:ascii="Cambria" w:hAnsi="Cambria"/>
          <w:noProof/>
          <w:sz w:val="20"/>
          <w:szCs w:val="20"/>
        </w:rPr>
        <mc:AlternateContent>
          <mc:Choice Requires="wps">
            <w:drawing>
              <wp:anchor distT="0" distB="0" distL="114300" distR="114300" simplePos="0" relativeHeight="251665408" behindDoc="0" locked="0" layoutInCell="1" allowOverlap="1" wp14:anchorId="39285E79" wp14:editId="5CBD1F52">
                <wp:simplePos x="0" y="0"/>
                <wp:positionH relativeFrom="column">
                  <wp:posOffset>1333500</wp:posOffset>
                </wp:positionH>
                <wp:positionV relativeFrom="paragraph">
                  <wp:posOffset>634365</wp:posOffset>
                </wp:positionV>
                <wp:extent cx="1704975" cy="567055"/>
                <wp:effectExtent l="0" t="0" r="9525" b="4445"/>
                <wp:wrapNone/>
                <wp:docPr id="9" name="Text Box 9"/>
                <wp:cNvGraphicFramePr/>
                <a:graphic xmlns:a="http://schemas.openxmlformats.org/drawingml/2006/main">
                  <a:graphicData uri="http://schemas.microsoft.com/office/word/2010/wordprocessingShape">
                    <wps:wsp>
                      <wps:cNvSpPr txBox="1"/>
                      <wps:spPr>
                        <a:xfrm>
                          <a:off x="0" y="0"/>
                          <a:ext cx="170497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642C" w:rsidRPr="00D72DC6" w:rsidRDefault="00BA642C" w:rsidP="0061085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85E79" id="Text Box 9" o:spid="_x0000_s1031" type="#_x0000_t202" style="position:absolute;left:0;text-align:left;margin-left:105pt;margin-top:49.95pt;width:134.2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" fillcolor="white [3201]" stroked="f" strokeweight=".5pt">
                <v:textbox>
                  <w:txbxContent>
                    <w:p w:rsidR="00BA642C" w:rsidRPr="00D72DC6" w:rsidRDefault="00BA642C" w:rsidP="00610851">
                      <w:pPr>
                        <w:rPr>
                          <w:color w:val="FFFFFF" w:themeColor="background1"/>
                          <w14:textFill>
                            <w14:noFill/>
                          </w14:textFill>
                        </w:rPr>
                      </w:pPr>
                    </w:p>
                  </w:txbxContent>
                </v:textbox>
              </v:shape>
            </w:pict>
          </mc:Fallback>
        </mc:AlternateContent>
      </w:r>
      <w:r w:rsidR="00610851" w:rsidRPr="00AF1DFA">
        <w:rPr>
          <w:rFonts w:ascii="Cambria" w:hAnsi="Cambria"/>
          <w:noProof/>
          <w:sz w:val="20"/>
          <w:szCs w:val="20"/>
        </w:rPr>
        <mc:AlternateContent>
          <mc:Choice Requires="wps">
            <w:drawing>
              <wp:anchor distT="0" distB="0" distL="114300" distR="114300" simplePos="0" relativeHeight="251666432" behindDoc="0" locked="0" layoutInCell="1" allowOverlap="1" wp14:anchorId="5E67850C" wp14:editId="44680BA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642C" w:rsidRPr="004B7EB6" w:rsidRDefault="00BA642C" w:rsidP="00610851">
                            <w:pPr>
                              <w:jc w:val="center"/>
                              <w:rPr>
                                <w:b/>
                                <w:color w:val="FFFFFF" w:themeColor="background1"/>
                              </w:rPr>
                            </w:pPr>
                            <w:r w:rsidRPr="004B7EB6">
                              <w:rPr>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850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A642C" w:rsidRPr="004B7EB6" w:rsidRDefault="00BA642C" w:rsidP="00610851">
                      <w:pPr>
                        <w:jc w:val="center"/>
                        <w:rPr>
                          <w:b/>
                          <w:color w:val="FFFFFF" w:themeColor="background1"/>
                        </w:rPr>
                      </w:pPr>
                      <w:r w:rsidRPr="004B7EB6">
                        <w:rPr>
                          <w:b/>
                          <w:color w:val="FFFFFF" w:themeColor="background1"/>
                          <w:lang w:val="pt-BR"/>
                        </w:rPr>
                        <w:t>www.cidh.org</w:t>
                      </w:r>
                    </w:p>
                  </w:txbxContent>
                </v:textbox>
              </v:shape>
            </w:pict>
          </mc:Fallback>
        </mc:AlternateContent>
      </w:r>
    </w:p>
    <w:p w:rsidR="00610851" w:rsidRPr="0009382B" w:rsidRDefault="00610851" w:rsidP="000E0504">
      <w:pPr>
        <w:tabs>
          <w:tab w:val="center" w:pos="5400"/>
        </w:tabs>
        <w:suppressAutoHyphens/>
        <w:spacing w:after="0" w:line="240" w:lineRule="auto"/>
        <w:jc w:val="center"/>
        <w:rPr>
          <w:rFonts w:ascii="Cambria" w:hAnsi="Cambria"/>
          <w:b/>
          <w:sz w:val="18"/>
          <w:szCs w:val="18"/>
          <w:lang w:val="es-MX"/>
        </w:rPr>
      </w:pPr>
      <w:r w:rsidRPr="0009382B">
        <w:rPr>
          <w:rFonts w:ascii="Cambria" w:hAnsi="Cambria"/>
          <w:b/>
          <w:sz w:val="18"/>
          <w:szCs w:val="18"/>
          <w:lang w:val="es-MX"/>
        </w:rPr>
        <w:lastRenderedPageBreak/>
        <w:t xml:space="preserve">INFORME No. </w:t>
      </w:r>
      <w:r w:rsidR="00314DEA" w:rsidRPr="0009382B">
        <w:rPr>
          <w:rFonts w:ascii="Cambria" w:hAnsi="Cambria"/>
          <w:b/>
          <w:sz w:val="18"/>
          <w:szCs w:val="18"/>
          <w:lang w:val="es-MX"/>
        </w:rPr>
        <w:t>37</w:t>
      </w:r>
      <w:r w:rsidRPr="0009382B">
        <w:rPr>
          <w:rFonts w:ascii="Cambria" w:hAnsi="Cambria"/>
          <w:b/>
          <w:sz w:val="18"/>
          <w:szCs w:val="18"/>
          <w:lang w:val="es-MX"/>
        </w:rPr>
        <w:t>/19</w:t>
      </w:r>
    </w:p>
    <w:p w:rsidR="00610851" w:rsidRPr="0009382B" w:rsidRDefault="00610851" w:rsidP="000E0504">
      <w:pPr>
        <w:tabs>
          <w:tab w:val="center" w:pos="5400"/>
        </w:tabs>
        <w:suppressAutoHyphens/>
        <w:spacing w:after="0" w:line="240" w:lineRule="auto"/>
        <w:jc w:val="center"/>
        <w:rPr>
          <w:rFonts w:ascii="Cambria" w:hAnsi="Cambria"/>
          <w:b/>
          <w:sz w:val="18"/>
          <w:szCs w:val="18"/>
          <w:lang w:val="es-MX"/>
        </w:rPr>
      </w:pPr>
      <w:r w:rsidRPr="0009382B">
        <w:rPr>
          <w:rFonts w:ascii="Cambria" w:hAnsi="Cambria"/>
          <w:b/>
          <w:sz w:val="18"/>
          <w:szCs w:val="18"/>
          <w:lang w:val="es-MX"/>
        </w:rPr>
        <w:t>CASO 12.190</w:t>
      </w:r>
    </w:p>
    <w:p w:rsidR="00610851" w:rsidRPr="0009382B" w:rsidRDefault="00610851" w:rsidP="000E0504">
      <w:pPr>
        <w:tabs>
          <w:tab w:val="center" w:pos="5400"/>
        </w:tabs>
        <w:suppressAutoHyphens/>
        <w:spacing w:after="0" w:line="240" w:lineRule="auto"/>
        <w:jc w:val="center"/>
        <w:rPr>
          <w:rFonts w:ascii="Cambria" w:hAnsi="Cambria"/>
          <w:sz w:val="18"/>
          <w:szCs w:val="18"/>
          <w:lang w:val="es-ES_tradnl"/>
        </w:rPr>
      </w:pPr>
      <w:r w:rsidRPr="0009382B">
        <w:rPr>
          <w:rFonts w:ascii="Cambria" w:hAnsi="Cambria"/>
          <w:sz w:val="18"/>
          <w:szCs w:val="18"/>
          <w:lang w:val="es-ES_tradnl"/>
        </w:rPr>
        <w:t xml:space="preserve">SOLUCIÓN AMISTOSA </w:t>
      </w:r>
    </w:p>
    <w:p w:rsidR="00610851" w:rsidRPr="0009382B" w:rsidRDefault="00610851" w:rsidP="000E0504">
      <w:pPr>
        <w:tabs>
          <w:tab w:val="center" w:pos="4680"/>
          <w:tab w:val="center" w:pos="5400"/>
        </w:tabs>
        <w:suppressAutoHyphens/>
        <w:spacing w:after="0" w:line="240" w:lineRule="auto"/>
        <w:jc w:val="center"/>
        <w:rPr>
          <w:rFonts w:ascii="Cambria" w:hAnsi="Cambria"/>
          <w:sz w:val="18"/>
          <w:szCs w:val="18"/>
          <w:lang w:val="es-ES_tradnl"/>
        </w:rPr>
      </w:pPr>
      <w:r w:rsidRPr="0009382B">
        <w:rPr>
          <w:rFonts w:ascii="Cambria" w:hAnsi="Cambria"/>
          <w:sz w:val="18"/>
          <w:szCs w:val="18"/>
          <w:lang w:val="es-ES_tradnl"/>
        </w:rPr>
        <w:t>JOSE LUIS TAPIA Y OTROS CARABINEROS</w:t>
      </w:r>
    </w:p>
    <w:p w:rsidR="00610851" w:rsidRPr="0009382B" w:rsidRDefault="00610851" w:rsidP="000E0504">
      <w:pPr>
        <w:tabs>
          <w:tab w:val="center" w:pos="5400"/>
        </w:tabs>
        <w:suppressAutoHyphens/>
        <w:spacing w:after="0" w:line="240" w:lineRule="auto"/>
        <w:jc w:val="center"/>
        <w:rPr>
          <w:rFonts w:ascii="Cambria" w:hAnsi="Cambria"/>
          <w:sz w:val="18"/>
          <w:szCs w:val="18"/>
          <w:lang w:val="es-ES_tradnl"/>
        </w:rPr>
      </w:pPr>
      <w:r w:rsidRPr="0009382B">
        <w:rPr>
          <w:rFonts w:ascii="Cambria" w:hAnsi="Cambria"/>
          <w:sz w:val="18"/>
          <w:szCs w:val="18"/>
          <w:lang w:val="es-ES_tradnl"/>
        </w:rPr>
        <w:t>CHILE</w:t>
      </w:r>
    </w:p>
    <w:p w:rsidR="00610851" w:rsidRPr="0009382B" w:rsidRDefault="00C40F2F" w:rsidP="000E0504">
      <w:pPr>
        <w:tabs>
          <w:tab w:val="center" w:pos="5400"/>
        </w:tabs>
        <w:suppressAutoHyphens/>
        <w:spacing w:after="0" w:line="240" w:lineRule="auto"/>
        <w:jc w:val="center"/>
        <w:rPr>
          <w:rFonts w:ascii="Cambria" w:hAnsi="Cambria"/>
          <w:sz w:val="18"/>
          <w:szCs w:val="18"/>
          <w:lang w:val="es-ES_tradnl"/>
        </w:rPr>
      </w:pPr>
      <w:r w:rsidRPr="0009382B">
        <w:rPr>
          <w:rFonts w:ascii="Cambria" w:hAnsi="Cambria"/>
          <w:sz w:val="18"/>
          <w:szCs w:val="18"/>
          <w:lang w:val="es-ES_tradnl"/>
        </w:rPr>
        <w:t>1</w:t>
      </w:r>
      <w:r w:rsidR="00314DEA" w:rsidRPr="0009382B">
        <w:rPr>
          <w:rFonts w:ascii="Cambria" w:hAnsi="Cambria"/>
          <w:sz w:val="18"/>
          <w:szCs w:val="18"/>
          <w:lang w:val="es-ES_tradnl"/>
        </w:rPr>
        <w:t>6</w:t>
      </w:r>
      <w:r w:rsidR="00610851" w:rsidRPr="0009382B">
        <w:rPr>
          <w:rFonts w:ascii="Cambria" w:hAnsi="Cambria"/>
          <w:sz w:val="18"/>
          <w:szCs w:val="18"/>
          <w:lang w:val="es-ES_tradnl"/>
        </w:rPr>
        <w:t xml:space="preserve"> DE </w:t>
      </w:r>
      <w:r w:rsidRPr="0009382B">
        <w:rPr>
          <w:rFonts w:ascii="Cambria" w:hAnsi="Cambria"/>
          <w:sz w:val="18"/>
          <w:szCs w:val="18"/>
          <w:lang w:val="es-ES_tradnl"/>
        </w:rPr>
        <w:t>ABRIL</w:t>
      </w:r>
      <w:r w:rsidR="00610851" w:rsidRPr="0009382B">
        <w:rPr>
          <w:rFonts w:ascii="Cambria" w:hAnsi="Cambria"/>
          <w:sz w:val="18"/>
          <w:szCs w:val="18"/>
          <w:lang w:val="es-ES_tradnl"/>
        </w:rPr>
        <w:t xml:space="preserve"> DE 2019</w:t>
      </w:r>
      <w:r w:rsidR="00487D35" w:rsidRPr="0009382B">
        <w:rPr>
          <w:rStyle w:val="FootnoteReference"/>
          <w:rFonts w:ascii="Cambria" w:hAnsi="Cambria"/>
          <w:sz w:val="18"/>
          <w:szCs w:val="18"/>
          <w:lang w:val="es-ES_tradnl"/>
        </w:rPr>
        <w:footnoteReference w:id="1"/>
      </w:r>
    </w:p>
    <w:p w:rsidR="00EE37C3" w:rsidRPr="00AF1DFA" w:rsidRDefault="00EE37C3" w:rsidP="000E0504">
      <w:pPr>
        <w:keepNext/>
        <w:spacing w:after="0" w:line="240" w:lineRule="auto"/>
        <w:ind w:firstLine="720"/>
        <w:outlineLvl w:val="0"/>
        <w:rPr>
          <w:rFonts w:ascii="Cambria" w:hAnsi="Cambria"/>
          <w:sz w:val="20"/>
          <w:szCs w:val="20"/>
          <w:lang w:val="es-ES_tradnl"/>
        </w:rPr>
      </w:pPr>
    </w:p>
    <w:p w:rsidR="00AE47D3" w:rsidRPr="00AF1DFA" w:rsidRDefault="00AE47D3" w:rsidP="000E0504">
      <w:pPr>
        <w:keepNext/>
        <w:spacing w:after="0" w:line="240" w:lineRule="auto"/>
        <w:ind w:firstLine="720"/>
        <w:outlineLvl w:val="0"/>
        <w:rPr>
          <w:rFonts w:ascii="Cambria" w:hAnsi="Cambria"/>
          <w:sz w:val="20"/>
          <w:szCs w:val="20"/>
          <w:lang w:val="es-ES_tradnl"/>
        </w:rPr>
      </w:pPr>
    </w:p>
    <w:p w:rsidR="00EE37C3" w:rsidRPr="00AF1DFA" w:rsidRDefault="00EE37C3" w:rsidP="00C40F2F">
      <w:pPr>
        <w:keepNext/>
        <w:tabs>
          <w:tab w:val="left" w:pos="1440"/>
        </w:tabs>
        <w:spacing w:after="0" w:line="240" w:lineRule="auto"/>
        <w:ind w:left="1440" w:hanging="720"/>
        <w:outlineLvl w:val="0"/>
        <w:rPr>
          <w:rFonts w:ascii="Cambria" w:eastAsia="Times New Roman" w:hAnsi="Cambria" w:cs="Times New Roman"/>
          <w:b/>
          <w:bCs/>
          <w:kern w:val="36"/>
          <w:sz w:val="20"/>
          <w:szCs w:val="20"/>
          <w:lang w:val="es-ES" w:eastAsia="es-BO"/>
        </w:rPr>
      </w:pPr>
      <w:r w:rsidRPr="00AF1DFA">
        <w:rPr>
          <w:rFonts w:ascii="Cambria" w:hAnsi="Cambria"/>
          <w:b/>
          <w:sz w:val="20"/>
          <w:szCs w:val="20"/>
          <w:lang w:val="es-ES_tradnl"/>
        </w:rPr>
        <w:t>I.</w:t>
      </w:r>
      <w:r w:rsidRPr="00AF1DFA">
        <w:rPr>
          <w:rFonts w:ascii="Cambria" w:hAnsi="Cambria"/>
          <w:sz w:val="20"/>
          <w:szCs w:val="20"/>
          <w:lang w:val="es-ES_tradnl"/>
        </w:rPr>
        <w:t xml:space="preserve"> </w:t>
      </w:r>
      <w:r w:rsidR="00C40F2F" w:rsidRPr="00AF1DFA">
        <w:rPr>
          <w:rFonts w:ascii="Cambria" w:hAnsi="Cambria"/>
          <w:sz w:val="20"/>
          <w:szCs w:val="20"/>
          <w:lang w:val="es-ES_tradnl"/>
        </w:rPr>
        <w:tab/>
      </w:r>
      <w:r w:rsidR="0022782C" w:rsidRPr="00AF1DFA">
        <w:rPr>
          <w:rFonts w:ascii="Cambria" w:eastAsia="Times New Roman" w:hAnsi="Cambria" w:cs="Times New Roman"/>
          <w:b/>
          <w:bCs/>
          <w:kern w:val="36"/>
          <w:sz w:val="20"/>
          <w:szCs w:val="20"/>
          <w:lang w:val="es-ES" w:eastAsia="es-BO"/>
        </w:rPr>
        <w:t>RESUMEN</w:t>
      </w:r>
      <w:r w:rsidRPr="00AF1DFA">
        <w:rPr>
          <w:rFonts w:ascii="Cambria" w:eastAsia="Times New Roman" w:hAnsi="Cambria" w:cs="Times New Roman"/>
          <w:b/>
          <w:bCs/>
          <w:kern w:val="36"/>
          <w:sz w:val="20"/>
          <w:szCs w:val="20"/>
          <w:lang w:val="es-ES" w:eastAsia="es-BO"/>
        </w:rPr>
        <w:t xml:space="preserve"> </w:t>
      </w:r>
      <w:r w:rsidR="002A2FB9" w:rsidRPr="00AF1DFA">
        <w:rPr>
          <w:rFonts w:ascii="Cambria" w:eastAsia="Times New Roman" w:hAnsi="Cambria" w:cs="Times New Roman"/>
          <w:b/>
          <w:bCs/>
          <w:kern w:val="36"/>
          <w:sz w:val="20"/>
          <w:szCs w:val="20"/>
          <w:lang w:val="es-ES" w:eastAsia="es-BO"/>
        </w:rPr>
        <w:t xml:space="preserve">Y ASPECTOS </w:t>
      </w:r>
      <w:r w:rsidRPr="00AF1DFA">
        <w:rPr>
          <w:rFonts w:ascii="Cambria" w:eastAsia="Times New Roman" w:hAnsi="Cambria" w:cs="Times New Roman"/>
          <w:b/>
          <w:bCs/>
          <w:kern w:val="36"/>
          <w:sz w:val="20"/>
          <w:szCs w:val="20"/>
          <w:lang w:val="es-ES" w:eastAsia="es-BO"/>
        </w:rPr>
        <w:t>PROCESALES RELEVANTES DEL PROCESO DE SOLUCIÓN AMISTOSA</w:t>
      </w:r>
    </w:p>
    <w:p w:rsidR="00C45E85" w:rsidRPr="00AF1DFA" w:rsidRDefault="0022782C" w:rsidP="000E0504">
      <w:pPr>
        <w:spacing w:after="0" w:line="240" w:lineRule="auto"/>
        <w:ind w:firstLine="720"/>
        <w:jc w:val="both"/>
        <w:rPr>
          <w:rFonts w:ascii="Cambria" w:eastAsia="Times New Roman" w:hAnsi="Cambria" w:cs="Times New Roman"/>
          <w:sz w:val="20"/>
          <w:szCs w:val="20"/>
          <w:lang w:val="es-BO" w:eastAsia="es-BO"/>
        </w:rPr>
      </w:pPr>
      <w:r w:rsidRPr="00AF1DFA">
        <w:rPr>
          <w:rFonts w:ascii="Cambria" w:eastAsia="Times New Roman" w:hAnsi="Cambria" w:cs="Times New Roman"/>
          <w:sz w:val="20"/>
          <w:szCs w:val="20"/>
          <w:lang w:val="es-ES" w:eastAsia="es-BO"/>
        </w:rPr>
        <w:t> </w:t>
      </w:r>
    </w:p>
    <w:p w:rsidR="001857EF" w:rsidRPr="00AF1DFA" w:rsidRDefault="0022782C" w:rsidP="000E0504">
      <w:pPr>
        <w:pStyle w:val="ListParagraph"/>
        <w:numPr>
          <w:ilvl w:val="0"/>
          <w:numId w:val="8"/>
        </w:numPr>
        <w:spacing w:after="0" w:line="240" w:lineRule="auto"/>
        <w:ind w:left="0" w:firstLine="720"/>
        <w:jc w:val="both"/>
        <w:rPr>
          <w:rFonts w:ascii="Cambria" w:eastAsia="Times New Roman" w:hAnsi="Cambria" w:cs="Times New Roman"/>
          <w:sz w:val="20"/>
          <w:szCs w:val="20"/>
          <w:lang w:val="es-BO" w:eastAsia="es-BO"/>
        </w:rPr>
      </w:pPr>
      <w:r w:rsidRPr="00AF1DFA">
        <w:rPr>
          <w:rFonts w:ascii="Cambria" w:eastAsia="Times New Roman" w:hAnsi="Cambria" w:cs="Times New Roman"/>
          <w:sz w:val="20"/>
          <w:szCs w:val="20"/>
          <w:lang w:val="es-ES" w:eastAsia="es-BO"/>
        </w:rPr>
        <w:t>El 18 de junio de 1999, la Comisión Interamericana de Derechos Humanos (en lo sucesivo “la Comisión Interamericana”, “la Comisión” o “CIDH”) recibió una petición presentada por el Abogado Luis Antonio Acevedo Villavicencio y Leopoldo Sánchez Grunert  (en adelante “los peticionarios”), en contra de la República de Chile (en adelante, “el Estado” o “el Estado chileno”)  en la cual se alega</w:t>
      </w:r>
      <w:r w:rsidR="00487D35" w:rsidRPr="00AF1DFA">
        <w:rPr>
          <w:rFonts w:ascii="Cambria" w:eastAsia="Times New Roman" w:hAnsi="Cambria" w:cs="Times New Roman"/>
          <w:sz w:val="20"/>
          <w:szCs w:val="20"/>
          <w:lang w:val="es-ES" w:eastAsia="es-BO"/>
        </w:rPr>
        <w:t>ba</w:t>
      </w:r>
      <w:r w:rsidRPr="00AF1DFA">
        <w:rPr>
          <w:rFonts w:ascii="Cambria" w:eastAsia="Times New Roman" w:hAnsi="Cambria" w:cs="Times New Roman"/>
          <w:sz w:val="20"/>
          <w:szCs w:val="20"/>
          <w:lang w:val="es-ES" w:eastAsia="es-BO"/>
        </w:rPr>
        <w:t xml:space="preserve"> que los señores  José Luis Tapia Gonzáles, José Alejandro Villagrán Guzmán, Luis Eduardo Hernández Mieville, Nelson Enrique Garrido Reyes, Manuel Augusto Zamora </w:t>
      </w:r>
      <w:proofErr w:type="spellStart"/>
      <w:r w:rsidRPr="00AF1DFA">
        <w:rPr>
          <w:rFonts w:ascii="Cambria" w:eastAsia="Times New Roman" w:hAnsi="Cambria" w:cs="Times New Roman"/>
          <w:sz w:val="20"/>
          <w:szCs w:val="20"/>
          <w:lang w:val="es-ES" w:eastAsia="es-BO"/>
        </w:rPr>
        <w:t>Irarrazabal</w:t>
      </w:r>
      <w:proofErr w:type="spellEnd"/>
      <w:r w:rsidRPr="00AF1DFA">
        <w:rPr>
          <w:rFonts w:ascii="Cambria" w:eastAsia="Times New Roman" w:hAnsi="Cambria" w:cs="Times New Roman"/>
          <w:sz w:val="20"/>
          <w:szCs w:val="20"/>
          <w:lang w:val="es-ES" w:eastAsia="es-BO"/>
        </w:rPr>
        <w:t xml:space="preserve">, David Matías Álvarez </w:t>
      </w:r>
      <w:proofErr w:type="spellStart"/>
      <w:r w:rsidRPr="00AF1DFA">
        <w:rPr>
          <w:rFonts w:ascii="Cambria" w:eastAsia="Times New Roman" w:hAnsi="Cambria" w:cs="Times New Roman"/>
          <w:sz w:val="20"/>
          <w:szCs w:val="20"/>
          <w:lang w:val="es-ES" w:eastAsia="es-BO"/>
        </w:rPr>
        <w:t>Álvarez</w:t>
      </w:r>
      <w:proofErr w:type="spellEnd"/>
      <w:r w:rsidRPr="00AF1DFA">
        <w:rPr>
          <w:rFonts w:ascii="Cambria" w:eastAsia="Times New Roman" w:hAnsi="Cambria" w:cs="Times New Roman"/>
          <w:sz w:val="20"/>
          <w:szCs w:val="20"/>
          <w:lang w:val="es-ES" w:eastAsia="es-BO"/>
        </w:rPr>
        <w:t xml:space="preserve"> y Víctor Alejandro Lago Maldonado, todos ellos miembros de Carabineros de Chile</w:t>
      </w:r>
      <w:bookmarkStart w:id="3" w:name="_ftnref2"/>
      <w:bookmarkEnd w:id="3"/>
      <w:r w:rsidRPr="00AF1DFA">
        <w:rPr>
          <w:rFonts w:ascii="Cambria" w:eastAsia="Times New Roman" w:hAnsi="Cambria" w:cs="Times New Roman"/>
          <w:sz w:val="20"/>
          <w:szCs w:val="20"/>
          <w:lang w:val="es-ES" w:eastAsia="es-BO"/>
        </w:rPr>
        <w:t xml:space="preserve"> (en adelante “los Carabineros”) y sus respectivas cónyuges Giny Escobar Lara, Rosa Paz Valdés, Sonia Valencia Torres, Claudia Bustamante Torres, Sandra Duran Villegas, Olga del Carmen Becerra Pérez y Ana Maria Aguilera Saldivia (en adelante “las esposas de los Carabineros”), fueron sometidos a un proceso de calificación</w:t>
      </w:r>
      <w:r w:rsidR="004E6DB7" w:rsidRPr="00AF1DFA">
        <w:rPr>
          <w:rFonts w:ascii="Cambria" w:eastAsia="Times New Roman" w:hAnsi="Cambria" w:cs="Times New Roman"/>
          <w:sz w:val="20"/>
          <w:szCs w:val="20"/>
          <w:lang w:val="es-ES" w:eastAsia="es-BO"/>
        </w:rPr>
        <w:t xml:space="preserve"> arbitrario</w:t>
      </w:r>
      <w:r w:rsidRPr="00AF1DFA">
        <w:rPr>
          <w:rFonts w:ascii="Cambria" w:eastAsia="Times New Roman" w:hAnsi="Cambria" w:cs="Times New Roman"/>
          <w:sz w:val="20"/>
          <w:szCs w:val="20"/>
          <w:lang w:val="es-ES" w:eastAsia="es-BO"/>
        </w:rPr>
        <w:t xml:space="preserve"> y luego despedidos. Alegan que se configuró una denegación de justicia por los máximos organismos judiciales del Estado chileno al ser víctimas de un proceso judicial violatorio de sus derechos básicos y desprovisto de  garantías judiciales.</w:t>
      </w:r>
    </w:p>
    <w:p w:rsidR="001857EF" w:rsidRPr="00AF1DFA" w:rsidRDefault="001857EF" w:rsidP="000E0504">
      <w:pPr>
        <w:pStyle w:val="ListParagraph"/>
        <w:spacing w:after="0" w:line="240" w:lineRule="auto"/>
        <w:ind w:left="0" w:firstLine="720"/>
        <w:jc w:val="both"/>
        <w:rPr>
          <w:rFonts w:ascii="Cambria" w:eastAsia="Times New Roman" w:hAnsi="Cambria" w:cs="Times New Roman"/>
          <w:sz w:val="20"/>
          <w:szCs w:val="20"/>
          <w:lang w:val="es-BO" w:eastAsia="es-BO"/>
        </w:rPr>
      </w:pPr>
    </w:p>
    <w:p w:rsidR="001857EF" w:rsidRPr="00AF1DFA" w:rsidRDefault="00487D35" w:rsidP="000E0504">
      <w:pPr>
        <w:pStyle w:val="ListParagraph"/>
        <w:numPr>
          <w:ilvl w:val="0"/>
          <w:numId w:val="8"/>
        </w:numPr>
        <w:spacing w:after="0" w:line="240" w:lineRule="auto"/>
        <w:ind w:left="0" w:firstLine="720"/>
        <w:jc w:val="both"/>
        <w:rPr>
          <w:rFonts w:ascii="Cambria" w:eastAsia="Times New Roman" w:hAnsi="Cambria" w:cs="Times New Roman"/>
          <w:sz w:val="20"/>
          <w:szCs w:val="20"/>
          <w:lang w:val="es-BO" w:eastAsia="es-BO"/>
        </w:rPr>
      </w:pPr>
      <w:r w:rsidRPr="00AF1DFA">
        <w:rPr>
          <w:rFonts w:ascii="Cambria" w:eastAsia="Times New Roman" w:hAnsi="Cambria" w:cs="Times New Roman"/>
          <w:sz w:val="20"/>
          <w:szCs w:val="20"/>
          <w:lang w:val="es-ES" w:eastAsia="es-BO"/>
        </w:rPr>
        <w:t xml:space="preserve">El 24 de febrero de 2004, la Comisión </w:t>
      </w:r>
      <w:r w:rsidR="00536ADB" w:rsidRPr="00AF1DFA">
        <w:rPr>
          <w:rFonts w:ascii="Cambria" w:eastAsia="Times New Roman" w:hAnsi="Cambria" w:cs="Times New Roman"/>
          <w:sz w:val="20"/>
          <w:szCs w:val="20"/>
          <w:lang w:val="es-ES" w:eastAsia="es-BO"/>
        </w:rPr>
        <w:t>emitió</w:t>
      </w:r>
      <w:r w:rsidRPr="00AF1DFA">
        <w:rPr>
          <w:rFonts w:ascii="Cambria" w:eastAsia="Times New Roman" w:hAnsi="Cambria" w:cs="Times New Roman"/>
          <w:sz w:val="20"/>
          <w:szCs w:val="20"/>
          <w:lang w:val="es-ES" w:eastAsia="es-BO"/>
        </w:rPr>
        <w:t xml:space="preserve"> el</w:t>
      </w:r>
      <w:r w:rsidR="00536ADB" w:rsidRPr="00AF1DFA">
        <w:rPr>
          <w:rFonts w:ascii="Cambria" w:eastAsia="Times New Roman" w:hAnsi="Cambria" w:cs="Times New Roman"/>
          <w:sz w:val="20"/>
          <w:szCs w:val="20"/>
          <w:lang w:val="es-ES" w:eastAsia="es-BO"/>
        </w:rPr>
        <w:t xml:space="preserve"> </w:t>
      </w:r>
      <w:r w:rsidR="00EE5F79" w:rsidRPr="00AF1DFA">
        <w:rPr>
          <w:rFonts w:ascii="Cambria" w:hAnsi="Cambria"/>
          <w:spacing w:val="2"/>
          <w:sz w:val="20"/>
          <w:szCs w:val="20"/>
          <w:lang w:val="es-ES_tradnl"/>
        </w:rPr>
        <w:t>Informe de Admisibilidad N° 21/04</w:t>
      </w:r>
      <w:r w:rsidR="00536ADB" w:rsidRPr="00AF1DFA">
        <w:rPr>
          <w:rFonts w:ascii="Cambria" w:hAnsi="Cambria"/>
          <w:spacing w:val="2"/>
          <w:sz w:val="20"/>
          <w:szCs w:val="20"/>
          <w:lang w:val="es-ES_tradnl"/>
        </w:rPr>
        <w:t xml:space="preserve"> concluyendo</w:t>
      </w:r>
      <w:r w:rsidR="00EE5F79" w:rsidRPr="00AF1DFA">
        <w:rPr>
          <w:rFonts w:ascii="Cambria" w:hAnsi="Cambria"/>
          <w:spacing w:val="2"/>
          <w:sz w:val="20"/>
          <w:szCs w:val="20"/>
          <w:lang w:val="es-ES_tradnl"/>
        </w:rPr>
        <w:t xml:space="preserve"> que los hechos descritos podrían constituir violaciones de los derechos a las garantías judiciales y protección judicial, amparados por los artículos 8 y 25 de la Convención Americana</w:t>
      </w:r>
      <w:r w:rsidR="00766CAA" w:rsidRPr="00AF1DFA">
        <w:rPr>
          <w:rFonts w:ascii="Cambria" w:hAnsi="Cambria"/>
          <w:spacing w:val="2"/>
          <w:sz w:val="20"/>
          <w:szCs w:val="20"/>
          <w:lang w:val="es-ES_tradnl"/>
        </w:rPr>
        <w:t xml:space="preserve"> sobre Derechos Humanos (en adelante “Convención” o “Convención Americana” o “CADH”)</w:t>
      </w:r>
      <w:r w:rsidR="00EE5F79" w:rsidRPr="00AF1DFA">
        <w:rPr>
          <w:rFonts w:ascii="Cambria" w:hAnsi="Cambria"/>
          <w:spacing w:val="2"/>
          <w:sz w:val="20"/>
          <w:szCs w:val="20"/>
          <w:lang w:val="es-ES_tradnl"/>
        </w:rPr>
        <w:t>, así como las obligaciones de los artículos 1.1 y 2 de la Convención Americana. En ese mismo Informe, la Comisión decidió que era competente para examinar la petición y la declaró admisible en relación a los artículos antes señalados en perjuicio de los ex carabineros.</w:t>
      </w:r>
    </w:p>
    <w:p w:rsidR="001857EF" w:rsidRPr="00AF1DFA" w:rsidRDefault="001857EF" w:rsidP="000E0504">
      <w:pPr>
        <w:pStyle w:val="ListParagraph"/>
        <w:spacing w:after="0" w:line="240" w:lineRule="auto"/>
        <w:rPr>
          <w:rFonts w:ascii="Cambria" w:hAnsi="Cambria"/>
          <w:sz w:val="20"/>
          <w:szCs w:val="20"/>
          <w:lang w:val="es-ES_tradnl"/>
        </w:rPr>
      </w:pPr>
    </w:p>
    <w:p w:rsidR="00536ADB" w:rsidRPr="00AF1DFA" w:rsidRDefault="00536ADB" w:rsidP="000E0504">
      <w:pPr>
        <w:pStyle w:val="ListParagraph"/>
        <w:numPr>
          <w:ilvl w:val="0"/>
          <w:numId w:val="8"/>
        </w:numPr>
        <w:spacing w:after="0" w:line="240" w:lineRule="auto"/>
        <w:ind w:left="0" w:firstLine="720"/>
        <w:jc w:val="both"/>
        <w:rPr>
          <w:rFonts w:ascii="Cambria" w:eastAsia="Times New Roman" w:hAnsi="Cambria" w:cs="Times New Roman"/>
          <w:sz w:val="20"/>
          <w:szCs w:val="20"/>
          <w:lang w:val="es-BO" w:eastAsia="es-BO"/>
        </w:rPr>
      </w:pPr>
      <w:r w:rsidRPr="00AF1DFA">
        <w:rPr>
          <w:rFonts w:ascii="Cambria" w:hAnsi="Cambria"/>
          <w:sz w:val="20"/>
          <w:szCs w:val="20"/>
          <w:lang w:val="es-ES_tradnl"/>
        </w:rPr>
        <w:t>E</w:t>
      </w:r>
      <w:r w:rsidR="00EE5F79" w:rsidRPr="00AF1DFA">
        <w:rPr>
          <w:rFonts w:ascii="Cambria" w:hAnsi="Cambria"/>
          <w:sz w:val="20"/>
          <w:szCs w:val="20"/>
          <w:lang w:val="es-BO"/>
        </w:rPr>
        <w:t>l 8 de marzo de 2018, las partes suscribieron el Acuerdo de Solución Amistosa, el cual incluye</w:t>
      </w:r>
      <w:r w:rsidRPr="00AF1DFA">
        <w:rPr>
          <w:rFonts w:ascii="Cambria" w:hAnsi="Cambria"/>
          <w:sz w:val="20"/>
          <w:szCs w:val="20"/>
          <w:lang w:val="es-BO"/>
        </w:rPr>
        <w:t xml:space="preserve"> como</w:t>
      </w:r>
      <w:r w:rsidR="00487D35" w:rsidRPr="00AF1DFA">
        <w:rPr>
          <w:rFonts w:ascii="Cambria" w:hAnsi="Cambria"/>
          <w:sz w:val="20"/>
          <w:szCs w:val="20"/>
          <w:lang w:val="es-BO"/>
        </w:rPr>
        <w:t xml:space="preserve"> medidas</w:t>
      </w:r>
      <w:r w:rsidR="00EE5F79" w:rsidRPr="00AF1DFA">
        <w:rPr>
          <w:rFonts w:ascii="Cambria" w:hAnsi="Cambria"/>
          <w:sz w:val="20"/>
          <w:szCs w:val="20"/>
          <w:lang w:val="es-BO"/>
        </w:rPr>
        <w:t xml:space="preserve"> de reparación</w:t>
      </w:r>
      <w:r w:rsidRPr="00AF1DFA">
        <w:rPr>
          <w:rFonts w:ascii="Cambria" w:hAnsi="Cambria"/>
          <w:sz w:val="20"/>
          <w:szCs w:val="20"/>
          <w:lang w:val="es-BO"/>
        </w:rPr>
        <w:t xml:space="preserve"> el r</w:t>
      </w:r>
      <w:r w:rsidR="00EE5F79" w:rsidRPr="00AF1DFA">
        <w:rPr>
          <w:rFonts w:ascii="Cambria" w:hAnsi="Cambria"/>
          <w:sz w:val="20"/>
          <w:szCs w:val="20"/>
          <w:lang w:val="es-BO"/>
        </w:rPr>
        <w:t xml:space="preserve">econocimiento de los hechos plasmados en la petición </w:t>
      </w:r>
      <w:r w:rsidR="00487D35" w:rsidRPr="00AF1DFA">
        <w:rPr>
          <w:rFonts w:ascii="Cambria" w:hAnsi="Cambria"/>
          <w:sz w:val="20"/>
          <w:szCs w:val="20"/>
          <w:lang w:val="es-BO"/>
        </w:rPr>
        <w:t>inicial</w:t>
      </w:r>
      <w:r w:rsidRPr="00AF1DFA">
        <w:rPr>
          <w:rFonts w:ascii="Cambria" w:hAnsi="Cambria"/>
          <w:sz w:val="20"/>
          <w:szCs w:val="20"/>
          <w:lang w:val="es-BO"/>
        </w:rPr>
        <w:t xml:space="preserve"> y u</w:t>
      </w:r>
      <w:r w:rsidR="00EE5F79" w:rsidRPr="00AF1DFA">
        <w:rPr>
          <w:rFonts w:ascii="Cambria" w:hAnsi="Cambria"/>
          <w:sz w:val="20"/>
          <w:szCs w:val="20"/>
          <w:lang w:val="es-BO"/>
        </w:rPr>
        <w:t>na reparación económica por daños material e inmaterial</w:t>
      </w:r>
      <w:r w:rsidRPr="00AF1DFA">
        <w:rPr>
          <w:rFonts w:ascii="Cambria" w:hAnsi="Cambria"/>
          <w:sz w:val="20"/>
          <w:szCs w:val="20"/>
          <w:lang w:val="es-BO"/>
        </w:rPr>
        <w:t>.</w:t>
      </w:r>
      <w:r w:rsidR="00EE5F79" w:rsidRPr="00AF1DFA">
        <w:rPr>
          <w:rFonts w:ascii="Cambria" w:hAnsi="Cambria"/>
          <w:sz w:val="20"/>
          <w:szCs w:val="20"/>
          <w:lang w:val="es-BO"/>
        </w:rPr>
        <w:t xml:space="preserve"> </w:t>
      </w:r>
    </w:p>
    <w:p w:rsidR="001857EF" w:rsidRPr="00AF1DFA" w:rsidRDefault="001857EF" w:rsidP="000E0504">
      <w:pPr>
        <w:spacing w:after="0" w:line="240" w:lineRule="auto"/>
        <w:jc w:val="both"/>
        <w:rPr>
          <w:rFonts w:ascii="Cambria" w:hAnsi="Cambria"/>
          <w:sz w:val="20"/>
          <w:szCs w:val="20"/>
          <w:lang w:val="es-BO"/>
        </w:rPr>
      </w:pPr>
    </w:p>
    <w:p w:rsidR="001857EF" w:rsidRPr="00AF1DFA" w:rsidRDefault="00536ADB" w:rsidP="000E0504">
      <w:pPr>
        <w:pStyle w:val="ListParagraph"/>
        <w:numPr>
          <w:ilvl w:val="0"/>
          <w:numId w:val="8"/>
        </w:numPr>
        <w:spacing w:after="0" w:line="240" w:lineRule="auto"/>
        <w:ind w:left="0" w:firstLine="720"/>
        <w:jc w:val="both"/>
        <w:rPr>
          <w:rFonts w:ascii="Cambria" w:hAnsi="Cambria"/>
          <w:sz w:val="20"/>
          <w:szCs w:val="20"/>
          <w:lang w:val="es-CL"/>
        </w:rPr>
      </w:pPr>
      <w:r w:rsidRPr="00AF1DFA">
        <w:rPr>
          <w:rFonts w:ascii="Cambria" w:hAnsi="Cambria"/>
          <w:sz w:val="20"/>
          <w:szCs w:val="20"/>
          <w:lang w:val="es-BO"/>
        </w:rPr>
        <w:t>Finalmente</w:t>
      </w:r>
      <w:r w:rsidR="00C422EB" w:rsidRPr="00AF1DFA">
        <w:rPr>
          <w:rFonts w:ascii="Cambria" w:hAnsi="Cambria"/>
          <w:sz w:val="20"/>
          <w:szCs w:val="20"/>
          <w:lang w:val="es-BO"/>
        </w:rPr>
        <w:t>,</w:t>
      </w:r>
      <w:r w:rsidRPr="00AF1DFA">
        <w:rPr>
          <w:rFonts w:ascii="Cambria" w:hAnsi="Cambria"/>
          <w:sz w:val="20"/>
          <w:szCs w:val="20"/>
          <w:lang w:val="es-BO"/>
        </w:rPr>
        <w:t xml:space="preserve"> el </w:t>
      </w:r>
      <w:r w:rsidR="008369B3" w:rsidRPr="00AF1DFA">
        <w:rPr>
          <w:rFonts w:ascii="Cambria" w:hAnsi="Cambria"/>
          <w:sz w:val="20"/>
          <w:szCs w:val="20"/>
          <w:lang w:val="es-BO"/>
        </w:rPr>
        <w:t>15 de marzo de 2019</w:t>
      </w:r>
      <w:r w:rsidRPr="00AF1DFA">
        <w:rPr>
          <w:rFonts w:ascii="Cambria" w:hAnsi="Cambria"/>
          <w:sz w:val="20"/>
          <w:szCs w:val="20"/>
          <w:lang w:val="es-BO"/>
        </w:rPr>
        <w:t xml:space="preserve">, </w:t>
      </w:r>
      <w:r w:rsidR="0017187B" w:rsidRPr="00AF1DFA">
        <w:rPr>
          <w:rFonts w:ascii="Cambria" w:hAnsi="Cambria"/>
          <w:sz w:val="20"/>
          <w:szCs w:val="20"/>
          <w:lang w:val="es-BO"/>
        </w:rPr>
        <w:t>el E</w:t>
      </w:r>
      <w:r w:rsidR="00C422EB" w:rsidRPr="00AF1DFA">
        <w:rPr>
          <w:rFonts w:ascii="Cambria" w:hAnsi="Cambria"/>
          <w:sz w:val="20"/>
          <w:szCs w:val="20"/>
          <w:lang w:val="es-BO"/>
        </w:rPr>
        <w:t>stado presentó</w:t>
      </w:r>
      <w:r w:rsidR="0017187B" w:rsidRPr="00AF1DFA">
        <w:rPr>
          <w:rFonts w:ascii="Cambria" w:hAnsi="Cambria"/>
          <w:sz w:val="20"/>
          <w:szCs w:val="20"/>
          <w:lang w:val="es-BO"/>
        </w:rPr>
        <w:t xml:space="preserve"> un informe </w:t>
      </w:r>
      <w:r w:rsidR="00C422EB" w:rsidRPr="00AF1DFA">
        <w:rPr>
          <w:rFonts w:ascii="Cambria" w:hAnsi="Cambria"/>
          <w:sz w:val="20"/>
          <w:szCs w:val="20"/>
          <w:lang w:val="es-BO"/>
        </w:rPr>
        <w:t xml:space="preserve">sobre </w:t>
      </w:r>
      <w:r w:rsidR="0017187B" w:rsidRPr="00AF1DFA">
        <w:rPr>
          <w:rFonts w:ascii="Cambria" w:hAnsi="Cambria"/>
          <w:sz w:val="20"/>
          <w:szCs w:val="20"/>
          <w:lang w:val="es-BO"/>
        </w:rPr>
        <w:t xml:space="preserve">el cumplimiento de </w:t>
      </w:r>
      <w:r w:rsidR="00C422EB" w:rsidRPr="00AF1DFA">
        <w:rPr>
          <w:rFonts w:ascii="Cambria" w:hAnsi="Cambria"/>
          <w:sz w:val="20"/>
          <w:szCs w:val="20"/>
          <w:lang w:val="es-BO"/>
        </w:rPr>
        <w:t xml:space="preserve">las medidas de reparación convenidas por las partes en este caso, </w:t>
      </w:r>
      <w:r w:rsidR="0017187B" w:rsidRPr="00AF1DFA">
        <w:rPr>
          <w:rFonts w:ascii="Cambria" w:hAnsi="Cambria"/>
          <w:sz w:val="20"/>
          <w:szCs w:val="20"/>
          <w:lang w:val="es-BO"/>
        </w:rPr>
        <w:t xml:space="preserve">y  </w:t>
      </w:r>
      <w:r w:rsidRPr="00AF1DFA">
        <w:rPr>
          <w:rFonts w:ascii="Cambria" w:hAnsi="Cambria"/>
          <w:sz w:val="20"/>
          <w:szCs w:val="20"/>
          <w:lang w:val="es-BO"/>
        </w:rPr>
        <w:t>solicitó</w:t>
      </w:r>
      <w:r w:rsidR="00EE5F79" w:rsidRPr="00AF1DFA">
        <w:rPr>
          <w:rFonts w:ascii="Cambria" w:hAnsi="Cambria"/>
          <w:sz w:val="20"/>
          <w:szCs w:val="20"/>
          <w:lang w:val="es-BO"/>
        </w:rPr>
        <w:t xml:space="preserve"> a la Honorable Comisión </w:t>
      </w:r>
      <w:r w:rsidR="00C422EB" w:rsidRPr="00AF1DFA">
        <w:rPr>
          <w:rFonts w:ascii="Cambria" w:hAnsi="Cambria"/>
          <w:sz w:val="20"/>
          <w:szCs w:val="20"/>
          <w:lang w:val="es-BO"/>
        </w:rPr>
        <w:t xml:space="preserve">que </w:t>
      </w:r>
      <w:r w:rsidR="00487D35" w:rsidRPr="00AF1DFA">
        <w:rPr>
          <w:rFonts w:ascii="Cambria" w:hAnsi="Cambria"/>
          <w:sz w:val="20"/>
          <w:szCs w:val="20"/>
          <w:lang w:val="es-BO"/>
        </w:rPr>
        <w:t>declarara</w:t>
      </w:r>
      <w:r w:rsidR="00EE5F79" w:rsidRPr="00AF1DFA">
        <w:rPr>
          <w:rFonts w:ascii="Cambria" w:hAnsi="Cambria"/>
          <w:sz w:val="20"/>
          <w:szCs w:val="20"/>
          <w:lang w:val="es-BO"/>
        </w:rPr>
        <w:t xml:space="preserve"> </w:t>
      </w:r>
      <w:r w:rsidR="00C422EB" w:rsidRPr="00AF1DFA">
        <w:rPr>
          <w:rFonts w:ascii="Cambria" w:hAnsi="Cambria"/>
          <w:sz w:val="20"/>
          <w:szCs w:val="20"/>
          <w:lang w:val="es-BO"/>
        </w:rPr>
        <w:t xml:space="preserve">el cumplimiento total del Acuerdo de Solución Amistosa </w:t>
      </w:r>
      <w:r w:rsidR="00487D35" w:rsidRPr="00AF1DFA">
        <w:rPr>
          <w:rFonts w:ascii="Cambria" w:hAnsi="Cambria"/>
          <w:sz w:val="20"/>
          <w:szCs w:val="20"/>
          <w:lang w:val="es-BO"/>
        </w:rPr>
        <w:t xml:space="preserve">y que </w:t>
      </w:r>
      <w:r w:rsidR="00C422EB" w:rsidRPr="00AF1DFA">
        <w:rPr>
          <w:rFonts w:ascii="Cambria" w:hAnsi="Cambria"/>
          <w:sz w:val="20"/>
          <w:szCs w:val="20"/>
          <w:lang w:val="es-BO"/>
        </w:rPr>
        <w:t xml:space="preserve"> proced</w:t>
      </w:r>
      <w:r w:rsidR="00487D35" w:rsidRPr="00AF1DFA">
        <w:rPr>
          <w:rFonts w:ascii="Cambria" w:hAnsi="Cambria"/>
          <w:sz w:val="20"/>
          <w:szCs w:val="20"/>
          <w:lang w:val="es-BO"/>
        </w:rPr>
        <w:t>iera con</w:t>
      </w:r>
      <w:r w:rsidR="00C422EB" w:rsidRPr="00AF1DFA">
        <w:rPr>
          <w:rFonts w:ascii="Cambria" w:hAnsi="Cambria"/>
          <w:sz w:val="20"/>
          <w:szCs w:val="20"/>
          <w:lang w:val="es-BO"/>
        </w:rPr>
        <w:t xml:space="preserve"> la emisión d</w:t>
      </w:r>
      <w:r w:rsidR="00EE5F79" w:rsidRPr="00AF1DFA">
        <w:rPr>
          <w:rFonts w:ascii="Cambria" w:hAnsi="Cambria"/>
          <w:sz w:val="20"/>
          <w:szCs w:val="20"/>
          <w:lang w:val="es-ES_tradnl"/>
        </w:rPr>
        <w:t xml:space="preserve">el correspondiente informe de homologación, según lo </w:t>
      </w:r>
      <w:r w:rsidR="00EE5F79" w:rsidRPr="00AF1DFA">
        <w:rPr>
          <w:rFonts w:ascii="Cambria" w:hAnsi="Cambria"/>
          <w:sz w:val="20"/>
          <w:szCs w:val="20"/>
          <w:lang w:val="es-CL"/>
        </w:rPr>
        <w:t>establecido en el artículo 49 de la Convención Americana y en el artículo 40.5 del Reglamento de la Comisión</w:t>
      </w:r>
      <w:r w:rsidR="00487D35" w:rsidRPr="00AF1DFA">
        <w:rPr>
          <w:rFonts w:ascii="Cambria" w:hAnsi="Cambria"/>
          <w:sz w:val="20"/>
          <w:szCs w:val="20"/>
          <w:lang w:val="es-CL"/>
        </w:rPr>
        <w:t>. Dicha información fue trasladada al petic</w:t>
      </w:r>
      <w:r w:rsidR="00BF47E1" w:rsidRPr="00AF1DFA">
        <w:rPr>
          <w:rFonts w:ascii="Cambria" w:hAnsi="Cambria"/>
          <w:sz w:val="20"/>
          <w:szCs w:val="20"/>
          <w:lang w:val="es-CL"/>
        </w:rPr>
        <w:t>ionario, que confirmó</w:t>
      </w:r>
      <w:r w:rsidR="00A72BB3" w:rsidRPr="00AF1DFA">
        <w:rPr>
          <w:rFonts w:ascii="Cambria" w:hAnsi="Cambria"/>
          <w:sz w:val="20"/>
          <w:szCs w:val="20"/>
          <w:lang w:val="es-CL"/>
        </w:rPr>
        <w:t xml:space="preserve"> </w:t>
      </w:r>
      <w:r w:rsidR="00BF47E1" w:rsidRPr="00AF1DFA">
        <w:rPr>
          <w:rFonts w:ascii="Cambria" w:hAnsi="Cambria"/>
          <w:sz w:val="20"/>
          <w:szCs w:val="20"/>
          <w:lang w:val="es-CL"/>
        </w:rPr>
        <w:t>su voluntad de avanzar con la homologacion del acuerdo</w:t>
      </w:r>
      <w:r w:rsidR="00503A52" w:rsidRPr="00AF1DFA">
        <w:rPr>
          <w:rFonts w:ascii="Cambria" w:hAnsi="Cambria"/>
          <w:sz w:val="20"/>
          <w:szCs w:val="20"/>
          <w:lang w:val="es-CL"/>
        </w:rPr>
        <w:t xml:space="preserve"> el 1 de abril de 2019</w:t>
      </w:r>
      <w:r w:rsidR="00BF47E1" w:rsidRPr="00AF1DFA">
        <w:rPr>
          <w:rFonts w:ascii="Cambria" w:hAnsi="Cambria"/>
          <w:sz w:val="20"/>
          <w:szCs w:val="20"/>
          <w:lang w:val="es-CL"/>
        </w:rPr>
        <w:t xml:space="preserve">. </w:t>
      </w:r>
    </w:p>
    <w:p w:rsidR="001857EF" w:rsidRPr="00AF1DFA" w:rsidRDefault="001857EF" w:rsidP="000E0504">
      <w:pPr>
        <w:pStyle w:val="ListParagraph"/>
        <w:spacing w:after="0" w:line="240" w:lineRule="auto"/>
        <w:ind w:left="0" w:firstLine="720"/>
        <w:rPr>
          <w:rFonts w:ascii="Cambria" w:hAnsi="Cambria"/>
          <w:sz w:val="20"/>
          <w:szCs w:val="20"/>
          <w:lang w:val="es-CL"/>
        </w:rPr>
      </w:pPr>
    </w:p>
    <w:p w:rsidR="00BF47E1" w:rsidRPr="00AF1DFA" w:rsidRDefault="00BF47E1" w:rsidP="000E0504">
      <w:pPr>
        <w:pStyle w:val="ListParagraph"/>
        <w:numPr>
          <w:ilvl w:val="0"/>
          <w:numId w:val="8"/>
        </w:numPr>
        <w:spacing w:after="0" w:line="240" w:lineRule="auto"/>
        <w:ind w:left="0" w:firstLine="720"/>
        <w:jc w:val="both"/>
        <w:rPr>
          <w:rFonts w:ascii="Cambria" w:hAnsi="Cambria"/>
          <w:sz w:val="20"/>
          <w:szCs w:val="20"/>
          <w:lang w:val="es-CL"/>
        </w:rPr>
      </w:pPr>
      <w:r w:rsidRPr="00AF1DFA">
        <w:rPr>
          <w:rFonts w:ascii="Cambria" w:hAnsi="Cambria"/>
          <w:sz w:val="20"/>
          <w:szCs w:val="20"/>
          <w:lang w:val="es-CL"/>
        </w:rPr>
        <w:t xml:space="preserve">En el presente informe de solución amistosa, según lo establecido en el artículo 49 de la Convención y en el artículo 40.5 del Reglamento de la Comisión, se efectúa una reseña de los hechos alegados por </w:t>
      </w:r>
      <w:r w:rsidR="00EC3642" w:rsidRPr="00AF1DFA">
        <w:rPr>
          <w:rFonts w:ascii="Cambria" w:hAnsi="Cambria"/>
          <w:sz w:val="20"/>
          <w:szCs w:val="20"/>
          <w:lang w:val="es-CL"/>
        </w:rPr>
        <w:t>los peticionarios</w:t>
      </w:r>
      <w:r w:rsidRPr="00AF1DFA">
        <w:rPr>
          <w:rFonts w:ascii="Cambria" w:hAnsi="Cambria"/>
          <w:sz w:val="20"/>
          <w:szCs w:val="20"/>
          <w:lang w:val="es-CL"/>
        </w:rPr>
        <w:t xml:space="preserve"> y se transcribe el acuerdo de solución amistosa, suscrito el </w:t>
      </w:r>
      <w:r w:rsidR="00873713" w:rsidRPr="00AF1DFA">
        <w:rPr>
          <w:rFonts w:ascii="Cambria" w:hAnsi="Cambria"/>
          <w:sz w:val="20"/>
          <w:szCs w:val="20"/>
          <w:lang w:val="es-CL"/>
        </w:rPr>
        <w:t>8 de marzo de 2018</w:t>
      </w:r>
      <w:r w:rsidRPr="00AF1DFA">
        <w:rPr>
          <w:rFonts w:ascii="Cambria" w:hAnsi="Cambria"/>
          <w:sz w:val="20"/>
          <w:szCs w:val="20"/>
          <w:lang w:val="es-CL"/>
        </w:rPr>
        <w:t xml:space="preserve"> por </w:t>
      </w:r>
      <w:r w:rsidR="00EC3642" w:rsidRPr="00AF1DFA">
        <w:rPr>
          <w:rFonts w:ascii="Cambria" w:hAnsi="Cambria"/>
          <w:sz w:val="20"/>
          <w:szCs w:val="20"/>
          <w:lang w:val="es-CL"/>
        </w:rPr>
        <w:t>los peticionarios</w:t>
      </w:r>
      <w:r w:rsidRPr="00AF1DFA">
        <w:rPr>
          <w:rFonts w:ascii="Cambria" w:hAnsi="Cambria"/>
          <w:sz w:val="20"/>
          <w:szCs w:val="20"/>
          <w:lang w:val="es-CL"/>
        </w:rPr>
        <w:t xml:space="preserve"> y representantes del Estado </w:t>
      </w:r>
      <w:r w:rsidR="00873713" w:rsidRPr="00AF1DFA">
        <w:rPr>
          <w:rFonts w:ascii="Cambria" w:hAnsi="Cambria"/>
          <w:sz w:val="20"/>
          <w:szCs w:val="20"/>
          <w:lang w:val="es-CL"/>
        </w:rPr>
        <w:t>chileno</w:t>
      </w:r>
      <w:r w:rsidRPr="00AF1DFA">
        <w:rPr>
          <w:rFonts w:ascii="Cambria" w:hAnsi="Cambria"/>
          <w:sz w:val="20"/>
          <w:szCs w:val="20"/>
          <w:lang w:val="es-CL"/>
        </w:rPr>
        <w:t xml:space="preserve">. Asimismo, se aprueba el acuerdo suscrito entre las partes y se acuerda la publicación del presente informe en el Informe Anual de la CIDH a la Asamblea General de la Organización de los Estados Americanos. </w:t>
      </w:r>
    </w:p>
    <w:p w:rsidR="00506F18" w:rsidRPr="00AF1DFA" w:rsidRDefault="00506F18" w:rsidP="000E0504">
      <w:pPr>
        <w:pStyle w:val="ListParagraph"/>
        <w:spacing w:after="0" w:line="240" w:lineRule="auto"/>
        <w:rPr>
          <w:rFonts w:ascii="Cambria" w:hAnsi="Cambria"/>
          <w:sz w:val="20"/>
          <w:szCs w:val="20"/>
          <w:lang w:val="es-CL"/>
        </w:rPr>
      </w:pPr>
    </w:p>
    <w:p w:rsidR="00486857" w:rsidRDefault="00EE37C3" w:rsidP="000E0504">
      <w:pPr>
        <w:keepNext/>
        <w:spacing w:after="0" w:line="240" w:lineRule="auto"/>
        <w:outlineLvl w:val="0"/>
        <w:rPr>
          <w:rFonts w:ascii="Cambria" w:eastAsia="Times New Roman" w:hAnsi="Cambria" w:cs="Times New Roman"/>
          <w:b/>
          <w:bCs/>
          <w:kern w:val="36"/>
          <w:sz w:val="20"/>
          <w:szCs w:val="20"/>
          <w:lang w:val="es-BO" w:eastAsia="es-BO"/>
        </w:rPr>
      </w:pPr>
      <w:r w:rsidRPr="00AF1DFA">
        <w:rPr>
          <w:rFonts w:ascii="Cambria" w:eastAsia="Times New Roman" w:hAnsi="Cambria" w:cs="Times New Roman"/>
          <w:b/>
          <w:bCs/>
          <w:kern w:val="36"/>
          <w:sz w:val="20"/>
          <w:szCs w:val="20"/>
          <w:lang w:val="es-BO" w:eastAsia="es-BO"/>
        </w:rPr>
        <w:tab/>
      </w:r>
    </w:p>
    <w:p w:rsidR="00486857" w:rsidRDefault="00486857">
      <w:pPr>
        <w:rPr>
          <w:rFonts w:ascii="Cambria" w:eastAsia="Times New Roman" w:hAnsi="Cambria" w:cs="Times New Roman"/>
          <w:b/>
          <w:bCs/>
          <w:kern w:val="36"/>
          <w:sz w:val="20"/>
          <w:szCs w:val="20"/>
          <w:lang w:val="es-BO" w:eastAsia="es-BO"/>
        </w:rPr>
      </w:pPr>
      <w:r>
        <w:rPr>
          <w:rFonts w:ascii="Cambria" w:eastAsia="Times New Roman" w:hAnsi="Cambria" w:cs="Times New Roman"/>
          <w:b/>
          <w:bCs/>
          <w:kern w:val="36"/>
          <w:sz w:val="20"/>
          <w:szCs w:val="20"/>
          <w:lang w:val="es-BO" w:eastAsia="es-BO"/>
        </w:rPr>
        <w:br w:type="page"/>
      </w:r>
    </w:p>
    <w:p w:rsidR="0022782C" w:rsidRPr="00AF1DFA" w:rsidRDefault="00EE37C3" w:rsidP="00486857">
      <w:pPr>
        <w:keepNext/>
        <w:spacing w:after="0" w:line="240" w:lineRule="auto"/>
        <w:ind w:firstLine="720"/>
        <w:outlineLvl w:val="0"/>
        <w:rPr>
          <w:rFonts w:ascii="Cambria" w:eastAsia="Times New Roman" w:hAnsi="Cambria" w:cs="Times New Roman"/>
          <w:b/>
          <w:bCs/>
          <w:kern w:val="36"/>
          <w:sz w:val="20"/>
          <w:szCs w:val="20"/>
          <w:lang w:val="es-BO" w:eastAsia="es-BO"/>
        </w:rPr>
      </w:pPr>
      <w:r w:rsidRPr="00AF1DFA">
        <w:rPr>
          <w:rFonts w:ascii="Cambria" w:eastAsia="Times New Roman" w:hAnsi="Cambria" w:cs="Times New Roman"/>
          <w:b/>
          <w:bCs/>
          <w:kern w:val="36"/>
          <w:sz w:val="20"/>
          <w:szCs w:val="20"/>
          <w:lang w:val="es-BO" w:eastAsia="es-BO"/>
        </w:rPr>
        <w:lastRenderedPageBreak/>
        <w:t xml:space="preserve">II. </w:t>
      </w:r>
      <w:r w:rsidR="00314646" w:rsidRPr="00AF1DFA">
        <w:rPr>
          <w:rFonts w:ascii="Cambria" w:eastAsia="Times New Roman" w:hAnsi="Cambria" w:cs="Times New Roman"/>
          <w:b/>
          <w:bCs/>
          <w:kern w:val="36"/>
          <w:sz w:val="20"/>
          <w:szCs w:val="20"/>
          <w:lang w:val="es-BO" w:eastAsia="es-BO"/>
        </w:rPr>
        <w:tab/>
      </w:r>
      <w:r w:rsidRPr="00AF1DFA">
        <w:rPr>
          <w:rFonts w:ascii="Cambria" w:eastAsia="Times New Roman" w:hAnsi="Cambria" w:cs="Times New Roman"/>
          <w:b/>
          <w:bCs/>
          <w:kern w:val="36"/>
          <w:sz w:val="20"/>
          <w:szCs w:val="20"/>
          <w:lang w:val="es-BO" w:eastAsia="es-BO"/>
        </w:rPr>
        <w:t>LOS HECHOS ALEGADOS</w:t>
      </w:r>
    </w:p>
    <w:p w:rsidR="00B21D93" w:rsidRPr="00AF1DFA" w:rsidRDefault="0022782C" w:rsidP="000E0504">
      <w:pPr>
        <w:spacing w:after="0" w:line="240" w:lineRule="auto"/>
        <w:ind w:firstLine="720"/>
        <w:rPr>
          <w:rFonts w:ascii="Cambria" w:eastAsia="Times New Roman" w:hAnsi="Cambria" w:cs="Times New Roman"/>
          <w:sz w:val="20"/>
          <w:szCs w:val="20"/>
          <w:lang w:val="es-BO" w:eastAsia="es-BO"/>
        </w:rPr>
      </w:pPr>
      <w:r w:rsidRPr="00AF1DFA">
        <w:rPr>
          <w:rFonts w:ascii="Cambria" w:eastAsia="Times New Roman" w:hAnsi="Cambria" w:cs="Times New Roman"/>
          <w:sz w:val="20"/>
          <w:szCs w:val="20"/>
          <w:lang w:val="es-ES" w:eastAsia="es-BO"/>
        </w:rPr>
        <w:t> </w:t>
      </w:r>
    </w:p>
    <w:p w:rsidR="001857EF" w:rsidRPr="00AF1DFA" w:rsidRDefault="0022782C" w:rsidP="000E0504">
      <w:pPr>
        <w:pStyle w:val="ListParagraph"/>
        <w:numPr>
          <w:ilvl w:val="0"/>
          <w:numId w:val="8"/>
        </w:numPr>
        <w:spacing w:after="0" w:line="240" w:lineRule="auto"/>
        <w:ind w:left="0" w:firstLine="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Los peticionarios alega</w:t>
      </w:r>
      <w:r w:rsidR="00BF47E1" w:rsidRPr="00AF1DFA">
        <w:rPr>
          <w:rFonts w:ascii="Cambria" w:eastAsia="Times New Roman" w:hAnsi="Cambria" w:cs="Times New Roman"/>
          <w:sz w:val="20"/>
          <w:szCs w:val="20"/>
          <w:lang w:val="es-ES" w:eastAsia="es-BO"/>
        </w:rPr>
        <w:t>ron</w:t>
      </w:r>
      <w:r w:rsidRPr="00AF1DFA">
        <w:rPr>
          <w:rFonts w:ascii="Cambria" w:eastAsia="Times New Roman" w:hAnsi="Cambria" w:cs="Times New Roman"/>
          <w:sz w:val="20"/>
          <w:szCs w:val="20"/>
          <w:lang w:val="es-ES" w:eastAsia="es-BO"/>
        </w:rPr>
        <w:t xml:space="preserve"> que a raíz de una distribución de un beneficio de carácter económico adicional, que califican de desigual, el 27 de abril de 1998, fecha en que se celebra en Chile el día del carabinero, las esposas de varios carabineros afectados por esa distribución realizaron una protesta. Agrega</w:t>
      </w:r>
      <w:r w:rsidR="00BF47E1" w:rsidRPr="00AF1DFA">
        <w:rPr>
          <w:rFonts w:ascii="Cambria" w:eastAsia="Times New Roman" w:hAnsi="Cambria" w:cs="Times New Roman"/>
          <w:sz w:val="20"/>
          <w:szCs w:val="20"/>
          <w:lang w:val="es-ES" w:eastAsia="es-BO"/>
        </w:rPr>
        <w:t>ron</w:t>
      </w:r>
      <w:r w:rsidRPr="00AF1DFA">
        <w:rPr>
          <w:rFonts w:ascii="Cambria" w:eastAsia="Times New Roman" w:hAnsi="Cambria" w:cs="Times New Roman"/>
          <w:sz w:val="20"/>
          <w:szCs w:val="20"/>
          <w:lang w:val="es-ES" w:eastAsia="es-BO"/>
        </w:rPr>
        <w:t xml:space="preserve"> que ninguna de </w:t>
      </w:r>
      <w:proofErr w:type="gramStart"/>
      <w:r w:rsidRPr="00AF1DFA">
        <w:rPr>
          <w:rFonts w:ascii="Cambria" w:eastAsia="Times New Roman" w:hAnsi="Cambria" w:cs="Times New Roman"/>
          <w:sz w:val="20"/>
          <w:szCs w:val="20"/>
          <w:lang w:val="es-ES" w:eastAsia="es-BO"/>
        </w:rPr>
        <w:t>las</w:t>
      </w:r>
      <w:proofErr w:type="gramEnd"/>
      <w:r w:rsidRPr="00AF1DFA">
        <w:rPr>
          <w:rFonts w:ascii="Cambria" w:eastAsia="Times New Roman" w:hAnsi="Cambria" w:cs="Times New Roman"/>
          <w:sz w:val="20"/>
          <w:szCs w:val="20"/>
          <w:lang w:val="es-ES" w:eastAsia="es-BO"/>
        </w:rPr>
        <w:t xml:space="preserve"> cónyuges de las presuntas víctimas se encontraba en dicha manifestación.</w:t>
      </w:r>
      <w:r w:rsidR="00C45E85" w:rsidRPr="00AF1DFA">
        <w:rPr>
          <w:rFonts w:ascii="Cambria" w:eastAsia="Times New Roman" w:hAnsi="Cambria" w:cs="Times New Roman"/>
          <w:sz w:val="20"/>
          <w:szCs w:val="20"/>
          <w:lang w:val="es-BO" w:eastAsia="es-BO"/>
        </w:rPr>
        <w:t xml:space="preserve"> </w:t>
      </w:r>
      <w:r w:rsidR="00BF47E1" w:rsidRPr="00AF1DFA">
        <w:rPr>
          <w:rFonts w:ascii="Cambria" w:eastAsia="Times New Roman" w:hAnsi="Cambria" w:cs="Times New Roman"/>
          <w:sz w:val="20"/>
          <w:szCs w:val="20"/>
          <w:lang w:val="es-ES" w:eastAsia="es-BO"/>
        </w:rPr>
        <w:t xml:space="preserve">Asimismo, indicaron </w:t>
      </w:r>
      <w:r w:rsidRPr="00AF1DFA">
        <w:rPr>
          <w:rFonts w:ascii="Cambria" w:eastAsia="Times New Roman" w:hAnsi="Cambria" w:cs="Times New Roman"/>
          <w:sz w:val="20"/>
          <w:szCs w:val="20"/>
          <w:lang w:val="es-ES" w:eastAsia="es-BO"/>
        </w:rPr>
        <w:t xml:space="preserve">que luego de realizada la protesta, el General Director de Carabineros en distintas declaraciones manifestó que se les aplicaría la figura de sedición impropia a los cónyuges de las mujeres implicadas en la protesta. Los peticionarios </w:t>
      </w:r>
      <w:r w:rsidR="00BF47E1" w:rsidRPr="00AF1DFA">
        <w:rPr>
          <w:rFonts w:ascii="Cambria" w:eastAsia="Times New Roman" w:hAnsi="Cambria" w:cs="Times New Roman"/>
          <w:sz w:val="20"/>
          <w:szCs w:val="20"/>
          <w:lang w:val="es-ES" w:eastAsia="es-BO"/>
        </w:rPr>
        <w:t>sostuvieron</w:t>
      </w:r>
      <w:r w:rsidRPr="00AF1DFA">
        <w:rPr>
          <w:rFonts w:ascii="Cambria" w:eastAsia="Times New Roman" w:hAnsi="Cambria" w:cs="Times New Roman"/>
          <w:sz w:val="20"/>
          <w:szCs w:val="20"/>
          <w:lang w:val="es-ES" w:eastAsia="es-BO"/>
        </w:rPr>
        <w:t xml:space="preserve"> que lo que se intentaba era dar de baja a estos funcionarios por presuntos delitos cometidos por sus cónyuges. </w:t>
      </w:r>
      <w:r w:rsidR="00BF47E1" w:rsidRPr="00AF1DFA">
        <w:rPr>
          <w:rFonts w:ascii="Cambria" w:eastAsia="Times New Roman" w:hAnsi="Cambria" w:cs="Times New Roman"/>
          <w:sz w:val="20"/>
          <w:szCs w:val="20"/>
          <w:lang w:val="es-ES" w:eastAsia="es-BO"/>
        </w:rPr>
        <w:t>Los peticionarios alegaron</w:t>
      </w:r>
      <w:r w:rsidRPr="00AF1DFA">
        <w:rPr>
          <w:rFonts w:ascii="Cambria" w:eastAsia="Times New Roman" w:hAnsi="Cambria" w:cs="Times New Roman"/>
          <w:sz w:val="20"/>
          <w:szCs w:val="20"/>
          <w:lang w:val="es-ES" w:eastAsia="es-BO"/>
        </w:rPr>
        <w:t xml:space="preserve"> que los peticionarios fueron calificados en Lista 4 de eliminación,</w:t>
      </w:r>
      <w:bookmarkStart w:id="4" w:name="_ftnref3"/>
      <w:bookmarkEnd w:id="4"/>
      <w:r w:rsidRPr="00AF1DFA">
        <w:rPr>
          <w:rFonts w:ascii="Cambria" w:eastAsia="Times New Roman" w:hAnsi="Cambria" w:cs="Times New Roman"/>
          <w:sz w:val="20"/>
          <w:szCs w:val="20"/>
          <w:lang w:val="es-ES" w:eastAsia="es-BO"/>
        </w:rPr>
        <w:t xml:space="preserve"> y posteriormente despedidos, </w:t>
      </w:r>
      <w:r w:rsidR="00536ADB" w:rsidRPr="00AF1DFA">
        <w:rPr>
          <w:rFonts w:ascii="Cambria" w:eastAsia="Times New Roman" w:hAnsi="Cambria" w:cs="Times New Roman"/>
          <w:sz w:val="20"/>
          <w:szCs w:val="20"/>
          <w:lang w:val="es-ES" w:eastAsia="es-BO"/>
        </w:rPr>
        <w:t>aun</w:t>
      </w:r>
      <w:r w:rsidRPr="00AF1DFA">
        <w:rPr>
          <w:rFonts w:ascii="Cambria" w:eastAsia="Times New Roman" w:hAnsi="Cambria" w:cs="Times New Roman"/>
          <w:sz w:val="20"/>
          <w:szCs w:val="20"/>
          <w:lang w:val="es-ES" w:eastAsia="es-BO"/>
        </w:rPr>
        <w:t xml:space="preserve"> cuando habían sido calificados en la Lista 1 de mérito hacía poco tiempo. </w:t>
      </w:r>
    </w:p>
    <w:p w:rsidR="001857EF" w:rsidRPr="00AF1DFA" w:rsidRDefault="001857EF" w:rsidP="000E0504">
      <w:pPr>
        <w:pStyle w:val="ListParagraph"/>
        <w:spacing w:after="0" w:line="240" w:lineRule="auto"/>
        <w:jc w:val="both"/>
        <w:rPr>
          <w:rFonts w:ascii="Cambria" w:eastAsia="Times New Roman" w:hAnsi="Cambria" w:cs="Times New Roman"/>
          <w:sz w:val="20"/>
          <w:szCs w:val="20"/>
          <w:lang w:val="es-ES" w:eastAsia="es-BO"/>
        </w:rPr>
      </w:pPr>
    </w:p>
    <w:p w:rsidR="001857EF" w:rsidRPr="00AF1DFA" w:rsidRDefault="0022782C" w:rsidP="000E0504">
      <w:pPr>
        <w:pStyle w:val="ListParagraph"/>
        <w:numPr>
          <w:ilvl w:val="0"/>
          <w:numId w:val="8"/>
        </w:numPr>
        <w:spacing w:after="0" w:line="240" w:lineRule="auto"/>
        <w:ind w:left="0" w:firstLine="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Al referirse a la admisibilidad, los peticionarios sostuvieron que agotaron los recursos disponibles en el s</w:t>
      </w:r>
      <w:r w:rsidR="00BF47E1" w:rsidRPr="00AF1DFA">
        <w:rPr>
          <w:rFonts w:ascii="Cambria" w:eastAsia="Times New Roman" w:hAnsi="Cambria" w:cs="Times New Roman"/>
          <w:sz w:val="20"/>
          <w:szCs w:val="20"/>
          <w:lang w:val="es-ES" w:eastAsia="es-BO"/>
        </w:rPr>
        <w:t>istema judicial chileno. Indicaron</w:t>
      </w:r>
      <w:r w:rsidRPr="00AF1DFA">
        <w:rPr>
          <w:rFonts w:ascii="Cambria" w:eastAsia="Times New Roman" w:hAnsi="Cambria" w:cs="Times New Roman"/>
          <w:sz w:val="20"/>
          <w:szCs w:val="20"/>
          <w:lang w:val="es-ES" w:eastAsia="es-BO"/>
        </w:rPr>
        <w:t xml:space="preserve"> que el 18 de julio de 1998 interpusieron recursos de protección ante la Corte de Apelaciones de Santiago, en</w:t>
      </w:r>
      <w:r w:rsidR="00BF47E1" w:rsidRPr="00AF1DFA">
        <w:rPr>
          <w:rFonts w:ascii="Cambria" w:eastAsia="Times New Roman" w:hAnsi="Cambria" w:cs="Times New Roman"/>
          <w:sz w:val="20"/>
          <w:szCs w:val="20"/>
          <w:lang w:val="es-ES" w:eastAsia="es-BO"/>
        </w:rPr>
        <w:t xml:space="preserve"> contra de los despidos. Indicaron</w:t>
      </w:r>
      <w:r w:rsidRPr="00AF1DFA">
        <w:rPr>
          <w:rFonts w:ascii="Cambria" w:eastAsia="Times New Roman" w:hAnsi="Cambria" w:cs="Times New Roman"/>
          <w:sz w:val="20"/>
          <w:szCs w:val="20"/>
          <w:lang w:val="es-ES" w:eastAsia="es-BO"/>
        </w:rPr>
        <w:t xml:space="preserve"> que el 28 de enero de 1999 la Corte de Apelaciones rechazó el recurso sosteniendo que no le correspondía entrar a examinar los fundamentos que tuvieron en cuenta las Juntas Calificadoras para determinar la calificación que tuvo como consecuencia la baja de los Carabineros y añadió que de hacerlo se constituiría en otra instancia. </w:t>
      </w:r>
      <w:r w:rsidR="00BF47E1" w:rsidRPr="00AF1DFA">
        <w:rPr>
          <w:rFonts w:ascii="Cambria" w:eastAsia="Times New Roman" w:hAnsi="Cambria" w:cs="Times New Roman"/>
          <w:sz w:val="20"/>
          <w:szCs w:val="20"/>
          <w:lang w:val="es-ES" w:eastAsia="es-BO"/>
        </w:rPr>
        <w:t>Los peticionarios alegaron</w:t>
      </w:r>
      <w:r w:rsidRPr="00AF1DFA">
        <w:rPr>
          <w:rFonts w:ascii="Cambria" w:eastAsia="Times New Roman" w:hAnsi="Cambria" w:cs="Times New Roman"/>
          <w:sz w:val="20"/>
          <w:szCs w:val="20"/>
          <w:lang w:val="es-ES" w:eastAsia="es-BO"/>
        </w:rPr>
        <w:t xml:space="preserve"> que esta resolución fue confirmada por la Corte Suprema de Chile el 28 de abril de 1999, quien acogió el fallo de la Corte de Apelaciones, expresando  que “consta de los antecedentes que el proceso calificatorio de los recurrentes se desarrolló en cuanto a su forma con plena observancia de las normas de procedimientos y plazos establecidos en el reglamento”.</w:t>
      </w:r>
      <w:bookmarkStart w:id="5" w:name="_ftnref4"/>
      <w:bookmarkEnd w:id="5"/>
    </w:p>
    <w:p w:rsidR="001857EF" w:rsidRPr="00AF1DFA" w:rsidRDefault="001857EF" w:rsidP="000E0504">
      <w:pPr>
        <w:spacing w:after="0" w:line="240" w:lineRule="auto"/>
        <w:jc w:val="both"/>
        <w:rPr>
          <w:rFonts w:ascii="Cambria" w:eastAsia="Times New Roman" w:hAnsi="Cambria" w:cs="Times New Roman"/>
          <w:sz w:val="20"/>
          <w:szCs w:val="20"/>
          <w:lang w:val="es-ES" w:eastAsia="es-BO"/>
        </w:rPr>
      </w:pPr>
    </w:p>
    <w:p w:rsidR="001857EF" w:rsidRPr="00AF1DFA" w:rsidRDefault="0022782C" w:rsidP="000E0504">
      <w:pPr>
        <w:pStyle w:val="ListParagraph"/>
        <w:numPr>
          <w:ilvl w:val="0"/>
          <w:numId w:val="8"/>
        </w:numPr>
        <w:spacing w:after="0" w:line="240" w:lineRule="auto"/>
        <w:ind w:left="0" w:firstLine="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w:t>
      </w:r>
      <w:r w:rsidR="00BF47E1" w:rsidRPr="00AF1DFA">
        <w:rPr>
          <w:rFonts w:ascii="Cambria" w:eastAsia="Times New Roman" w:hAnsi="Cambria" w:cs="Times New Roman"/>
          <w:sz w:val="20"/>
          <w:szCs w:val="20"/>
          <w:lang w:val="es-ES" w:eastAsia="es-BO"/>
        </w:rPr>
        <w:t>Los peticionarios alegaron</w:t>
      </w:r>
      <w:r w:rsidRPr="00AF1DFA">
        <w:rPr>
          <w:rFonts w:ascii="Cambria" w:eastAsia="Times New Roman" w:hAnsi="Cambria" w:cs="Times New Roman"/>
          <w:sz w:val="20"/>
          <w:szCs w:val="20"/>
          <w:lang w:val="es-ES" w:eastAsia="es-BO"/>
        </w:rPr>
        <w:t xml:space="preserve"> que las presuntas víctimas no tuvieron acceso a las piezas del proceso, tampoco tuvieron ninguna actuación en él y como consecuencia de la imposibilidad de producir e impugnar pruebas no pudieron hacer uso en la forma debid</w:t>
      </w:r>
      <w:r w:rsidR="00BF47E1" w:rsidRPr="00AF1DFA">
        <w:rPr>
          <w:rFonts w:ascii="Cambria" w:eastAsia="Times New Roman" w:hAnsi="Cambria" w:cs="Times New Roman"/>
          <w:sz w:val="20"/>
          <w:szCs w:val="20"/>
          <w:lang w:val="es-ES" w:eastAsia="es-BO"/>
        </w:rPr>
        <w:t>a del derecho a defensa. Agregaron</w:t>
      </w:r>
      <w:r w:rsidRPr="00AF1DFA">
        <w:rPr>
          <w:rFonts w:ascii="Cambria" w:eastAsia="Times New Roman" w:hAnsi="Cambria" w:cs="Times New Roman"/>
          <w:sz w:val="20"/>
          <w:szCs w:val="20"/>
          <w:lang w:val="es-ES" w:eastAsia="es-BO"/>
        </w:rPr>
        <w:t xml:space="preserve"> que no hubo una acuciosa investigación  ya que de lo contrario se </w:t>
      </w:r>
      <w:r w:rsidR="00BF47E1" w:rsidRPr="00AF1DFA">
        <w:rPr>
          <w:rFonts w:ascii="Cambria" w:eastAsia="Times New Roman" w:hAnsi="Cambria" w:cs="Times New Roman"/>
          <w:sz w:val="20"/>
          <w:szCs w:val="20"/>
          <w:lang w:val="es-ES" w:eastAsia="es-BO"/>
        </w:rPr>
        <w:t>habría</w:t>
      </w:r>
      <w:r w:rsidRPr="00AF1DFA">
        <w:rPr>
          <w:rFonts w:ascii="Cambria" w:eastAsia="Times New Roman" w:hAnsi="Cambria" w:cs="Times New Roman"/>
          <w:sz w:val="20"/>
          <w:szCs w:val="20"/>
          <w:lang w:val="es-ES" w:eastAsia="es-BO"/>
        </w:rPr>
        <w:t xml:space="preserve"> acreditado, por ejemplo, que Rosa Paez Valdés, cónyuge del cabo segundo José Alejandro Villagrán Guzmán, se encontraba en el Hospital de Carabineros en atención médica, el día y hora en que se efectuó la</w:t>
      </w:r>
      <w:r w:rsidR="00BF47E1" w:rsidRPr="00AF1DFA">
        <w:rPr>
          <w:rFonts w:ascii="Cambria" w:eastAsia="Times New Roman" w:hAnsi="Cambria" w:cs="Times New Roman"/>
          <w:sz w:val="20"/>
          <w:szCs w:val="20"/>
          <w:lang w:val="es-ES" w:eastAsia="es-BO"/>
        </w:rPr>
        <w:t xml:space="preserve"> manifestación. Además, indicaron que se habría</w:t>
      </w:r>
      <w:r w:rsidRPr="00AF1DFA">
        <w:rPr>
          <w:rFonts w:ascii="Cambria" w:eastAsia="Times New Roman" w:hAnsi="Cambria" w:cs="Times New Roman"/>
          <w:sz w:val="20"/>
          <w:szCs w:val="20"/>
          <w:lang w:val="es-ES" w:eastAsia="es-BO"/>
        </w:rPr>
        <w:t xml:space="preserve"> constatado que al funcionario Víctor Alejandro Lago Maldonado le fue falsificada la firma del documento en el que presuntamente se le notif</w:t>
      </w:r>
      <w:r w:rsidR="00BF47E1" w:rsidRPr="00AF1DFA">
        <w:rPr>
          <w:rFonts w:ascii="Cambria" w:eastAsia="Times New Roman" w:hAnsi="Cambria" w:cs="Times New Roman"/>
          <w:sz w:val="20"/>
          <w:szCs w:val="20"/>
          <w:lang w:val="es-ES" w:eastAsia="es-BO"/>
        </w:rPr>
        <w:t xml:space="preserve">icaba la calificación. Aseguraron </w:t>
      </w:r>
      <w:r w:rsidRPr="00AF1DFA">
        <w:rPr>
          <w:rFonts w:ascii="Cambria" w:eastAsia="Times New Roman" w:hAnsi="Cambria" w:cs="Times New Roman"/>
          <w:sz w:val="20"/>
          <w:szCs w:val="20"/>
          <w:lang w:val="es-ES" w:eastAsia="es-BO"/>
        </w:rPr>
        <w:t xml:space="preserve">que dicho funcionario se encontraba en esos momentos con licencia médica de Carabineros por una mano enyesada.     </w:t>
      </w:r>
    </w:p>
    <w:p w:rsidR="001857EF" w:rsidRPr="00AF1DFA" w:rsidRDefault="001857EF" w:rsidP="000E0504">
      <w:pPr>
        <w:spacing w:after="0" w:line="240" w:lineRule="auto"/>
        <w:jc w:val="both"/>
        <w:rPr>
          <w:rFonts w:ascii="Cambria" w:eastAsia="Times New Roman" w:hAnsi="Cambria" w:cs="Times New Roman"/>
          <w:sz w:val="20"/>
          <w:szCs w:val="20"/>
          <w:lang w:val="es-ES" w:eastAsia="es-BO"/>
        </w:rPr>
      </w:pPr>
    </w:p>
    <w:p w:rsidR="001857EF" w:rsidRPr="00AF1DFA" w:rsidRDefault="00BF47E1" w:rsidP="000E0504">
      <w:pPr>
        <w:pStyle w:val="ListParagraph"/>
        <w:numPr>
          <w:ilvl w:val="0"/>
          <w:numId w:val="8"/>
        </w:numPr>
        <w:spacing w:after="0" w:line="240" w:lineRule="auto"/>
        <w:ind w:left="0" w:firstLine="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Los peticionarios consideraron que “</w:t>
      </w:r>
      <w:r w:rsidR="0022782C" w:rsidRPr="00AF1DFA">
        <w:rPr>
          <w:rFonts w:ascii="Cambria" w:eastAsia="Times New Roman" w:hAnsi="Cambria" w:cs="Times New Roman"/>
          <w:sz w:val="20"/>
          <w:szCs w:val="20"/>
          <w:lang w:val="es-ES" w:eastAsia="es-BO"/>
        </w:rPr>
        <w:t xml:space="preserve">las responsabilidades civiles son personalísimas” y por lo tanto no correspondía que los carabineros fueran sancionados por actos de otras personas, en este caso sus esposas. </w:t>
      </w:r>
      <w:r w:rsidRPr="00AF1DFA">
        <w:rPr>
          <w:rFonts w:ascii="Cambria" w:eastAsia="Times New Roman" w:hAnsi="Cambria" w:cs="Times New Roman"/>
          <w:sz w:val="20"/>
          <w:szCs w:val="20"/>
          <w:lang w:val="es-ES" w:eastAsia="es-BO"/>
        </w:rPr>
        <w:t>Según los peticionarios, en todo caso, el asunto</w:t>
      </w:r>
      <w:r w:rsidR="0022782C" w:rsidRPr="00AF1DFA">
        <w:rPr>
          <w:rFonts w:ascii="Cambria" w:eastAsia="Times New Roman" w:hAnsi="Cambria" w:cs="Times New Roman"/>
          <w:sz w:val="20"/>
          <w:szCs w:val="20"/>
          <w:lang w:val="es-ES" w:eastAsia="es-BO"/>
        </w:rPr>
        <w:t xml:space="preserve"> debió ser decidido “por los Tribunales Jurisdiccionales que corresponda, vale decir, los Tribunales Ordinarios de Justicia, y no por organismos o procedimientos de Carabineros u otra institución”.</w:t>
      </w:r>
      <w:bookmarkStart w:id="6" w:name="_ftnref5"/>
      <w:bookmarkEnd w:id="6"/>
    </w:p>
    <w:p w:rsidR="001857EF" w:rsidRPr="00AF1DFA" w:rsidRDefault="001857EF" w:rsidP="000E0504">
      <w:pPr>
        <w:spacing w:after="0" w:line="240" w:lineRule="auto"/>
        <w:jc w:val="both"/>
        <w:rPr>
          <w:rFonts w:ascii="Cambria" w:eastAsia="Times New Roman" w:hAnsi="Cambria" w:cs="Times New Roman"/>
          <w:sz w:val="20"/>
          <w:szCs w:val="20"/>
          <w:lang w:val="es-ES" w:eastAsia="es-BO"/>
        </w:rPr>
      </w:pPr>
    </w:p>
    <w:p w:rsidR="0022782C" w:rsidRPr="00AF1DFA" w:rsidRDefault="0022782C" w:rsidP="000E0504">
      <w:pPr>
        <w:pStyle w:val="ListParagraph"/>
        <w:numPr>
          <w:ilvl w:val="0"/>
          <w:numId w:val="8"/>
        </w:numPr>
        <w:spacing w:after="0" w:line="240" w:lineRule="auto"/>
        <w:ind w:left="0" w:firstLine="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Fina</w:t>
      </w:r>
      <w:r w:rsidR="00BF47E1" w:rsidRPr="00AF1DFA">
        <w:rPr>
          <w:rFonts w:ascii="Cambria" w:eastAsia="Times New Roman" w:hAnsi="Cambria" w:cs="Times New Roman"/>
          <w:sz w:val="20"/>
          <w:szCs w:val="20"/>
          <w:lang w:val="es-ES" w:eastAsia="es-BO"/>
        </w:rPr>
        <w:t>lmente los peticionarios señalaron</w:t>
      </w:r>
      <w:r w:rsidRPr="00AF1DFA">
        <w:rPr>
          <w:rFonts w:ascii="Cambria" w:eastAsia="Times New Roman" w:hAnsi="Cambria" w:cs="Times New Roman"/>
          <w:sz w:val="20"/>
          <w:szCs w:val="20"/>
          <w:lang w:val="es-ES" w:eastAsia="es-BO"/>
        </w:rPr>
        <w:t xml:space="preserve"> que el proceso calificatorio se realizó “con un afán de persecución, silenciamiento y represión de legítimas demandas y aspiraciones interpuestas por terceros ajenos a los recurrentes, por lo que dicho proceso calificatorio ha resultado irracional, injusto, desproporcionado, no equitativo, no se ha actuado de buena fe y ha existido desviación de poder”.</w:t>
      </w:r>
      <w:bookmarkStart w:id="7" w:name="_ftnref6"/>
      <w:bookmarkEnd w:id="7"/>
      <w:r w:rsidRPr="00AF1DFA">
        <w:rPr>
          <w:rFonts w:ascii="Cambria" w:eastAsia="Times New Roman" w:hAnsi="Cambria" w:cs="Times New Roman"/>
          <w:sz w:val="20"/>
          <w:szCs w:val="20"/>
          <w:lang w:val="es-ES" w:eastAsia="es-BO"/>
        </w:rPr>
        <w:t>  Indica</w:t>
      </w:r>
      <w:r w:rsidR="00BF47E1" w:rsidRPr="00AF1DFA">
        <w:rPr>
          <w:rFonts w:ascii="Cambria" w:eastAsia="Times New Roman" w:hAnsi="Cambria" w:cs="Times New Roman"/>
          <w:sz w:val="20"/>
          <w:szCs w:val="20"/>
          <w:lang w:val="es-ES" w:eastAsia="es-BO"/>
        </w:rPr>
        <w:t>ron</w:t>
      </w:r>
      <w:r w:rsidRPr="00AF1DFA">
        <w:rPr>
          <w:rFonts w:ascii="Cambria" w:eastAsia="Times New Roman" w:hAnsi="Cambria" w:cs="Times New Roman"/>
          <w:sz w:val="20"/>
          <w:szCs w:val="20"/>
          <w:lang w:val="es-ES" w:eastAsia="es-BO"/>
        </w:rPr>
        <w:t xml:space="preserve"> que a pesar de constar en autos que los funcionarios de Carabineros no tuvieron participación alguna en las actividades relacionadas a la manifestación del 27 de abril de 1998, se actuó de forma ilegal y arbitraria con ellos debido a que su calificación en la Lista de Exclusión fue realizada sin fundamento, sin debido proceso y sin constar el motivo de la baja de calificación por escrito.</w:t>
      </w:r>
    </w:p>
    <w:p w:rsidR="00506F18" w:rsidRPr="00AF1DFA" w:rsidRDefault="0022782C" w:rsidP="000E0504">
      <w:pPr>
        <w:spacing w:after="0" w:line="240" w:lineRule="auto"/>
        <w:ind w:firstLine="720"/>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w:t>
      </w:r>
    </w:p>
    <w:p w:rsidR="00314646" w:rsidRPr="00AF1DFA" w:rsidRDefault="00EE37C3" w:rsidP="000E0504">
      <w:pPr>
        <w:spacing w:after="0" w:line="240" w:lineRule="auto"/>
        <w:ind w:firstLine="720"/>
        <w:rPr>
          <w:rFonts w:ascii="Cambria" w:hAnsi="Cambria"/>
          <w:b/>
          <w:sz w:val="20"/>
          <w:szCs w:val="20"/>
          <w:lang w:val="es-BO"/>
        </w:rPr>
      </w:pPr>
      <w:r w:rsidRPr="00AF1DFA">
        <w:rPr>
          <w:rFonts w:ascii="Cambria" w:hAnsi="Cambria"/>
          <w:b/>
          <w:sz w:val="20"/>
          <w:szCs w:val="20"/>
          <w:lang w:val="es-BO"/>
        </w:rPr>
        <w:t xml:space="preserve">III. </w:t>
      </w:r>
      <w:r w:rsidR="009F1CDA" w:rsidRPr="00AF1DFA">
        <w:rPr>
          <w:rFonts w:ascii="Cambria" w:hAnsi="Cambria"/>
          <w:b/>
          <w:sz w:val="20"/>
          <w:szCs w:val="20"/>
          <w:lang w:val="es-BO"/>
        </w:rPr>
        <w:tab/>
      </w:r>
      <w:r w:rsidR="0022782C" w:rsidRPr="00AF1DFA">
        <w:rPr>
          <w:rFonts w:ascii="Cambria" w:hAnsi="Cambria"/>
          <w:b/>
          <w:sz w:val="20"/>
          <w:szCs w:val="20"/>
          <w:lang w:val="es-BO"/>
        </w:rPr>
        <w:t>SOLUCIÓN AMISTOSA</w:t>
      </w:r>
    </w:p>
    <w:p w:rsidR="00506F18" w:rsidRPr="00AF1DFA" w:rsidRDefault="00506F18" w:rsidP="000E0504">
      <w:pPr>
        <w:spacing w:after="0" w:line="240" w:lineRule="auto"/>
        <w:rPr>
          <w:rFonts w:ascii="Cambria" w:hAnsi="Cambria"/>
          <w:b/>
          <w:sz w:val="20"/>
          <w:szCs w:val="20"/>
          <w:lang w:val="es-BO"/>
        </w:rPr>
      </w:pPr>
    </w:p>
    <w:p w:rsidR="00B12AC1" w:rsidRPr="00AF1DFA" w:rsidRDefault="000F1674" w:rsidP="000E0504">
      <w:pPr>
        <w:pStyle w:val="ListParagraph"/>
        <w:numPr>
          <w:ilvl w:val="0"/>
          <w:numId w:val="8"/>
        </w:numPr>
        <w:spacing w:after="0" w:line="240" w:lineRule="auto"/>
        <w:ind w:left="0" w:firstLine="720"/>
        <w:jc w:val="both"/>
        <w:rPr>
          <w:rFonts w:ascii="Cambria" w:hAnsi="Cambria" w:cs="Calibri"/>
          <w:sz w:val="20"/>
          <w:szCs w:val="20"/>
          <w:lang w:val="es-ES_tradnl"/>
        </w:rPr>
      </w:pPr>
      <w:r w:rsidRPr="00AF1DFA">
        <w:rPr>
          <w:rFonts w:ascii="Cambria" w:hAnsi="Cambria" w:cs="Calibri"/>
          <w:sz w:val="20"/>
          <w:szCs w:val="20"/>
          <w:lang w:val="es-ES_tradnl"/>
        </w:rPr>
        <w:t>El 8 de marzo de 2018</w:t>
      </w:r>
      <w:r w:rsidR="0022782C" w:rsidRPr="00AF1DFA">
        <w:rPr>
          <w:rFonts w:ascii="Cambria" w:hAnsi="Cambria" w:cs="Calibri"/>
          <w:sz w:val="20"/>
          <w:szCs w:val="20"/>
          <w:lang w:val="es-ES_tradnl"/>
        </w:rPr>
        <w:t xml:space="preserve">, </w:t>
      </w:r>
      <w:r w:rsidRPr="00AF1DFA">
        <w:rPr>
          <w:rFonts w:ascii="Cambria" w:hAnsi="Cambria" w:cs="Calibri"/>
          <w:sz w:val="20"/>
          <w:szCs w:val="20"/>
          <w:lang w:val="es-ES_tradnl"/>
        </w:rPr>
        <w:t>en Santiago de Chile</w:t>
      </w:r>
      <w:r w:rsidR="0022782C" w:rsidRPr="00AF1DFA">
        <w:rPr>
          <w:rFonts w:ascii="Cambria" w:hAnsi="Cambria" w:cs="Calibri"/>
          <w:sz w:val="20"/>
          <w:szCs w:val="20"/>
          <w:lang w:val="es-ES_tradnl"/>
        </w:rPr>
        <w:t xml:space="preserve">, el Estado, representado por </w:t>
      </w:r>
      <w:r w:rsidRPr="00AF1DFA">
        <w:rPr>
          <w:rFonts w:ascii="Cambria" w:hAnsi="Cambria" w:cs="Calibri"/>
          <w:sz w:val="20"/>
          <w:szCs w:val="20"/>
          <w:lang w:val="es-ES_tradnl"/>
        </w:rPr>
        <w:t xml:space="preserve">Heraldo Muñoz Valenzuela </w:t>
      </w:r>
      <w:r w:rsidR="0022782C" w:rsidRPr="00AF1DFA">
        <w:rPr>
          <w:rFonts w:ascii="Cambria" w:hAnsi="Cambria" w:cs="Calibri"/>
          <w:sz w:val="20"/>
          <w:szCs w:val="20"/>
          <w:lang w:val="es-ES_tradnl"/>
        </w:rPr>
        <w:t>y los peticionarios representados por</w:t>
      </w:r>
      <w:r w:rsidRPr="00AF1DFA">
        <w:rPr>
          <w:rFonts w:ascii="Cambria" w:hAnsi="Cambria" w:cs="Calibri"/>
          <w:sz w:val="20"/>
          <w:szCs w:val="20"/>
          <w:lang w:val="es-ES_tradnl"/>
        </w:rPr>
        <w:t xml:space="preserve"> el abogado Fabián Pacheco </w:t>
      </w:r>
      <w:proofErr w:type="spellStart"/>
      <w:r w:rsidRPr="00AF1DFA">
        <w:rPr>
          <w:rFonts w:ascii="Cambria" w:hAnsi="Cambria" w:cs="Calibri"/>
          <w:sz w:val="20"/>
          <w:szCs w:val="20"/>
          <w:lang w:val="es-ES_tradnl"/>
        </w:rPr>
        <w:t>Ilabaca</w:t>
      </w:r>
      <w:proofErr w:type="spellEnd"/>
      <w:r w:rsidR="0022782C" w:rsidRPr="00AF1DFA">
        <w:rPr>
          <w:rFonts w:ascii="Cambria" w:hAnsi="Cambria" w:cs="Calibri"/>
          <w:sz w:val="20"/>
          <w:szCs w:val="20"/>
          <w:lang w:val="es-ES_tradnl"/>
        </w:rPr>
        <w:t xml:space="preserve">, suscribieron un Acuerdo de Solución Amistosa en cuyo texto se establece lo siguiente: </w:t>
      </w:r>
    </w:p>
    <w:p w:rsidR="00506F18" w:rsidRPr="00AF1DFA" w:rsidRDefault="00506F18" w:rsidP="000E0504">
      <w:pPr>
        <w:pStyle w:val="ListParagraph"/>
        <w:spacing w:after="0" w:line="240" w:lineRule="auto"/>
        <w:jc w:val="both"/>
        <w:rPr>
          <w:rFonts w:ascii="Cambria" w:hAnsi="Cambria" w:cs="Calibri"/>
          <w:sz w:val="20"/>
          <w:szCs w:val="20"/>
          <w:lang w:val="es-ES_tradnl"/>
        </w:rPr>
      </w:pPr>
    </w:p>
    <w:p w:rsidR="0009382B" w:rsidRDefault="0009382B" w:rsidP="000E0504">
      <w:pPr>
        <w:tabs>
          <w:tab w:val="left" w:pos="540"/>
          <w:tab w:val="left" w:pos="810"/>
        </w:tabs>
        <w:spacing w:after="0" w:line="240" w:lineRule="auto"/>
        <w:ind w:left="720" w:right="720"/>
        <w:jc w:val="center"/>
        <w:rPr>
          <w:rFonts w:ascii="Cambria" w:hAnsi="Cambria"/>
          <w:b/>
          <w:sz w:val="20"/>
          <w:szCs w:val="20"/>
          <w:lang w:val="es-ES_tradnl"/>
        </w:rPr>
      </w:pPr>
    </w:p>
    <w:p w:rsidR="00004E90" w:rsidRPr="00AF1DFA" w:rsidRDefault="00506F18" w:rsidP="000E0504">
      <w:pPr>
        <w:tabs>
          <w:tab w:val="left" w:pos="540"/>
          <w:tab w:val="left" w:pos="810"/>
        </w:tabs>
        <w:spacing w:after="0" w:line="240" w:lineRule="auto"/>
        <w:ind w:left="720" w:right="720"/>
        <w:jc w:val="center"/>
        <w:rPr>
          <w:rFonts w:ascii="Cambria" w:hAnsi="Cambria"/>
          <w:b/>
          <w:sz w:val="20"/>
          <w:szCs w:val="20"/>
          <w:lang w:val="es-ES_tradnl"/>
        </w:rPr>
      </w:pPr>
      <w:r w:rsidRPr="00AF1DFA">
        <w:rPr>
          <w:rFonts w:ascii="Cambria" w:hAnsi="Cambria"/>
          <w:b/>
          <w:sz w:val="20"/>
          <w:szCs w:val="20"/>
          <w:lang w:val="es-ES_tradnl"/>
        </w:rPr>
        <w:t>ACUERDO DE SOLUCIÓN AMISTOSA</w:t>
      </w:r>
    </w:p>
    <w:p w:rsidR="00004E90" w:rsidRPr="00AF1DFA" w:rsidRDefault="00506F18" w:rsidP="000E0504">
      <w:pPr>
        <w:tabs>
          <w:tab w:val="left" w:pos="540"/>
          <w:tab w:val="left" w:pos="810"/>
        </w:tabs>
        <w:spacing w:after="0" w:line="240" w:lineRule="auto"/>
        <w:ind w:left="720" w:right="720"/>
        <w:jc w:val="center"/>
        <w:rPr>
          <w:rFonts w:ascii="Cambria" w:hAnsi="Cambria"/>
          <w:b/>
          <w:sz w:val="20"/>
          <w:szCs w:val="20"/>
          <w:lang w:val="es-ES_tradnl"/>
        </w:rPr>
      </w:pPr>
      <w:r w:rsidRPr="00AF1DFA">
        <w:rPr>
          <w:rFonts w:ascii="Cambria" w:hAnsi="Cambria"/>
          <w:b/>
          <w:sz w:val="20"/>
          <w:szCs w:val="20"/>
          <w:lang w:val="es-ES_tradnl"/>
        </w:rPr>
        <w:t>CASO N°12.190 “JOSÉ LUIS TAPIA GONZÁLES Y OTROS”</w:t>
      </w:r>
    </w:p>
    <w:p w:rsidR="00506F18" w:rsidRPr="00AF1DFA" w:rsidRDefault="00506F18" w:rsidP="000E0504">
      <w:pPr>
        <w:tabs>
          <w:tab w:val="left" w:pos="540"/>
          <w:tab w:val="left" w:pos="810"/>
        </w:tabs>
        <w:spacing w:after="0" w:line="240" w:lineRule="auto"/>
        <w:ind w:left="720" w:right="720"/>
        <w:jc w:val="both"/>
        <w:rPr>
          <w:rFonts w:ascii="Cambria" w:hAnsi="Cambria"/>
          <w:b/>
          <w:sz w:val="20"/>
          <w:szCs w:val="20"/>
          <w:lang w:val="es-ES_tradnl"/>
        </w:rPr>
      </w:pPr>
    </w:p>
    <w:p w:rsidR="00004E90" w:rsidRPr="00AF1DFA" w:rsidRDefault="00506F18" w:rsidP="00486857">
      <w:pPr>
        <w:pStyle w:val="ListParagraph"/>
        <w:numPr>
          <w:ilvl w:val="0"/>
          <w:numId w:val="9"/>
        </w:numPr>
        <w:tabs>
          <w:tab w:val="left" w:pos="540"/>
          <w:tab w:val="left" w:pos="810"/>
        </w:tabs>
        <w:spacing w:after="0" w:line="240" w:lineRule="auto"/>
        <w:ind w:left="720" w:right="720" w:firstLine="0"/>
        <w:jc w:val="both"/>
        <w:rPr>
          <w:rFonts w:ascii="Cambria" w:hAnsi="Cambria"/>
          <w:b/>
          <w:sz w:val="20"/>
          <w:szCs w:val="20"/>
          <w:lang w:val="es-ES_tradnl"/>
        </w:rPr>
      </w:pPr>
      <w:r w:rsidRPr="00AF1DFA">
        <w:rPr>
          <w:rFonts w:ascii="Cambria" w:hAnsi="Cambria"/>
          <w:b/>
          <w:sz w:val="20"/>
          <w:szCs w:val="20"/>
          <w:lang w:val="es-ES_tradnl"/>
        </w:rPr>
        <w:t>DESCRIPCIÓN DE LAS PARTES</w:t>
      </w:r>
    </w:p>
    <w:p w:rsidR="00506F18" w:rsidRPr="00AF1DFA" w:rsidRDefault="00506F18" w:rsidP="00486857">
      <w:pPr>
        <w:pStyle w:val="ListParagraph"/>
        <w:tabs>
          <w:tab w:val="left" w:pos="540"/>
          <w:tab w:val="left" w:pos="810"/>
        </w:tabs>
        <w:spacing w:after="0" w:line="240" w:lineRule="auto"/>
        <w:ind w:right="720"/>
        <w:jc w:val="both"/>
        <w:rPr>
          <w:rFonts w:ascii="Cambria" w:hAnsi="Cambria"/>
          <w:b/>
          <w:sz w:val="20"/>
          <w:szCs w:val="20"/>
          <w:lang w:val="es-ES_tradnl"/>
        </w:rPr>
      </w:pPr>
    </w:p>
    <w:p w:rsidR="00004E90" w:rsidRPr="00AF1DFA" w:rsidRDefault="00004E90" w:rsidP="00486857">
      <w:pPr>
        <w:pStyle w:val="ListParagraph"/>
        <w:numPr>
          <w:ilvl w:val="0"/>
          <w:numId w:val="10"/>
        </w:numPr>
        <w:tabs>
          <w:tab w:val="left" w:pos="540"/>
          <w:tab w:val="left" w:pos="810"/>
        </w:tabs>
        <w:spacing w:after="0" w:line="240" w:lineRule="auto"/>
        <w:ind w:left="720" w:right="720" w:firstLine="0"/>
        <w:jc w:val="both"/>
        <w:rPr>
          <w:rFonts w:ascii="Cambria" w:hAnsi="Cambria"/>
          <w:sz w:val="20"/>
          <w:szCs w:val="20"/>
          <w:lang w:val="es-ES_tradnl"/>
        </w:rPr>
      </w:pPr>
      <w:r w:rsidRPr="00AF1DFA">
        <w:rPr>
          <w:rFonts w:ascii="Cambria" w:hAnsi="Cambria"/>
          <w:sz w:val="20"/>
          <w:szCs w:val="20"/>
          <w:lang w:val="es-ES_tradnl"/>
        </w:rPr>
        <w:t>Son partes en el presente acuerdo:</w:t>
      </w:r>
    </w:p>
    <w:p w:rsidR="00506F18" w:rsidRPr="00AF1DFA" w:rsidRDefault="00506F18" w:rsidP="00486857">
      <w:pPr>
        <w:pStyle w:val="ListParagraph"/>
        <w:tabs>
          <w:tab w:val="left" w:pos="540"/>
          <w:tab w:val="left" w:pos="810"/>
        </w:tabs>
        <w:spacing w:after="0" w:line="240" w:lineRule="auto"/>
        <w:ind w:right="720"/>
        <w:jc w:val="both"/>
        <w:rPr>
          <w:rFonts w:ascii="Cambria" w:hAnsi="Cambria"/>
          <w:sz w:val="20"/>
          <w:szCs w:val="20"/>
          <w:lang w:val="es-ES_tradnl"/>
        </w:rPr>
      </w:pPr>
    </w:p>
    <w:p w:rsidR="00004E90" w:rsidRPr="00AF1DFA" w:rsidRDefault="00004E90" w:rsidP="00486857">
      <w:pPr>
        <w:tabs>
          <w:tab w:val="left" w:pos="540"/>
          <w:tab w:val="left" w:pos="810"/>
        </w:tabs>
        <w:spacing w:after="0" w:line="240" w:lineRule="auto"/>
        <w:ind w:left="720" w:right="720"/>
        <w:jc w:val="both"/>
        <w:rPr>
          <w:rFonts w:ascii="Cambria" w:hAnsi="Cambria"/>
          <w:sz w:val="20"/>
          <w:szCs w:val="20"/>
          <w:lang w:val="es-ES_tradnl"/>
        </w:rPr>
      </w:pPr>
      <w:r w:rsidRPr="00AF1DFA">
        <w:rPr>
          <w:rFonts w:ascii="Cambria" w:hAnsi="Cambria"/>
          <w:b/>
          <w:sz w:val="20"/>
          <w:szCs w:val="20"/>
          <w:lang w:val="es-ES_tradnl"/>
        </w:rPr>
        <w:t>Por  un lado</w:t>
      </w:r>
      <w:r w:rsidRPr="00AF1DFA">
        <w:rPr>
          <w:rFonts w:ascii="Cambria" w:hAnsi="Cambria"/>
          <w:sz w:val="20"/>
          <w:szCs w:val="20"/>
          <w:lang w:val="es-ES_tradnl"/>
        </w:rPr>
        <w:t>, el Estado de Chile, representado por el Ministerio de Relaciones Exteriores, Heraldo Muñoz Valenzuela y el General Subdirector de Carabineros de Chile, Julio Pineda Peña.</w:t>
      </w:r>
    </w:p>
    <w:p w:rsidR="00004E90" w:rsidRPr="00AF1DFA" w:rsidRDefault="00004E90" w:rsidP="00486857">
      <w:pPr>
        <w:tabs>
          <w:tab w:val="left" w:pos="540"/>
          <w:tab w:val="left" w:pos="810"/>
        </w:tabs>
        <w:spacing w:after="0" w:line="240" w:lineRule="auto"/>
        <w:ind w:left="720" w:right="720"/>
        <w:jc w:val="both"/>
        <w:rPr>
          <w:rFonts w:ascii="Cambria" w:hAnsi="Cambria"/>
          <w:sz w:val="20"/>
          <w:szCs w:val="20"/>
          <w:lang w:val="es-ES_tradnl"/>
        </w:rPr>
      </w:pPr>
      <w:r w:rsidRPr="00AF1DFA">
        <w:rPr>
          <w:rFonts w:ascii="Cambria" w:hAnsi="Cambria"/>
          <w:b/>
          <w:sz w:val="20"/>
          <w:szCs w:val="20"/>
          <w:lang w:val="es-ES_tradnl"/>
        </w:rPr>
        <w:t>Por otro lado</w:t>
      </w:r>
      <w:r w:rsidRPr="00AF1DFA">
        <w:rPr>
          <w:rFonts w:ascii="Cambria" w:hAnsi="Cambria"/>
          <w:sz w:val="20"/>
          <w:szCs w:val="20"/>
          <w:lang w:val="es-ES_tradnl"/>
        </w:rPr>
        <w:t xml:space="preserve">, Fabián Pacheco </w:t>
      </w:r>
      <w:proofErr w:type="spellStart"/>
      <w:r w:rsidRPr="00AF1DFA">
        <w:rPr>
          <w:rFonts w:ascii="Cambria" w:hAnsi="Cambria"/>
          <w:sz w:val="20"/>
          <w:szCs w:val="20"/>
          <w:lang w:val="es-ES_tradnl"/>
        </w:rPr>
        <w:t>Ilabaca</w:t>
      </w:r>
      <w:proofErr w:type="spellEnd"/>
      <w:r w:rsidRPr="00AF1DFA">
        <w:rPr>
          <w:rFonts w:ascii="Cambria" w:hAnsi="Cambria"/>
          <w:sz w:val="20"/>
          <w:szCs w:val="20"/>
          <w:lang w:val="es-ES_tradnl"/>
        </w:rPr>
        <w:t xml:space="preserve">, abogado representante de José Luis Tapia Gonzáles, José Alejandro Villagrán Guzmán, Luis Eduardo Hernández Mieville, Nelson Enrique Garrido Reyes, Manuel Augusto Zamora Irarrázaval, David Matías Álvarez </w:t>
      </w:r>
      <w:proofErr w:type="spellStart"/>
      <w:r w:rsidRPr="00AF1DFA">
        <w:rPr>
          <w:rFonts w:ascii="Cambria" w:hAnsi="Cambria"/>
          <w:sz w:val="20"/>
          <w:szCs w:val="20"/>
          <w:lang w:val="es-ES_tradnl"/>
        </w:rPr>
        <w:t>Álvarez</w:t>
      </w:r>
      <w:proofErr w:type="spellEnd"/>
      <w:r w:rsidRPr="00AF1DFA">
        <w:rPr>
          <w:rFonts w:ascii="Cambria" w:hAnsi="Cambria"/>
          <w:sz w:val="20"/>
          <w:szCs w:val="20"/>
          <w:lang w:val="es-ES_tradnl"/>
        </w:rPr>
        <w:t xml:space="preserve"> y Víctor Alejandro Lago Maldonado, en su calidad de peticionarios.</w:t>
      </w:r>
    </w:p>
    <w:p w:rsidR="00506F18" w:rsidRPr="00AF1DFA" w:rsidRDefault="00506F18" w:rsidP="00486857">
      <w:pPr>
        <w:tabs>
          <w:tab w:val="left" w:pos="540"/>
          <w:tab w:val="left" w:pos="810"/>
        </w:tabs>
        <w:spacing w:after="0" w:line="240" w:lineRule="auto"/>
        <w:ind w:left="720" w:right="720"/>
        <w:jc w:val="both"/>
        <w:rPr>
          <w:rFonts w:ascii="Cambria" w:hAnsi="Cambria"/>
          <w:sz w:val="20"/>
          <w:szCs w:val="20"/>
          <w:lang w:val="es-ES_tradnl"/>
        </w:rPr>
      </w:pPr>
    </w:p>
    <w:p w:rsidR="00004E90" w:rsidRPr="00AF1DFA" w:rsidRDefault="00506F18" w:rsidP="00486857">
      <w:pPr>
        <w:pStyle w:val="ListParagraph"/>
        <w:numPr>
          <w:ilvl w:val="0"/>
          <w:numId w:val="9"/>
        </w:numPr>
        <w:tabs>
          <w:tab w:val="left" w:pos="540"/>
          <w:tab w:val="left" w:pos="810"/>
        </w:tabs>
        <w:spacing w:after="0" w:line="240" w:lineRule="auto"/>
        <w:ind w:left="720" w:right="720" w:firstLine="0"/>
        <w:jc w:val="both"/>
        <w:rPr>
          <w:rFonts w:ascii="Cambria" w:hAnsi="Cambria"/>
          <w:b/>
          <w:sz w:val="20"/>
          <w:szCs w:val="20"/>
          <w:lang w:val="es-ES_tradnl"/>
        </w:rPr>
      </w:pPr>
      <w:r w:rsidRPr="00AF1DFA">
        <w:rPr>
          <w:rFonts w:ascii="Cambria" w:hAnsi="Cambria"/>
          <w:b/>
          <w:sz w:val="20"/>
          <w:szCs w:val="20"/>
          <w:lang w:val="es-ES_tradnl"/>
        </w:rPr>
        <w:t>HECHOS</w:t>
      </w:r>
    </w:p>
    <w:p w:rsidR="00506F18" w:rsidRPr="00AF1DFA" w:rsidRDefault="00506F18" w:rsidP="00486857">
      <w:pPr>
        <w:pStyle w:val="ListParagraph"/>
        <w:tabs>
          <w:tab w:val="left" w:pos="540"/>
          <w:tab w:val="left" w:pos="810"/>
        </w:tabs>
        <w:spacing w:after="0" w:line="240" w:lineRule="auto"/>
        <w:ind w:right="720"/>
        <w:jc w:val="both"/>
        <w:rPr>
          <w:rFonts w:ascii="Cambria" w:hAnsi="Cambria"/>
          <w:b/>
          <w:sz w:val="20"/>
          <w:szCs w:val="20"/>
          <w:lang w:val="es-ES_tradnl"/>
        </w:rPr>
      </w:pPr>
    </w:p>
    <w:p w:rsidR="00004E90" w:rsidRPr="00AF1DFA" w:rsidRDefault="00004E90" w:rsidP="00486857">
      <w:pPr>
        <w:pStyle w:val="ListParagraph"/>
        <w:numPr>
          <w:ilvl w:val="0"/>
          <w:numId w:val="10"/>
        </w:numPr>
        <w:tabs>
          <w:tab w:val="left" w:pos="540"/>
          <w:tab w:val="left" w:pos="810"/>
        </w:tabs>
        <w:spacing w:after="0" w:line="240" w:lineRule="auto"/>
        <w:ind w:left="720" w:right="720" w:firstLine="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El 18 de junio de 1999, la Comisión Interamericana de Derechos Humanos (en lo sucesivo “la Comisión Interamericana”, “la Comisión” o “CIDH”) recibió una petición </w:t>
      </w:r>
      <w:r w:rsidR="000926F2" w:rsidRPr="00AF1DFA">
        <w:rPr>
          <w:rFonts w:ascii="Cambria" w:eastAsia="Times New Roman" w:hAnsi="Cambria" w:cs="Times New Roman"/>
          <w:sz w:val="20"/>
          <w:szCs w:val="20"/>
          <w:lang w:val="es-ES" w:eastAsia="es-BO"/>
        </w:rPr>
        <w:t xml:space="preserve">en contra del Estado de Chile (en adelante, “el Estado”), presentada por </w:t>
      </w:r>
      <w:r w:rsidRPr="00AF1DFA">
        <w:rPr>
          <w:rFonts w:ascii="Cambria" w:eastAsia="Times New Roman" w:hAnsi="Cambria" w:cs="Times New Roman"/>
          <w:sz w:val="20"/>
          <w:szCs w:val="20"/>
          <w:lang w:val="es-ES" w:eastAsia="es-BO"/>
        </w:rPr>
        <w:t>Luis Antonio Acevedo Villavice</w:t>
      </w:r>
      <w:r w:rsidR="000926F2" w:rsidRPr="00AF1DFA">
        <w:rPr>
          <w:rFonts w:ascii="Cambria" w:eastAsia="Times New Roman" w:hAnsi="Cambria" w:cs="Times New Roman"/>
          <w:sz w:val="20"/>
          <w:szCs w:val="20"/>
          <w:lang w:val="es-ES" w:eastAsia="es-BO"/>
        </w:rPr>
        <w:t>ncio y Leopoldo Sánchez Grunert,</w:t>
      </w:r>
      <w:r w:rsidRPr="00AF1DFA">
        <w:rPr>
          <w:rFonts w:ascii="Cambria" w:eastAsia="Times New Roman" w:hAnsi="Cambria" w:cs="Times New Roman"/>
          <w:sz w:val="20"/>
          <w:szCs w:val="20"/>
          <w:lang w:val="es-ES" w:eastAsia="es-BO"/>
        </w:rPr>
        <w:t xml:space="preserve">  en la cual se </w:t>
      </w:r>
      <w:r w:rsidR="000926F2" w:rsidRPr="00AF1DFA">
        <w:rPr>
          <w:rFonts w:ascii="Cambria" w:eastAsia="Times New Roman" w:hAnsi="Cambria" w:cs="Times New Roman"/>
          <w:sz w:val="20"/>
          <w:szCs w:val="20"/>
          <w:lang w:val="es-ES" w:eastAsia="es-BO"/>
        </w:rPr>
        <w:t xml:space="preserve">denunciaba al Estado por la presunta violación a los derechos de </w:t>
      </w:r>
      <w:r w:rsidRPr="00AF1DFA">
        <w:rPr>
          <w:rFonts w:ascii="Cambria" w:eastAsia="Times New Roman" w:hAnsi="Cambria" w:cs="Times New Roman"/>
          <w:sz w:val="20"/>
          <w:szCs w:val="20"/>
          <w:lang w:val="es-ES" w:eastAsia="es-BO"/>
        </w:rPr>
        <w:t>José Luis Tapia Gonzáles, José Alejandro Villagrán Guzmán, Luis Eduardo Hernández Mieville, Nelson Enrique Garrido Reyes, Manuel Augusto Zamora Irarr</w:t>
      </w:r>
      <w:r w:rsidR="000926F2" w:rsidRPr="00AF1DFA">
        <w:rPr>
          <w:rFonts w:ascii="Cambria" w:eastAsia="Times New Roman" w:hAnsi="Cambria" w:cs="Times New Roman"/>
          <w:sz w:val="20"/>
          <w:szCs w:val="20"/>
          <w:lang w:val="es-ES" w:eastAsia="es-BO"/>
        </w:rPr>
        <w:t>á</w:t>
      </w:r>
      <w:r w:rsidRPr="00AF1DFA">
        <w:rPr>
          <w:rFonts w:ascii="Cambria" w:eastAsia="Times New Roman" w:hAnsi="Cambria" w:cs="Times New Roman"/>
          <w:sz w:val="20"/>
          <w:szCs w:val="20"/>
          <w:lang w:val="es-ES" w:eastAsia="es-BO"/>
        </w:rPr>
        <w:t xml:space="preserve">zabal, David Matías Álvarez Álvarez y Víctor Alejandro Lago Maldonado, todos </w:t>
      </w:r>
      <w:r w:rsidR="000926F2" w:rsidRPr="00AF1DFA">
        <w:rPr>
          <w:rFonts w:ascii="Cambria" w:eastAsia="Times New Roman" w:hAnsi="Cambria" w:cs="Times New Roman"/>
          <w:sz w:val="20"/>
          <w:szCs w:val="20"/>
          <w:lang w:val="es-ES" w:eastAsia="es-BO"/>
        </w:rPr>
        <w:t xml:space="preserve">ex integrantes de </w:t>
      </w:r>
      <w:r w:rsidRPr="00AF1DFA">
        <w:rPr>
          <w:rFonts w:ascii="Cambria" w:eastAsia="Times New Roman" w:hAnsi="Cambria" w:cs="Times New Roman"/>
          <w:sz w:val="20"/>
          <w:szCs w:val="20"/>
          <w:lang w:val="es-ES" w:eastAsia="es-BO"/>
        </w:rPr>
        <w:t>Carabineros de Chile y sus respectivas cónyuges Giny Escobar Lara, Rosa Paz Valdés, Sonia Valencia Torres, Claudia Bustamante Torres, Sandra Duran Villegas, Olga del Carmen Becerra Pérez y Ana Maria Aguilera Saldivia.</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sz w:val="20"/>
          <w:szCs w:val="20"/>
          <w:lang w:val="es-ES" w:eastAsia="es-BO"/>
        </w:rPr>
      </w:pPr>
    </w:p>
    <w:p w:rsidR="00004E90" w:rsidRPr="00AF1DFA" w:rsidRDefault="00004E90" w:rsidP="00486857">
      <w:pPr>
        <w:pStyle w:val="ListParagraph"/>
        <w:numPr>
          <w:ilvl w:val="0"/>
          <w:numId w:val="10"/>
        </w:numPr>
        <w:tabs>
          <w:tab w:val="left" w:pos="540"/>
          <w:tab w:val="left" w:pos="810"/>
        </w:tabs>
        <w:spacing w:after="0" w:line="240" w:lineRule="auto"/>
        <w:ind w:left="720" w:right="720" w:firstLine="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En la </w:t>
      </w:r>
      <w:r w:rsidR="00123D0C" w:rsidRPr="00AF1DFA">
        <w:rPr>
          <w:rFonts w:ascii="Cambria" w:eastAsia="Times New Roman" w:hAnsi="Cambria" w:cs="Times New Roman"/>
          <w:sz w:val="20"/>
          <w:szCs w:val="20"/>
          <w:lang w:val="es-ES" w:eastAsia="es-BO"/>
        </w:rPr>
        <w:t>denuncia,</w:t>
      </w:r>
      <w:r w:rsidRPr="00AF1DFA">
        <w:rPr>
          <w:rFonts w:ascii="Cambria" w:eastAsia="Times New Roman" w:hAnsi="Cambria" w:cs="Times New Roman"/>
          <w:sz w:val="20"/>
          <w:szCs w:val="20"/>
          <w:lang w:val="es-ES" w:eastAsia="es-BO"/>
        </w:rPr>
        <w:t xml:space="preserve"> los ex carabineros alegaron haber sido sometidos a un proceso de calificación que derivó de despidos injustificados y que, asimismo el proceso judicial que se llevó a cabo tuvo por resultado la denegación de justicia, afectando derechos básicos y desprovisto garantías judiciales. El Estado por su parte</w:t>
      </w:r>
      <w:r w:rsidR="00123D0C" w:rsidRPr="00AF1DFA">
        <w:rPr>
          <w:rFonts w:ascii="Cambria" w:eastAsia="Times New Roman" w:hAnsi="Cambria" w:cs="Times New Roman"/>
          <w:sz w:val="20"/>
          <w:szCs w:val="20"/>
          <w:lang w:val="es-ES" w:eastAsia="es-BO"/>
        </w:rPr>
        <w:t>, señaló, en esa oportunidad, que no se había configurado violación a precepto alguno de la Convención Americana sobre Derechos Humanos (en adelante, “la Convención Americana” o “CADH”), y solicitó a la Comisión que desestimara las pretensiones de las víctimas y declarara inadmisible la petición. En particular, se hizo presente que la desvinculación ocurrió como consecuencias de un proceso de calificación realizado por instancias competentes, en el cual las víctimas tuvieron oportunidad de recurrir la resolución a través de vías administrativas y jurisdiccionales, incluida la Corte Suprema de Justicia.</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123D0C" w:rsidRPr="00AF1DFA" w:rsidRDefault="00123D0C" w:rsidP="00486857">
      <w:pPr>
        <w:pStyle w:val="ListParagraph"/>
        <w:numPr>
          <w:ilvl w:val="0"/>
          <w:numId w:val="10"/>
        </w:numPr>
        <w:tabs>
          <w:tab w:val="left" w:pos="540"/>
          <w:tab w:val="left" w:pos="810"/>
        </w:tabs>
        <w:spacing w:after="0" w:line="240" w:lineRule="auto"/>
        <w:ind w:left="720" w:right="720" w:firstLine="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El 24 de febrero de 2004, la Comisión emitió el Informe de Admisibilidad N° 21/04, y tras analizar las posiciones de las partes, concluyó que, en aplicación del principio </w:t>
      </w:r>
      <w:r w:rsidRPr="00AF1DFA">
        <w:rPr>
          <w:rFonts w:ascii="Cambria" w:eastAsia="Times New Roman" w:hAnsi="Cambria" w:cs="Times New Roman"/>
          <w:i/>
          <w:sz w:val="20"/>
          <w:szCs w:val="20"/>
          <w:lang w:val="es-ES" w:eastAsia="es-BO"/>
        </w:rPr>
        <w:t>iura novit curia</w:t>
      </w:r>
      <w:r w:rsidRPr="00AF1DFA">
        <w:rPr>
          <w:rFonts w:ascii="Cambria" w:eastAsia="Times New Roman" w:hAnsi="Cambria" w:cs="Times New Roman"/>
          <w:sz w:val="20"/>
          <w:szCs w:val="20"/>
          <w:lang w:val="es-ES" w:eastAsia="es-BO"/>
        </w:rPr>
        <w:t>, los hechos descritos podría</w:t>
      </w:r>
      <w:r w:rsidR="000926F2" w:rsidRPr="00AF1DFA">
        <w:rPr>
          <w:rFonts w:ascii="Cambria" w:eastAsia="Times New Roman" w:hAnsi="Cambria" w:cs="Times New Roman"/>
          <w:sz w:val="20"/>
          <w:szCs w:val="20"/>
          <w:lang w:val="es-ES" w:eastAsia="es-BO"/>
        </w:rPr>
        <w:t>n</w:t>
      </w:r>
      <w:r w:rsidRPr="00AF1DFA">
        <w:rPr>
          <w:rFonts w:ascii="Cambria" w:eastAsia="Times New Roman" w:hAnsi="Cambria" w:cs="Times New Roman"/>
          <w:sz w:val="20"/>
          <w:szCs w:val="20"/>
          <w:lang w:val="es-ES" w:eastAsia="es-BO"/>
        </w:rPr>
        <w:t xml:space="preserve"> </w:t>
      </w:r>
      <w:r w:rsidR="00BA642C" w:rsidRPr="00AF1DFA">
        <w:rPr>
          <w:rFonts w:ascii="Cambria" w:eastAsia="Times New Roman" w:hAnsi="Cambria" w:cs="Times New Roman"/>
          <w:sz w:val="20"/>
          <w:szCs w:val="20"/>
          <w:lang w:val="es-ES" w:eastAsia="es-BO"/>
        </w:rPr>
        <w:t>constituir</w:t>
      </w:r>
      <w:r w:rsidRPr="00AF1DFA">
        <w:rPr>
          <w:rFonts w:ascii="Cambria" w:eastAsia="Times New Roman" w:hAnsi="Cambria" w:cs="Times New Roman"/>
          <w:sz w:val="20"/>
          <w:szCs w:val="20"/>
          <w:lang w:val="es-ES" w:eastAsia="es-BO"/>
        </w:rPr>
        <w:t xml:space="preserve"> violaciones de los derechos a las garantías judiciales y protección judicial, amparados por los artículos 8 y 25 de la Convención Americana, así como las obligaciones de respetar y garantizar los derecho y el deber de adecuar la legislación interna a los </w:t>
      </w:r>
      <w:r w:rsidR="00DC63CF" w:rsidRPr="00AF1DFA">
        <w:rPr>
          <w:rFonts w:ascii="Cambria" w:eastAsia="Times New Roman" w:hAnsi="Cambria" w:cs="Times New Roman"/>
          <w:sz w:val="20"/>
          <w:szCs w:val="20"/>
          <w:lang w:val="es-ES" w:eastAsia="es-BO"/>
        </w:rPr>
        <w:t>compromisos</w:t>
      </w:r>
      <w:r w:rsidRPr="00AF1DFA">
        <w:rPr>
          <w:rFonts w:ascii="Cambria" w:eastAsia="Times New Roman" w:hAnsi="Cambria" w:cs="Times New Roman"/>
          <w:sz w:val="20"/>
          <w:szCs w:val="20"/>
          <w:lang w:val="es-ES" w:eastAsia="es-BO"/>
        </w:rPr>
        <w:t xml:space="preserve"> internacionales por el Estado, de acuerdo  los art</w:t>
      </w:r>
      <w:r w:rsidR="00BA642C" w:rsidRPr="00AF1DFA">
        <w:rPr>
          <w:rFonts w:ascii="Cambria" w:eastAsia="Times New Roman" w:hAnsi="Cambria" w:cs="Times New Roman"/>
          <w:sz w:val="20"/>
          <w:szCs w:val="20"/>
          <w:lang w:val="es-ES" w:eastAsia="es-BO"/>
        </w:rPr>
        <w:t>ículos 1.1 y 2 d</w:t>
      </w:r>
      <w:r w:rsidRPr="00AF1DFA">
        <w:rPr>
          <w:rFonts w:ascii="Cambria" w:eastAsia="Times New Roman" w:hAnsi="Cambria" w:cs="Times New Roman"/>
          <w:sz w:val="20"/>
          <w:szCs w:val="20"/>
          <w:lang w:val="es-ES" w:eastAsia="es-BO"/>
        </w:rPr>
        <w:t>e</w:t>
      </w:r>
      <w:r w:rsidR="00BA642C" w:rsidRPr="00AF1DFA">
        <w:rPr>
          <w:rFonts w:ascii="Cambria" w:eastAsia="Times New Roman" w:hAnsi="Cambria" w:cs="Times New Roman"/>
          <w:sz w:val="20"/>
          <w:szCs w:val="20"/>
          <w:lang w:val="es-ES" w:eastAsia="es-BO"/>
        </w:rPr>
        <w:t xml:space="preserve"> </w:t>
      </w:r>
      <w:r w:rsidRPr="00AF1DFA">
        <w:rPr>
          <w:rFonts w:ascii="Cambria" w:eastAsia="Times New Roman" w:hAnsi="Cambria" w:cs="Times New Roman"/>
          <w:sz w:val="20"/>
          <w:szCs w:val="20"/>
          <w:lang w:val="es-ES" w:eastAsia="es-BO"/>
        </w:rPr>
        <w:t>la C</w:t>
      </w:r>
      <w:r w:rsidR="00DC63CF" w:rsidRPr="00AF1DFA">
        <w:rPr>
          <w:rFonts w:ascii="Cambria" w:eastAsia="Times New Roman" w:hAnsi="Cambria" w:cs="Times New Roman"/>
          <w:sz w:val="20"/>
          <w:szCs w:val="20"/>
          <w:lang w:val="es-ES" w:eastAsia="es-BO"/>
        </w:rPr>
        <w:t>onvención</w:t>
      </w:r>
      <w:r w:rsidRPr="00AF1DFA">
        <w:rPr>
          <w:rFonts w:ascii="Cambria" w:eastAsia="Times New Roman" w:hAnsi="Cambria" w:cs="Times New Roman"/>
          <w:sz w:val="20"/>
          <w:szCs w:val="20"/>
          <w:lang w:val="es-ES" w:eastAsia="es-BO"/>
        </w:rPr>
        <w:t xml:space="preserve"> </w:t>
      </w:r>
      <w:r w:rsidR="00DC63CF" w:rsidRPr="00AF1DFA">
        <w:rPr>
          <w:rFonts w:ascii="Cambria" w:eastAsia="Times New Roman" w:hAnsi="Cambria" w:cs="Times New Roman"/>
          <w:sz w:val="20"/>
          <w:szCs w:val="20"/>
          <w:lang w:val="es-ES" w:eastAsia="es-BO"/>
        </w:rPr>
        <w:t>Americana</w:t>
      </w:r>
      <w:r w:rsidRPr="00AF1DFA">
        <w:rPr>
          <w:rFonts w:ascii="Cambria" w:eastAsia="Times New Roman" w:hAnsi="Cambria" w:cs="Times New Roman"/>
          <w:sz w:val="20"/>
          <w:szCs w:val="20"/>
          <w:lang w:val="es-ES" w:eastAsia="es-BO"/>
        </w:rPr>
        <w:t xml:space="preserve">. En ese mismo Informe, la Comisión </w:t>
      </w:r>
      <w:r w:rsidR="000926F2" w:rsidRPr="00AF1DFA">
        <w:rPr>
          <w:rFonts w:ascii="Cambria" w:eastAsia="Times New Roman" w:hAnsi="Cambria" w:cs="Times New Roman"/>
          <w:sz w:val="20"/>
          <w:szCs w:val="20"/>
          <w:lang w:val="es-ES" w:eastAsia="es-BO"/>
        </w:rPr>
        <w:t>declaró inadmisible</w:t>
      </w:r>
      <w:r w:rsidRPr="00AF1DFA">
        <w:rPr>
          <w:rFonts w:ascii="Cambria" w:eastAsia="Times New Roman" w:hAnsi="Cambria" w:cs="Times New Roman"/>
          <w:sz w:val="20"/>
          <w:szCs w:val="20"/>
          <w:lang w:val="es-ES" w:eastAsia="es-BO"/>
        </w:rPr>
        <w:t xml:space="preserve"> la petición</w:t>
      </w:r>
      <w:r w:rsidR="00DC63CF" w:rsidRPr="00AF1DFA">
        <w:rPr>
          <w:rFonts w:ascii="Cambria" w:eastAsia="Times New Roman" w:hAnsi="Cambria" w:cs="Times New Roman"/>
          <w:sz w:val="20"/>
          <w:szCs w:val="20"/>
          <w:lang w:val="es-ES" w:eastAsia="es-BO"/>
        </w:rPr>
        <w:t xml:space="preserve"> respecto a las cónyuges de los ex carabineros</w:t>
      </w:r>
      <w:r w:rsidR="00BA642C" w:rsidRPr="00AF1DFA">
        <w:rPr>
          <w:rFonts w:ascii="Cambria" w:eastAsia="Times New Roman" w:hAnsi="Cambria" w:cs="Times New Roman"/>
          <w:sz w:val="20"/>
          <w:szCs w:val="20"/>
          <w:lang w:val="es-ES" w:eastAsia="es-BO"/>
        </w:rPr>
        <w:t>, en virtud de lo</w:t>
      </w:r>
      <w:r w:rsidR="00DC63CF" w:rsidRPr="00AF1DFA">
        <w:rPr>
          <w:rFonts w:ascii="Cambria" w:eastAsia="Times New Roman" w:hAnsi="Cambria" w:cs="Times New Roman"/>
          <w:sz w:val="20"/>
          <w:szCs w:val="20"/>
          <w:lang w:val="es-ES" w:eastAsia="es-BO"/>
        </w:rPr>
        <w:t xml:space="preserve"> dispuesto por el art</w:t>
      </w:r>
      <w:r w:rsidR="00BA642C" w:rsidRPr="00AF1DFA">
        <w:rPr>
          <w:rFonts w:ascii="Cambria" w:eastAsia="Times New Roman" w:hAnsi="Cambria" w:cs="Times New Roman"/>
          <w:sz w:val="20"/>
          <w:szCs w:val="20"/>
          <w:lang w:val="es-ES" w:eastAsia="es-BO"/>
        </w:rPr>
        <w:t xml:space="preserve">ículo 47 (b) </w:t>
      </w:r>
      <w:r w:rsidR="00DC63CF" w:rsidRPr="00AF1DFA">
        <w:rPr>
          <w:rFonts w:ascii="Cambria" w:eastAsia="Times New Roman" w:hAnsi="Cambria" w:cs="Times New Roman"/>
          <w:sz w:val="20"/>
          <w:szCs w:val="20"/>
          <w:lang w:val="es-ES" w:eastAsia="es-BO"/>
        </w:rPr>
        <w:t>de la Convención, es decir, no haber expuesto hechos que caractericen una violación de los derechos garantizados por ese mismo instrumento internacional.</w:t>
      </w:r>
    </w:p>
    <w:p w:rsidR="0054098E" w:rsidRPr="00AF1DFA" w:rsidRDefault="0054098E"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BA642C" w:rsidRPr="00AF1DFA" w:rsidRDefault="00BA642C"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5. </w:t>
      </w:r>
      <w:r w:rsidR="0054098E" w:rsidRPr="00AF1DFA">
        <w:rPr>
          <w:rFonts w:ascii="Cambria" w:eastAsia="Times New Roman" w:hAnsi="Cambria" w:cs="Times New Roman"/>
          <w:sz w:val="20"/>
          <w:szCs w:val="20"/>
          <w:lang w:val="es-ES" w:eastAsia="es-BO"/>
        </w:rPr>
        <w:tab/>
      </w:r>
      <w:r w:rsidRPr="00AF1DFA">
        <w:rPr>
          <w:rFonts w:ascii="Cambria" w:eastAsia="Times New Roman" w:hAnsi="Cambria" w:cs="Times New Roman"/>
          <w:sz w:val="20"/>
          <w:szCs w:val="20"/>
          <w:lang w:val="es-ES" w:eastAsia="es-BO"/>
        </w:rPr>
        <w:t xml:space="preserve">Durante la tramitación de la denuncia, las presuntas víctimas y el Estado manifestaron su voluntad, disposición e interés de someterse al procedimiento de solución amistosa contemplado en los artículos 48.1.f de la Convención y 41 del Reglamento de la CIDH </w:t>
      </w:r>
      <w:r w:rsidRPr="00AF1DFA">
        <w:rPr>
          <w:rFonts w:ascii="Cambria" w:eastAsia="Times New Roman" w:hAnsi="Cambria" w:cs="Times New Roman"/>
          <w:sz w:val="20"/>
          <w:szCs w:val="20"/>
          <w:lang w:val="es-ES" w:eastAsia="es-BO"/>
        </w:rPr>
        <w:lastRenderedPageBreak/>
        <w:t>(en adelante, “el Reglamento”</w:t>
      </w:r>
      <w:r w:rsidR="000926F2" w:rsidRPr="00AF1DFA">
        <w:rPr>
          <w:rFonts w:ascii="Cambria" w:eastAsia="Times New Roman" w:hAnsi="Cambria" w:cs="Times New Roman"/>
          <w:sz w:val="20"/>
          <w:szCs w:val="20"/>
          <w:lang w:val="es-ES" w:eastAsia="es-BO"/>
        </w:rPr>
        <w:t>)</w:t>
      </w:r>
      <w:r w:rsidRPr="00AF1DFA">
        <w:rPr>
          <w:rFonts w:ascii="Cambria" w:eastAsia="Times New Roman" w:hAnsi="Cambria" w:cs="Times New Roman"/>
          <w:sz w:val="20"/>
          <w:szCs w:val="20"/>
          <w:lang w:val="es-ES" w:eastAsia="es-BO"/>
        </w:rPr>
        <w:t>, iniciando así un proceso de diálogo y entendimiento destinado a desarrollar las bases y elementos de dicho acuerdo, fundado en el respeto de los derechos humanos establecidos en as Convención Americana.</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BA642C" w:rsidRPr="00AF1DFA" w:rsidRDefault="00B0113D"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6. </w:t>
      </w:r>
      <w:r w:rsidR="0054098E" w:rsidRPr="00AF1DFA">
        <w:rPr>
          <w:rFonts w:ascii="Cambria" w:eastAsia="Times New Roman" w:hAnsi="Cambria" w:cs="Times New Roman"/>
          <w:sz w:val="20"/>
          <w:szCs w:val="20"/>
          <w:lang w:val="es-ES" w:eastAsia="es-BO"/>
        </w:rPr>
        <w:tab/>
      </w:r>
      <w:r w:rsidRPr="00AF1DFA">
        <w:rPr>
          <w:rFonts w:ascii="Cambria" w:eastAsia="Times New Roman" w:hAnsi="Cambria" w:cs="Times New Roman"/>
          <w:sz w:val="20"/>
          <w:szCs w:val="20"/>
          <w:lang w:val="es-ES" w:eastAsia="es-BO"/>
        </w:rPr>
        <w:t xml:space="preserve">El 20 de enero </w:t>
      </w:r>
      <w:r w:rsidR="00BA642C" w:rsidRPr="00AF1DFA">
        <w:rPr>
          <w:rFonts w:ascii="Cambria" w:eastAsia="Times New Roman" w:hAnsi="Cambria" w:cs="Times New Roman"/>
          <w:sz w:val="20"/>
          <w:szCs w:val="20"/>
          <w:lang w:val="es-ES" w:eastAsia="es-BO"/>
        </w:rPr>
        <w:t>de 2010, en dos casos similares al presente (</w:t>
      </w:r>
      <w:r w:rsidR="000926F2" w:rsidRPr="00AF1DFA">
        <w:rPr>
          <w:rFonts w:ascii="Cambria" w:eastAsia="Times New Roman" w:hAnsi="Cambria" w:cs="Times New Roman"/>
          <w:sz w:val="20"/>
          <w:szCs w:val="20"/>
          <w:lang w:val="es-ES" w:eastAsia="es-BO"/>
        </w:rPr>
        <w:t>N° 12.195. Mario Jara Oñate</w:t>
      </w:r>
      <w:r w:rsidR="000926F2" w:rsidRPr="00AF1DFA">
        <w:rPr>
          <w:rStyle w:val="FootnoteReference"/>
          <w:rFonts w:ascii="Cambria" w:eastAsia="Times New Roman" w:hAnsi="Cambria" w:cs="Times New Roman"/>
          <w:sz w:val="20"/>
          <w:szCs w:val="20"/>
          <w:lang w:val="es-ES" w:eastAsia="es-BO"/>
        </w:rPr>
        <w:footnoteReference w:id="2"/>
      </w:r>
      <w:r w:rsidR="000926F2" w:rsidRPr="00AF1DFA">
        <w:rPr>
          <w:rFonts w:ascii="Cambria" w:eastAsia="Times New Roman" w:hAnsi="Cambria" w:cs="Times New Roman"/>
          <w:sz w:val="20"/>
          <w:szCs w:val="20"/>
          <w:lang w:val="es-ES" w:eastAsia="es-BO"/>
        </w:rPr>
        <w:t xml:space="preserve"> y </w:t>
      </w:r>
      <w:r w:rsidR="00BA642C" w:rsidRPr="00AF1DFA">
        <w:rPr>
          <w:rFonts w:ascii="Cambria" w:eastAsia="Times New Roman" w:hAnsi="Cambria" w:cs="Times New Roman"/>
          <w:sz w:val="20"/>
          <w:szCs w:val="20"/>
          <w:lang w:val="es-ES" w:eastAsia="es-BO"/>
        </w:rPr>
        <w:t>otros y N°12.281, Gilda Pizarro Jiménez y otros</w:t>
      </w:r>
      <w:r w:rsidR="000926F2" w:rsidRPr="00AF1DFA">
        <w:rPr>
          <w:rStyle w:val="FootnoteReference"/>
          <w:rFonts w:ascii="Cambria" w:eastAsia="Times New Roman" w:hAnsi="Cambria" w:cs="Times New Roman"/>
          <w:sz w:val="20"/>
          <w:szCs w:val="20"/>
          <w:lang w:val="es-ES" w:eastAsia="es-BO"/>
        </w:rPr>
        <w:footnoteReference w:id="3"/>
      </w:r>
      <w:r w:rsidR="00BA642C" w:rsidRPr="00AF1DFA">
        <w:rPr>
          <w:rFonts w:ascii="Cambria" w:eastAsia="Times New Roman" w:hAnsi="Cambria" w:cs="Times New Roman"/>
          <w:sz w:val="20"/>
          <w:szCs w:val="20"/>
          <w:lang w:val="es-ES" w:eastAsia="es-BO"/>
        </w:rPr>
        <w:t>; ambos declarados admisibles por la CIDH), el Estado suscribió un acuerdo de solución amistosa, quedando pendiente la negociación del presente, el cual se entiende que constituye, para todos los efectos, la continuación del mismo proceso de solución amistosa iniciado con los casos referidos y, por tanto, no comprenderá medidas que ya se encuentran cumplidas, como son la revisión de las disposiciones legales y reglamentarias aplicables en Carabineros en  materia de calificaciones, el reconocimiento público de responsabilidad, la publicación del acuerdo y la carta de disculpas.</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BA642C" w:rsidRPr="00AF1DFA" w:rsidRDefault="00BA642C"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7. </w:t>
      </w:r>
      <w:r w:rsidR="0054098E" w:rsidRPr="00AF1DFA">
        <w:rPr>
          <w:rFonts w:ascii="Cambria" w:eastAsia="Times New Roman" w:hAnsi="Cambria" w:cs="Times New Roman"/>
          <w:sz w:val="20"/>
          <w:szCs w:val="20"/>
          <w:lang w:val="es-ES" w:eastAsia="es-BO"/>
        </w:rPr>
        <w:tab/>
      </w:r>
      <w:r w:rsidRPr="00AF1DFA">
        <w:rPr>
          <w:rFonts w:ascii="Cambria" w:eastAsia="Times New Roman" w:hAnsi="Cambria" w:cs="Times New Roman"/>
          <w:sz w:val="20"/>
          <w:szCs w:val="20"/>
          <w:lang w:val="es-ES" w:eastAsia="es-BO"/>
        </w:rPr>
        <w:t>Las medidas de reparación objeto de este acuerdo son las siguientes:</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BA642C" w:rsidRPr="00AF1DFA" w:rsidRDefault="00506F18" w:rsidP="00486857">
      <w:pPr>
        <w:pStyle w:val="ListParagraph"/>
        <w:numPr>
          <w:ilvl w:val="0"/>
          <w:numId w:val="11"/>
        </w:numPr>
        <w:tabs>
          <w:tab w:val="left" w:pos="540"/>
          <w:tab w:val="left" w:pos="810"/>
        </w:tabs>
        <w:spacing w:after="0" w:line="240" w:lineRule="auto"/>
        <w:ind w:left="720" w:right="720" w:firstLine="0"/>
        <w:jc w:val="both"/>
        <w:rPr>
          <w:rFonts w:ascii="Cambria" w:eastAsia="Times New Roman" w:hAnsi="Cambria" w:cs="Times New Roman"/>
          <w:b/>
          <w:sz w:val="20"/>
          <w:szCs w:val="20"/>
          <w:lang w:val="es-ES" w:eastAsia="es-BO"/>
        </w:rPr>
      </w:pPr>
      <w:r w:rsidRPr="00AF1DFA">
        <w:rPr>
          <w:rFonts w:ascii="Cambria" w:eastAsia="Times New Roman" w:hAnsi="Cambria" w:cs="Times New Roman"/>
          <w:b/>
          <w:sz w:val="20"/>
          <w:szCs w:val="20"/>
          <w:lang w:val="es-ES" w:eastAsia="es-BO"/>
        </w:rPr>
        <w:t>RECONOCIMIENTO DE LOS HECHOS</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b/>
          <w:sz w:val="20"/>
          <w:szCs w:val="20"/>
          <w:lang w:val="es-ES" w:eastAsia="es-BO"/>
        </w:rPr>
      </w:pPr>
    </w:p>
    <w:p w:rsidR="00BA642C" w:rsidRPr="00AF1DFA" w:rsidRDefault="00BA642C"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8. </w:t>
      </w:r>
      <w:r w:rsidR="0054098E" w:rsidRPr="00AF1DFA">
        <w:rPr>
          <w:rFonts w:ascii="Cambria" w:eastAsia="Times New Roman" w:hAnsi="Cambria" w:cs="Times New Roman"/>
          <w:sz w:val="20"/>
          <w:szCs w:val="20"/>
          <w:lang w:val="es-ES" w:eastAsia="es-BO"/>
        </w:rPr>
        <w:tab/>
      </w:r>
      <w:r w:rsidRPr="00AF1DFA">
        <w:rPr>
          <w:rFonts w:ascii="Cambria" w:eastAsia="Times New Roman" w:hAnsi="Cambria" w:cs="Times New Roman"/>
          <w:sz w:val="20"/>
          <w:szCs w:val="20"/>
          <w:lang w:val="es-ES" w:eastAsia="es-BO"/>
        </w:rPr>
        <w:t>Por medio de este acuerdo de solución amistosa, el Estado reconoce los hechos plasmados en la petición presentada ante la Comisión.</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BA642C" w:rsidRPr="00AF1DFA" w:rsidRDefault="00506F18" w:rsidP="00486857">
      <w:pPr>
        <w:pStyle w:val="ListParagraph"/>
        <w:numPr>
          <w:ilvl w:val="0"/>
          <w:numId w:val="11"/>
        </w:numPr>
        <w:tabs>
          <w:tab w:val="left" w:pos="540"/>
          <w:tab w:val="left" w:pos="810"/>
        </w:tabs>
        <w:spacing w:after="0" w:line="240" w:lineRule="auto"/>
        <w:ind w:left="720" w:right="720" w:firstLine="0"/>
        <w:jc w:val="both"/>
        <w:rPr>
          <w:rFonts w:ascii="Cambria" w:eastAsia="Times New Roman" w:hAnsi="Cambria" w:cs="Times New Roman"/>
          <w:b/>
          <w:sz w:val="20"/>
          <w:szCs w:val="20"/>
          <w:lang w:val="es-ES" w:eastAsia="es-BO"/>
        </w:rPr>
      </w:pPr>
      <w:r w:rsidRPr="00AF1DFA">
        <w:rPr>
          <w:rFonts w:ascii="Cambria" w:eastAsia="Times New Roman" w:hAnsi="Cambria" w:cs="Times New Roman"/>
          <w:b/>
          <w:sz w:val="20"/>
          <w:szCs w:val="20"/>
          <w:lang w:val="es-ES" w:eastAsia="es-BO"/>
        </w:rPr>
        <w:t>REPARACIÓN ECONÓMICA</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b/>
          <w:sz w:val="20"/>
          <w:szCs w:val="20"/>
          <w:lang w:val="es-ES" w:eastAsia="es-BO"/>
        </w:rPr>
      </w:pPr>
    </w:p>
    <w:p w:rsidR="00BA642C" w:rsidRPr="00AF1DFA" w:rsidRDefault="00BA642C"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9. </w:t>
      </w:r>
      <w:r w:rsidR="0054098E" w:rsidRPr="00AF1DFA">
        <w:rPr>
          <w:rFonts w:ascii="Cambria" w:eastAsia="Times New Roman" w:hAnsi="Cambria" w:cs="Times New Roman"/>
          <w:sz w:val="20"/>
          <w:szCs w:val="20"/>
          <w:lang w:val="es-ES" w:eastAsia="es-BO"/>
        </w:rPr>
        <w:tab/>
      </w:r>
      <w:r w:rsidRPr="00AF1DFA">
        <w:rPr>
          <w:rFonts w:ascii="Cambria" w:eastAsia="Times New Roman" w:hAnsi="Cambria" w:cs="Times New Roman"/>
          <w:sz w:val="20"/>
          <w:szCs w:val="20"/>
          <w:lang w:val="es-ES" w:eastAsia="es-BO"/>
        </w:rPr>
        <w:t xml:space="preserve">El Estado se obliga a </w:t>
      </w:r>
      <w:r w:rsidR="00B0113D" w:rsidRPr="00AF1DFA">
        <w:rPr>
          <w:rFonts w:ascii="Cambria" w:eastAsia="Times New Roman" w:hAnsi="Cambria" w:cs="Times New Roman"/>
          <w:sz w:val="20"/>
          <w:szCs w:val="20"/>
          <w:lang w:val="es-ES" w:eastAsia="es-BO"/>
        </w:rPr>
        <w:t>pagar</w:t>
      </w:r>
      <w:r w:rsidRPr="00AF1DFA">
        <w:rPr>
          <w:rFonts w:ascii="Cambria" w:eastAsia="Times New Roman" w:hAnsi="Cambria" w:cs="Times New Roman"/>
          <w:sz w:val="20"/>
          <w:szCs w:val="20"/>
          <w:lang w:val="es-ES" w:eastAsia="es-BO"/>
        </w:rPr>
        <w:t xml:space="preserve"> a los peticionarios por concepto de </w:t>
      </w:r>
      <w:r w:rsidR="008B5112" w:rsidRPr="00AF1DFA">
        <w:rPr>
          <w:rFonts w:ascii="Cambria" w:eastAsia="Times New Roman" w:hAnsi="Cambria" w:cs="Times New Roman"/>
          <w:sz w:val="20"/>
          <w:szCs w:val="20"/>
          <w:lang w:val="es-ES" w:eastAsia="es-BO"/>
        </w:rPr>
        <w:t>reparación</w:t>
      </w:r>
      <w:r w:rsidRPr="00AF1DFA">
        <w:rPr>
          <w:rFonts w:ascii="Cambria" w:eastAsia="Times New Roman" w:hAnsi="Cambria" w:cs="Times New Roman"/>
          <w:sz w:val="20"/>
          <w:szCs w:val="20"/>
          <w:lang w:val="es-ES" w:eastAsia="es-BO"/>
        </w:rPr>
        <w:t xml:space="preserve"> de cualquier eventual daño causado, sea material o inmaterial, un monto equivalente en pesos US$ 17.000 para cada uno de los ex funcionario de Carabineros peticionarios, esto es: José Luis Tapia Gonzáles, José Alejandro Villagrán Guzmán, Luis Eduardo Hernández Mieville, Nelson Enrique Garrido Reyes, Manuel Augusto Zamora </w:t>
      </w:r>
      <w:r w:rsidR="00B0113D" w:rsidRPr="00AF1DFA">
        <w:rPr>
          <w:rFonts w:ascii="Cambria" w:eastAsia="Times New Roman" w:hAnsi="Cambria" w:cs="Times New Roman"/>
          <w:sz w:val="20"/>
          <w:szCs w:val="20"/>
          <w:lang w:val="es-ES" w:eastAsia="es-BO"/>
        </w:rPr>
        <w:t>Irarrázabal</w:t>
      </w:r>
      <w:r w:rsidRPr="00AF1DFA">
        <w:rPr>
          <w:rFonts w:ascii="Cambria" w:eastAsia="Times New Roman" w:hAnsi="Cambria" w:cs="Times New Roman"/>
          <w:sz w:val="20"/>
          <w:szCs w:val="20"/>
          <w:lang w:val="es-ES" w:eastAsia="es-BO"/>
        </w:rPr>
        <w:t xml:space="preserve">, David Matías Álvarez </w:t>
      </w:r>
      <w:proofErr w:type="spellStart"/>
      <w:r w:rsidRPr="00AF1DFA">
        <w:rPr>
          <w:rFonts w:ascii="Cambria" w:eastAsia="Times New Roman" w:hAnsi="Cambria" w:cs="Times New Roman"/>
          <w:sz w:val="20"/>
          <w:szCs w:val="20"/>
          <w:lang w:val="es-ES" w:eastAsia="es-BO"/>
        </w:rPr>
        <w:t>Álvarez</w:t>
      </w:r>
      <w:proofErr w:type="spellEnd"/>
      <w:r w:rsidRPr="00AF1DFA">
        <w:rPr>
          <w:rFonts w:ascii="Cambria" w:eastAsia="Times New Roman" w:hAnsi="Cambria" w:cs="Times New Roman"/>
          <w:sz w:val="20"/>
          <w:szCs w:val="20"/>
          <w:lang w:val="es-ES" w:eastAsia="es-BO"/>
        </w:rPr>
        <w:t xml:space="preserve"> y Víctor Alejandro Lago Maldonado.</w:t>
      </w:r>
    </w:p>
    <w:p w:rsidR="0054098E" w:rsidRPr="00AF1DFA" w:rsidRDefault="0054098E"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BA642C" w:rsidRPr="00AF1DFA" w:rsidRDefault="00BA642C"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El pago de las sumas antes referidas se hará efectivo en su </w:t>
      </w:r>
      <w:r w:rsidR="00D35709" w:rsidRPr="00AF1DFA">
        <w:rPr>
          <w:rFonts w:ascii="Cambria" w:eastAsia="Times New Roman" w:hAnsi="Cambria" w:cs="Times New Roman"/>
          <w:sz w:val="20"/>
          <w:szCs w:val="20"/>
          <w:lang w:val="es-ES" w:eastAsia="es-BO"/>
        </w:rPr>
        <w:t>equivalente</w:t>
      </w:r>
      <w:r w:rsidRPr="00AF1DFA">
        <w:rPr>
          <w:rFonts w:ascii="Cambria" w:eastAsia="Times New Roman" w:hAnsi="Cambria" w:cs="Times New Roman"/>
          <w:sz w:val="20"/>
          <w:szCs w:val="20"/>
          <w:lang w:val="es-ES" w:eastAsia="es-BO"/>
        </w:rPr>
        <w:t xml:space="preserve"> en pesos chilenos al momento del pago.</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BA642C" w:rsidRPr="00AF1DFA" w:rsidRDefault="00BA642C"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El </w:t>
      </w:r>
      <w:r w:rsidR="00D35709" w:rsidRPr="00AF1DFA">
        <w:rPr>
          <w:rFonts w:ascii="Cambria" w:eastAsia="Times New Roman" w:hAnsi="Cambria" w:cs="Times New Roman"/>
          <w:sz w:val="20"/>
          <w:szCs w:val="20"/>
          <w:lang w:val="es-ES" w:eastAsia="es-BO"/>
        </w:rPr>
        <w:t>pago</w:t>
      </w:r>
      <w:r w:rsidRPr="00AF1DFA">
        <w:rPr>
          <w:rFonts w:ascii="Cambria" w:eastAsia="Times New Roman" w:hAnsi="Cambria" w:cs="Times New Roman"/>
          <w:sz w:val="20"/>
          <w:szCs w:val="20"/>
          <w:lang w:val="es-ES" w:eastAsia="es-BO"/>
        </w:rPr>
        <w:t xml:space="preserve"> se </w:t>
      </w:r>
      <w:r w:rsidR="00D35709" w:rsidRPr="00AF1DFA">
        <w:rPr>
          <w:rFonts w:ascii="Cambria" w:eastAsia="Times New Roman" w:hAnsi="Cambria" w:cs="Times New Roman"/>
          <w:sz w:val="20"/>
          <w:szCs w:val="20"/>
          <w:lang w:val="es-ES" w:eastAsia="es-BO"/>
        </w:rPr>
        <w:t>realizará</w:t>
      </w:r>
      <w:r w:rsidRPr="00AF1DFA">
        <w:rPr>
          <w:rFonts w:ascii="Cambria" w:eastAsia="Times New Roman" w:hAnsi="Cambria" w:cs="Times New Roman"/>
          <w:sz w:val="20"/>
          <w:szCs w:val="20"/>
          <w:lang w:val="es-ES" w:eastAsia="es-BO"/>
        </w:rPr>
        <w:t xml:space="preserve"> mediante un cheque nominativo a nombre del señor </w:t>
      </w:r>
      <w:r w:rsidR="00D35709" w:rsidRPr="00AF1DFA">
        <w:rPr>
          <w:rFonts w:ascii="Cambria" w:eastAsia="Times New Roman" w:hAnsi="Cambria" w:cs="Times New Roman"/>
          <w:sz w:val="20"/>
          <w:szCs w:val="20"/>
          <w:lang w:val="es-ES" w:eastAsia="es-BO"/>
        </w:rPr>
        <w:t>Fabián</w:t>
      </w:r>
      <w:r w:rsidRPr="00AF1DFA">
        <w:rPr>
          <w:rFonts w:ascii="Cambria" w:eastAsia="Times New Roman" w:hAnsi="Cambria" w:cs="Times New Roman"/>
          <w:sz w:val="20"/>
          <w:szCs w:val="20"/>
          <w:lang w:val="es-ES" w:eastAsia="es-BO"/>
        </w:rPr>
        <w:t xml:space="preserve"> Pacheco </w:t>
      </w:r>
      <w:proofErr w:type="spellStart"/>
      <w:r w:rsidRPr="00AF1DFA">
        <w:rPr>
          <w:rFonts w:ascii="Cambria" w:eastAsia="Times New Roman" w:hAnsi="Cambria" w:cs="Times New Roman"/>
          <w:sz w:val="20"/>
          <w:szCs w:val="20"/>
          <w:lang w:val="es-ES" w:eastAsia="es-BO"/>
        </w:rPr>
        <w:t>Ilabaca</w:t>
      </w:r>
      <w:proofErr w:type="spellEnd"/>
      <w:r w:rsidRPr="00AF1DFA">
        <w:rPr>
          <w:rFonts w:ascii="Cambria" w:eastAsia="Times New Roman" w:hAnsi="Cambria" w:cs="Times New Roman"/>
          <w:sz w:val="20"/>
          <w:szCs w:val="20"/>
          <w:lang w:val="es-ES" w:eastAsia="es-BO"/>
        </w:rPr>
        <w:t xml:space="preserve">, abogado representante de los ex carabineros peticionarios, en el plazo de 3 meses, contando a partir </w:t>
      </w:r>
      <w:r w:rsidR="00D35709" w:rsidRPr="00AF1DFA">
        <w:rPr>
          <w:rFonts w:ascii="Cambria" w:eastAsia="Times New Roman" w:hAnsi="Cambria" w:cs="Times New Roman"/>
          <w:sz w:val="20"/>
          <w:szCs w:val="20"/>
          <w:lang w:val="es-ES" w:eastAsia="es-BO"/>
        </w:rPr>
        <w:t>de la</w:t>
      </w:r>
      <w:r w:rsidRPr="00AF1DFA">
        <w:rPr>
          <w:rFonts w:ascii="Cambria" w:eastAsia="Times New Roman" w:hAnsi="Cambria" w:cs="Times New Roman"/>
          <w:sz w:val="20"/>
          <w:szCs w:val="20"/>
          <w:lang w:val="es-ES" w:eastAsia="es-BO"/>
        </w:rPr>
        <w:t xml:space="preserve"> </w:t>
      </w:r>
      <w:r w:rsidR="00D35709" w:rsidRPr="00AF1DFA">
        <w:rPr>
          <w:rFonts w:ascii="Cambria" w:eastAsia="Times New Roman" w:hAnsi="Cambria" w:cs="Times New Roman"/>
          <w:sz w:val="20"/>
          <w:szCs w:val="20"/>
          <w:lang w:val="es-ES" w:eastAsia="es-BO"/>
        </w:rPr>
        <w:t>fecha</w:t>
      </w:r>
      <w:r w:rsidRPr="00AF1DFA">
        <w:rPr>
          <w:rFonts w:ascii="Cambria" w:eastAsia="Times New Roman" w:hAnsi="Cambria" w:cs="Times New Roman"/>
          <w:sz w:val="20"/>
          <w:szCs w:val="20"/>
          <w:lang w:val="es-ES" w:eastAsia="es-BO"/>
        </w:rPr>
        <w:t xml:space="preserve"> de suscripción del presente acuerdo, documento que le será entregado por Carabineros de Chile, previa exhibición de su cédula de identidad nacional y </w:t>
      </w:r>
      <w:r w:rsidR="00D35709" w:rsidRPr="00AF1DFA">
        <w:rPr>
          <w:rFonts w:ascii="Cambria" w:eastAsia="Times New Roman" w:hAnsi="Cambria" w:cs="Times New Roman"/>
          <w:sz w:val="20"/>
          <w:szCs w:val="20"/>
          <w:lang w:val="es-ES" w:eastAsia="es-BO"/>
        </w:rPr>
        <w:t>poder para recibir el pago, quedando obligado a realizar posteriormente transferencias electrónicas o depósitos a las cuentas bancarias de cada uno de ellos.</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D35709" w:rsidRPr="00AF1DFA" w:rsidRDefault="00D35709"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 xml:space="preserve">El señor Fabián Pacheco </w:t>
      </w:r>
      <w:proofErr w:type="spellStart"/>
      <w:r w:rsidRPr="00AF1DFA">
        <w:rPr>
          <w:rFonts w:ascii="Cambria" w:eastAsia="Times New Roman" w:hAnsi="Cambria" w:cs="Times New Roman"/>
          <w:sz w:val="20"/>
          <w:szCs w:val="20"/>
          <w:lang w:val="es-ES" w:eastAsia="es-BO"/>
        </w:rPr>
        <w:t>Ilabaca</w:t>
      </w:r>
      <w:proofErr w:type="spellEnd"/>
      <w:r w:rsidRPr="00AF1DFA">
        <w:rPr>
          <w:rFonts w:ascii="Cambria" w:eastAsia="Times New Roman" w:hAnsi="Cambria" w:cs="Times New Roman"/>
          <w:sz w:val="20"/>
          <w:szCs w:val="20"/>
          <w:lang w:val="es-ES" w:eastAsia="es-BO"/>
        </w:rPr>
        <w:t>, deberá hacer entrega a Carabineros de Chile de los comprobantes de transferencias electrónicas bancarias o depósitos que efectúa, junto con acompañar un documento donde conste su recepción por parte de los peticionarios manifestando su conformidad.</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486857" w:rsidRDefault="00486857">
      <w:pPr>
        <w:rPr>
          <w:rFonts w:ascii="Cambria" w:eastAsia="Times New Roman" w:hAnsi="Cambria" w:cs="Times New Roman"/>
          <w:b/>
          <w:sz w:val="20"/>
          <w:szCs w:val="20"/>
          <w:lang w:val="es-ES" w:eastAsia="es-BO"/>
        </w:rPr>
      </w:pPr>
      <w:r>
        <w:rPr>
          <w:rFonts w:ascii="Cambria" w:eastAsia="Times New Roman" w:hAnsi="Cambria" w:cs="Times New Roman"/>
          <w:b/>
          <w:sz w:val="20"/>
          <w:szCs w:val="20"/>
          <w:lang w:val="es-ES" w:eastAsia="es-BO"/>
        </w:rPr>
        <w:br w:type="page"/>
      </w:r>
    </w:p>
    <w:p w:rsidR="00D35709" w:rsidRPr="00AF1DFA" w:rsidRDefault="00506F18" w:rsidP="00486857">
      <w:pPr>
        <w:pStyle w:val="ListParagraph"/>
        <w:numPr>
          <w:ilvl w:val="0"/>
          <w:numId w:val="11"/>
        </w:numPr>
        <w:tabs>
          <w:tab w:val="left" w:pos="540"/>
          <w:tab w:val="left" w:pos="810"/>
        </w:tabs>
        <w:spacing w:after="0" w:line="240" w:lineRule="auto"/>
        <w:ind w:left="720" w:right="720" w:firstLine="0"/>
        <w:jc w:val="both"/>
        <w:rPr>
          <w:rFonts w:ascii="Cambria" w:eastAsia="Times New Roman" w:hAnsi="Cambria" w:cs="Times New Roman"/>
          <w:b/>
          <w:sz w:val="20"/>
          <w:szCs w:val="20"/>
          <w:lang w:val="es-ES" w:eastAsia="es-BO"/>
        </w:rPr>
      </w:pPr>
      <w:r w:rsidRPr="00AF1DFA">
        <w:rPr>
          <w:rFonts w:ascii="Cambria" w:eastAsia="Times New Roman" w:hAnsi="Cambria" w:cs="Times New Roman"/>
          <w:b/>
          <w:sz w:val="20"/>
          <w:szCs w:val="20"/>
          <w:lang w:val="es-ES" w:eastAsia="es-BO"/>
        </w:rPr>
        <w:lastRenderedPageBreak/>
        <w:t>COMISIÓN DE SEGUIMIENTO</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b/>
          <w:sz w:val="20"/>
          <w:szCs w:val="20"/>
          <w:lang w:val="es-ES" w:eastAsia="es-BO"/>
        </w:rPr>
      </w:pPr>
    </w:p>
    <w:p w:rsidR="00D35709" w:rsidRPr="00AF1DFA" w:rsidRDefault="00D35709"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10.</w:t>
      </w:r>
      <w:r w:rsidR="0054098E" w:rsidRPr="00AF1DFA">
        <w:rPr>
          <w:rFonts w:ascii="Cambria" w:eastAsia="Times New Roman" w:hAnsi="Cambria" w:cs="Times New Roman"/>
          <w:sz w:val="20"/>
          <w:szCs w:val="20"/>
          <w:lang w:val="es-ES" w:eastAsia="es-BO"/>
        </w:rPr>
        <w:tab/>
      </w:r>
      <w:r w:rsidRPr="00AF1DFA">
        <w:rPr>
          <w:rFonts w:ascii="Cambria" w:eastAsia="Times New Roman" w:hAnsi="Cambria" w:cs="Times New Roman"/>
          <w:sz w:val="20"/>
          <w:szCs w:val="20"/>
          <w:lang w:val="es-ES" w:eastAsia="es-BO"/>
        </w:rPr>
        <w:t xml:space="preserve"> A los efectos de dar seguimiento a cumplimiento de los compromisos asumidos en el presente acuerdo, las partes convienen en constituir una “Comisión de Seguimiento” coordinada por la </w:t>
      </w:r>
      <w:r w:rsidR="00376DEA" w:rsidRPr="00AF1DFA">
        <w:rPr>
          <w:rFonts w:ascii="Cambria" w:eastAsia="Times New Roman" w:hAnsi="Cambria" w:cs="Times New Roman"/>
          <w:sz w:val="20"/>
          <w:szCs w:val="20"/>
          <w:lang w:val="es-ES" w:eastAsia="es-BO"/>
        </w:rPr>
        <w:t>Dirección</w:t>
      </w:r>
      <w:r w:rsidRPr="00AF1DFA">
        <w:rPr>
          <w:rFonts w:ascii="Cambria" w:eastAsia="Times New Roman" w:hAnsi="Cambria" w:cs="Times New Roman"/>
          <w:sz w:val="20"/>
          <w:szCs w:val="20"/>
          <w:lang w:val="es-ES" w:eastAsia="es-BO"/>
        </w:rPr>
        <w:t xml:space="preserve"> de Derechos Humanos del Ministerios de Relaciones Exteriores y la </w:t>
      </w:r>
      <w:r w:rsidR="00376DEA" w:rsidRPr="00AF1DFA">
        <w:rPr>
          <w:rFonts w:ascii="Cambria" w:eastAsia="Times New Roman" w:hAnsi="Cambria" w:cs="Times New Roman"/>
          <w:sz w:val="20"/>
          <w:szCs w:val="20"/>
          <w:lang w:val="es-ES" w:eastAsia="es-BO"/>
        </w:rPr>
        <w:t>Subsecretaría</w:t>
      </w:r>
      <w:r w:rsidRPr="00AF1DFA">
        <w:rPr>
          <w:rFonts w:ascii="Cambria" w:eastAsia="Times New Roman" w:hAnsi="Cambria" w:cs="Times New Roman"/>
          <w:sz w:val="20"/>
          <w:szCs w:val="20"/>
          <w:lang w:val="es-ES" w:eastAsia="es-BO"/>
        </w:rPr>
        <w:t xml:space="preserve"> de Derechos Humanos del Ministerio de </w:t>
      </w:r>
      <w:r w:rsidR="00376DEA" w:rsidRPr="00AF1DFA">
        <w:rPr>
          <w:rFonts w:ascii="Cambria" w:eastAsia="Times New Roman" w:hAnsi="Cambria" w:cs="Times New Roman"/>
          <w:sz w:val="20"/>
          <w:szCs w:val="20"/>
          <w:lang w:val="es-ES" w:eastAsia="es-BO"/>
        </w:rPr>
        <w:t>Justicia</w:t>
      </w:r>
      <w:r w:rsidRPr="00AF1DFA">
        <w:rPr>
          <w:rFonts w:ascii="Cambria" w:eastAsia="Times New Roman" w:hAnsi="Cambria" w:cs="Times New Roman"/>
          <w:sz w:val="20"/>
          <w:szCs w:val="20"/>
          <w:lang w:val="es-ES" w:eastAsia="es-BO"/>
        </w:rPr>
        <w:t xml:space="preserve"> y Derechos Humanos, a través de sus respectivos representantes. Esta </w:t>
      </w:r>
      <w:r w:rsidR="00376DEA" w:rsidRPr="00AF1DFA">
        <w:rPr>
          <w:rFonts w:ascii="Cambria" w:eastAsia="Times New Roman" w:hAnsi="Cambria" w:cs="Times New Roman"/>
          <w:sz w:val="20"/>
          <w:szCs w:val="20"/>
          <w:lang w:val="es-ES" w:eastAsia="es-BO"/>
        </w:rPr>
        <w:t>Comisión</w:t>
      </w:r>
      <w:r w:rsidRPr="00AF1DFA">
        <w:rPr>
          <w:rFonts w:ascii="Cambria" w:eastAsia="Times New Roman" w:hAnsi="Cambria" w:cs="Times New Roman"/>
          <w:sz w:val="20"/>
          <w:szCs w:val="20"/>
          <w:lang w:val="es-ES" w:eastAsia="es-BO"/>
        </w:rPr>
        <w:t xml:space="preserve"> estará, </w:t>
      </w:r>
      <w:r w:rsidR="00376DEA" w:rsidRPr="00AF1DFA">
        <w:rPr>
          <w:rFonts w:ascii="Cambria" w:eastAsia="Times New Roman" w:hAnsi="Cambria" w:cs="Times New Roman"/>
          <w:sz w:val="20"/>
          <w:szCs w:val="20"/>
          <w:lang w:val="es-ES" w:eastAsia="es-BO"/>
        </w:rPr>
        <w:t>además integrada por u</w:t>
      </w:r>
      <w:r w:rsidR="00B0113D" w:rsidRPr="00AF1DFA">
        <w:rPr>
          <w:rFonts w:ascii="Cambria" w:eastAsia="Times New Roman" w:hAnsi="Cambria" w:cs="Times New Roman"/>
          <w:sz w:val="20"/>
          <w:szCs w:val="20"/>
          <w:lang w:val="es-ES" w:eastAsia="es-BO"/>
        </w:rPr>
        <w:t>n</w:t>
      </w:r>
      <w:r w:rsidR="00376DEA" w:rsidRPr="00AF1DFA">
        <w:rPr>
          <w:rFonts w:ascii="Cambria" w:eastAsia="Times New Roman" w:hAnsi="Cambria" w:cs="Times New Roman"/>
          <w:sz w:val="20"/>
          <w:szCs w:val="20"/>
          <w:lang w:val="es-ES" w:eastAsia="es-BO"/>
        </w:rPr>
        <w:t xml:space="preserve"> representante de Carabineros de Chile y el abogado representante de las víctimas. La metodología y frecuencia de las reuniones de esta </w:t>
      </w:r>
      <w:r w:rsidR="00B0113D" w:rsidRPr="00AF1DFA">
        <w:rPr>
          <w:rFonts w:ascii="Cambria" w:eastAsia="Times New Roman" w:hAnsi="Cambria" w:cs="Times New Roman"/>
          <w:sz w:val="20"/>
          <w:szCs w:val="20"/>
          <w:lang w:val="es-ES" w:eastAsia="es-BO"/>
        </w:rPr>
        <w:t>C</w:t>
      </w:r>
      <w:r w:rsidR="00376DEA" w:rsidRPr="00AF1DFA">
        <w:rPr>
          <w:rFonts w:ascii="Cambria" w:eastAsia="Times New Roman" w:hAnsi="Cambria" w:cs="Times New Roman"/>
          <w:sz w:val="20"/>
          <w:szCs w:val="20"/>
          <w:lang w:val="es-ES" w:eastAsia="es-BO"/>
        </w:rPr>
        <w:t xml:space="preserve">omisión será consensuado por sus integrantes. La Comisión entregará a la Secretaría Ejecutiva de la CIDH un informe de avance de las obligaciones asumidas en el presente acuerdo, cuando lo estime pertinente </w:t>
      </w:r>
      <w:r w:rsidR="00B0113D" w:rsidRPr="00AF1DFA">
        <w:rPr>
          <w:rFonts w:ascii="Cambria" w:eastAsia="Times New Roman" w:hAnsi="Cambria" w:cs="Times New Roman"/>
          <w:sz w:val="20"/>
          <w:szCs w:val="20"/>
          <w:lang w:val="es-ES" w:eastAsia="es-BO"/>
        </w:rPr>
        <w:t>o sea requerida para tal efecto por dicho órgano interamericano.</w:t>
      </w:r>
    </w:p>
    <w:p w:rsidR="00506F18" w:rsidRPr="00AF1DFA" w:rsidRDefault="00506F18" w:rsidP="00486857">
      <w:pPr>
        <w:tabs>
          <w:tab w:val="left" w:pos="540"/>
          <w:tab w:val="left" w:pos="810"/>
        </w:tabs>
        <w:spacing w:after="0" w:line="240" w:lineRule="auto"/>
        <w:ind w:left="720" w:right="720"/>
        <w:jc w:val="both"/>
        <w:rPr>
          <w:rFonts w:ascii="Cambria" w:eastAsia="Times New Roman" w:hAnsi="Cambria" w:cs="Times New Roman"/>
          <w:sz w:val="20"/>
          <w:szCs w:val="20"/>
          <w:lang w:val="es-ES" w:eastAsia="es-BO"/>
        </w:rPr>
      </w:pPr>
    </w:p>
    <w:p w:rsidR="00376DEA" w:rsidRPr="00AF1DFA" w:rsidRDefault="00506F18" w:rsidP="00486857">
      <w:pPr>
        <w:pStyle w:val="ListParagraph"/>
        <w:numPr>
          <w:ilvl w:val="0"/>
          <w:numId w:val="11"/>
        </w:numPr>
        <w:tabs>
          <w:tab w:val="left" w:pos="540"/>
          <w:tab w:val="left" w:pos="810"/>
        </w:tabs>
        <w:spacing w:after="0" w:line="240" w:lineRule="auto"/>
        <w:ind w:left="720" w:right="720" w:firstLine="0"/>
        <w:jc w:val="both"/>
        <w:rPr>
          <w:rFonts w:ascii="Cambria" w:eastAsia="Times New Roman" w:hAnsi="Cambria" w:cs="Times New Roman"/>
          <w:b/>
          <w:sz w:val="20"/>
          <w:szCs w:val="20"/>
          <w:lang w:val="es-ES" w:eastAsia="es-BO"/>
        </w:rPr>
      </w:pPr>
      <w:r w:rsidRPr="00AF1DFA">
        <w:rPr>
          <w:rFonts w:ascii="Cambria" w:eastAsia="Times New Roman" w:hAnsi="Cambria" w:cs="Times New Roman"/>
          <w:b/>
          <w:sz w:val="20"/>
          <w:szCs w:val="20"/>
          <w:lang w:val="es-ES" w:eastAsia="es-BO"/>
        </w:rPr>
        <w:t>INCUMPLIMIENTO DE LOS COMPROMISOS ACORDADOS</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b/>
          <w:sz w:val="20"/>
          <w:szCs w:val="20"/>
          <w:lang w:val="es-ES" w:eastAsia="es-BO"/>
        </w:rPr>
      </w:pPr>
    </w:p>
    <w:p w:rsidR="00506F18" w:rsidRPr="00AF1DFA" w:rsidRDefault="00376DEA" w:rsidP="00486857">
      <w:pPr>
        <w:pStyle w:val="ListParagraph"/>
        <w:numPr>
          <w:ilvl w:val="0"/>
          <w:numId w:val="13"/>
        </w:numPr>
        <w:tabs>
          <w:tab w:val="left" w:pos="540"/>
          <w:tab w:val="left" w:pos="810"/>
        </w:tabs>
        <w:spacing w:after="0" w:line="240" w:lineRule="auto"/>
        <w:ind w:right="720" w:firstLine="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El incumplimiento de los compromisos asumidos dará derecho a cualquiera de las partes a poner término al presente acuerdo de solución amistosa, informando de ello a la CIDH, lo que facultará a ésta a proseguir con la tramitación de la petición conforme a lo previsto en su Reglamento.</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sz w:val="20"/>
          <w:szCs w:val="20"/>
          <w:lang w:val="es-ES" w:eastAsia="es-BO"/>
        </w:rPr>
      </w:pPr>
    </w:p>
    <w:p w:rsidR="00376DEA" w:rsidRPr="00AF1DFA" w:rsidRDefault="00506F18" w:rsidP="00486857">
      <w:pPr>
        <w:pStyle w:val="ListParagraph"/>
        <w:numPr>
          <w:ilvl w:val="0"/>
          <w:numId w:val="11"/>
        </w:numPr>
        <w:tabs>
          <w:tab w:val="left" w:pos="540"/>
          <w:tab w:val="left" w:pos="810"/>
        </w:tabs>
        <w:spacing w:after="0" w:line="240" w:lineRule="auto"/>
        <w:ind w:left="720" w:right="720" w:firstLine="0"/>
        <w:jc w:val="both"/>
        <w:rPr>
          <w:rFonts w:ascii="Cambria" w:eastAsia="Times New Roman" w:hAnsi="Cambria" w:cs="Times New Roman"/>
          <w:b/>
          <w:sz w:val="20"/>
          <w:szCs w:val="20"/>
          <w:lang w:val="es-ES" w:eastAsia="es-BO"/>
        </w:rPr>
      </w:pPr>
      <w:r w:rsidRPr="00AF1DFA">
        <w:rPr>
          <w:rFonts w:ascii="Cambria" w:eastAsia="Times New Roman" w:hAnsi="Cambria" w:cs="Times New Roman"/>
          <w:b/>
          <w:sz w:val="20"/>
          <w:szCs w:val="20"/>
          <w:lang w:val="es-ES" w:eastAsia="es-BO"/>
        </w:rPr>
        <w:t>RENUNCIA AL REINTEGRO DE COSTAS Y GASTOS</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b/>
          <w:sz w:val="20"/>
          <w:szCs w:val="20"/>
          <w:lang w:val="es-ES" w:eastAsia="es-BO"/>
        </w:rPr>
      </w:pPr>
    </w:p>
    <w:p w:rsidR="00890B80" w:rsidRPr="00AF1DFA" w:rsidRDefault="00890B80" w:rsidP="00486857">
      <w:pPr>
        <w:pStyle w:val="ListParagraph"/>
        <w:numPr>
          <w:ilvl w:val="0"/>
          <w:numId w:val="8"/>
        </w:numPr>
        <w:tabs>
          <w:tab w:val="left" w:pos="540"/>
          <w:tab w:val="left" w:pos="810"/>
        </w:tabs>
        <w:spacing w:after="0" w:line="240" w:lineRule="auto"/>
        <w:ind w:left="720" w:right="720" w:firstLine="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Se deja claramente establecido que, con el fin de facilitar el arribo a una solución amistosa en este caso, las víctimas manifiestan renunciar a su derecho a reclamar el reintegro de costas y gastos al Estado.</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sz w:val="20"/>
          <w:szCs w:val="20"/>
          <w:lang w:val="es-ES" w:eastAsia="es-BO"/>
        </w:rPr>
      </w:pPr>
    </w:p>
    <w:p w:rsidR="00890B80" w:rsidRPr="00AF1DFA" w:rsidRDefault="00506F18" w:rsidP="00486857">
      <w:pPr>
        <w:pStyle w:val="ListParagraph"/>
        <w:numPr>
          <w:ilvl w:val="0"/>
          <w:numId w:val="11"/>
        </w:numPr>
        <w:tabs>
          <w:tab w:val="left" w:pos="540"/>
          <w:tab w:val="left" w:pos="810"/>
        </w:tabs>
        <w:spacing w:after="0" w:line="240" w:lineRule="auto"/>
        <w:ind w:left="720" w:right="720" w:firstLine="0"/>
        <w:jc w:val="both"/>
        <w:rPr>
          <w:rFonts w:ascii="Cambria" w:eastAsia="Times New Roman" w:hAnsi="Cambria" w:cs="Times New Roman"/>
          <w:b/>
          <w:sz w:val="20"/>
          <w:szCs w:val="20"/>
          <w:lang w:val="es-ES" w:eastAsia="es-BO"/>
        </w:rPr>
      </w:pPr>
      <w:r w:rsidRPr="00AF1DFA">
        <w:rPr>
          <w:rFonts w:ascii="Cambria" w:eastAsia="Times New Roman" w:hAnsi="Cambria" w:cs="Times New Roman"/>
          <w:b/>
          <w:sz w:val="20"/>
          <w:szCs w:val="20"/>
          <w:lang w:val="es-ES" w:eastAsia="es-BO"/>
        </w:rPr>
        <w:t>INTERPRETACIÓN</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b/>
          <w:sz w:val="20"/>
          <w:szCs w:val="20"/>
          <w:lang w:val="es-ES" w:eastAsia="es-BO"/>
        </w:rPr>
      </w:pPr>
    </w:p>
    <w:p w:rsidR="00004E90" w:rsidRPr="00AF1DFA" w:rsidRDefault="00890B80" w:rsidP="00486857">
      <w:pPr>
        <w:pStyle w:val="ListParagraph"/>
        <w:numPr>
          <w:ilvl w:val="0"/>
          <w:numId w:val="8"/>
        </w:numPr>
        <w:tabs>
          <w:tab w:val="left" w:pos="540"/>
          <w:tab w:val="left" w:pos="810"/>
        </w:tabs>
        <w:spacing w:after="0" w:line="240" w:lineRule="auto"/>
        <w:ind w:left="720" w:right="720" w:firstLine="0"/>
        <w:jc w:val="both"/>
        <w:rPr>
          <w:rFonts w:ascii="Cambria" w:eastAsia="Times New Roman" w:hAnsi="Cambria" w:cs="Times New Roman"/>
          <w:sz w:val="20"/>
          <w:szCs w:val="20"/>
          <w:lang w:val="es-ES" w:eastAsia="es-BO"/>
        </w:rPr>
      </w:pPr>
      <w:r w:rsidRPr="00AF1DFA">
        <w:rPr>
          <w:rFonts w:ascii="Cambria" w:eastAsia="Times New Roman" w:hAnsi="Cambria" w:cs="Times New Roman"/>
          <w:sz w:val="20"/>
          <w:szCs w:val="20"/>
          <w:lang w:val="es-ES" w:eastAsia="es-BO"/>
        </w:rPr>
        <w:t>Las partes acuerdan que el sentido y alcance del presente acuerdo se interpretan de conformidad a los artículos 29 y 30 de la CADH, en los que sea pertinente, y al principio de buena fe. En casos de duda o discrepancia entre las partes sobre el contenido del presente Acuerdo, será la CIDH la que decidirá sobre su interpretación. También corresponderá a la CIDH verificar su cumplimiento.</w:t>
      </w:r>
    </w:p>
    <w:p w:rsidR="00506F18" w:rsidRPr="00AF1DFA" w:rsidRDefault="00506F18" w:rsidP="00486857">
      <w:pPr>
        <w:pStyle w:val="ListParagraph"/>
        <w:tabs>
          <w:tab w:val="left" w:pos="540"/>
          <w:tab w:val="left" w:pos="810"/>
        </w:tabs>
        <w:spacing w:after="0" w:line="240" w:lineRule="auto"/>
        <w:ind w:right="720"/>
        <w:jc w:val="both"/>
        <w:rPr>
          <w:rFonts w:ascii="Cambria" w:eastAsia="Times New Roman" w:hAnsi="Cambria" w:cs="Times New Roman"/>
          <w:sz w:val="20"/>
          <w:szCs w:val="20"/>
          <w:lang w:val="es-ES" w:eastAsia="es-BO"/>
        </w:rPr>
      </w:pPr>
    </w:p>
    <w:p w:rsidR="00890B80" w:rsidRPr="00AF1DFA" w:rsidRDefault="00506F18" w:rsidP="00486857">
      <w:pPr>
        <w:pStyle w:val="ListParagraph"/>
        <w:numPr>
          <w:ilvl w:val="0"/>
          <w:numId w:val="11"/>
        </w:numPr>
        <w:tabs>
          <w:tab w:val="left" w:pos="540"/>
          <w:tab w:val="left" w:pos="810"/>
        </w:tabs>
        <w:spacing w:after="0" w:line="240" w:lineRule="auto"/>
        <w:ind w:left="720" w:right="720" w:firstLine="0"/>
        <w:jc w:val="both"/>
        <w:rPr>
          <w:rFonts w:ascii="Cambria" w:hAnsi="Cambria"/>
          <w:b/>
          <w:sz w:val="20"/>
          <w:szCs w:val="20"/>
          <w:lang w:val="es-ES_tradnl"/>
        </w:rPr>
      </w:pPr>
      <w:r w:rsidRPr="00AF1DFA">
        <w:rPr>
          <w:rFonts w:ascii="Cambria" w:hAnsi="Cambria"/>
          <w:b/>
          <w:sz w:val="20"/>
          <w:szCs w:val="20"/>
          <w:lang w:val="es-ES_tradnl"/>
        </w:rPr>
        <w:t>HOMOLOGACIÓN</w:t>
      </w:r>
    </w:p>
    <w:p w:rsidR="00506F18" w:rsidRPr="00AF1DFA" w:rsidRDefault="00506F18" w:rsidP="00486857">
      <w:pPr>
        <w:pStyle w:val="ListParagraph"/>
        <w:tabs>
          <w:tab w:val="left" w:pos="540"/>
          <w:tab w:val="left" w:pos="810"/>
        </w:tabs>
        <w:spacing w:after="0" w:line="240" w:lineRule="auto"/>
        <w:ind w:right="720"/>
        <w:jc w:val="both"/>
        <w:rPr>
          <w:rFonts w:ascii="Cambria" w:hAnsi="Cambria"/>
          <w:b/>
          <w:sz w:val="20"/>
          <w:szCs w:val="20"/>
          <w:lang w:val="es-ES_tradnl"/>
        </w:rPr>
      </w:pPr>
    </w:p>
    <w:p w:rsidR="00890B80" w:rsidRPr="00AF1DFA" w:rsidRDefault="00890B80" w:rsidP="00486857">
      <w:pPr>
        <w:pStyle w:val="ListParagraph"/>
        <w:numPr>
          <w:ilvl w:val="0"/>
          <w:numId w:val="8"/>
        </w:numPr>
        <w:tabs>
          <w:tab w:val="left" w:pos="540"/>
          <w:tab w:val="left" w:pos="810"/>
        </w:tabs>
        <w:spacing w:after="0" w:line="240" w:lineRule="auto"/>
        <w:ind w:left="720" w:right="720" w:firstLine="0"/>
        <w:jc w:val="both"/>
        <w:rPr>
          <w:rFonts w:ascii="Cambria" w:hAnsi="Cambria"/>
          <w:sz w:val="20"/>
          <w:szCs w:val="20"/>
          <w:lang w:val="es-ES_tradnl"/>
        </w:rPr>
      </w:pPr>
      <w:r w:rsidRPr="00AF1DFA">
        <w:rPr>
          <w:rFonts w:ascii="Cambria" w:hAnsi="Cambria"/>
          <w:sz w:val="20"/>
          <w:szCs w:val="20"/>
          <w:lang w:val="es-ES_tradnl"/>
        </w:rPr>
        <w:t>El Estado de Chile y los peticionarios, una vez que los compromisos asumidos en el presente acuerdo se cumplan en su totalidad, presentarán ante la CIDH este acuerdo de solución amistosa para su homologación y publicación de conformidad con los dispuesto en el artículo 49 de la CADH y 40.5 del Reglamento.</w:t>
      </w:r>
    </w:p>
    <w:p w:rsidR="0054098E" w:rsidRPr="00AF1DFA" w:rsidRDefault="0054098E" w:rsidP="000E0504">
      <w:pPr>
        <w:pStyle w:val="ListParagraph"/>
        <w:tabs>
          <w:tab w:val="left" w:pos="540"/>
          <w:tab w:val="left" w:pos="810"/>
        </w:tabs>
        <w:spacing w:after="0" w:line="240" w:lineRule="auto"/>
        <w:ind w:left="2160" w:right="720"/>
        <w:jc w:val="both"/>
        <w:rPr>
          <w:rFonts w:ascii="Cambria" w:hAnsi="Cambria"/>
          <w:sz w:val="20"/>
          <w:szCs w:val="20"/>
          <w:lang w:val="es-ES_tradnl"/>
        </w:rPr>
      </w:pPr>
    </w:p>
    <w:p w:rsidR="00B0113D" w:rsidRPr="00AF1DFA" w:rsidRDefault="00B0113D" w:rsidP="000E0504">
      <w:pPr>
        <w:spacing w:after="0" w:line="240" w:lineRule="auto"/>
        <w:ind w:left="720" w:right="720"/>
        <w:jc w:val="both"/>
        <w:rPr>
          <w:rFonts w:ascii="Cambria" w:hAnsi="Cambria"/>
          <w:sz w:val="20"/>
          <w:szCs w:val="20"/>
          <w:lang w:val="es-ES_tradnl"/>
        </w:rPr>
      </w:pPr>
    </w:p>
    <w:p w:rsidR="0022782C" w:rsidRPr="00AF1DFA" w:rsidRDefault="0022782C" w:rsidP="000E0504">
      <w:pPr>
        <w:pStyle w:val="ListParagraph"/>
        <w:numPr>
          <w:ilvl w:val="0"/>
          <w:numId w:val="12"/>
        </w:numPr>
        <w:spacing w:after="0" w:line="240" w:lineRule="auto"/>
        <w:ind w:left="0" w:firstLine="720"/>
        <w:rPr>
          <w:rFonts w:ascii="Cambria" w:hAnsi="Cambria"/>
          <w:b/>
          <w:sz w:val="20"/>
          <w:szCs w:val="20"/>
          <w:lang w:val="es-BO"/>
        </w:rPr>
      </w:pPr>
      <w:r w:rsidRPr="00AF1DFA">
        <w:rPr>
          <w:rFonts w:ascii="Cambria" w:hAnsi="Cambria"/>
          <w:b/>
          <w:sz w:val="20"/>
          <w:szCs w:val="20"/>
          <w:lang w:val="es-BO"/>
        </w:rPr>
        <w:t>DETERMINACIÓN D</w:t>
      </w:r>
      <w:r w:rsidR="009F1CDA" w:rsidRPr="00AF1DFA">
        <w:rPr>
          <w:rFonts w:ascii="Cambria" w:hAnsi="Cambria"/>
          <w:b/>
          <w:sz w:val="20"/>
          <w:szCs w:val="20"/>
          <w:lang w:val="es-BO"/>
        </w:rPr>
        <w:t>E COMPATIBILIDAD Y CUMPLIMIENTO</w:t>
      </w:r>
    </w:p>
    <w:p w:rsidR="00506F18" w:rsidRPr="00AF1DFA" w:rsidRDefault="00506F18" w:rsidP="000E0504">
      <w:pPr>
        <w:pStyle w:val="ListParagraph"/>
        <w:spacing w:after="0" w:line="240" w:lineRule="auto"/>
        <w:ind w:left="1440"/>
        <w:rPr>
          <w:rFonts w:ascii="Cambria" w:hAnsi="Cambria"/>
          <w:b/>
          <w:sz w:val="20"/>
          <w:szCs w:val="20"/>
          <w:lang w:val="es-BO"/>
        </w:rPr>
      </w:pPr>
    </w:p>
    <w:p w:rsidR="0022782C" w:rsidRPr="00AF1DFA" w:rsidRDefault="0022782C" w:rsidP="000E0504">
      <w:pPr>
        <w:pStyle w:val="ListParagraph"/>
        <w:numPr>
          <w:ilvl w:val="0"/>
          <w:numId w:val="13"/>
        </w:numPr>
        <w:pBdr>
          <w:top w:val="nil"/>
          <w:left w:val="nil"/>
          <w:bottom w:val="nil"/>
          <w:right w:val="nil"/>
          <w:between w:val="nil"/>
          <w:bar w:val="nil"/>
        </w:pBdr>
        <w:tabs>
          <w:tab w:val="left" w:pos="0"/>
          <w:tab w:val="left" w:pos="180"/>
        </w:tabs>
        <w:spacing w:after="0" w:line="240" w:lineRule="auto"/>
        <w:ind w:left="0" w:firstLine="720"/>
        <w:contextualSpacing w:val="0"/>
        <w:jc w:val="both"/>
        <w:rPr>
          <w:rFonts w:ascii="Cambria" w:hAnsi="Cambria" w:cs="Calibri"/>
          <w:sz w:val="20"/>
          <w:szCs w:val="20"/>
          <w:lang w:val="es-ES_tradnl"/>
        </w:rPr>
      </w:pPr>
      <w:r w:rsidRPr="00AF1DFA">
        <w:rPr>
          <w:rFonts w:ascii="Cambria" w:hAnsi="Cambria"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F1DFA">
        <w:rPr>
          <w:rFonts w:ascii="Cambria" w:hAnsi="Cambria" w:cs="Calibri"/>
          <w:i/>
          <w:sz w:val="20"/>
          <w:szCs w:val="20"/>
          <w:lang w:val="es-ES_tradnl"/>
        </w:rPr>
        <w:t>pacta sunt servanda</w:t>
      </w:r>
      <w:r w:rsidRPr="00AF1DFA">
        <w:rPr>
          <w:rFonts w:ascii="Cambria" w:hAnsi="Cambria" w:cs="Calibri"/>
          <w:sz w:val="20"/>
          <w:szCs w:val="20"/>
          <w:lang w:val="es-ES_tradnl"/>
        </w:rPr>
        <w:t>, por el cual los Estados deben cumplir de buena fe las obligaciones asumidas en los tratados</w:t>
      </w:r>
      <w:r w:rsidRPr="00AF1DFA">
        <w:rPr>
          <w:rStyle w:val="FootnoteReference"/>
          <w:rFonts w:ascii="Cambria" w:hAnsi="Cambria" w:cs="Calibri"/>
          <w:sz w:val="20"/>
          <w:szCs w:val="20"/>
          <w:lang w:val="es-ES_tradnl"/>
        </w:rPr>
        <w:footnoteReference w:id="4"/>
      </w:r>
      <w:r w:rsidRPr="00AF1DFA">
        <w:rPr>
          <w:rFonts w:ascii="Cambria" w:hAnsi="Cambria"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0E0504" w:rsidRPr="00AF1DFA" w:rsidRDefault="000E0504" w:rsidP="000E0504">
      <w:pPr>
        <w:pStyle w:val="ListParagraph"/>
        <w:pBdr>
          <w:top w:val="nil"/>
          <w:left w:val="nil"/>
          <w:bottom w:val="nil"/>
          <w:right w:val="nil"/>
          <w:between w:val="nil"/>
          <w:bar w:val="nil"/>
        </w:pBdr>
        <w:tabs>
          <w:tab w:val="left" w:pos="0"/>
          <w:tab w:val="left" w:pos="180"/>
        </w:tabs>
        <w:spacing w:after="0" w:line="240" w:lineRule="auto"/>
        <w:ind w:left="0" w:firstLine="720"/>
        <w:contextualSpacing w:val="0"/>
        <w:jc w:val="both"/>
        <w:rPr>
          <w:rFonts w:ascii="Cambria" w:hAnsi="Cambria" w:cs="Calibri"/>
          <w:sz w:val="20"/>
          <w:szCs w:val="20"/>
          <w:lang w:val="es-ES_tradnl"/>
        </w:rPr>
      </w:pPr>
    </w:p>
    <w:p w:rsidR="000E0504" w:rsidRPr="00AF1DFA" w:rsidRDefault="0022782C" w:rsidP="000E0504">
      <w:pPr>
        <w:pStyle w:val="ListParagraph"/>
        <w:numPr>
          <w:ilvl w:val="0"/>
          <w:numId w:val="13"/>
        </w:numPr>
        <w:pBdr>
          <w:top w:val="nil"/>
          <w:left w:val="nil"/>
          <w:bottom w:val="nil"/>
          <w:right w:val="nil"/>
          <w:between w:val="nil"/>
          <w:bar w:val="nil"/>
        </w:pBdr>
        <w:tabs>
          <w:tab w:val="left" w:pos="0"/>
          <w:tab w:val="left" w:pos="180"/>
        </w:tabs>
        <w:spacing w:after="0" w:line="240" w:lineRule="auto"/>
        <w:ind w:left="0" w:firstLine="720"/>
        <w:contextualSpacing w:val="0"/>
        <w:jc w:val="both"/>
        <w:rPr>
          <w:rFonts w:ascii="Cambria" w:hAnsi="Cambria" w:cs="Calibri"/>
          <w:sz w:val="20"/>
          <w:szCs w:val="20"/>
          <w:lang w:val="es-ES_tradnl"/>
        </w:rPr>
      </w:pPr>
      <w:r w:rsidRPr="00AF1DFA">
        <w:rPr>
          <w:rFonts w:ascii="Cambria" w:hAnsi="Cambria" w:cs="Calibri"/>
          <w:sz w:val="20"/>
          <w:szCs w:val="20"/>
          <w:lang w:val="es-ES_tradnl"/>
        </w:rPr>
        <w:t xml:space="preserve">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 </w:t>
      </w:r>
    </w:p>
    <w:p w:rsidR="000E0504" w:rsidRPr="00AF1DFA" w:rsidRDefault="000E0504" w:rsidP="000E0504">
      <w:pPr>
        <w:pStyle w:val="ListParagraph"/>
        <w:ind w:left="0" w:firstLine="720"/>
        <w:rPr>
          <w:rFonts w:ascii="Cambria" w:hAnsi="Cambria" w:cs="Calibri"/>
          <w:sz w:val="20"/>
          <w:szCs w:val="20"/>
          <w:lang w:val="es-ES_tradnl"/>
        </w:rPr>
      </w:pPr>
    </w:p>
    <w:p w:rsidR="000E0504" w:rsidRPr="00AF1DFA" w:rsidRDefault="0022782C" w:rsidP="000E0504">
      <w:pPr>
        <w:pStyle w:val="ListParagraph"/>
        <w:numPr>
          <w:ilvl w:val="0"/>
          <w:numId w:val="13"/>
        </w:numPr>
        <w:pBdr>
          <w:top w:val="nil"/>
          <w:left w:val="nil"/>
          <w:bottom w:val="nil"/>
          <w:right w:val="nil"/>
          <w:between w:val="nil"/>
          <w:bar w:val="nil"/>
        </w:pBdr>
        <w:tabs>
          <w:tab w:val="left" w:pos="0"/>
          <w:tab w:val="left" w:pos="180"/>
        </w:tabs>
        <w:spacing w:after="0" w:line="240" w:lineRule="auto"/>
        <w:ind w:left="0" w:firstLine="720"/>
        <w:contextualSpacing w:val="0"/>
        <w:jc w:val="both"/>
        <w:rPr>
          <w:rFonts w:ascii="Cambria" w:hAnsi="Cambria" w:cs="Calibri"/>
          <w:sz w:val="20"/>
          <w:szCs w:val="20"/>
          <w:lang w:val="es-ES_tradnl"/>
        </w:rPr>
      </w:pPr>
      <w:r w:rsidRPr="00AF1DFA">
        <w:rPr>
          <w:rFonts w:ascii="Cambria" w:hAnsi="Cambria" w:cs="Calibri"/>
          <w:sz w:val="20"/>
          <w:szCs w:val="20"/>
          <w:lang w:val="es-ES_tradnl"/>
        </w:rPr>
        <w:t>La CIDH observa que dada la información suministrada por las partes hasta este momento, corresponde valorar el cumplimiento de los compromisos establecidos en el acuerdo de solución amistosa en cua</w:t>
      </w:r>
      <w:r w:rsidR="00B0113D" w:rsidRPr="00AF1DFA">
        <w:rPr>
          <w:rFonts w:ascii="Cambria" w:hAnsi="Cambria" w:cs="Calibri"/>
          <w:sz w:val="20"/>
          <w:szCs w:val="20"/>
          <w:lang w:val="es-ES_tradnl"/>
        </w:rPr>
        <w:t>nto a las medidas de reparación.</w:t>
      </w:r>
    </w:p>
    <w:p w:rsidR="000E0504" w:rsidRPr="00AF1DFA" w:rsidRDefault="000E0504" w:rsidP="000E0504">
      <w:pPr>
        <w:pStyle w:val="ListParagraph"/>
        <w:ind w:left="0" w:firstLine="720"/>
        <w:rPr>
          <w:rFonts w:ascii="Cambria" w:hAnsi="Cambria" w:cs="Calibri"/>
          <w:sz w:val="20"/>
          <w:szCs w:val="20"/>
          <w:lang w:val="es-ES_tradnl"/>
        </w:rPr>
      </w:pPr>
    </w:p>
    <w:p w:rsidR="000E0504" w:rsidRPr="00AF1DFA" w:rsidRDefault="00B0113D" w:rsidP="000E0504">
      <w:pPr>
        <w:pStyle w:val="ListParagraph"/>
        <w:numPr>
          <w:ilvl w:val="0"/>
          <w:numId w:val="13"/>
        </w:numPr>
        <w:pBdr>
          <w:top w:val="nil"/>
          <w:left w:val="nil"/>
          <w:bottom w:val="nil"/>
          <w:right w:val="nil"/>
          <w:between w:val="nil"/>
          <w:bar w:val="nil"/>
        </w:pBdr>
        <w:tabs>
          <w:tab w:val="left" w:pos="0"/>
          <w:tab w:val="left" w:pos="180"/>
        </w:tabs>
        <w:spacing w:after="0" w:line="240" w:lineRule="auto"/>
        <w:ind w:left="0" w:firstLine="720"/>
        <w:contextualSpacing w:val="0"/>
        <w:jc w:val="both"/>
        <w:rPr>
          <w:rFonts w:ascii="Cambria" w:hAnsi="Cambria" w:cs="Calibri"/>
          <w:sz w:val="20"/>
          <w:szCs w:val="20"/>
          <w:lang w:val="es-ES_tradnl"/>
        </w:rPr>
      </w:pPr>
      <w:r w:rsidRPr="00AF1DFA">
        <w:rPr>
          <w:rFonts w:ascii="Cambria" w:hAnsi="Cambria" w:cs="Calibri"/>
          <w:sz w:val="20"/>
          <w:szCs w:val="20"/>
          <w:lang w:val="es-ES_tradnl"/>
        </w:rPr>
        <w:t>La Comisión valora el</w:t>
      </w:r>
      <w:r w:rsidR="0017187B" w:rsidRPr="00AF1DFA">
        <w:rPr>
          <w:rFonts w:ascii="Cambria" w:hAnsi="Cambria" w:cs="Calibri"/>
          <w:sz w:val="20"/>
          <w:szCs w:val="20"/>
          <w:lang w:val="es-ES_tradnl"/>
        </w:rPr>
        <w:t xml:space="preserve"> reconocimiento</w:t>
      </w:r>
      <w:r w:rsidRPr="00AF1DFA">
        <w:rPr>
          <w:rFonts w:ascii="Cambria" w:hAnsi="Cambria" w:cs="Calibri"/>
          <w:sz w:val="20"/>
          <w:szCs w:val="20"/>
          <w:lang w:val="es-ES_tradnl"/>
        </w:rPr>
        <w:t xml:space="preserve"> por parte del Estado</w:t>
      </w:r>
      <w:r w:rsidR="0017187B" w:rsidRPr="00AF1DFA">
        <w:rPr>
          <w:rFonts w:ascii="Cambria" w:hAnsi="Cambria" w:cs="Calibri"/>
          <w:sz w:val="20"/>
          <w:szCs w:val="20"/>
          <w:lang w:val="es-ES_tradnl"/>
        </w:rPr>
        <w:t xml:space="preserve"> de los hechos planteados en la petición, </w:t>
      </w:r>
      <w:r w:rsidR="006D3301" w:rsidRPr="00AF1DFA">
        <w:rPr>
          <w:rFonts w:ascii="Cambria" w:hAnsi="Cambria" w:cs="Calibri"/>
          <w:sz w:val="20"/>
          <w:szCs w:val="20"/>
          <w:lang w:val="es-ES_tradnl"/>
        </w:rPr>
        <w:t xml:space="preserve">asegún lo establecido en el punto I del acuerdo. Según lo indicado por el estado en informe de fecha 27 de marzo de 2019, en la misma reunión de firma del ASA, el Estado reconoció los hechos denunciados y se ofrecieron disculpas en nombre del Estado. Al respecto, la Comisión considera que este extremo del acuerdo se encuentra cumplido totalmente y así lo declara. </w:t>
      </w:r>
    </w:p>
    <w:p w:rsidR="000E0504" w:rsidRPr="00AF1DFA" w:rsidRDefault="000E0504" w:rsidP="000E0504">
      <w:pPr>
        <w:pStyle w:val="ListParagraph"/>
        <w:ind w:left="0" w:firstLine="720"/>
        <w:rPr>
          <w:rFonts w:ascii="Cambria" w:hAnsi="Cambria" w:cs="Calibri"/>
          <w:sz w:val="20"/>
          <w:szCs w:val="20"/>
          <w:lang w:val="es-ES_tradnl"/>
        </w:rPr>
      </w:pPr>
    </w:p>
    <w:p w:rsidR="000E0504" w:rsidRPr="00AF1DFA" w:rsidRDefault="00A72BB3" w:rsidP="000E0504">
      <w:pPr>
        <w:pStyle w:val="ListParagraph"/>
        <w:numPr>
          <w:ilvl w:val="0"/>
          <w:numId w:val="13"/>
        </w:numPr>
        <w:pBdr>
          <w:top w:val="nil"/>
          <w:left w:val="nil"/>
          <w:bottom w:val="nil"/>
          <w:right w:val="nil"/>
          <w:between w:val="nil"/>
          <w:bar w:val="nil"/>
        </w:pBdr>
        <w:tabs>
          <w:tab w:val="left" w:pos="0"/>
          <w:tab w:val="left" w:pos="180"/>
        </w:tabs>
        <w:spacing w:after="0" w:line="240" w:lineRule="auto"/>
        <w:ind w:left="0" w:firstLine="720"/>
        <w:contextualSpacing w:val="0"/>
        <w:jc w:val="both"/>
        <w:rPr>
          <w:rFonts w:ascii="Cambria" w:hAnsi="Cambria" w:cs="Calibri"/>
          <w:sz w:val="20"/>
          <w:szCs w:val="20"/>
          <w:lang w:val="es-ES_tradnl"/>
        </w:rPr>
      </w:pPr>
      <w:r w:rsidRPr="00AF1DFA">
        <w:rPr>
          <w:rFonts w:ascii="Cambria" w:hAnsi="Cambria" w:cs="Calibri"/>
          <w:sz w:val="20"/>
          <w:szCs w:val="20"/>
          <w:lang w:val="es-ES_tradnl"/>
        </w:rPr>
        <w:t xml:space="preserve">En cuanto al punto II del acuerdo, relacionado con </w:t>
      </w:r>
      <w:r w:rsidR="0022782C" w:rsidRPr="00AF1DFA">
        <w:rPr>
          <w:rFonts w:ascii="Cambria" w:hAnsi="Cambria" w:cs="Calibri"/>
          <w:sz w:val="20"/>
          <w:szCs w:val="20"/>
          <w:lang w:val="es-ES_tradnl"/>
        </w:rPr>
        <w:t xml:space="preserve">la </w:t>
      </w:r>
      <w:r w:rsidR="0017187B" w:rsidRPr="00AF1DFA">
        <w:rPr>
          <w:rFonts w:ascii="Cambria" w:hAnsi="Cambria" w:cs="Calibri"/>
          <w:sz w:val="20"/>
          <w:szCs w:val="20"/>
          <w:lang w:val="es-ES_tradnl"/>
        </w:rPr>
        <w:t xml:space="preserve">reparación económica por </w:t>
      </w:r>
      <w:r w:rsidR="00A77E1F" w:rsidRPr="00AF1DFA">
        <w:rPr>
          <w:rFonts w:ascii="Cambria" w:hAnsi="Cambria" w:cs="Calibri"/>
          <w:sz w:val="20"/>
          <w:szCs w:val="20"/>
          <w:lang w:val="es-ES_tradnl"/>
        </w:rPr>
        <w:t>daño material</w:t>
      </w:r>
      <w:r w:rsidR="00C422EB" w:rsidRPr="00AF1DFA">
        <w:rPr>
          <w:rFonts w:ascii="Cambria" w:hAnsi="Cambria" w:cs="Calibri"/>
          <w:sz w:val="20"/>
          <w:szCs w:val="20"/>
          <w:lang w:val="es-ES_tradnl"/>
        </w:rPr>
        <w:t xml:space="preserve"> e </w:t>
      </w:r>
      <w:r w:rsidR="00A77E1F" w:rsidRPr="00AF1DFA">
        <w:rPr>
          <w:rFonts w:ascii="Cambria" w:hAnsi="Cambria" w:cs="Calibri"/>
          <w:sz w:val="20"/>
          <w:szCs w:val="20"/>
          <w:lang w:val="es-ES_tradnl"/>
        </w:rPr>
        <w:t>inmaterial</w:t>
      </w:r>
      <w:r w:rsidR="00C422EB" w:rsidRPr="00AF1DFA">
        <w:rPr>
          <w:rFonts w:ascii="Cambria" w:hAnsi="Cambria" w:cs="Calibri"/>
          <w:sz w:val="20"/>
          <w:szCs w:val="20"/>
          <w:lang w:val="es-ES_tradnl"/>
        </w:rPr>
        <w:t xml:space="preserve"> para cad</w:t>
      </w:r>
      <w:r w:rsidR="0017187B" w:rsidRPr="00AF1DFA">
        <w:rPr>
          <w:rFonts w:ascii="Cambria" w:hAnsi="Cambria" w:cs="Calibri"/>
          <w:sz w:val="20"/>
          <w:szCs w:val="20"/>
          <w:lang w:val="es-ES_tradnl"/>
        </w:rPr>
        <w:t>a una de las víctimas, el 2 de mayo de 2018</w:t>
      </w:r>
      <w:r w:rsidR="00C422EB" w:rsidRPr="00AF1DFA">
        <w:rPr>
          <w:rFonts w:ascii="Cambria" w:hAnsi="Cambria" w:cs="Calibri"/>
          <w:sz w:val="20"/>
          <w:szCs w:val="20"/>
          <w:lang w:val="es-ES_tradnl"/>
        </w:rPr>
        <w:t xml:space="preserve"> Carabineros de Chile informó que se procedió a entregar al abogado </w:t>
      </w:r>
      <w:r w:rsidR="00A77E1F" w:rsidRPr="00AF1DFA">
        <w:rPr>
          <w:rFonts w:ascii="Cambria" w:hAnsi="Cambria" w:cs="Calibri"/>
          <w:sz w:val="20"/>
          <w:szCs w:val="20"/>
          <w:lang w:val="es-ES_tradnl"/>
        </w:rPr>
        <w:t>representante,</w:t>
      </w:r>
      <w:r w:rsidR="00C422EB" w:rsidRPr="00AF1DFA">
        <w:rPr>
          <w:rFonts w:ascii="Cambria" w:hAnsi="Cambria" w:cs="Calibri"/>
          <w:sz w:val="20"/>
          <w:szCs w:val="20"/>
          <w:lang w:val="es-ES_tradnl"/>
        </w:rPr>
        <w:t xml:space="preserve"> el pago e</w:t>
      </w:r>
      <w:r w:rsidR="00A77E1F" w:rsidRPr="00AF1DFA">
        <w:rPr>
          <w:rFonts w:ascii="Cambria" w:hAnsi="Cambria" w:cs="Calibri"/>
          <w:sz w:val="20"/>
          <w:szCs w:val="20"/>
          <w:lang w:val="es-ES_tradnl"/>
        </w:rPr>
        <w:t>n</w:t>
      </w:r>
      <w:r w:rsidR="00C422EB" w:rsidRPr="00AF1DFA">
        <w:rPr>
          <w:rFonts w:ascii="Cambria" w:hAnsi="Cambria" w:cs="Calibri"/>
          <w:sz w:val="20"/>
          <w:szCs w:val="20"/>
          <w:lang w:val="es-ES_tradnl"/>
        </w:rPr>
        <w:t xml:space="preserve"> concepto de reparación de cualquier eventual daño causado, sea material o inmaterial</w:t>
      </w:r>
      <w:r w:rsidR="00A77E1F" w:rsidRPr="00AF1DFA">
        <w:rPr>
          <w:rFonts w:ascii="Cambria" w:hAnsi="Cambria" w:cs="Calibri"/>
          <w:sz w:val="20"/>
          <w:szCs w:val="20"/>
          <w:lang w:val="es-ES_tradnl"/>
        </w:rPr>
        <w:t xml:space="preserve"> de los hechos que fueron denunciados; el pago se realizó por medio del Cheque N°499084 </w:t>
      </w:r>
      <w:r w:rsidR="00A77E1F" w:rsidRPr="00AF1DFA">
        <w:rPr>
          <w:rFonts w:ascii="Cambria" w:hAnsi="Cambria" w:cstheme="minorHAnsi"/>
          <w:sz w:val="20"/>
          <w:szCs w:val="20"/>
          <w:lang w:val="es-BO"/>
        </w:rPr>
        <w:t>del 21 de marzo de 2018, por el monto de $72</w:t>
      </w:r>
      <w:r w:rsidR="002879A5" w:rsidRPr="00AF1DFA">
        <w:rPr>
          <w:rFonts w:ascii="Cambria" w:hAnsi="Cambria" w:cstheme="minorHAnsi"/>
          <w:sz w:val="20"/>
          <w:szCs w:val="20"/>
          <w:lang w:val="es-BO"/>
        </w:rPr>
        <w:t>, 540,020</w:t>
      </w:r>
      <w:r w:rsidR="00A77E1F" w:rsidRPr="00AF1DFA">
        <w:rPr>
          <w:rFonts w:ascii="Cambria" w:hAnsi="Cambria" w:cstheme="minorHAnsi"/>
          <w:sz w:val="20"/>
          <w:szCs w:val="20"/>
          <w:lang w:val="es-BO"/>
        </w:rPr>
        <w:t xml:space="preserve"> pesos chilenos</w:t>
      </w:r>
      <w:r w:rsidR="00A77E1F" w:rsidRPr="00AF1DFA">
        <w:rPr>
          <w:rFonts w:ascii="Cambria" w:hAnsi="Cambria" w:cstheme="minorHAnsi"/>
          <w:sz w:val="20"/>
          <w:szCs w:val="20"/>
          <w:lang w:val="es-ES_tradnl"/>
        </w:rPr>
        <w:t xml:space="preserve">. </w:t>
      </w:r>
      <w:r w:rsidR="006D3301" w:rsidRPr="00AF1DFA">
        <w:rPr>
          <w:rFonts w:ascii="Cambria" w:hAnsi="Cambria" w:cstheme="minorHAnsi"/>
          <w:sz w:val="20"/>
          <w:szCs w:val="20"/>
          <w:lang w:val="es-ES_tradnl"/>
        </w:rPr>
        <w:t xml:space="preserve">El 1 de abril de 2019, el Estado envió a la Comisión, </w:t>
      </w:r>
      <w:r w:rsidRPr="00AF1DFA">
        <w:rPr>
          <w:rFonts w:ascii="Cambria" w:hAnsi="Cambria" w:cstheme="minorHAnsi"/>
          <w:sz w:val="20"/>
          <w:szCs w:val="20"/>
          <w:lang w:val="es-ES_tradnl"/>
        </w:rPr>
        <w:t xml:space="preserve">las actas de conformidad de cada uno de los beneficiarios y los cheques desembolsados por el representante a cada uno de ellos. Tomando en consideración los elementos de información aportados por el Estado y la confirmación de la parte peticionaria, la Comisión considera que este extremo del acuerdo se encuentra totalmente cumplido y así lo declara. </w:t>
      </w:r>
    </w:p>
    <w:p w:rsidR="000E0504" w:rsidRPr="00AF1DFA" w:rsidRDefault="000E0504" w:rsidP="000E0504">
      <w:pPr>
        <w:pStyle w:val="ListParagraph"/>
        <w:ind w:left="0" w:firstLine="720"/>
        <w:rPr>
          <w:rFonts w:ascii="Cambria" w:hAnsi="Cambria" w:cs="Calibri"/>
          <w:sz w:val="20"/>
          <w:szCs w:val="20"/>
          <w:lang w:val="es-ES_tradnl"/>
        </w:rPr>
      </w:pPr>
    </w:p>
    <w:p w:rsidR="000E0504" w:rsidRPr="00AF1DFA" w:rsidRDefault="008B5112" w:rsidP="000E0504">
      <w:pPr>
        <w:pStyle w:val="ListParagraph"/>
        <w:numPr>
          <w:ilvl w:val="0"/>
          <w:numId w:val="13"/>
        </w:numPr>
        <w:pBdr>
          <w:top w:val="nil"/>
          <w:left w:val="nil"/>
          <w:bottom w:val="nil"/>
          <w:right w:val="nil"/>
          <w:between w:val="nil"/>
          <w:bar w:val="nil"/>
        </w:pBdr>
        <w:tabs>
          <w:tab w:val="left" w:pos="0"/>
          <w:tab w:val="left" w:pos="180"/>
        </w:tabs>
        <w:spacing w:after="0" w:line="240" w:lineRule="auto"/>
        <w:ind w:left="0" w:firstLine="720"/>
        <w:contextualSpacing w:val="0"/>
        <w:jc w:val="both"/>
        <w:rPr>
          <w:rFonts w:ascii="Cambria" w:hAnsi="Cambria" w:cs="Calibri"/>
          <w:sz w:val="20"/>
          <w:szCs w:val="20"/>
          <w:lang w:val="es-ES_tradnl"/>
        </w:rPr>
      </w:pPr>
      <w:r w:rsidRPr="00AF1DFA">
        <w:rPr>
          <w:rFonts w:ascii="Cambria" w:hAnsi="Cambria" w:cs="Calibri"/>
          <w:sz w:val="20"/>
          <w:szCs w:val="20"/>
          <w:lang w:val="es-ES_tradnl"/>
        </w:rPr>
        <w:t xml:space="preserve">Con respecto a </w:t>
      </w:r>
      <w:r w:rsidR="00890B80" w:rsidRPr="00AF1DFA">
        <w:rPr>
          <w:rFonts w:ascii="Cambria" w:hAnsi="Cambria" w:cs="Calibri"/>
          <w:sz w:val="20"/>
          <w:szCs w:val="20"/>
          <w:lang w:val="es-ES_tradnl"/>
        </w:rPr>
        <w:t>la creación de la “</w:t>
      </w:r>
      <w:r w:rsidRPr="00AF1DFA">
        <w:rPr>
          <w:rFonts w:ascii="Cambria" w:hAnsi="Cambria" w:cs="Calibri"/>
          <w:sz w:val="20"/>
          <w:szCs w:val="20"/>
          <w:lang w:val="es-ES_tradnl"/>
        </w:rPr>
        <w:t>C</w:t>
      </w:r>
      <w:r w:rsidR="00890B80" w:rsidRPr="00AF1DFA">
        <w:rPr>
          <w:rFonts w:ascii="Cambria" w:hAnsi="Cambria" w:cs="Calibri"/>
          <w:sz w:val="20"/>
          <w:szCs w:val="20"/>
          <w:lang w:val="es-ES_tradnl"/>
        </w:rPr>
        <w:t>omisión de Seguimiento”</w:t>
      </w:r>
      <w:r w:rsidR="00A72BB3" w:rsidRPr="00AF1DFA">
        <w:rPr>
          <w:rFonts w:ascii="Cambria" w:hAnsi="Cambria" w:cs="Calibri"/>
          <w:sz w:val="20"/>
          <w:szCs w:val="20"/>
          <w:lang w:val="es-ES_tradnl"/>
        </w:rPr>
        <w:t xml:space="preserve"> establecida en el punto III del acuerdo</w:t>
      </w:r>
      <w:r w:rsidR="00890B80" w:rsidRPr="00AF1DFA">
        <w:rPr>
          <w:rFonts w:ascii="Cambria" w:hAnsi="Cambria" w:cs="Calibri"/>
          <w:sz w:val="20"/>
          <w:szCs w:val="20"/>
          <w:lang w:val="es-ES_tradnl"/>
        </w:rPr>
        <w:t xml:space="preserve">, </w:t>
      </w:r>
      <w:r w:rsidR="00A72BB3" w:rsidRPr="00AF1DFA">
        <w:rPr>
          <w:rFonts w:ascii="Cambria" w:hAnsi="Cambria" w:cs="Calibri"/>
          <w:sz w:val="20"/>
          <w:szCs w:val="20"/>
          <w:lang w:val="es-ES_tradnl"/>
        </w:rPr>
        <w:t>la Comisión no recibió información con respecto a su funcionamiento, pero habiéndose cumplido con los compromisos asumidos en el acuerdo de solución amistosa considera que este extremo del acuerdo también se encuentra cumplido totalmente y así lo declara.</w:t>
      </w:r>
    </w:p>
    <w:p w:rsidR="000E0504" w:rsidRPr="00AF1DFA" w:rsidRDefault="000E0504" w:rsidP="000E0504">
      <w:pPr>
        <w:pStyle w:val="ListParagraph"/>
        <w:ind w:left="0" w:firstLine="720"/>
        <w:rPr>
          <w:rFonts w:ascii="Cambria" w:hAnsi="Cambria" w:cs="Calibri"/>
          <w:sz w:val="20"/>
          <w:szCs w:val="20"/>
          <w:lang w:val="es-ES_tradnl"/>
        </w:rPr>
      </w:pPr>
    </w:p>
    <w:p w:rsidR="0022782C" w:rsidRPr="00AF1DFA" w:rsidRDefault="0022782C" w:rsidP="000E0504">
      <w:pPr>
        <w:pStyle w:val="ListParagraph"/>
        <w:numPr>
          <w:ilvl w:val="0"/>
          <w:numId w:val="13"/>
        </w:numPr>
        <w:pBdr>
          <w:top w:val="nil"/>
          <w:left w:val="nil"/>
          <w:bottom w:val="nil"/>
          <w:right w:val="nil"/>
          <w:between w:val="nil"/>
          <w:bar w:val="nil"/>
        </w:pBdr>
        <w:tabs>
          <w:tab w:val="left" w:pos="0"/>
          <w:tab w:val="left" w:pos="180"/>
        </w:tabs>
        <w:spacing w:after="0" w:line="240" w:lineRule="auto"/>
        <w:ind w:left="0" w:firstLine="720"/>
        <w:contextualSpacing w:val="0"/>
        <w:jc w:val="both"/>
        <w:rPr>
          <w:rFonts w:ascii="Cambria" w:hAnsi="Cambria" w:cs="Calibri"/>
          <w:sz w:val="20"/>
          <w:szCs w:val="20"/>
          <w:lang w:val="es-ES_tradnl"/>
        </w:rPr>
      </w:pPr>
      <w:r w:rsidRPr="00AF1DFA">
        <w:rPr>
          <w:rFonts w:ascii="Cambria" w:hAnsi="Cambria" w:cs="Calibri"/>
          <w:sz w:val="20"/>
          <w:szCs w:val="20"/>
          <w:lang w:val="es-ES_tradnl"/>
        </w:rPr>
        <w:t>Por las razones anteriores, la CIDH con</w:t>
      </w:r>
      <w:r w:rsidR="00C422EB" w:rsidRPr="00AF1DFA">
        <w:rPr>
          <w:rFonts w:ascii="Cambria" w:hAnsi="Cambria" w:cs="Calibri"/>
          <w:sz w:val="20"/>
          <w:szCs w:val="20"/>
          <w:lang w:val="es-ES_tradnl"/>
        </w:rPr>
        <w:t xml:space="preserve">sidera que </w:t>
      </w:r>
      <w:r w:rsidR="00221CE4" w:rsidRPr="00AF1DFA">
        <w:rPr>
          <w:rFonts w:ascii="Cambria" w:hAnsi="Cambria" w:cs="Calibri"/>
          <w:sz w:val="20"/>
          <w:szCs w:val="20"/>
          <w:lang w:val="es-ES_tradnl"/>
        </w:rPr>
        <w:t>los puntos I, II y III</w:t>
      </w:r>
      <w:r w:rsidRPr="00AF1DFA">
        <w:rPr>
          <w:rFonts w:ascii="Cambria" w:hAnsi="Cambria" w:cs="Calibri"/>
          <w:sz w:val="20"/>
          <w:szCs w:val="20"/>
          <w:lang w:val="es-ES_tradnl"/>
        </w:rPr>
        <w:t xml:space="preserve"> del acuerdo de solución amistosa se encuentran totalmente cumplidos y así los declara. </w:t>
      </w:r>
      <w:r w:rsidR="00221CE4" w:rsidRPr="00AF1DFA">
        <w:rPr>
          <w:rFonts w:ascii="Cambria" w:hAnsi="Cambria" w:cs="Calibri"/>
          <w:sz w:val="20"/>
          <w:szCs w:val="20"/>
          <w:lang w:val="es-ES_tradnl"/>
        </w:rPr>
        <w:t xml:space="preserve">Por otro lado, la Comisión considera que los puntos IV a VII son declarativos y se relacionan con la metodología acordada por las partes por lo que no corresponde a la Comisión pronunciarse sobre ellos. </w:t>
      </w:r>
      <w:r w:rsidRPr="00AF1DFA">
        <w:rPr>
          <w:rFonts w:ascii="Cambria" w:hAnsi="Cambria" w:cs="Calibri"/>
          <w:sz w:val="20"/>
          <w:szCs w:val="20"/>
          <w:lang w:val="es-ES_tradnl"/>
        </w:rPr>
        <w:t>Por lo anterior, la CIDH declara que el acuerdo de solución amistosa se encuentra cumplido</w:t>
      </w:r>
      <w:r w:rsidR="00A77E1F" w:rsidRPr="00AF1DFA">
        <w:rPr>
          <w:rFonts w:ascii="Cambria" w:hAnsi="Cambria" w:cs="Calibri"/>
          <w:sz w:val="20"/>
          <w:szCs w:val="20"/>
          <w:lang w:val="es-ES_tradnl"/>
        </w:rPr>
        <w:t xml:space="preserve"> totalmente.</w:t>
      </w:r>
    </w:p>
    <w:p w:rsidR="0022782C" w:rsidRPr="00AF1DFA" w:rsidRDefault="0022782C" w:rsidP="000E0504">
      <w:pPr>
        <w:pStyle w:val="ListParagraph"/>
        <w:pBdr>
          <w:top w:val="nil"/>
          <w:left w:val="nil"/>
          <w:bottom w:val="nil"/>
          <w:right w:val="nil"/>
          <w:between w:val="nil"/>
          <w:bar w:val="nil"/>
        </w:pBdr>
        <w:tabs>
          <w:tab w:val="left" w:pos="0"/>
          <w:tab w:val="left" w:pos="180"/>
        </w:tabs>
        <w:spacing w:after="0" w:line="240" w:lineRule="auto"/>
        <w:ind w:left="0"/>
        <w:contextualSpacing w:val="0"/>
        <w:jc w:val="both"/>
        <w:rPr>
          <w:rFonts w:ascii="Cambria" w:hAnsi="Cambria" w:cs="Calibri"/>
          <w:sz w:val="20"/>
          <w:szCs w:val="20"/>
          <w:highlight w:val="yellow"/>
          <w:lang w:val="es-ES_tradnl"/>
        </w:rPr>
      </w:pPr>
    </w:p>
    <w:p w:rsidR="0022782C" w:rsidRPr="00AF1DFA" w:rsidRDefault="00314646" w:rsidP="000E0504">
      <w:pPr>
        <w:pBdr>
          <w:top w:val="nil"/>
          <w:left w:val="nil"/>
          <w:bottom w:val="nil"/>
          <w:right w:val="nil"/>
          <w:between w:val="nil"/>
          <w:bar w:val="nil"/>
        </w:pBdr>
        <w:tabs>
          <w:tab w:val="left" w:pos="360"/>
        </w:tabs>
        <w:spacing w:after="0" w:line="240" w:lineRule="auto"/>
        <w:jc w:val="both"/>
        <w:rPr>
          <w:rFonts w:ascii="Cambria" w:hAnsi="Cambria" w:cs="Calibri"/>
          <w:b/>
          <w:sz w:val="20"/>
          <w:szCs w:val="20"/>
          <w:lang w:val="es-ES_tradnl"/>
        </w:rPr>
      </w:pPr>
      <w:r w:rsidRPr="00AF1DFA">
        <w:rPr>
          <w:rFonts w:ascii="Cambria" w:hAnsi="Cambria" w:cs="Calibri"/>
          <w:b/>
          <w:sz w:val="20"/>
          <w:szCs w:val="20"/>
          <w:lang w:val="es-ES_tradnl"/>
        </w:rPr>
        <w:tab/>
      </w:r>
      <w:r w:rsidRPr="00AF1DFA">
        <w:rPr>
          <w:rFonts w:ascii="Cambria" w:hAnsi="Cambria" w:cs="Calibri"/>
          <w:b/>
          <w:sz w:val="20"/>
          <w:szCs w:val="20"/>
          <w:lang w:val="es-ES_tradnl"/>
        </w:rPr>
        <w:tab/>
      </w:r>
      <w:r w:rsidR="009F1CDA" w:rsidRPr="00AF1DFA">
        <w:rPr>
          <w:rFonts w:ascii="Cambria" w:hAnsi="Cambria" w:cs="Calibri"/>
          <w:b/>
          <w:sz w:val="20"/>
          <w:szCs w:val="20"/>
          <w:lang w:val="es-ES_tradnl"/>
        </w:rPr>
        <w:t>IV.</w:t>
      </w:r>
      <w:r w:rsidRPr="00AF1DFA">
        <w:rPr>
          <w:rFonts w:ascii="Cambria" w:hAnsi="Cambria" w:cs="Calibri"/>
          <w:b/>
          <w:sz w:val="20"/>
          <w:szCs w:val="20"/>
          <w:lang w:val="es-ES_tradnl"/>
        </w:rPr>
        <w:tab/>
      </w:r>
      <w:r w:rsidR="0022782C" w:rsidRPr="00AF1DFA">
        <w:rPr>
          <w:rFonts w:ascii="Cambria" w:hAnsi="Cambria" w:cs="Calibri"/>
          <w:b/>
          <w:sz w:val="20"/>
          <w:szCs w:val="20"/>
          <w:lang w:val="es-ES_tradnl"/>
        </w:rPr>
        <w:t xml:space="preserve">CONCLUSIONES </w:t>
      </w:r>
    </w:p>
    <w:p w:rsidR="000E0504" w:rsidRPr="00AF1DFA" w:rsidRDefault="000E0504" w:rsidP="000E0504">
      <w:pPr>
        <w:pBdr>
          <w:top w:val="nil"/>
          <w:left w:val="nil"/>
          <w:bottom w:val="nil"/>
          <w:right w:val="nil"/>
          <w:between w:val="nil"/>
          <w:bar w:val="nil"/>
        </w:pBdr>
        <w:tabs>
          <w:tab w:val="left" w:pos="360"/>
        </w:tabs>
        <w:spacing w:after="0" w:line="240" w:lineRule="auto"/>
        <w:jc w:val="both"/>
        <w:rPr>
          <w:rFonts w:ascii="Cambria" w:hAnsi="Cambria" w:cs="Calibri"/>
          <w:b/>
          <w:sz w:val="20"/>
          <w:szCs w:val="20"/>
          <w:lang w:val="es-ES_tradnl"/>
        </w:rPr>
      </w:pPr>
    </w:p>
    <w:p w:rsidR="000E0504" w:rsidRPr="00AF1DFA" w:rsidRDefault="000E0504" w:rsidP="000E0504">
      <w:pPr>
        <w:pStyle w:val="ListParagraph"/>
        <w:numPr>
          <w:ilvl w:val="0"/>
          <w:numId w:val="14"/>
        </w:numPr>
        <w:pBdr>
          <w:top w:val="nil"/>
          <w:left w:val="nil"/>
          <w:bottom w:val="nil"/>
          <w:right w:val="nil"/>
          <w:between w:val="nil"/>
          <w:bar w:val="nil"/>
        </w:pBdr>
        <w:tabs>
          <w:tab w:val="left" w:pos="360"/>
        </w:tabs>
        <w:spacing w:after="0" w:line="240" w:lineRule="auto"/>
        <w:ind w:left="0" w:firstLine="810"/>
        <w:jc w:val="both"/>
        <w:rPr>
          <w:rFonts w:ascii="Cambria" w:hAnsi="Cambria" w:cs="Calibri"/>
          <w:sz w:val="20"/>
          <w:szCs w:val="20"/>
          <w:lang w:val="es-ES_tradnl"/>
        </w:rPr>
      </w:pPr>
      <w:r w:rsidRPr="00AF1DFA">
        <w:rPr>
          <w:rFonts w:ascii="Cambria" w:hAnsi="Cambria"/>
          <w:sz w:val="20"/>
          <w:szCs w:val="20"/>
          <w:lang w:val="es-ES_tradnl"/>
        </w:rPr>
        <w:t xml:space="preserve"> </w:t>
      </w:r>
      <w:r w:rsidR="0022782C" w:rsidRPr="00AF1DFA">
        <w:rPr>
          <w:rFonts w:ascii="Cambria" w:hAnsi="Cambria"/>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0E0504" w:rsidRPr="00AF1DFA" w:rsidRDefault="000E0504" w:rsidP="000E0504">
      <w:pPr>
        <w:pStyle w:val="ListParagraph"/>
        <w:pBdr>
          <w:top w:val="nil"/>
          <w:left w:val="nil"/>
          <w:bottom w:val="nil"/>
          <w:right w:val="nil"/>
          <w:between w:val="nil"/>
          <w:bar w:val="nil"/>
        </w:pBdr>
        <w:tabs>
          <w:tab w:val="left" w:pos="360"/>
        </w:tabs>
        <w:spacing w:after="0" w:line="240" w:lineRule="auto"/>
        <w:ind w:left="810"/>
        <w:jc w:val="both"/>
        <w:rPr>
          <w:rFonts w:ascii="Cambria" w:hAnsi="Cambria" w:cs="Calibri"/>
          <w:sz w:val="20"/>
          <w:szCs w:val="20"/>
          <w:lang w:val="es-ES_tradnl"/>
        </w:rPr>
      </w:pPr>
    </w:p>
    <w:p w:rsidR="0022782C" w:rsidRPr="00AF1DFA" w:rsidRDefault="0022782C" w:rsidP="000E0504">
      <w:pPr>
        <w:pStyle w:val="ListParagraph"/>
        <w:numPr>
          <w:ilvl w:val="0"/>
          <w:numId w:val="14"/>
        </w:numPr>
        <w:pBdr>
          <w:top w:val="nil"/>
          <w:left w:val="nil"/>
          <w:bottom w:val="nil"/>
          <w:right w:val="nil"/>
          <w:between w:val="nil"/>
          <w:bar w:val="nil"/>
        </w:pBdr>
        <w:tabs>
          <w:tab w:val="left" w:pos="360"/>
        </w:tabs>
        <w:spacing w:after="0" w:line="240" w:lineRule="auto"/>
        <w:ind w:left="0" w:firstLine="810"/>
        <w:jc w:val="both"/>
        <w:rPr>
          <w:rFonts w:ascii="Cambria" w:hAnsi="Cambria" w:cs="Calibri"/>
          <w:sz w:val="20"/>
          <w:szCs w:val="20"/>
          <w:lang w:val="es-ES_tradnl"/>
        </w:rPr>
      </w:pPr>
      <w:r w:rsidRPr="00AF1DFA">
        <w:rPr>
          <w:rFonts w:ascii="Cambria" w:hAnsi="Cambria"/>
          <w:sz w:val="20"/>
          <w:szCs w:val="20"/>
          <w:lang w:val="es-ES"/>
        </w:rPr>
        <w:t xml:space="preserve">En virtud de las consideraciones y conclusiones expuestas en este informe, </w:t>
      </w:r>
    </w:p>
    <w:p w:rsidR="0022782C" w:rsidRPr="00AF1DFA" w:rsidRDefault="0022782C" w:rsidP="000E0504">
      <w:pPr>
        <w:pBdr>
          <w:top w:val="nil"/>
          <w:left w:val="nil"/>
          <w:bottom w:val="nil"/>
          <w:right w:val="nil"/>
          <w:between w:val="nil"/>
          <w:bar w:val="nil"/>
        </w:pBdr>
        <w:tabs>
          <w:tab w:val="left" w:pos="360"/>
        </w:tabs>
        <w:spacing w:after="0" w:line="240" w:lineRule="auto"/>
        <w:jc w:val="both"/>
        <w:rPr>
          <w:rFonts w:ascii="Cambria" w:hAnsi="Cambria" w:cs="Calibri"/>
          <w:b/>
          <w:sz w:val="20"/>
          <w:szCs w:val="20"/>
          <w:highlight w:val="yellow"/>
          <w:lang w:val="es-ES_tradnl"/>
        </w:rPr>
      </w:pPr>
    </w:p>
    <w:p w:rsidR="0022782C" w:rsidRPr="00AF1DFA" w:rsidRDefault="0022782C" w:rsidP="000E0504">
      <w:pPr>
        <w:tabs>
          <w:tab w:val="left" w:pos="720"/>
          <w:tab w:val="left" w:pos="1440"/>
        </w:tabs>
        <w:spacing w:after="0" w:line="240" w:lineRule="auto"/>
        <w:jc w:val="center"/>
        <w:rPr>
          <w:rFonts w:ascii="Cambria" w:hAnsi="Cambria"/>
          <w:b/>
          <w:bCs/>
          <w:sz w:val="20"/>
          <w:szCs w:val="20"/>
          <w:lang w:val="es-ES"/>
        </w:rPr>
      </w:pPr>
      <w:r w:rsidRPr="00AF1DFA">
        <w:rPr>
          <w:rFonts w:ascii="Cambria" w:hAnsi="Cambria"/>
          <w:b/>
          <w:bCs/>
          <w:sz w:val="20"/>
          <w:szCs w:val="20"/>
          <w:lang w:val="es-ES"/>
        </w:rPr>
        <w:t>LA COMISIÓN INTERAMERICANA DE DERECHOS HUMANOS</w:t>
      </w:r>
    </w:p>
    <w:p w:rsidR="000E0504" w:rsidRPr="00AF1DFA" w:rsidRDefault="000E0504" w:rsidP="000E0504">
      <w:pPr>
        <w:tabs>
          <w:tab w:val="left" w:pos="720"/>
          <w:tab w:val="left" w:pos="1440"/>
        </w:tabs>
        <w:spacing w:after="0" w:line="240" w:lineRule="auto"/>
        <w:jc w:val="center"/>
        <w:rPr>
          <w:rFonts w:ascii="Cambria" w:hAnsi="Cambria"/>
          <w:b/>
          <w:bCs/>
          <w:sz w:val="20"/>
          <w:szCs w:val="20"/>
          <w:lang w:val="es-ES"/>
        </w:rPr>
      </w:pPr>
    </w:p>
    <w:p w:rsidR="0022782C" w:rsidRPr="00AF1DFA" w:rsidRDefault="0022782C" w:rsidP="000E0504">
      <w:pPr>
        <w:spacing w:after="0" w:line="240" w:lineRule="auto"/>
        <w:jc w:val="both"/>
        <w:rPr>
          <w:rFonts w:ascii="Cambria" w:hAnsi="Cambria"/>
          <w:b/>
          <w:bCs/>
          <w:sz w:val="20"/>
          <w:szCs w:val="20"/>
        </w:rPr>
      </w:pPr>
      <w:r w:rsidRPr="00AF1DFA">
        <w:rPr>
          <w:rFonts w:ascii="Cambria" w:hAnsi="Cambria"/>
          <w:b/>
          <w:bCs/>
          <w:sz w:val="20"/>
          <w:szCs w:val="20"/>
        </w:rPr>
        <w:t>DECIDE:</w:t>
      </w:r>
    </w:p>
    <w:p w:rsidR="000E0504" w:rsidRPr="00AF1DFA" w:rsidRDefault="000E0504" w:rsidP="000E0504">
      <w:pPr>
        <w:spacing w:after="0" w:line="240" w:lineRule="auto"/>
        <w:jc w:val="both"/>
        <w:rPr>
          <w:rFonts w:ascii="Cambria" w:hAnsi="Cambria"/>
          <w:b/>
          <w:bCs/>
          <w:sz w:val="20"/>
          <w:szCs w:val="20"/>
        </w:rPr>
      </w:pPr>
    </w:p>
    <w:p w:rsidR="0022782C" w:rsidRPr="00AF1DFA" w:rsidRDefault="0022782C" w:rsidP="000E0504">
      <w:pPr>
        <w:numPr>
          <w:ilvl w:val="0"/>
          <w:numId w:val="2"/>
        </w:numPr>
        <w:spacing w:after="0" w:line="240" w:lineRule="auto"/>
        <w:jc w:val="both"/>
        <w:rPr>
          <w:rFonts w:ascii="Cambria" w:hAnsi="Cambria"/>
          <w:sz w:val="20"/>
          <w:szCs w:val="20"/>
          <w:lang w:val="es-ES"/>
        </w:rPr>
      </w:pPr>
      <w:r w:rsidRPr="00AF1DFA">
        <w:rPr>
          <w:rFonts w:ascii="Cambria" w:hAnsi="Cambria"/>
          <w:sz w:val="20"/>
          <w:szCs w:val="20"/>
          <w:lang w:val="es-ES"/>
        </w:rPr>
        <w:t xml:space="preserve">Aprobar los términos del acuerdo suscrito por las partes el </w:t>
      </w:r>
      <w:r w:rsidR="009F1CDA" w:rsidRPr="00AF1DFA">
        <w:rPr>
          <w:rFonts w:ascii="Cambria" w:hAnsi="Cambria"/>
          <w:sz w:val="20"/>
          <w:szCs w:val="20"/>
          <w:lang w:val="es-ES"/>
        </w:rPr>
        <w:t>8 de marzo de2018</w:t>
      </w:r>
      <w:r w:rsidRPr="00AF1DFA">
        <w:rPr>
          <w:rFonts w:ascii="Cambria" w:hAnsi="Cambria"/>
          <w:sz w:val="20"/>
          <w:szCs w:val="20"/>
          <w:lang w:val="es-ES"/>
        </w:rPr>
        <w:t>.</w:t>
      </w:r>
    </w:p>
    <w:p w:rsidR="0022782C" w:rsidRPr="00AF1DFA" w:rsidRDefault="0022782C" w:rsidP="000E0504">
      <w:pPr>
        <w:spacing w:after="0" w:line="240" w:lineRule="auto"/>
        <w:ind w:left="720"/>
        <w:jc w:val="both"/>
        <w:rPr>
          <w:rFonts w:ascii="Cambria" w:hAnsi="Cambria"/>
          <w:sz w:val="20"/>
          <w:szCs w:val="20"/>
          <w:highlight w:val="yellow"/>
          <w:lang w:val="es-ES"/>
        </w:rPr>
      </w:pPr>
    </w:p>
    <w:p w:rsidR="00AE47D3" w:rsidRPr="00AF1DFA" w:rsidRDefault="00A77E1F" w:rsidP="00AE47D3">
      <w:pPr>
        <w:numPr>
          <w:ilvl w:val="0"/>
          <w:numId w:val="2"/>
        </w:numPr>
        <w:tabs>
          <w:tab w:val="left" w:pos="1440"/>
          <w:tab w:val="num" w:pos="3240"/>
        </w:tabs>
        <w:spacing w:after="0" w:line="240" w:lineRule="auto"/>
        <w:jc w:val="both"/>
        <w:rPr>
          <w:rFonts w:ascii="Cambria" w:hAnsi="Cambria"/>
          <w:sz w:val="20"/>
          <w:szCs w:val="20"/>
          <w:lang w:val="es-ES"/>
        </w:rPr>
      </w:pPr>
      <w:r w:rsidRPr="00AF1DFA">
        <w:rPr>
          <w:rFonts w:ascii="Cambria" w:hAnsi="Cambria"/>
          <w:sz w:val="20"/>
          <w:szCs w:val="20"/>
          <w:lang w:val="es-ES"/>
        </w:rPr>
        <w:t>Declarar cumplida</w:t>
      </w:r>
      <w:r w:rsidR="0022782C" w:rsidRPr="00AF1DFA">
        <w:rPr>
          <w:rFonts w:ascii="Cambria" w:hAnsi="Cambria"/>
          <w:sz w:val="20"/>
          <w:szCs w:val="20"/>
          <w:lang w:val="es-ES"/>
        </w:rPr>
        <w:t xml:space="preserve">s </w:t>
      </w:r>
      <w:r w:rsidR="00221CE4" w:rsidRPr="00AF1DFA">
        <w:rPr>
          <w:rFonts w:ascii="Cambria" w:hAnsi="Cambria"/>
          <w:sz w:val="20"/>
          <w:szCs w:val="20"/>
          <w:lang w:val="es-ES"/>
        </w:rPr>
        <w:t>los puntos I, II y III</w:t>
      </w:r>
      <w:r w:rsidRPr="00AF1DFA">
        <w:rPr>
          <w:rFonts w:ascii="Cambria" w:hAnsi="Cambria"/>
          <w:sz w:val="20"/>
          <w:szCs w:val="20"/>
          <w:lang w:val="es-ES"/>
        </w:rPr>
        <w:t xml:space="preserve"> </w:t>
      </w:r>
      <w:r w:rsidR="0022782C" w:rsidRPr="00AF1DFA">
        <w:rPr>
          <w:rFonts w:ascii="Cambria" w:hAnsi="Cambria"/>
          <w:sz w:val="20"/>
          <w:szCs w:val="20"/>
          <w:lang w:val="es-CO"/>
        </w:rPr>
        <w:t>de acuerdo al análisis contenido en este informe.</w:t>
      </w:r>
    </w:p>
    <w:p w:rsidR="00AD53FE" w:rsidRPr="00AF1DFA" w:rsidRDefault="00AD53FE" w:rsidP="00AD53FE">
      <w:pPr>
        <w:tabs>
          <w:tab w:val="left" w:pos="1440"/>
        </w:tabs>
        <w:spacing w:after="0" w:line="240" w:lineRule="auto"/>
        <w:jc w:val="both"/>
        <w:rPr>
          <w:rFonts w:ascii="Cambria" w:hAnsi="Cambria"/>
          <w:sz w:val="20"/>
          <w:szCs w:val="20"/>
          <w:lang w:val="es-ES"/>
        </w:rPr>
      </w:pPr>
    </w:p>
    <w:p w:rsidR="00AE47D3" w:rsidRPr="00AF1DFA" w:rsidRDefault="00AE47D3" w:rsidP="000E0504">
      <w:pPr>
        <w:numPr>
          <w:ilvl w:val="0"/>
          <w:numId w:val="2"/>
        </w:numPr>
        <w:tabs>
          <w:tab w:val="left" w:pos="1440"/>
          <w:tab w:val="num" w:pos="3240"/>
        </w:tabs>
        <w:spacing w:after="0" w:line="240" w:lineRule="auto"/>
        <w:jc w:val="both"/>
        <w:rPr>
          <w:rFonts w:ascii="Cambria" w:hAnsi="Cambria"/>
          <w:sz w:val="20"/>
          <w:szCs w:val="20"/>
          <w:lang w:val="es-ES"/>
        </w:rPr>
      </w:pPr>
      <w:r w:rsidRPr="00AF1DFA">
        <w:rPr>
          <w:rFonts w:ascii="Cambria" w:hAnsi="Cambria"/>
          <w:sz w:val="20"/>
          <w:szCs w:val="20"/>
          <w:lang w:val="es-ES"/>
        </w:rPr>
        <w:t xml:space="preserve">Declarar cumplido totalmente el acuerdo de solución amistosa. </w:t>
      </w:r>
    </w:p>
    <w:p w:rsidR="00A77E1F" w:rsidRPr="00AF1DFA" w:rsidRDefault="00A77E1F" w:rsidP="000E0504">
      <w:pPr>
        <w:tabs>
          <w:tab w:val="left" w:pos="1440"/>
          <w:tab w:val="num" w:pos="3240"/>
        </w:tabs>
        <w:spacing w:after="0" w:line="240" w:lineRule="auto"/>
        <w:ind w:left="720"/>
        <w:jc w:val="both"/>
        <w:rPr>
          <w:rFonts w:ascii="Cambria" w:hAnsi="Cambria"/>
          <w:sz w:val="20"/>
          <w:szCs w:val="20"/>
          <w:highlight w:val="yellow"/>
          <w:lang w:val="es-ES"/>
        </w:rPr>
      </w:pPr>
    </w:p>
    <w:p w:rsidR="00A8593D" w:rsidRPr="0009382B" w:rsidRDefault="009F1CDA" w:rsidP="0009382B">
      <w:pPr>
        <w:tabs>
          <w:tab w:val="num" w:pos="1440"/>
        </w:tabs>
        <w:spacing w:after="0" w:line="240" w:lineRule="auto"/>
        <w:ind w:left="720"/>
        <w:jc w:val="both"/>
        <w:rPr>
          <w:rFonts w:ascii="Cambria" w:hAnsi="Cambria"/>
          <w:sz w:val="20"/>
          <w:szCs w:val="20"/>
          <w:highlight w:val="yellow"/>
          <w:lang w:val="es-ES"/>
        </w:rPr>
      </w:pPr>
      <w:r w:rsidRPr="00AF1DFA">
        <w:rPr>
          <w:rFonts w:ascii="Cambria" w:hAnsi="Cambria"/>
          <w:sz w:val="20"/>
          <w:szCs w:val="20"/>
          <w:lang w:val="es-ES"/>
        </w:rPr>
        <w:t>4.</w:t>
      </w:r>
      <w:r w:rsidRPr="00AF1DFA">
        <w:rPr>
          <w:rFonts w:ascii="Cambria" w:hAnsi="Cambria"/>
          <w:sz w:val="20"/>
          <w:szCs w:val="20"/>
          <w:lang w:val="es-ES"/>
        </w:rPr>
        <w:tab/>
      </w:r>
      <w:r w:rsidR="0022782C" w:rsidRPr="00AF1DFA">
        <w:rPr>
          <w:rFonts w:ascii="Cambria" w:hAnsi="Cambria"/>
          <w:sz w:val="20"/>
          <w:szCs w:val="20"/>
          <w:lang w:val="es-ES"/>
        </w:rPr>
        <w:t>Hacer público el presente informe e incluirlo en su Informe Anual a la Asamblea General de la OEA.</w:t>
      </w:r>
    </w:p>
    <w:p w:rsidR="00A8593D" w:rsidRPr="00AF1DFA" w:rsidRDefault="00A8593D" w:rsidP="00C40F2F">
      <w:pPr>
        <w:spacing w:after="0" w:line="240" w:lineRule="auto"/>
        <w:ind w:firstLine="720"/>
        <w:jc w:val="both"/>
        <w:rPr>
          <w:rFonts w:ascii="Cambria" w:eastAsia="Calibri" w:hAnsi="Cambria" w:cs="Times New Roman"/>
          <w:sz w:val="20"/>
          <w:szCs w:val="20"/>
          <w:lang w:val="es-VE"/>
        </w:rPr>
      </w:pPr>
    </w:p>
    <w:p w:rsidR="00C40F2F" w:rsidRPr="00AF1DFA" w:rsidRDefault="00C40F2F" w:rsidP="00C40F2F">
      <w:pPr>
        <w:spacing w:after="0" w:line="240" w:lineRule="auto"/>
        <w:ind w:firstLine="720"/>
        <w:jc w:val="both"/>
        <w:rPr>
          <w:rFonts w:ascii="Cambria" w:eastAsia="Calibri" w:hAnsi="Cambria" w:cs="Times New Roman"/>
          <w:sz w:val="20"/>
          <w:szCs w:val="20"/>
          <w:lang w:val="es-VE"/>
        </w:rPr>
      </w:pPr>
      <w:r w:rsidRPr="00AF1DFA">
        <w:rPr>
          <w:rFonts w:ascii="Cambria" w:eastAsia="Calibri" w:hAnsi="Cambria" w:cs="Times New Roman"/>
          <w:sz w:val="20"/>
          <w:szCs w:val="20"/>
          <w:lang w:val="es-VE"/>
        </w:rPr>
        <w:t xml:space="preserve">Aprobado por la Comisión Interamericana de Derechos Humanos a los </w:t>
      </w:r>
      <w:r w:rsidR="00176823" w:rsidRPr="00AF1DFA">
        <w:rPr>
          <w:rFonts w:ascii="Cambria" w:eastAsia="Calibri" w:hAnsi="Cambria" w:cs="Times New Roman"/>
          <w:sz w:val="20"/>
          <w:szCs w:val="20"/>
          <w:lang w:val="es-VE"/>
        </w:rPr>
        <w:t>1</w:t>
      </w:r>
      <w:r w:rsidR="00314DEA" w:rsidRPr="00AF1DFA">
        <w:rPr>
          <w:rFonts w:ascii="Cambria" w:eastAsia="Calibri" w:hAnsi="Cambria" w:cs="Times New Roman"/>
          <w:sz w:val="20"/>
          <w:szCs w:val="20"/>
          <w:lang w:val="es-VE"/>
        </w:rPr>
        <w:t>6</w:t>
      </w:r>
      <w:r w:rsidRPr="00AF1DFA">
        <w:rPr>
          <w:rFonts w:ascii="Cambria" w:eastAsia="Calibri" w:hAnsi="Cambria" w:cs="Times New Roman"/>
          <w:sz w:val="20"/>
          <w:szCs w:val="20"/>
          <w:lang w:val="es-VE"/>
        </w:rPr>
        <w:t xml:space="preserve"> días del mes de </w:t>
      </w:r>
      <w:r w:rsidR="00176823" w:rsidRPr="00AF1DFA">
        <w:rPr>
          <w:rFonts w:ascii="Cambria" w:eastAsia="Calibri" w:hAnsi="Cambria" w:cs="Times New Roman"/>
          <w:sz w:val="20"/>
          <w:szCs w:val="20"/>
          <w:lang w:val="es-VE"/>
        </w:rPr>
        <w:t>abril</w:t>
      </w:r>
      <w:r w:rsidRPr="00AF1DFA">
        <w:rPr>
          <w:rFonts w:ascii="Cambria" w:eastAsia="Calibri" w:hAnsi="Cambria" w:cs="Times New Roman"/>
          <w:sz w:val="20"/>
          <w:szCs w:val="20"/>
          <w:lang w:val="es-VE"/>
        </w:rPr>
        <w:t xml:space="preserve"> de 2019. (Firmado): Esmeralda E. Arosemena Bernal de </w:t>
      </w:r>
      <w:proofErr w:type="spellStart"/>
      <w:r w:rsidRPr="00AF1DFA">
        <w:rPr>
          <w:rFonts w:ascii="Cambria" w:eastAsia="Calibri" w:hAnsi="Cambria" w:cs="Times New Roman"/>
          <w:sz w:val="20"/>
          <w:szCs w:val="20"/>
          <w:lang w:val="es-VE"/>
        </w:rPr>
        <w:t>Troitiño</w:t>
      </w:r>
      <w:proofErr w:type="spellEnd"/>
      <w:r w:rsidRPr="00AF1DFA">
        <w:rPr>
          <w:rFonts w:ascii="Cambria" w:eastAsia="Calibri" w:hAnsi="Cambria" w:cs="Times New Roman"/>
          <w:sz w:val="20"/>
          <w:szCs w:val="20"/>
          <w:lang w:val="es-VE"/>
        </w:rPr>
        <w:t xml:space="preserve">, Presidenta; Joel Hernández, Primer Vicepresidente; Francisco José Eguiguren, Margarette </w:t>
      </w:r>
      <w:proofErr w:type="spellStart"/>
      <w:r w:rsidRPr="00AF1DFA">
        <w:rPr>
          <w:rFonts w:ascii="Cambria" w:eastAsia="Calibri" w:hAnsi="Cambria" w:cs="Times New Roman"/>
          <w:sz w:val="20"/>
          <w:szCs w:val="20"/>
          <w:lang w:val="es-VE"/>
        </w:rPr>
        <w:t>May</w:t>
      </w:r>
      <w:proofErr w:type="spellEnd"/>
      <w:r w:rsidRPr="00AF1DFA">
        <w:rPr>
          <w:rFonts w:ascii="Cambria" w:eastAsia="Calibri" w:hAnsi="Cambria" w:cs="Times New Roman"/>
          <w:sz w:val="20"/>
          <w:szCs w:val="20"/>
          <w:lang w:val="es-VE"/>
        </w:rPr>
        <w:t xml:space="preserve"> Macaulay</w:t>
      </w:r>
      <w:r w:rsidR="00176823" w:rsidRPr="00AF1DFA">
        <w:rPr>
          <w:rFonts w:ascii="Cambria" w:eastAsia="Calibri" w:hAnsi="Cambria" w:cs="Times New Roman"/>
          <w:sz w:val="20"/>
          <w:szCs w:val="20"/>
          <w:lang w:val="es-VE"/>
        </w:rPr>
        <w:t xml:space="preserve">, </w:t>
      </w:r>
      <w:r w:rsidR="00176823" w:rsidRPr="00AF1DFA">
        <w:rPr>
          <w:rFonts w:ascii="Cambria" w:eastAsia="Calibri" w:hAnsi="Cambria"/>
          <w:sz w:val="20"/>
          <w:szCs w:val="20"/>
          <w:lang w:val="es-VE"/>
        </w:rPr>
        <w:t>Luis Ernesto Vargas</w:t>
      </w:r>
      <w:r w:rsidRPr="00AF1DFA">
        <w:rPr>
          <w:rFonts w:ascii="Cambria" w:eastAsia="Calibri" w:hAnsi="Cambria" w:cs="Times New Roman"/>
          <w:sz w:val="20"/>
          <w:szCs w:val="20"/>
          <w:lang w:val="es-VE"/>
        </w:rPr>
        <w:t xml:space="preserve"> y </w:t>
      </w:r>
      <w:proofErr w:type="spellStart"/>
      <w:r w:rsidRPr="00AF1DFA">
        <w:rPr>
          <w:rFonts w:ascii="Cambria" w:eastAsia="Calibri" w:hAnsi="Cambria" w:cs="Times New Roman"/>
          <w:sz w:val="20"/>
          <w:szCs w:val="20"/>
          <w:lang w:val="es-VE"/>
        </w:rPr>
        <w:t>Flávia</w:t>
      </w:r>
      <w:proofErr w:type="spellEnd"/>
      <w:r w:rsidRPr="00AF1DFA">
        <w:rPr>
          <w:rFonts w:ascii="Cambria" w:eastAsia="Calibri" w:hAnsi="Cambria" w:cs="Times New Roman"/>
          <w:sz w:val="20"/>
          <w:szCs w:val="20"/>
          <w:lang w:val="es-VE"/>
        </w:rPr>
        <w:t xml:space="preserve"> </w:t>
      </w:r>
      <w:proofErr w:type="spellStart"/>
      <w:r w:rsidRPr="00AF1DFA">
        <w:rPr>
          <w:rFonts w:ascii="Cambria" w:eastAsia="Calibri" w:hAnsi="Cambria" w:cs="Times New Roman"/>
          <w:sz w:val="20"/>
          <w:szCs w:val="20"/>
          <w:lang w:val="es-VE"/>
        </w:rPr>
        <w:t>Piovesan</w:t>
      </w:r>
      <w:proofErr w:type="spellEnd"/>
      <w:r w:rsidRPr="00AF1DFA">
        <w:rPr>
          <w:rFonts w:ascii="Cambria" w:eastAsia="Calibri" w:hAnsi="Cambria" w:cs="Times New Roman"/>
          <w:sz w:val="20"/>
          <w:szCs w:val="20"/>
          <w:lang w:val="es-VE"/>
        </w:rPr>
        <w:t>, Miembros de la Comisión.</w:t>
      </w:r>
    </w:p>
    <w:p w:rsidR="00C40F2F" w:rsidRPr="00AF1DFA" w:rsidRDefault="00C40F2F" w:rsidP="00C40F2F">
      <w:pPr>
        <w:spacing w:after="0" w:line="240" w:lineRule="auto"/>
        <w:ind w:firstLine="720"/>
        <w:jc w:val="both"/>
        <w:rPr>
          <w:rFonts w:ascii="Cambria" w:eastAsia="Calibri" w:hAnsi="Cambria" w:cs="Times New Roman"/>
          <w:sz w:val="20"/>
          <w:szCs w:val="20"/>
          <w:lang w:val="es-VE"/>
        </w:rPr>
      </w:pPr>
    </w:p>
    <w:p w:rsidR="00C40F2F" w:rsidRPr="00AF1DFA" w:rsidRDefault="00C40F2F" w:rsidP="00C40F2F">
      <w:pPr>
        <w:spacing w:after="0" w:line="240" w:lineRule="auto"/>
        <w:ind w:firstLine="720"/>
        <w:jc w:val="both"/>
        <w:rPr>
          <w:rFonts w:ascii="Cambria" w:eastAsia="Calibri" w:hAnsi="Cambria" w:cs="Times New Roman"/>
          <w:sz w:val="20"/>
          <w:szCs w:val="20"/>
          <w:lang w:val="es-VE"/>
        </w:rPr>
      </w:pPr>
    </w:p>
    <w:sectPr w:rsidR="00C40F2F" w:rsidRPr="00AF1DFA" w:rsidSect="00506F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E5" w:rsidRDefault="007144E5" w:rsidP="0022782C">
      <w:pPr>
        <w:spacing w:after="0" w:line="240" w:lineRule="auto"/>
      </w:pPr>
      <w:r>
        <w:separator/>
      </w:r>
    </w:p>
  </w:endnote>
  <w:endnote w:type="continuationSeparator" w:id="0">
    <w:p w:rsidR="007144E5" w:rsidRDefault="007144E5" w:rsidP="0022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80" w:rsidRDefault="00AA1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45946"/>
      <w:docPartObj>
        <w:docPartGallery w:val="Page Numbers (Bottom of Page)"/>
        <w:docPartUnique/>
      </w:docPartObj>
    </w:sdtPr>
    <w:sdtEndPr>
      <w:rPr>
        <w:noProof/>
        <w:sz w:val="16"/>
        <w:szCs w:val="22"/>
      </w:rPr>
    </w:sdtEndPr>
    <w:sdtContent>
      <w:p w:rsidR="00BA642C" w:rsidRPr="00934A2C" w:rsidRDefault="00BA642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A1680">
          <w:rPr>
            <w:noProof/>
            <w:sz w:val="16"/>
            <w:szCs w:val="22"/>
          </w:rPr>
          <w:t>3</w:t>
        </w:r>
        <w:r w:rsidRPr="00934A2C">
          <w:rPr>
            <w:noProof/>
            <w:sz w:val="16"/>
            <w:szCs w:val="22"/>
          </w:rPr>
          <w:fldChar w:fldCharType="end"/>
        </w:r>
      </w:p>
    </w:sdtContent>
  </w:sdt>
  <w:p w:rsidR="00BA642C" w:rsidRDefault="00BA6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2C" w:rsidRPr="00934A2C" w:rsidRDefault="00BA642C">
    <w:pPr>
      <w:pStyle w:val="Footer"/>
      <w:jc w:val="center"/>
      <w:rPr>
        <w:sz w:val="16"/>
        <w:szCs w:val="22"/>
      </w:rPr>
    </w:pPr>
  </w:p>
  <w:p w:rsidR="00BA642C" w:rsidRDefault="00BA6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E5" w:rsidRDefault="007144E5" w:rsidP="0022782C">
      <w:pPr>
        <w:spacing w:after="0" w:line="240" w:lineRule="auto"/>
      </w:pPr>
      <w:r>
        <w:separator/>
      </w:r>
    </w:p>
  </w:footnote>
  <w:footnote w:type="continuationSeparator" w:id="0">
    <w:p w:rsidR="007144E5" w:rsidRDefault="007144E5" w:rsidP="0022782C">
      <w:pPr>
        <w:spacing w:after="0" w:line="240" w:lineRule="auto"/>
      </w:pPr>
      <w:r>
        <w:continuationSeparator/>
      </w:r>
    </w:p>
  </w:footnote>
  <w:footnote w:id="1">
    <w:p w:rsidR="00487D35" w:rsidRPr="00B0113D" w:rsidRDefault="00487D35" w:rsidP="00B0113D">
      <w:pPr>
        <w:pStyle w:val="FootnoteText"/>
        <w:jc w:val="both"/>
        <w:rPr>
          <w:rFonts w:ascii="Cambria" w:hAnsi="Cambria"/>
          <w:sz w:val="16"/>
          <w:szCs w:val="16"/>
          <w:lang w:val="es-ES"/>
        </w:rPr>
      </w:pPr>
      <w:r w:rsidRPr="00B0113D">
        <w:rPr>
          <w:rStyle w:val="FootnoteReference"/>
          <w:rFonts w:ascii="Cambria" w:hAnsi="Cambria"/>
          <w:sz w:val="16"/>
          <w:szCs w:val="16"/>
        </w:rPr>
        <w:footnoteRef/>
      </w:r>
      <w:r w:rsidRPr="00B0113D">
        <w:rPr>
          <w:rFonts w:ascii="Cambria" w:hAnsi="Cambria"/>
          <w:sz w:val="16"/>
          <w:szCs w:val="16"/>
          <w:lang w:val="es-ES"/>
        </w:rPr>
        <w:t xml:space="preserve"> </w:t>
      </w:r>
      <w:r w:rsidRPr="00B0113D">
        <w:rPr>
          <w:rFonts w:ascii="Cambria" w:eastAsia="Cambria" w:hAnsi="Cambria"/>
          <w:sz w:val="16"/>
          <w:szCs w:val="16"/>
          <w:lang w:val="es-ES_tradnl"/>
        </w:rPr>
        <w:t>La Comisionada Antonia Urrejola Noguera, de nacionalidad chilena, no participó de la discusión y decisión del presente caso, conforme al artículo 17.2.a) del Reglamento de la CIDH.</w:t>
      </w:r>
    </w:p>
  </w:footnote>
  <w:footnote w:id="2">
    <w:p w:rsidR="000926F2" w:rsidRPr="00B0113D" w:rsidRDefault="000926F2" w:rsidP="00B0113D">
      <w:pPr>
        <w:pStyle w:val="FootnoteText"/>
        <w:jc w:val="both"/>
        <w:rPr>
          <w:rFonts w:ascii="Cambria" w:hAnsi="Cambria"/>
          <w:sz w:val="16"/>
          <w:szCs w:val="16"/>
          <w:lang w:val="es-ES"/>
        </w:rPr>
      </w:pPr>
      <w:r w:rsidRPr="00B0113D">
        <w:rPr>
          <w:rStyle w:val="FootnoteReference"/>
          <w:rFonts w:ascii="Cambria" w:hAnsi="Cambria"/>
          <w:sz w:val="16"/>
          <w:szCs w:val="16"/>
        </w:rPr>
        <w:footnoteRef/>
      </w:r>
      <w:r w:rsidRPr="00B0113D">
        <w:rPr>
          <w:rFonts w:ascii="Cambria" w:hAnsi="Cambria"/>
          <w:sz w:val="16"/>
          <w:szCs w:val="16"/>
          <w:lang w:val="es-ES"/>
        </w:rPr>
        <w:t xml:space="preserve"> El acuerdo de solución amistosa alcanzado en el Caso </w:t>
      </w:r>
      <w:r w:rsidRPr="00B0113D">
        <w:rPr>
          <w:rFonts w:ascii="Cambria" w:eastAsia="Times New Roman" w:hAnsi="Cambria" w:cs="Times New Roman"/>
          <w:sz w:val="16"/>
          <w:szCs w:val="16"/>
          <w:lang w:val="es-ES" w:eastAsia="es-BO"/>
        </w:rPr>
        <w:t>12.195. Mario Jara Oñate</w:t>
      </w:r>
      <w:r w:rsidR="0054098E">
        <w:rPr>
          <w:rFonts w:ascii="Cambria" w:eastAsia="Times New Roman" w:hAnsi="Cambria" w:cs="Times New Roman"/>
          <w:sz w:val="16"/>
          <w:szCs w:val="16"/>
          <w:lang w:val="es-ES" w:eastAsia="es-BO"/>
        </w:rPr>
        <w:t xml:space="preserve"> </w:t>
      </w:r>
      <w:r w:rsidRPr="00B0113D">
        <w:rPr>
          <w:rFonts w:ascii="Cambria" w:eastAsia="Times New Roman" w:hAnsi="Cambria" w:cs="Times New Roman"/>
          <w:sz w:val="16"/>
          <w:szCs w:val="16"/>
          <w:lang w:val="es-ES" w:eastAsia="es-BO"/>
        </w:rPr>
        <w:t xml:space="preserve"> y otros de Chile, fue homologado por la CIDH a través de Informe No. 163/10 de 1 de noviembre de 2010. Dicho Informe fue cesado en su supervisión por cumplimiento total en el  Informe anual del 2011, párrafos 346-354.</w:t>
      </w:r>
    </w:p>
  </w:footnote>
  <w:footnote w:id="3">
    <w:p w:rsidR="000926F2" w:rsidRPr="00B0113D" w:rsidRDefault="000926F2" w:rsidP="00B0113D">
      <w:pPr>
        <w:pStyle w:val="FootnoteText"/>
        <w:jc w:val="both"/>
        <w:rPr>
          <w:rFonts w:ascii="Cambria" w:hAnsi="Cambria"/>
          <w:sz w:val="16"/>
          <w:szCs w:val="16"/>
          <w:lang w:val="es-ES"/>
        </w:rPr>
      </w:pPr>
      <w:r w:rsidRPr="00B0113D">
        <w:rPr>
          <w:rStyle w:val="FootnoteReference"/>
          <w:rFonts w:ascii="Cambria" w:hAnsi="Cambria"/>
          <w:sz w:val="16"/>
          <w:szCs w:val="16"/>
        </w:rPr>
        <w:footnoteRef/>
      </w:r>
      <w:r w:rsidRPr="00B0113D">
        <w:rPr>
          <w:rFonts w:ascii="Cambria" w:hAnsi="Cambria"/>
          <w:sz w:val="16"/>
          <w:szCs w:val="16"/>
          <w:lang w:val="es-ES"/>
        </w:rPr>
        <w:t xml:space="preserve"> El acuerdo de solución amistosa alcanzado en el Caso </w:t>
      </w:r>
      <w:r w:rsidRPr="00B0113D">
        <w:rPr>
          <w:rFonts w:ascii="Cambria" w:eastAsia="Times New Roman" w:hAnsi="Cambria" w:cs="Times New Roman"/>
          <w:sz w:val="16"/>
          <w:szCs w:val="16"/>
          <w:lang w:val="es-ES" w:eastAsia="es-BO"/>
        </w:rPr>
        <w:t xml:space="preserve">12.281, Gilda Pizarro Jiménez y otros de Chile, fue homologado por la CIDH </w:t>
      </w:r>
      <w:r w:rsidR="00B0113D" w:rsidRPr="00B0113D">
        <w:rPr>
          <w:rFonts w:ascii="Cambria" w:eastAsia="Times New Roman" w:hAnsi="Cambria" w:cs="Times New Roman"/>
          <w:sz w:val="16"/>
          <w:szCs w:val="16"/>
          <w:lang w:val="es-ES" w:eastAsia="es-BO"/>
        </w:rPr>
        <w:t>a través de Informe No. 162/10 de 1 de noviembre de 2010. Dicho Informe fue cesado en su supervisión por cumplimiento total en el  Informe anual del 2011, párrafos 337-345.</w:t>
      </w:r>
    </w:p>
  </w:footnote>
  <w:footnote w:id="4">
    <w:p w:rsidR="00BA642C" w:rsidRPr="00B0113D" w:rsidRDefault="00BA642C" w:rsidP="00B0113D">
      <w:pPr>
        <w:pStyle w:val="FootnoteText"/>
        <w:jc w:val="both"/>
        <w:rPr>
          <w:rFonts w:ascii="Cambria" w:hAnsi="Cambria"/>
          <w:sz w:val="16"/>
          <w:szCs w:val="16"/>
          <w:lang w:val="es-ES"/>
        </w:rPr>
      </w:pPr>
      <w:r w:rsidRPr="00B0113D">
        <w:rPr>
          <w:rStyle w:val="FootnoteReference"/>
          <w:rFonts w:ascii="Cambria" w:hAnsi="Cambria"/>
          <w:sz w:val="16"/>
          <w:szCs w:val="16"/>
        </w:rPr>
        <w:footnoteRef/>
      </w:r>
      <w:r w:rsidRPr="00B0113D">
        <w:rPr>
          <w:rFonts w:ascii="Cambria" w:hAnsi="Cambria"/>
          <w:sz w:val="16"/>
          <w:szCs w:val="16"/>
          <w:lang w:val="es-ES"/>
        </w:rPr>
        <w:t xml:space="preserve"> Convención de Viena sobre el Derecho de los Tratados, U.N. </w:t>
      </w:r>
      <w:proofErr w:type="spellStart"/>
      <w:r w:rsidRPr="00B0113D">
        <w:rPr>
          <w:rFonts w:ascii="Cambria" w:hAnsi="Cambria"/>
          <w:sz w:val="16"/>
          <w:szCs w:val="16"/>
          <w:lang w:val="es-ES"/>
        </w:rPr>
        <w:t>Doc</w:t>
      </w:r>
      <w:proofErr w:type="spellEnd"/>
      <w:r w:rsidRPr="00B0113D">
        <w:rPr>
          <w:rFonts w:ascii="Cambria" w:hAnsi="Cambria"/>
          <w:sz w:val="16"/>
          <w:szCs w:val="16"/>
          <w:lang w:val="es-ES"/>
        </w:rPr>
        <w:t xml:space="preserve"> A/CONF.39/27 (1969), Artículo 26: </w:t>
      </w:r>
      <w:r w:rsidRPr="00B0113D">
        <w:rPr>
          <w:rFonts w:ascii="Cambria" w:hAnsi="Cambria"/>
          <w:b/>
          <w:sz w:val="16"/>
          <w:szCs w:val="16"/>
          <w:lang w:val="es-ES"/>
        </w:rPr>
        <w:t xml:space="preserve">"Pacta sunt servanda". </w:t>
      </w:r>
      <w:r w:rsidRPr="00B0113D">
        <w:rPr>
          <w:rFonts w:ascii="Cambria" w:hAnsi="Cambria"/>
          <w:i/>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2C" w:rsidRDefault="00BA642C" w:rsidP="00BA642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A642C" w:rsidRDefault="00BA6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2C" w:rsidRDefault="00BA642C" w:rsidP="00BA642C">
    <w:pPr>
      <w:pStyle w:val="Header"/>
      <w:tabs>
        <w:tab w:val="clear" w:pos="4320"/>
        <w:tab w:val="clear" w:pos="8640"/>
      </w:tabs>
      <w:jc w:val="center"/>
      <w:rPr>
        <w:sz w:val="22"/>
        <w:szCs w:val="22"/>
      </w:rPr>
    </w:pPr>
    <w:r>
      <w:rPr>
        <w:noProof/>
        <w:sz w:val="22"/>
        <w:szCs w:val="22"/>
      </w:rPr>
      <w:drawing>
        <wp:inline distT="0" distB="0" distL="0" distR="0" wp14:anchorId="285CB100" wp14:editId="06FF21E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A642C" w:rsidRPr="00EC7D62" w:rsidRDefault="007144E5" w:rsidP="00BA642C">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80" w:rsidRDefault="00AA1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47D8"/>
    <w:multiLevelType w:val="hybridMultilevel"/>
    <w:tmpl w:val="B62C45B8"/>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14512E55"/>
    <w:multiLevelType w:val="hybridMultilevel"/>
    <w:tmpl w:val="54303734"/>
    <w:lvl w:ilvl="0" w:tplc="11D8F9B0">
      <w:start w:val="1"/>
      <w:numFmt w:val="decimal"/>
      <w:lvlText w:val="%1."/>
      <w:lvlJc w:val="left"/>
      <w:pPr>
        <w:ind w:left="2160" w:hanging="144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75668B7"/>
    <w:multiLevelType w:val="hybridMultilevel"/>
    <w:tmpl w:val="D230157C"/>
    <w:lvl w:ilvl="0" w:tplc="BF24410C">
      <w:start w:val="1"/>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20300AC8"/>
    <w:multiLevelType w:val="hybridMultilevel"/>
    <w:tmpl w:val="3C08618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4E3826"/>
    <w:multiLevelType w:val="hybridMultilevel"/>
    <w:tmpl w:val="4BD223AE"/>
    <w:lvl w:ilvl="0" w:tplc="A27265F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0F10084"/>
    <w:multiLevelType w:val="hybridMultilevel"/>
    <w:tmpl w:val="E39804A6"/>
    <w:lvl w:ilvl="0" w:tplc="20DCFAD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C295350"/>
    <w:multiLevelType w:val="hybridMultilevel"/>
    <w:tmpl w:val="C470A6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DC3DBF"/>
    <w:multiLevelType w:val="hybridMultilevel"/>
    <w:tmpl w:val="2E3883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15:restartNumberingAfterBreak="0">
    <w:nsid w:val="64A25E34"/>
    <w:multiLevelType w:val="hybridMultilevel"/>
    <w:tmpl w:val="6CF6A1D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87B130B"/>
    <w:multiLevelType w:val="hybridMultilevel"/>
    <w:tmpl w:val="DE7487F2"/>
    <w:lvl w:ilvl="0" w:tplc="DD9AE74C">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2462963"/>
    <w:multiLevelType w:val="hybridMultilevel"/>
    <w:tmpl w:val="904A03D0"/>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2"/>
  </w:num>
  <w:num w:numId="6">
    <w:abstractNumId w:val="10"/>
  </w:num>
  <w:num w:numId="7">
    <w:abstractNumId w:val="7"/>
  </w:num>
  <w:num w:numId="8">
    <w:abstractNumId w:val="1"/>
  </w:num>
  <w:num w:numId="9">
    <w:abstractNumId w:val="4"/>
  </w:num>
  <w:num w:numId="10">
    <w:abstractNumId w:val="6"/>
  </w:num>
  <w:num w:numId="11">
    <w:abstractNumId w:val="2"/>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51"/>
    <w:rsid w:val="00004E90"/>
    <w:rsid w:val="00055254"/>
    <w:rsid w:val="000926F2"/>
    <w:rsid w:val="0009382B"/>
    <w:rsid w:val="000E0504"/>
    <w:rsid w:val="000F1674"/>
    <w:rsid w:val="00123D0C"/>
    <w:rsid w:val="0017187B"/>
    <w:rsid w:val="00176823"/>
    <w:rsid w:val="001857EF"/>
    <w:rsid w:val="00221CE4"/>
    <w:rsid w:val="0022782C"/>
    <w:rsid w:val="002879A5"/>
    <w:rsid w:val="00295E09"/>
    <w:rsid w:val="002A2F1B"/>
    <w:rsid w:val="002A2FB9"/>
    <w:rsid w:val="00314646"/>
    <w:rsid w:val="00314DEA"/>
    <w:rsid w:val="00376DEA"/>
    <w:rsid w:val="003F122F"/>
    <w:rsid w:val="00461047"/>
    <w:rsid w:val="00486857"/>
    <w:rsid w:val="00487D35"/>
    <w:rsid w:val="004E6DB7"/>
    <w:rsid w:val="00503A52"/>
    <w:rsid w:val="00506F18"/>
    <w:rsid w:val="00536ADB"/>
    <w:rsid w:val="0054098E"/>
    <w:rsid w:val="00610851"/>
    <w:rsid w:val="006D3301"/>
    <w:rsid w:val="007144E5"/>
    <w:rsid w:val="00766CAA"/>
    <w:rsid w:val="008369B3"/>
    <w:rsid w:val="00847564"/>
    <w:rsid w:val="00873713"/>
    <w:rsid w:val="00890B80"/>
    <w:rsid w:val="008B5112"/>
    <w:rsid w:val="009A1A41"/>
    <w:rsid w:val="009F1CDA"/>
    <w:rsid w:val="009F1ECC"/>
    <w:rsid w:val="00A72BB3"/>
    <w:rsid w:val="00A77E1F"/>
    <w:rsid w:val="00A8593D"/>
    <w:rsid w:val="00AA1680"/>
    <w:rsid w:val="00AD53FE"/>
    <w:rsid w:val="00AE47D3"/>
    <w:rsid w:val="00AF1DFA"/>
    <w:rsid w:val="00B0113D"/>
    <w:rsid w:val="00B12AC1"/>
    <w:rsid w:val="00B21D93"/>
    <w:rsid w:val="00B95125"/>
    <w:rsid w:val="00BA642C"/>
    <w:rsid w:val="00BF47E1"/>
    <w:rsid w:val="00C40F2F"/>
    <w:rsid w:val="00C422EB"/>
    <w:rsid w:val="00C4543C"/>
    <w:rsid w:val="00C45E85"/>
    <w:rsid w:val="00D35709"/>
    <w:rsid w:val="00DC63CF"/>
    <w:rsid w:val="00EC3642"/>
    <w:rsid w:val="00EE37C3"/>
    <w:rsid w:val="00EE5F79"/>
    <w:rsid w:val="00EF5635"/>
    <w:rsid w:val="00F1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51"/>
  </w:style>
  <w:style w:type="paragraph" w:styleId="Heading1">
    <w:name w:val="heading 1"/>
    <w:basedOn w:val="Normal"/>
    <w:link w:val="Heading1Char"/>
    <w:uiPriority w:val="9"/>
    <w:qFormat/>
    <w:rsid w:val="0022782C"/>
    <w:pPr>
      <w:keepNext/>
      <w:spacing w:after="0" w:line="240" w:lineRule="auto"/>
      <w:jc w:val="center"/>
      <w:outlineLvl w:val="0"/>
    </w:pPr>
    <w:rPr>
      <w:rFonts w:ascii="Verdana" w:eastAsia="Times New Roman" w:hAnsi="Verdana" w:cs="Times New Roman"/>
      <w:b/>
      <w:bCs/>
      <w:kern w:val="36"/>
      <w:sz w:val="20"/>
      <w:szCs w:val="20"/>
      <w:lang w:val="es-BO" w:eastAsia="es-BO"/>
    </w:rPr>
  </w:style>
  <w:style w:type="paragraph" w:styleId="Heading4">
    <w:name w:val="heading 4"/>
    <w:basedOn w:val="Normal"/>
    <w:link w:val="Heading4Char"/>
    <w:uiPriority w:val="9"/>
    <w:qFormat/>
    <w:rsid w:val="0022782C"/>
    <w:pPr>
      <w:keepNext/>
      <w:spacing w:after="0" w:line="240" w:lineRule="auto"/>
      <w:ind w:firstLine="720"/>
      <w:outlineLvl w:val="3"/>
    </w:pPr>
    <w:rPr>
      <w:rFonts w:ascii="Univers" w:eastAsia="Times New Roman" w:hAnsi="Univers" w:cs="Times New Roman"/>
      <w:b/>
      <w:bCs/>
      <w:lang w:val="es-BO" w:eastAsia="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610851"/>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610851"/>
    <w:rPr>
      <w:rFonts w:ascii="Cambria" w:eastAsia="Cambria" w:hAnsi="Cambria" w:cs="Cambria"/>
      <w:color w:val="000000"/>
      <w:sz w:val="24"/>
      <w:szCs w:val="24"/>
      <w:u w:color="000000"/>
      <w:bdr w:val="nil"/>
      <w:lang w:eastAsia="es-ES"/>
    </w:rPr>
  </w:style>
  <w:style w:type="paragraph" w:styleId="Header">
    <w:name w:val="header"/>
    <w:aliases w:val="encabezado"/>
    <w:basedOn w:val="Normal"/>
    <w:link w:val="HeaderChar"/>
    <w:rsid w:val="00610851"/>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basedOn w:val="DefaultParagraphFont"/>
    <w:link w:val="Header"/>
    <w:rsid w:val="00610851"/>
    <w:rPr>
      <w:rFonts w:ascii="Univers" w:eastAsia="Times New Roman" w:hAnsi="Univers" w:cs="Univers"/>
      <w:sz w:val="24"/>
      <w:szCs w:val="24"/>
    </w:rPr>
  </w:style>
  <w:style w:type="character" w:styleId="PageNumber">
    <w:name w:val="page number"/>
    <w:basedOn w:val="DefaultParagraphFont"/>
    <w:rsid w:val="00610851"/>
  </w:style>
  <w:style w:type="character" w:customStyle="1" w:styleId="Heading1Char">
    <w:name w:val="Heading 1 Char"/>
    <w:basedOn w:val="DefaultParagraphFont"/>
    <w:link w:val="Heading1"/>
    <w:uiPriority w:val="9"/>
    <w:rsid w:val="0022782C"/>
    <w:rPr>
      <w:rFonts w:ascii="Verdana" w:eastAsia="Times New Roman" w:hAnsi="Verdana" w:cs="Times New Roman"/>
      <w:b/>
      <w:bCs/>
      <w:kern w:val="36"/>
      <w:sz w:val="20"/>
      <w:szCs w:val="20"/>
      <w:lang w:val="es-BO" w:eastAsia="es-BO"/>
    </w:rPr>
  </w:style>
  <w:style w:type="character" w:customStyle="1" w:styleId="Heading4Char">
    <w:name w:val="Heading 4 Char"/>
    <w:basedOn w:val="DefaultParagraphFont"/>
    <w:link w:val="Heading4"/>
    <w:uiPriority w:val="9"/>
    <w:rsid w:val="0022782C"/>
    <w:rPr>
      <w:rFonts w:ascii="Univers" w:eastAsia="Times New Roman" w:hAnsi="Univers" w:cs="Times New Roman"/>
      <w:b/>
      <w:bCs/>
      <w:lang w:val="es-BO" w:eastAsia="es-BO"/>
    </w:rPr>
  </w:style>
  <w:style w:type="paragraph" w:styleId="BodyText">
    <w:name w:val="Body Text"/>
    <w:basedOn w:val="Normal"/>
    <w:link w:val="BodyTextChar"/>
    <w:uiPriority w:val="99"/>
    <w:semiHidden/>
    <w:unhideWhenUsed/>
    <w:rsid w:val="0022782C"/>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BodyTextChar">
    <w:name w:val="Body Text Char"/>
    <w:basedOn w:val="DefaultParagraphFont"/>
    <w:link w:val="BodyText"/>
    <w:uiPriority w:val="99"/>
    <w:semiHidden/>
    <w:rsid w:val="0022782C"/>
    <w:rPr>
      <w:rFonts w:ascii="Times New Roman" w:eastAsia="Times New Roman" w:hAnsi="Times New Roman" w:cs="Times New Roman"/>
      <w:sz w:val="24"/>
      <w:szCs w:val="24"/>
      <w:lang w:val="es-BO" w:eastAsia="es-BO"/>
    </w:rPr>
  </w:style>
  <w:style w:type="paragraph" w:styleId="BodyTextIndent">
    <w:name w:val="Body Text Indent"/>
    <w:basedOn w:val="Normal"/>
    <w:link w:val="BodyTextIndentChar"/>
    <w:uiPriority w:val="99"/>
    <w:semiHidden/>
    <w:unhideWhenUsed/>
    <w:rsid w:val="0022782C"/>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BodyTextIndentChar">
    <w:name w:val="Body Text Indent Char"/>
    <w:basedOn w:val="DefaultParagraphFont"/>
    <w:link w:val="BodyTextIndent"/>
    <w:uiPriority w:val="99"/>
    <w:semiHidden/>
    <w:rsid w:val="0022782C"/>
    <w:rPr>
      <w:rFonts w:ascii="Times New Roman" w:eastAsia="Times New Roman" w:hAnsi="Times New Roman" w:cs="Times New Roman"/>
      <w:sz w:val="24"/>
      <w:szCs w:val="24"/>
      <w:lang w:val="es-BO" w:eastAsia="es-BO"/>
    </w:rPr>
  </w:style>
  <w:style w:type="paragraph" w:styleId="ListParagraph">
    <w:name w:val="List Paragraph"/>
    <w:basedOn w:val="Normal"/>
    <w:uiPriority w:val="34"/>
    <w:qFormat/>
    <w:rsid w:val="0022782C"/>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sid w:val="0022782C"/>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rsid w:val="0022782C"/>
    <w:rPr>
      <w:rFonts w:ascii="Calibri" w:eastAsia="Calibri" w:hAnsi="Calibri" w:cs="Calibri"/>
      <w:color w:val="000000"/>
      <w:sz w:val="20"/>
      <w:szCs w:val="20"/>
      <w:u w:color="000000"/>
      <w:bdr w:val="nil"/>
      <w:lang w:eastAsia="es-E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22782C"/>
    <w:rPr>
      <w:vertAlign w:val="superscript"/>
    </w:rPr>
  </w:style>
  <w:style w:type="character" w:styleId="CommentReference">
    <w:name w:val="annotation reference"/>
    <w:basedOn w:val="DefaultParagraphFont"/>
    <w:uiPriority w:val="99"/>
    <w:semiHidden/>
    <w:unhideWhenUsed/>
    <w:rsid w:val="00DC63CF"/>
    <w:rPr>
      <w:sz w:val="16"/>
      <w:szCs w:val="16"/>
    </w:rPr>
  </w:style>
  <w:style w:type="paragraph" w:styleId="CommentText">
    <w:name w:val="annotation text"/>
    <w:basedOn w:val="Normal"/>
    <w:link w:val="CommentTextChar"/>
    <w:uiPriority w:val="99"/>
    <w:semiHidden/>
    <w:unhideWhenUsed/>
    <w:rsid w:val="00DC63CF"/>
    <w:pPr>
      <w:spacing w:line="240" w:lineRule="auto"/>
    </w:pPr>
    <w:rPr>
      <w:sz w:val="20"/>
      <w:szCs w:val="20"/>
    </w:rPr>
  </w:style>
  <w:style w:type="character" w:customStyle="1" w:styleId="CommentTextChar">
    <w:name w:val="Comment Text Char"/>
    <w:basedOn w:val="DefaultParagraphFont"/>
    <w:link w:val="CommentText"/>
    <w:uiPriority w:val="99"/>
    <w:semiHidden/>
    <w:rsid w:val="00DC63CF"/>
    <w:rPr>
      <w:sz w:val="20"/>
      <w:szCs w:val="20"/>
    </w:rPr>
  </w:style>
  <w:style w:type="paragraph" w:styleId="CommentSubject">
    <w:name w:val="annotation subject"/>
    <w:basedOn w:val="CommentText"/>
    <w:next w:val="CommentText"/>
    <w:link w:val="CommentSubjectChar"/>
    <w:uiPriority w:val="99"/>
    <w:semiHidden/>
    <w:unhideWhenUsed/>
    <w:rsid w:val="00DC63CF"/>
    <w:rPr>
      <w:b/>
      <w:bCs/>
    </w:rPr>
  </w:style>
  <w:style w:type="character" w:customStyle="1" w:styleId="CommentSubjectChar">
    <w:name w:val="Comment Subject Char"/>
    <w:basedOn w:val="CommentTextChar"/>
    <w:link w:val="CommentSubject"/>
    <w:uiPriority w:val="99"/>
    <w:semiHidden/>
    <w:rsid w:val="00DC63CF"/>
    <w:rPr>
      <w:b/>
      <w:bCs/>
      <w:sz w:val="20"/>
      <w:szCs w:val="20"/>
    </w:rPr>
  </w:style>
  <w:style w:type="paragraph" w:styleId="BalloonText">
    <w:name w:val="Balloon Text"/>
    <w:basedOn w:val="Normal"/>
    <w:link w:val="BalloonTextChar"/>
    <w:uiPriority w:val="99"/>
    <w:semiHidden/>
    <w:unhideWhenUsed/>
    <w:rsid w:val="00DC6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8782-E6C2-42D8-A234-D37458F4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3173</Words>
  <Characters>18089</Characters>
  <Application>Microsoft Office Word</Application>
  <DocSecurity>0</DocSecurity>
  <Lines>150</Lines>
  <Paragraphs>42</Paragraphs>
  <ScaleCrop>false</ScaleCrop>
  <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37/19</dc:title>
  <dc:creator/>
  <cp:lastModifiedBy/>
  <cp:revision>1</cp:revision>
  <dcterms:created xsi:type="dcterms:W3CDTF">2019-05-16T15:36:00Z</dcterms:created>
  <dcterms:modified xsi:type="dcterms:W3CDTF">2019-05-16T15:37:00Z</dcterms:modified>
</cp:coreProperties>
</file>