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3AC1C14" wp14:editId="3CBDF79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243E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D145C2" wp14:editId="1D6E09C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56F029E0" wp14:editId="56834F5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145C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56F029E0" wp14:editId="56834F5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17908A2" wp14:editId="3B4CE852">
                <wp:simplePos x="0" y="0"/>
                <wp:positionH relativeFrom="column">
                  <wp:posOffset>1376404</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B140D">
                              <w:rPr>
                                <w:rFonts w:asciiTheme="majorHAnsi" w:hAnsiTheme="majorHAnsi" w:cs="Arial"/>
                                <w:b/>
                                <w:bCs/>
                                <w:color w:val="0D0D0D" w:themeColor="text1" w:themeTint="F2"/>
                                <w:sz w:val="36"/>
                                <w:szCs w:val="22"/>
                                <w:lang w:val="es-ES_tradnl"/>
                              </w:rPr>
                              <w:t>3/19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16CC4">
                              <w:rPr>
                                <w:rFonts w:asciiTheme="majorHAnsi" w:hAnsiTheme="majorHAnsi" w:cs="Arial"/>
                                <w:b/>
                                <w:color w:val="0D0D0D" w:themeColor="text1" w:themeTint="F2"/>
                                <w:sz w:val="36"/>
                                <w:szCs w:val="22"/>
                                <w:lang w:val="es-ES_tradnl"/>
                              </w:rPr>
                              <w:t>1027</w:t>
                            </w:r>
                            <w:r w:rsidR="00246D1F" w:rsidRPr="004E2649">
                              <w:rPr>
                                <w:rFonts w:asciiTheme="majorHAnsi" w:hAnsiTheme="majorHAnsi" w:cs="Arial"/>
                                <w:b/>
                                <w:color w:val="0D0D0D" w:themeColor="text1" w:themeTint="F2"/>
                                <w:sz w:val="36"/>
                                <w:szCs w:val="22"/>
                                <w:lang w:val="es-ES_tradnl"/>
                              </w:rPr>
                              <w:t>-</w:t>
                            </w:r>
                            <w:r w:rsidR="00816CC4">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DF6E3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MASACRE DE</w:t>
                            </w:r>
                            <w:r w:rsidR="00816CC4">
                              <w:rPr>
                                <w:rFonts w:asciiTheme="majorHAnsi" w:hAnsiTheme="majorHAnsi" w:cs="Arial"/>
                                <w:color w:val="0D0D0D" w:themeColor="text1" w:themeTint="F2"/>
                                <w:szCs w:val="22"/>
                                <w:lang w:val="es-ES_tradnl"/>
                              </w:rPr>
                              <w:t xml:space="preserve"> PLAYÓN DE OROZCO</w:t>
                            </w:r>
                          </w:p>
                          <w:bookmarkEnd w:id="1"/>
                          <w:p w:rsidR="005B52B0" w:rsidRPr="0010736F" w:rsidRDefault="00816CC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908A2" id="Text Box 5" o:spid="_x0000_s1027" type="#_x0000_t202" style="position:absolute;left:0;text-align:left;margin-left:108.4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B140D">
                        <w:rPr>
                          <w:rFonts w:asciiTheme="majorHAnsi" w:hAnsiTheme="majorHAnsi" w:cs="Arial"/>
                          <w:b/>
                          <w:bCs/>
                          <w:color w:val="0D0D0D" w:themeColor="text1" w:themeTint="F2"/>
                          <w:sz w:val="36"/>
                          <w:szCs w:val="22"/>
                          <w:lang w:val="es-ES_tradnl"/>
                        </w:rPr>
                        <w:t>3/19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16CC4">
                        <w:rPr>
                          <w:rFonts w:asciiTheme="majorHAnsi" w:hAnsiTheme="majorHAnsi" w:cs="Arial"/>
                          <w:b/>
                          <w:color w:val="0D0D0D" w:themeColor="text1" w:themeTint="F2"/>
                          <w:sz w:val="36"/>
                          <w:szCs w:val="22"/>
                          <w:lang w:val="es-ES_tradnl"/>
                        </w:rPr>
                        <w:t>1027</w:t>
                      </w:r>
                      <w:r w:rsidR="00246D1F" w:rsidRPr="004E2649">
                        <w:rPr>
                          <w:rFonts w:asciiTheme="majorHAnsi" w:hAnsiTheme="majorHAnsi" w:cs="Arial"/>
                          <w:b/>
                          <w:color w:val="0D0D0D" w:themeColor="text1" w:themeTint="F2"/>
                          <w:sz w:val="36"/>
                          <w:szCs w:val="22"/>
                          <w:lang w:val="es-ES_tradnl"/>
                        </w:rPr>
                        <w:t>-</w:t>
                      </w:r>
                      <w:r w:rsidR="00816CC4">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DF6E3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MASACRE DE</w:t>
                      </w:r>
                      <w:r w:rsidR="00816CC4">
                        <w:rPr>
                          <w:rFonts w:asciiTheme="majorHAnsi" w:hAnsiTheme="majorHAnsi" w:cs="Arial"/>
                          <w:color w:val="0D0D0D" w:themeColor="text1" w:themeTint="F2"/>
                          <w:szCs w:val="22"/>
                          <w:lang w:val="es-ES_tradnl"/>
                        </w:rPr>
                        <w:t xml:space="preserve"> PLAYÓN DE OROZCO</w:t>
                      </w:r>
                    </w:p>
                    <w:bookmarkEnd w:id="2"/>
                    <w:p w:rsidR="005B52B0" w:rsidRPr="0010736F" w:rsidRDefault="00816CC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07977D8" wp14:editId="1EF75C1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B140D">
                              <w:rPr>
                                <w:rFonts w:asciiTheme="minorHAnsi" w:hAnsiTheme="minorHAnsi"/>
                                <w:color w:val="FFFFFF" w:themeColor="background1"/>
                                <w:sz w:val="22"/>
                                <w:lang w:val="pt-BR"/>
                              </w:rPr>
                              <w:t>3</w:t>
                            </w:r>
                          </w:p>
                          <w:p w:rsidR="00627C9F" w:rsidRPr="004E2649" w:rsidRDefault="004B140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3 </w:t>
                            </w:r>
                            <w:r w:rsidRPr="004B140D">
                              <w:rPr>
                                <w:rFonts w:asciiTheme="minorHAnsi" w:hAnsiTheme="minorHAnsi"/>
                                <w:color w:val="FFFFFF" w:themeColor="background1"/>
                                <w:sz w:val="22"/>
                                <w:lang w:val="es-NI"/>
                              </w:rPr>
                              <w:t>enero</w:t>
                            </w:r>
                            <w:r w:rsidR="00627C9F" w:rsidRPr="004E2649">
                              <w:rPr>
                                <w:rFonts w:asciiTheme="minorHAnsi" w:hAnsiTheme="minorHAnsi"/>
                                <w:color w:val="FFFFFF" w:themeColor="background1"/>
                                <w:sz w:val="22"/>
                              </w:rPr>
                              <w:t xml:space="preserve"> 201</w:t>
                            </w:r>
                            <w:r>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977D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B140D">
                        <w:rPr>
                          <w:rFonts w:asciiTheme="minorHAnsi" w:hAnsiTheme="minorHAnsi"/>
                          <w:color w:val="FFFFFF" w:themeColor="background1"/>
                          <w:sz w:val="22"/>
                          <w:lang w:val="pt-BR"/>
                        </w:rPr>
                        <w:t>3</w:t>
                      </w:r>
                    </w:p>
                    <w:p w:rsidR="00627C9F" w:rsidRPr="004E2649" w:rsidRDefault="004B140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3 </w:t>
                      </w:r>
                      <w:r w:rsidRPr="004B140D">
                        <w:rPr>
                          <w:rFonts w:asciiTheme="minorHAnsi" w:hAnsiTheme="minorHAnsi"/>
                          <w:color w:val="FFFFFF" w:themeColor="background1"/>
                          <w:sz w:val="22"/>
                          <w:lang w:val="es-NI"/>
                        </w:rPr>
                        <w:t>enero</w:t>
                      </w:r>
                      <w:r w:rsidR="00627C9F" w:rsidRPr="004E2649">
                        <w:rPr>
                          <w:rFonts w:asciiTheme="minorHAnsi" w:hAnsiTheme="minorHAnsi"/>
                          <w:color w:val="FFFFFF" w:themeColor="background1"/>
                          <w:sz w:val="22"/>
                        </w:rPr>
                        <w:t xml:space="preserve"> 201</w:t>
                      </w:r>
                      <w:r>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2945777" wp14:editId="5FEC2ECB">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4B140D">
                              <w:rPr>
                                <w:rFonts w:asciiTheme="majorHAnsi" w:hAnsiTheme="majorHAnsi"/>
                                <w:color w:val="0D0D0D" w:themeColor="text1" w:themeTint="F2"/>
                                <w:sz w:val="18"/>
                                <w:szCs w:val="20"/>
                                <w:lang w:val="es-ES"/>
                              </w:rPr>
                              <w:t xml:space="preserve">electrónicamente por la </w:t>
                            </w:r>
                            <w:r w:rsidRPr="00890650">
                              <w:rPr>
                                <w:rFonts w:asciiTheme="majorHAnsi" w:hAnsiTheme="majorHAnsi"/>
                                <w:color w:val="0D0D0D" w:themeColor="text1" w:themeTint="F2"/>
                                <w:sz w:val="18"/>
                                <w:szCs w:val="20"/>
                                <w:lang w:val="es-ES"/>
                              </w:rPr>
                              <w:t xml:space="preserve">Comisión el </w:t>
                            </w:r>
                            <w:r w:rsidR="004B140D">
                              <w:rPr>
                                <w:rFonts w:asciiTheme="majorHAnsi" w:hAnsiTheme="majorHAnsi"/>
                                <w:color w:val="0D0D0D" w:themeColor="text1" w:themeTint="F2"/>
                                <w:sz w:val="18"/>
                                <w:szCs w:val="20"/>
                                <w:lang w:val="es-ES"/>
                              </w:rPr>
                              <w:t>3 de enero de 2019.</w:t>
                            </w:r>
                            <w:r w:rsidR="00E461CE" w:rsidRPr="00890650">
                              <w:rPr>
                                <w:rFonts w:asciiTheme="majorHAnsi" w:hAnsiTheme="majorHAnsi"/>
                                <w:color w:val="0D0D0D" w:themeColor="text1" w:themeTint="F2"/>
                                <w:sz w:val="18"/>
                                <w:szCs w:val="20"/>
                                <w:lang w:val="es-ES"/>
                              </w:rPr>
                              <w:br/>
                            </w:r>
                          </w:p>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4577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4B140D">
                        <w:rPr>
                          <w:rFonts w:asciiTheme="majorHAnsi" w:hAnsiTheme="majorHAnsi"/>
                          <w:color w:val="0D0D0D" w:themeColor="text1" w:themeTint="F2"/>
                          <w:sz w:val="18"/>
                          <w:szCs w:val="20"/>
                          <w:lang w:val="es-ES"/>
                        </w:rPr>
                        <w:t xml:space="preserve">electrónicamente por la </w:t>
                      </w:r>
                      <w:r w:rsidRPr="00890650">
                        <w:rPr>
                          <w:rFonts w:asciiTheme="majorHAnsi" w:hAnsiTheme="majorHAnsi"/>
                          <w:color w:val="0D0D0D" w:themeColor="text1" w:themeTint="F2"/>
                          <w:sz w:val="18"/>
                          <w:szCs w:val="20"/>
                          <w:lang w:val="es-ES"/>
                        </w:rPr>
                        <w:t xml:space="preserve">Comisión el </w:t>
                      </w:r>
                      <w:r w:rsidR="004B140D">
                        <w:rPr>
                          <w:rFonts w:asciiTheme="majorHAnsi" w:hAnsiTheme="majorHAnsi"/>
                          <w:color w:val="0D0D0D" w:themeColor="text1" w:themeTint="F2"/>
                          <w:sz w:val="18"/>
                          <w:szCs w:val="20"/>
                          <w:lang w:val="es-ES"/>
                        </w:rPr>
                        <w:t>3 de enero de 2019.</w:t>
                      </w:r>
                      <w:r w:rsidR="00E461CE" w:rsidRPr="00890650">
                        <w:rPr>
                          <w:rFonts w:asciiTheme="majorHAnsi" w:hAnsiTheme="majorHAnsi"/>
                          <w:color w:val="0D0D0D" w:themeColor="text1" w:themeTint="F2"/>
                          <w:sz w:val="18"/>
                          <w:szCs w:val="20"/>
                          <w:lang w:val="es-ES"/>
                        </w:rPr>
                        <w:br/>
                      </w:r>
                    </w:p>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2CC154A" wp14:editId="6A596EC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61B2B" w:rsidRPr="00461B2B">
                              <w:rPr>
                                <w:rFonts w:asciiTheme="majorHAnsi" w:hAnsiTheme="majorHAnsi"/>
                                <w:color w:val="595959" w:themeColor="text1" w:themeTint="A6"/>
                                <w:sz w:val="18"/>
                                <w:szCs w:val="18"/>
                                <w:lang w:val="pt-BR"/>
                              </w:rPr>
                              <w:t>3/19</w:t>
                            </w:r>
                            <w:r w:rsidR="00816CC4" w:rsidRPr="00461B2B">
                              <w:rPr>
                                <w:rFonts w:asciiTheme="majorHAnsi" w:hAnsiTheme="majorHAnsi"/>
                                <w:color w:val="595959" w:themeColor="text1" w:themeTint="A6"/>
                                <w:sz w:val="18"/>
                                <w:szCs w:val="18"/>
                                <w:lang w:val="pt-BR"/>
                              </w:rPr>
                              <w:t xml:space="preserve">. </w:t>
                            </w:r>
                            <w:r w:rsidR="00461B2B" w:rsidRPr="00461B2B">
                              <w:rPr>
                                <w:rFonts w:asciiTheme="majorHAnsi" w:hAnsiTheme="majorHAnsi"/>
                                <w:color w:val="595959" w:themeColor="text1" w:themeTint="A6"/>
                                <w:sz w:val="18"/>
                                <w:szCs w:val="18"/>
                                <w:lang w:val="es-NI"/>
                              </w:rPr>
                              <w:t xml:space="preserve">Petición 1027-07. </w:t>
                            </w:r>
                            <w:r w:rsidRPr="00890650">
                              <w:rPr>
                                <w:rFonts w:asciiTheme="majorHAnsi" w:hAnsiTheme="majorHAnsi"/>
                                <w:color w:val="595959" w:themeColor="text1" w:themeTint="A6"/>
                                <w:sz w:val="18"/>
                                <w:szCs w:val="18"/>
                                <w:lang w:val="es-ES_tradnl"/>
                              </w:rPr>
                              <w:t>Admisibilidad</w:t>
                            </w:r>
                            <w:r w:rsidR="00DF6E3F">
                              <w:rPr>
                                <w:rFonts w:asciiTheme="majorHAnsi" w:hAnsiTheme="majorHAnsi"/>
                                <w:color w:val="595959" w:themeColor="text1" w:themeTint="A6"/>
                                <w:sz w:val="18"/>
                                <w:szCs w:val="18"/>
                                <w:lang w:val="es-ES_tradnl"/>
                              </w:rPr>
                              <w:t>. Masacre de</w:t>
                            </w:r>
                            <w:r w:rsidR="00816CC4">
                              <w:rPr>
                                <w:rFonts w:asciiTheme="majorHAnsi" w:hAnsiTheme="majorHAnsi"/>
                                <w:color w:val="595959" w:themeColor="text1" w:themeTint="A6"/>
                                <w:sz w:val="18"/>
                                <w:szCs w:val="18"/>
                                <w:lang w:val="es-ES_tradnl"/>
                              </w:rPr>
                              <w:t xml:space="preserve"> Playón de Orozco</w:t>
                            </w:r>
                            <w:r w:rsidRPr="00890650">
                              <w:rPr>
                                <w:rFonts w:asciiTheme="majorHAnsi" w:hAnsiTheme="majorHAnsi"/>
                                <w:color w:val="595959" w:themeColor="text1" w:themeTint="A6"/>
                                <w:sz w:val="18"/>
                                <w:szCs w:val="18"/>
                                <w:lang w:val="es-ES_tradnl"/>
                              </w:rPr>
                              <w:t xml:space="preserve">. </w:t>
                            </w:r>
                            <w:r w:rsidR="00816CC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461B2B">
                              <w:rPr>
                                <w:rFonts w:asciiTheme="majorHAnsi" w:hAnsiTheme="majorHAnsi"/>
                                <w:color w:val="595959" w:themeColor="text1" w:themeTint="A6"/>
                                <w:sz w:val="18"/>
                                <w:szCs w:val="18"/>
                                <w:lang w:val="es-ES"/>
                              </w:rPr>
                              <w:t>3 de enero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C154A"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61B2B" w:rsidRPr="00461B2B">
                        <w:rPr>
                          <w:rFonts w:asciiTheme="majorHAnsi" w:hAnsiTheme="majorHAnsi"/>
                          <w:color w:val="595959" w:themeColor="text1" w:themeTint="A6"/>
                          <w:sz w:val="18"/>
                          <w:szCs w:val="18"/>
                          <w:lang w:val="pt-BR"/>
                        </w:rPr>
                        <w:t>3/19</w:t>
                      </w:r>
                      <w:r w:rsidR="00816CC4" w:rsidRPr="00461B2B">
                        <w:rPr>
                          <w:rFonts w:asciiTheme="majorHAnsi" w:hAnsiTheme="majorHAnsi"/>
                          <w:color w:val="595959" w:themeColor="text1" w:themeTint="A6"/>
                          <w:sz w:val="18"/>
                          <w:szCs w:val="18"/>
                          <w:lang w:val="pt-BR"/>
                        </w:rPr>
                        <w:t xml:space="preserve">. </w:t>
                      </w:r>
                      <w:r w:rsidR="00461B2B" w:rsidRPr="00461B2B">
                        <w:rPr>
                          <w:rFonts w:asciiTheme="majorHAnsi" w:hAnsiTheme="majorHAnsi"/>
                          <w:color w:val="595959" w:themeColor="text1" w:themeTint="A6"/>
                          <w:sz w:val="18"/>
                          <w:szCs w:val="18"/>
                          <w:lang w:val="es-NI"/>
                        </w:rPr>
                        <w:t xml:space="preserve">Petición 1027-07. </w:t>
                      </w:r>
                      <w:r w:rsidRPr="00890650">
                        <w:rPr>
                          <w:rFonts w:asciiTheme="majorHAnsi" w:hAnsiTheme="majorHAnsi"/>
                          <w:color w:val="595959" w:themeColor="text1" w:themeTint="A6"/>
                          <w:sz w:val="18"/>
                          <w:szCs w:val="18"/>
                          <w:lang w:val="es-ES_tradnl"/>
                        </w:rPr>
                        <w:t>Admisibilidad</w:t>
                      </w:r>
                      <w:r w:rsidR="00DF6E3F">
                        <w:rPr>
                          <w:rFonts w:asciiTheme="majorHAnsi" w:hAnsiTheme="majorHAnsi"/>
                          <w:color w:val="595959" w:themeColor="text1" w:themeTint="A6"/>
                          <w:sz w:val="18"/>
                          <w:szCs w:val="18"/>
                          <w:lang w:val="es-ES_tradnl"/>
                        </w:rPr>
                        <w:t>. Masacre de</w:t>
                      </w:r>
                      <w:r w:rsidR="00816CC4">
                        <w:rPr>
                          <w:rFonts w:asciiTheme="majorHAnsi" w:hAnsiTheme="majorHAnsi"/>
                          <w:color w:val="595959" w:themeColor="text1" w:themeTint="A6"/>
                          <w:sz w:val="18"/>
                          <w:szCs w:val="18"/>
                          <w:lang w:val="es-ES_tradnl"/>
                        </w:rPr>
                        <w:t xml:space="preserve"> Playón de Orozco</w:t>
                      </w:r>
                      <w:r w:rsidRPr="00890650">
                        <w:rPr>
                          <w:rFonts w:asciiTheme="majorHAnsi" w:hAnsiTheme="majorHAnsi"/>
                          <w:color w:val="595959" w:themeColor="text1" w:themeTint="A6"/>
                          <w:sz w:val="18"/>
                          <w:szCs w:val="18"/>
                          <w:lang w:val="es-ES_tradnl"/>
                        </w:rPr>
                        <w:t xml:space="preserve">. </w:t>
                      </w:r>
                      <w:r w:rsidR="00816CC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461B2B">
                        <w:rPr>
                          <w:rFonts w:asciiTheme="majorHAnsi" w:hAnsiTheme="majorHAnsi"/>
                          <w:color w:val="595959" w:themeColor="text1" w:themeTint="A6"/>
                          <w:sz w:val="18"/>
                          <w:szCs w:val="18"/>
                          <w:lang w:val="es-ES"/>
                        </w:rPr>
                        <w:t>3 de enero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3FCB427" wp14:editId="1097E21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D037108" wp14:editId="4814219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CB427"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D037108" wp14:editId="4814219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DC91606" wp14:editId="165EA83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9160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896E44" w:rsidRDefault="003239B8" w:rsidP="004A6A54">
      <w:pPr>
        <w:spacing w:after="240"/>
        <w:ind w:firstLine="720"/>
        <w:jc w:val="both"/>
        <w:rPr>
          <w:rFonts w:asciiTheme="majorHAnsi" w:hAnsiTheme="majorHAnsi"/>
          <w:b/>
          <w:bCs/>
          <w:sz w:val="19"/>
          <w:szCs w:val="19"/>
          <w:lang w:val="es-ES"/>
        </w:rPr>
      </w:pPr>
      <w:r w:rsidRPr="00896E44">
        <w:rPr>
          <w:rFonts w:asciiTheme="majorHAnsi" w:hAnsiTheme="majorHAnsi"/>
          <w:b/>
          <w:bCs/>
          <w:sz w:val="19"/>
          <w:szCs w:val="19"/>
          <w:lang w:val="es-ES"/>
        </w:rPr>
        <w:lastRenderedPageBreak/>
        <w:t>I.</w:t>
      </w:r>
      <w:r w:rsidRPr="00896E44">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237C7" w:rsidTr="004A6A54">
        <w:tc>
          <w:tcPr>
            <w:tcW w:w="3600" w:type="dxa"/>
            <w:tcBorders>
              <w:top w:val="single" w:sz="4" w:space="0" w:color="auto"/>
              <w:bottom w:val="single" w:sz="6" w:space="0" w:color="auto"/>
            </w:tcBorders>
            <w:shd w:val="clear" w:color="auto" w:fill="386294"/>
            <w:vAlign w:val="center"/>
          </w:tcPr>
          <w:p w:rsidR="003239B8" w:rsidRPr="00896E44" w:rsidRDefault="003239B8" w:rsidP="008D2290">
            <w:pPr>
              <w:jc w:val="center"/>
              <w:rPr>
                <w:rFonts w:asciiTheme="majorHAnsi" w:hAnsiTheme="majorHAnsi"/>
                <w:b/>
                <w:bCs/>
                <w:color w:val="FFFFFF" w:themeColor="background1"/>
                <w:sz w:val="19"/>
                <w:szCs w:val="19"/>
              </w:rPr>
            </w:pPr>
            <w:r w:rsidRPr="00896E44">
              <w:rPr>
                <w:rFonts w:asciiTheme="majorHAnsi" w:hAnsiTheme="majorHAnsi"/>
                <w:b/>
                <w:bCs/>
                <w:color w:val="FFFFFF" w:themeColor="background1"/>
                <w:sz w:val="19"/>
                <w:szCs w:val="19"/>
              </w:rPr>
              <w:t xml:space="preserve">Parte </w:t>
            </w:r>
            <w:proofErr w:type="spellStart"/>
            <w:r w:rsidRPr="00896E44">
              <w:rPr>
                <w:rFonts w:asciiTheme="majorHAnsi" w:hAnsiTheme="majorHAnsi"/>
                <w:b/>
                <w:bCs/>
                <w:color w:val="FFFFFF" w:themeColor="background1"/>
                <w:sz w:val="19"/>
                <w:szCs w:val="19"/>
              </w:rPr>
              <w:t>peticionaria</w:t>
            </w:r>
            <w:proofErr w:type="spellEnd"/>
            <w:r w:rsidRPr="00896E44">
              <w:rPr>
                <w:rFonts w:asciiTheme="majorHAnsi" w:hAnsiTheme="majorHAnsi"/>
                <w:b/>
                <w:bCs/>
                <w:color w:val="FFFFFF" w:themeColor="background1"/>
                <w:sz w:val="19"/>
                <w:szCs w:val="19"/>
              </w:rPr>
              <w:t>:</w:t>
            </w:r>
          </w:p>
        </w:tc>
        <w:tc>
          <w:tcPr>
            <w:tcW w:w="5760" w:type="dxa"/>
            <w:vAlign w:val="center"/>
          </w:tcPr>
          <w:p w:rsidR="003239B8" w:rsidRPr="00896E44" w:rsidRDefault="004908D8" w:rsidP="00197152">
            <w:pPr>
              <w:jc w:val="both"/>
              <w:rPr>
                <w:rFonts w:asciiTheme="majorHAnsi" w:hAnsiTheme="majorHAnsi"/>
                <w:bCs/>
                <w:sz w:val="19"/>
                <w:szCs w:val="19"/>
                <w:lang w:val="fr-CA"/>
              </w:rPr>
            </w:pPr>
            <w:r w:rsidRPr="00896E44">
              <w:rPr>
                <w:rFonts w:asciiTheme="majorHAnsi" w:hAnsiTheme="majorHAnsi"/>
                <w:bCs/>
                <w:sz w:val="19"/>
                <w:szCs w:val="19"/>
                <w:lang w:val="fr-CA"/>
              </w:rPr>
              <w:t xml:space="preserve">Nelson Javier de </w:t>
            </w:r>
            <w:proofErr w:type="spellStart"/>
            <w:r w:rsidR="00197152" w:rsidRPr="00896E44">
              <w:rPr>
                <w:rFonts w:asciiTheme="majorHAnsi" w:hAnsiTheme="majorHAnsi"/>
                <w:bCs/>
                <w:sz w:val="19"/>
                <w:szCs w:val="19"/>
                <w:lang w:val="fr-CA"/>
              </w:rPr>
              <w:t>L</w:t>
            </w:r>
            <w:r w:rsidRPr="00896E44">
              <w:rPr>
                <w:rFonts w:asciiTheme="majorHAnsi" w:hAnsiTheme="majorHAnsi"/>
                <w:bCs/>
                <w:sz w:val="19"/>
                <w:szCs w:val="19"/>
                <w:lang w:val="fr-CA"/>
              </w:rPr>
              <w:t>a</w:t>
            </w:r>
            <w:r w:rsidR="00197152" w:rsidRPr="00896E44">
              <w:rPr>
                <w:rFonts w:asciiTheme="majorHAnsi" w:hAnsiTheme="majorHAnsi"/>
                <w:bCs/>
                <w:sz w:val="19"/>
                <w:szCs w:val="19"/>
                <w:lang w:val="fr-CA"/>
              </w:rPr>
              <w:t>v</w:t>
            </w:r>
            <w:r w:rsidRPr="00896E44">
              <w:rPr>
                <w:rFonts w:asciiTheme="majorHAnsi" w:hAnsiTheme="majorHAnsi"/>
                <w:bCs/>
                <w:sz w:val="19"/>
                <w:szCs w:val="19"/>
                <w:lang w:val="fr-CA"/>
              </w:rPr>
              <w:t>alle</w:t>
            </w:r>
            <w:proofErr w:type="spellEnd"/>
            <w:r w:rsidRPr="00896E44">
              <w:rPr>
                <w:rFonts w:asciiTheme="majorHAnsi" w:hAnsiTheme="majorHAnsi"/>
                <w:bCs/>
                <w:sz w:val="19"/>
                <w:szCs w:val="19"/>
                <w:lang w:val="fr-CA"/>
              </w:rPr>
              <w:t xml:space="preserve"> </w:t>
            </w:r>
            <w:proofErr w:type="spellStart"/>
            <w:r w:rsidRPr="00896E44">
              <w:rPr>
                <w:rFonts w:asciiTheme="majorHAnsi" w:hAnsiTheme="majorHAnsi"/>
                <w:bCs/>
                <w:sz w:val="19"/>
                <w:szCs w:val="19"/>
                <w:lang w:val="fr-CA"/>
              </w:rPr>
              <w:t>Restrepo</w:t>
            </w:r>
            <w:proofErr w:type="spellEnd"/>
          </w:p>
        </w:tc>
      </w:tr>
      <w:tr w:rsidR="003239B8" w:rsidRPr="007237C7" w:rsidTr="004A6A54">
        <w:tc>
          <w:tcPr>
            <w:tcW w:w="3600" w:type="dxa"/>
            <w:tcBorders>
              <w:top w:val="single" w:sz="6" w:space="0" w:color="auto"/>
              <w:bottom w:val="single" w:sz="6" w:space="0" w:color="auto"/>
            </w:tcBorders>
            <w:shd w:val="clear" w:color="auto" w:fill="386294"/>
            <w:vAlign w:val="center"/>
          </w:tcPr>
          <w:p w:rsidR="003239B8" w:rsidRPr="00896E44" w:rsidRDefault="00D51903" w:rsidP="008D2290">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96E44">
                  <w:rPr>
                    <w:rFonts w:asciiTheme="majorHAnsi" w:hAnsiTheme="majorHAnsi"/>
                    <w:b/>
                    <w:bCs/>
                    <w:color w:val="FFFFFF" w:themeColor="background1"/>
                    <w:sz w:val="19"/>
                    <w:szCs w:val="19"/>
                  </w:rPr>
                  <w:t>Presunta víctima</w:t>
                </w:r>
              </w:sdtContent>
            </w:sdt>
            <w:r w:rsidR="003239B8" w:rsidRPr="00896E44">
              <w:rPr>
                <w:rFonts w:asciiTheme="majorHAnsi" w:hAnsiTheme="majorHAnsi"/>
                <w:b/>
                <w:bCs/>
                <w:color w:val="FFFFFF" w:themeColor="background1"/>
                <w:sz w:val="19"/>
                <w:szCs w:val="19"/>
              </w:rPr>
              <w:t>:</w:t>
            </w:r>
          </w:p>
        </w:tc>
        <w:tc>
          <w:tcPr>
            <w:tcW w:w="5760" w:type="dxa"/>
            <w:vAlign w:val="center"/>
          </w:tcPr>
          <w:p w:rsidR="003239B8" w:rsidRPr="00896E44" w:rsidRDefault="004A5D86" w:rsidP="008D2290">
            <w:pPr>
              <w:jc w:val="both"/>
              <w:rPr>
                <w:rFonts w:asciiTheme="majorHAnsi" w:hAnsiTheme="majorHAnsi"/>
                <w:bCs/>
                <w:sz w:val="19"/>
                <w:szCs w:val="19"/>
                <w:lang w:val="es-ES"/>
              </w:rPr>
            </w:pPr>
            <w:r w:rsidRPr="00896E44">
              <w:rPr>
                <w:rFonts w:asciiTheme="majorHAnsi" w:hAnsiTheme="majorHAnsi"/>
                <w:bCs/>
                <w:sz w:val="19"/>
                <w:szCs w:val="19"/>
                <w:lang w:val="es-ES"/>
              </w:rPr>
              <w:t>Ramón García Orozco y otros</w:t>
            </w:r>
            <w:r w:rsidRPr="00896E44">
              <w:rPr>
                <w:rStyle w:val="FootnoteReference"/>
                <w:rFonts w:asciiTheme="majorHAnsi" w:hAnsiTheme="majorHAnsi"/>
                <w:bCs/>
                <w:sz w:val="19"/>
                <w:szCs w:val="19"/>
                <w:lang w:val="es-ES"/>
              </w:rPr>
              <w:footnoteReference w:id="2"/>
            </w:r>
          </w:p>
        </w:tc>
      </w:tr>
      <w:tr w:rsidR="003239B8" w:rsidRPr="00896E44" w:rsidTr="004A6A54">
        <w:tc>
          <w:tcPr>
            <w:tcW w:w="3600" w:type="dxa"/>
            <w:tcBorders>
              <w:top w:val="single" w:sz="6" w:space="0" w:color="auto"/>
              <w:bottom w:val="single" w:sz="6" w:space="0" w:color="auto"/>
            </w:tcBorders>
            <w:shd w:val="clear" w:color="auto" w:fill="386294"/>
            <w:vAlign w:val="center"/>
          </w:tcPr>
          <w:p w:rsidR="003239B8" w:rsidRPr="00896E44" w:rsidRDefault="003239B8" w:rsidP="008D2290">
            <w:pPr>
              <w:jc w:val="center"/>
              <w:rPr>
                <w:rFonts w:asciiTheme="majorHAnsi" w:hAnsiTheme="majorHAnsi"/>
                <w:b/>
                <w:bCs/>
                <w:color w:val="FFFFFF" w:themeColor="background1"/>
                <w:sz w:val="19"/>
                <w:szCs w:val="19"/>
              </w:rPr>
            </w:pPr>
            <w:r w:rsidRPr="00896E44">
              <w:rPr>
                <w:rFonts w:asciiTheme="majorHAnsi" w:hAnsiTheme="majorHAnsi"/>
                <w:b/>
                <w:bCs/>
                <w:color w:val="FFFFFF" w:themeColor="background1"/>
                <w:sz w:val="19"/>
                <w:szCs w:val="19"/>
              </w:rPr>
              <w:t xml:space="preserve">Estado </w:t>
            </w:r>
            <w:proofErr w:type="spellStart"/>
            <w:r w:rsidRPr="00896E44">
              <w:rPr>
                <w:rFonts w:asciiTheme="majorHAnsi" w:hAnsiTheme="majorHAnsi"/>
                <w:b/>
                <w:bCs/>
                <w:color w:val="FFFFFF" w:themeColor="background1"/>
                <w:sz w:val="19"/>
                <w:szCs w:val="19"/>
              </w:rPr>
              <w:t>denunciado</w:t>
            </w:r>
            <w:proofErr w:type="spellEnd"/>
            <w:r w:rsidRPr="00896E44">
              <w:rPr>
                <w:rFonts w:asciiTheme="majorHAnsi" w:hAnsiTheme="majorHAnsi"/>
                <w:b/>
                <w:bCs/>
                <w:color w:val="FFFFFF" w:themeColor="background1"/>
                <w:sz w:val="19"/>
                <w:szCs w:val="19"/>
              </w:rPr>
              <w:t>:</w:t>
            </w:r>
          </w:p>
        </w:tc>
        <w:tc>
          <w:tcPr>
            <w:tcW w:w="5760" w:type="dxa"/>
            <w:vAlign w:val="center"/>
          </w:tcPr>
          <w:p w:rsidR="003239B8" w:rsidRPr="00896E44" w:rsidRDefault="00816CC4" w:rsidP="008D2290">
            <w:pPr>
              <w:jc w:val="both"/>
              <w:rPr>
                <w:rFonts w:asciiTheme="majorHAnsi" w:hAnsiTheme="majorHAnsi"/>
                <w:bCs/>
                <w:sz w:val="19"/>
                <w:szCs w:val="19"/>
              </w:rPr>
            </w:pPr>
            <w:r w:rsidRPr="00896E44">
              <w:rPr>
                <w:rFonts w:asciiTheme="majorHAnsi" w:hAnsiTheme="majorHAnsi"/>
                <w:bCs/>
                <w:sz w:val="19"/>
                <w:szCs w:val="19"/>
              </w:rPr>
              <w:t>Colombia</w:t>
            </w:r>
            <w:r w:rsidR="004A6A54" w:rsidRPr="00896E44">
              <w:rPr>
                <w:rStyle w:val="FootnoteReference"/>
                <w:rFonts w:asciiTheme="majorHAnsi" w:hAnsiTheme="majorHAnsi"/>
                <w:bCs/>
                <w:sz w:val="19"/>
                <w:szCs w:val="19"/>
              </w:rPr>
              <w:footnoteReference w:id="3"/>
            </w:r>
          </w:p>
        </w:tc>
      </w:tr>
      <w:tr w:rsidR="00223A29" w:rsidRPr="007237C7" w:rsidTr="004A6A54">
        <w:tc>
          <w:tcPr>
            <w:tcW w:w="3600" w:type="dxa"/>
            <w:tcBorders>
              <w:top w:val="single" w:sz="6" w:space="0" w:color="auto"/>
              <w:bottom w:val="single" w:sz="6" w:space="0" w:color="auto"/>
            </w:tcBorders>
            <w:shd w:val="clear" w:color="auto" w:fill="386294"/>
            <w:vAlign w:val="center"/>
          </w:tcPr>
          <w:p w:rsidR="00223A29" w:rsidRPr="00896E44" w:rsidRDefault="001B3A00" w:rsidP="00E4118C">
            <w:pPr>
              <w:jc w:val="center"/>
              <w:rPr>
                <w:rFonts w:asciiTheme="majorHAnsi" w:hAnsiTheme="majorHAnsi"/>
                <w:b/>
                <w:bCs/>
                <w:color w:val="FFFFFF" w:themeColor="background1"/>
                <w:sz w:val="19"/>
                <w:szCs w:val="19"/>
              </w:rPr>
            </w:pPr>
            <w:r w:rsidRPr="00896E44">
              <w:rPr>
                <w:rFonts w:asciiTheme="majorHAnsi" w:hAnsiTheme="majorHAnsi"/>
                <w:b/>
                <w:bCs/>
                <w:color w:val="FFFFFF" w:themeColor="background1"/>
                <w:sz w:val="19"/>
                <w:szCs w:val="19"/>
              </w:rPr>
              <w:t xml:space="preserve">Derechos </w:t>
            </w:r>
            <w:proofErr w:type="spellStart"/>
            <w:r w:rsidR="00E4118C" w:rsidRPr="00896E44">
              <w:rPr>
                <w:rFonts w:asciiTheme="majorHAnsi" w:hAnsiTheme="majorHAnsi"/>
                <w:b/>
                <w:bCs/>
                <w:color w:val="FFFFFF" w:themeColor="background1"/>
                <w:sz w:val="19"/>
                <w:szCs w:val="19"/>
              </w:rPr>
              <w:t>invocados</w:t>
            </w:r>
            <w:proofErr w:type="spellEnd"/>
            <w:r w:rsidRPr="00896E44">
              <w:rPr>
                <w:rFonts w:asciiTheme="majorHAnsi" w:hAnsiTheme="majorHAnsi"/>
                <w:b/>
                <w:bCs/>
                <w:color w:val="FFFFFF" w:themeColor="background1"/>
                <w:sz w:val="19"/>
                <w:szCs w:val="19"/>
              </w:rPr>
              <w:t>:</w:t>
            </w:r>
          </w:p>
        </w:tc>
        <w:tc>
          <w:tcPr>
            <w:tcW w:w="5760" w:type="dxa"/>
            <w:vAlign w:val="center"/>
          </w:tcPr>
          <w:p w:rsidR="00223A29" w:rsidRPr="00896E44" w:rsidRDefault="004B4F58" w:rsidP="008D2290">
            <w:pPr>
              <w:jc w:val="both"/>
              <w:rPr>
                <w:rFonts w:asciiTheme="majorHAnsi" w:hAnsiTheme="majorHAnsi"/>
                <w:bCs/>
                <w:sz w:val="19"/>
                <w:szCs w:val="19"/>
                <w:lang w:val="es-BO"/>
              </w:rPr>
            </w:pPr>
            <w:r w:rsidRPr="00896E44">
              <w:rPr>
                <w:rFonts w:asciiTheme="majorHAnsi" w:hAnsiTheme="majorHAnsi"/>
                <w:bCs/>
                <w:sz w:val="19"/>
                <w:szCs w:val="19"/>
                <w:lang w:val="es-ES"/>
              </w:rPr>
              <w:t xml:space="preserve">Artículos 4 (vida), 5 (integridad personal), 7 (libertad personal), </w:t>
            </w:r>
            <w:r w:rsidRPr="00896E44">
              <w:rPr>
                <w:rFonts w:asciiTheme="majorHAnsi" w:hAnsiTheme="majorHAnsi"/>
                <w:sz w:val="19"/>
                <w:szCs w:val="19"/>
                <w:bdr w:val="none" w:sz="0" w:space="0" w:color="auto" w:frame="1"/>
                <w:lang w:val="es-UY"/>
              </w:rPr>
              <w:t xml:space="preserve">8 (garantías judiciales), 21 (propiedad privada), 22 (circulación y residencia) y 25 (protección judicial) de la Convención Americana </w:t>
            </w:r>
            <w:r w:rsidRPr="00896E44">
              <w:rPr>
                <w:rFonts w:asciiTheme="majorHAnsi" w:hAnsiTheme="majorHAnsi"/>
                <w:bCs/>
                <w:sz w:val="19"/>
                <w:szCs w:val="19"/>
                <w:bdr w:val="none" w:sz="0" w:space="0" w:color="auto" w:frame="1"/>
                <w:lang w:val="es-ES"/>
              </w:rPr>
              <w:t>sobre Derechos Humanos</w:t>
            </w:r>
            <w:r w:rsidRPr="00896E44">
              <w:rPr>
                <w:rStyle w:val="FootnoteReference"/>
                <w:rFonts w:asciiTheme="majorHAnsi" w:hAnsiTheme="majorHAnsi"/>
                <w:bCs/>
                <w:sz w:val="19"/>
                <w:szCs w:val="19"/>
                <w:bdr w:val="none" w:sz="0" w:space="0" w:color="auto" w:frame="1"/>
                <w:lang w:val="es-ES"/>
              </w:rPr>
              <w:footnoteReference w:id="4"/>
            </w:r>
          </w:p>
        </w:tc>
      </w:tr>
    </w:tbl>
    <w:p w:rsidR="003239B8" w:rsidRPr="00896E44" w:rsidRDefault="003239B8" w:rsidP="003239B8">
      <w:pPr>
        <w:spacing w:before="240" w:after="240"/>
        <w:ind w:firstLine="720"/>
        <w:jc w:val="both"/>
        <w:rPr>
          <w:rFonts w:asciiTheme="majorHAnsi" w:hAnsiTheme="majorHAnsi"/>
          <w:b/>
          <w:bCs/>
          <w:sz w:val="19"/>
          <w:szCs w:val="19"/>
          <w:lang w:val="es-ES"/>
        </w:rPr>
      </w:pPr>
      <w:r w:rsidRPr="00896E44">
        <w:rPr>
          <w:rFonts w:asciiTheme="majorHAnsi" w:hAnsiTheme="majorHAnsi"/>
          <w:b/>
          <w:bCs/>
          <w:sz w:val="19"/>
          <w:szCs w:val="19"/>
          <w:lang w:val="es-ES"/>
        </w:rPr>
        <w:t>II.</w:t>
      </w:r>
      <w:r w:rsidRPr="00896E44">
        <w:rPr>
          <w:rFonts w:asciiTheme="majorHAnsi" w:hAnsiTheme="majorHAnsi"/>
          <w:b/>
          <w:bCs/>
          <w:sz w:val="19"/>
          <w:szCs w:val="19"/>
          <w:lang w:val="es-ES"/>
        </w:rPr>
        <w:tab/>
        <w:t>TRÁMITE ANTE LA CIDH</w:t>
      </w:r>
      <w:r w:rsidR="008E3BFE" w:rsidRPr="00896E44">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96E44" w:rsidTr="004A6A54">
        <w:tc>
          <w:tcPr>
            <w:tcW w:w="3600" w:type="dxa"/>
            <w:tcBorders>
              <w:top w:val="single" w:sz="6" w:space="0" w:color="auto"/>
              <w:bottom w:val="single" w:sz="6" w:space="0" w:color="auto"/>
            </w:tcBorders>
            <w:shd w:val="clear" w:color="auto" w:fill="386294"/>
            <w:vAlign w:val="center"/>
          </w:tcPr>
          <w:p w:rsidR="004C2312" w:rsidRPr="00896E44" w:rsidRDefault="004A6A54" w:rsidP="004A6A54">
            <w:pPr>
              <w:jc w:val="center"/>
              <w:rPr>
                <w:rFonts w:asciiTheme="majorHAnsi" w:hAnsiTheme="majorHAnsi"/>
                <w:b/>
                <w:bCs/>
                <w:color w:val="FFFFFF" w:themeColor="background1"/>
                <w:sz w:val="19"/>
                <w:szCs w:val="19"/>
                <w:lang w:val="es-ES"/>
              </w:rPr>
            </w:pPr>
            <w:r w:rsidRPr="00896E44">
              <w:rPr>
                <w:rFonts w:asciiTheme="majorHAnsi" w:hAnsiTheme="majorHAnsi"/>
                <w:b/>
                <w:bCs/>
                <w:color w:val="FFFFFF" w:themeColor="background1"/>
                <w:sz w:val="19"/>
                <w:szCs w:val="19"/>
                <w:lang w:val="es-ES"/>
              </w:rPr>
              <w:t>P</w:t>
            </w:r>
            <w:r w:rsidR="004C2312" w:rsidRPr="00896E44">
              <w:rPr>
                <w:rFonts w:asciiTheme="majorHAnsi" w:hAnsiTheme="majorHAnsi"/>
                <w:b/>
                <w:bCs/>
                <w:color w:val="FFFFFF" w:themeColor="background1"/>
                <w:sz w:val="19"/>
                <w:szCs w:val="19"/>
                <w:lang w:val="es-ES"/>
              </w:rPr>
              <w:t>resentación de la petición:</w:t>
            </w:r>
          </w:p>
        </w:tc>
        <w:tc>
          <w:tcPr>
            <w:tcW w:w="5760" w:type="dxa"/>
            <w:vAlign w:val="center"/>
          </w:tcPr>
          <w:p w:rsidR="004C2312" w:rsidRPr="00896E44" w:rsidRDefault="001F06DB" w:rsidP="002625EA">
            <w:pPr>
              <w:jc w:val="both"/>
              <w:rPr>
                <w:rFonts w:asciiTheme="majorHAnsi" w:hAnsiTheme="majorHAnsi"/>
                <w:bCs/>
                <w:sz w:val="19"/>
                <w:szCs w:val="19"/>
                <w:lang w:val="es-ES"/>
              </w:rPr>
            </w:pPr>
            <w:r w:rsidRPr="00896E44">
              <w:rPr>
                <w:rFonts w:asciiTheme="majorHAnsi" w:hAnsiTheme="majorHAnsi"/>
                <w:bCs/>
                <w:sz w:val="19"/>
                <w:szCs w:val="19"/>
                <w:lang w:val="es-ES"/>
              </w:rPr>
              <w:t>7 de agosto de 2007</w:t>
            </w:r>
          </w:p>
        </w:tc>
      </w:tr>
      <w:tr w:rsidR="004C2312" w:rsidRPr="00896E44" w:rsidTr="004A6A54">
        <w:tc>
          <w:tcPr>
            <w:tcW w:w="3600" w:type="dxa"/>
            <w:tcBorders>
              <w:top w:val="single" w:sz="6" w:space="0" w:color="auto"/>
              <w:bottom w:val="single" w:sz="6" w:space="0" w:color="auto"/>
            </w:tcBorders>
            <w:shd w:val="clear" w:color="auto" w:fill="386294"/>
            <w:vAlign w:val="center"/>
          </w:tcPr>
          <w:p w:rsidR="004C2312" w:rsidRPr="00896E44" w:rsidRDefault="004A6A54" w:rsidP="004A6A54">
            <w:pPr>
              <w:jc w:val="center"/>
              <w:rPr>
                <w:rFonts w:asciiTheme="majorHAnsi" w:hAnsiTheme="majorHAnsi"/>
                <w:b/>
                <w:bCs/>
                <w:color w:val="FFFFFF" w:themeColor="background1"/>
                <w:sz w:val="19"/>
                <w:szCs w:val="19"/>
                <w:lang w:val="es-ES"/>
              </w:rPr>
            </w:pPr>
            <w:r w:rsidRPr="00896E44">
              <w:rPr>
                <w:rFonts w:asciiTheme="majorHAnsi" w:hAnsiTheme="majorHAnsi"/>
                <w:b/>
                <w:color w:val="FFFFFF" w:themeColor="background1"/>
                <w:sz w:val="19"/>
                <w:szCs w:val="19"/>
                <w:lang w:val="es-ES"/>
              </w:rPr>
              <w:t>N</w:t>
            </w:r>
            <w:r w:rsidR="004C2312" w:rsidRPr="00896E44">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896E44" w:rsidRDefault="001F06DB" w:rsidP="001660D4">
            <w:pPr>
              <w:jc w:val="both"/>
              <w:rPr>
                <w:rFonts w:asciiTheme="majorHAnsi" w:hAnsiTheme="majorHAnsi"/>
                <w:bCs/>
                <w:sz w:val="19"/>
                <w:szCs w:val="19"/>
                <w:lang w:val="es-ES"/>
              </w:rPr>
            </w:pPr>
            <w:r w:rsidRPr="00896E44">
              <w:rPr>
                <w:rFonts w:asciiTheme="majorHAnsi" w:hAnsiTheme="majorHAnsi"/>
                <w:bCs/>
                <w:sz w:val="19"/>
                <w:szCs w:val="19"/>
                <w:lang w:val="es-ES"/>
              </w:rPr>
              <w:t>5 de octubre de 2011</w:t>
            </w:r>
          </w:p>
        </w:tc>
      </w:tr>
      <w:tr w:rsidR="004C2312" w:rsidRPr="00896E44" w:rsidTr="004A6A54">
        <w:tc>
          <w:tcPr>
            <w:tcW w:w="3600" w:type="dxa"/>
            <w:tcBorders>
              <w:top w:val="single" w:sz="6" w:space="0" w:color="auto"/>
              <w:bottom w:val="single" w:sz="6" w:space="0" w:color="auto"/>
            </w:tcBorders>
            <w:shd w:val="clear" w:color="auto" w:fill="386294"/>
            <w:vAlign w:val="center"/>
          </w:tcPr>
          <w:p w:rsidR="004C2312" w:rsidRPr="00896E44" w:rsidRDefault="004A6A54" w:rsidP="004A6A54">
            <w:pPr>
              <w:jc w:val="center"/>
              <w:rPr>
                <w:rFonts w:asciiTheme="majorHAnsi" w:hAnsiTheme="majorHAnsi"/>
                <w:b/>
                <w:bCs/>
                <w:color w:val="FFFFFF" w:themeColor="background1"/>
                <w:sz w:val="19"/>
                <w:szCs w:val="19"/>
                <w:lang w:val="es-ES"/>
              </w:rPr>
            </w:pPr>
            <w:r w:rsidRPr="00896E44">
              <w:rPr>
                <w:rFonts w:asciiTheme="majorHAnsi" w:hAnsiTheme="majorHAnsi"/>
                <w:b/>
                <w:color w:val="FFFFFF" w:themeColor="background1"/>
                <w:sz w:val="19"/>
                <w:szCs w:val="19"/>
                <w:lang w:val="es-ES"/>
              </w:rPr>
              <w:t>P</w:t>
            </w:r>
            <w:r w:rsidR="004C2312" w:rsidRPr="00896E44">
              <w:rPr>
                <w:rFonts w:asciiTheme="majorHAnsi" w:hAnsiTheme="majorHAnsi"/>
                <w:b/>
                <w:color w:val="FFFFFF" w:themeColor="background1"/>
                <w:sz w:val="19"/>
                <w:szCs w:val="19"/>
                <w:lang w:val="es-ES"/>
              </w:rPr>
              <w:t>rimera respuesta del Estado:</w:t>
            </w:r>
          </w:p>
        </w:tc>
        <w:tc>
          <w:tcPr>
            <w:tcW w:w="5760" w:type="dxa"/>
            <w:vAlign w:val="center"/>
          </w:tcPr>
          <w:p w:rsidR="004C2312" w:rsidRPr="00896E44" w:rsidRDefault="001660D4" w:rsidP="008D2290">
            <w:pPr>
              <w:jc w:val="both"/>
              <w:rPr>
                <w:rFonts w:asciiTheme="majorHAnsi" w:hAnsiTheme="majorHAnsi"/>
                <w:bCs/>
                <w:sz w:val="19"/>
                <w:szCs w:val="19"/>
                <w:lang w:val="es-ES"/>
              </w:rPr>
            </w:pPr>
            <w:r w:rsidRPr="00896E44">
              <w:rPr>
                <w:rFonts w:asciiTheme="majorHAnsi" w:hAnsiTheme="majorHAnsi"/>
                <w:bCs/>
                <w:sz w:val="19"/>
                <w:szCs w:val="19"/>
                <w:lang w:val="es-ES"/>
              </w:rPr>
              <w:t>26 de abril de 2016</w:t>
            </w:r>
          </w:p>
        </w:tc>
      </w:tr>
      <w:tr w:rsidR="004C2312" w:rsidRPr="007237C7" w:rsidTr="004A6A54">
        <w:tc>
          <w:tcPr>
            <w:tcW w:w="3600" w:type="dxa"/>
            <w:tcBorders>
              <w:top w:val="single" w:sz="6" w:space="0" w:color="auto"/>
              <w:bottom w:val="single" w:sz="6" w:space="0" w:color="auto"/>
            </w:tcBorders>
            <w:shd w:val="clear" w:color="auto" w:fill="386294"/>
            <w:vAlign w:val="center"/>
          </w:tcPr>
          <w:p w:rsidR="004C2312" w:rsidRPr="00896E44" w:rsidRDefault="008E3BFE" w:rsidP="008E3BFE">
            <w:pPr>
              <w:jc w:val="center"/>
              <w:rPr>
                <w:rFonts w:asciiTheme="majorHAnsi" w:hAnsiTheme="majorHAnsi"/>
                <w:b/>
                <w:bCs/>
                <w:color w:val="FFFFFF" w:themeColor="background1"/>
                <w:sz w:val="19"/>
                <w:szCs w:val="19"/>
                <w:lang w:val="es-ES"/>
              </w:rPr>
            </w:pPr>
            <w:r w:rsidRPr="00896E44">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896E44" w:rsidRDefault="001F06DB" w:rsidP="00197152">
            <w:pPr>
              <w:jc w:val="both"/>
              <w:rPr>
                <w:rFonts w:asciiTheme="majorHAnsi" w:hAnsiTheme="majorHAnsi"/>
                <w:bCs/>
                <w:sz w:val="19"/>
                <w:szCs w:val="19"/>
                <w:lang w:val="es-ES"/>
              </w:rPr>
            </w:pPr>
            <w:r w:rsidRPr="00896E44">
              <w:rPr>
                <w:rFonts w:asciiTheme="majorHAnsi" w:hAnsiTheme="majorHAnsi"/>
                <w:bCs/>
                <w:sz w:val="19"/>
                <w:szCs w:val="19"/>
                <w:lang w:val="es-ES"/>
              </w:rPr>
              <w:t>15 y 29 de diciembre de 2011</w:t>
            </w:r>
            <w:r w:rsidR="001660D4" w:rsidRPr="00896E44">
              <w:rPr>
                <w:rFonts w:asciiTheme="majorHAnsi" w:hAnsiTheme="majorHAnsi"/>
                <w:bCs/>
                <w:sz w:val="19"/>
                <w:szCs w:val="19"/>
                <w:lang w:val="es-ES"/>
              </w:rPr>
              <w:t>;</w:t>
            </w:r>
            <w:r w:rsidR="00197152" w:rsidRPr="00896E44">
              <w:rPr>
                <w:rFonts w:asciiTheme="majorHAnsi" w:hAnsiTheme="majorHAnsi"/>
                <w:bCs/>
                <w:sz w:val="19"/>
                <w:szCs w:val="19"/>
                <w:lang w:val="es-ES"/>
              </w:rPr>
              <w:t xml:space="preserve"> 17 de enero y 20 de agosto de 2012; 25 de abril de 2013</w:t>
            </w:r>
            <w:r w:rsidR="005053BF" w:rsidRPr="00896E44">
              <w:rPr>
                <w:rFonts w:asciiTheme="majorHAnsi" w:hAnsiTheme="majorHAnsi"/>
                <w:bCs/>
                <w:sz w:val="19"/>
                <w:szCs w:val="19"/>
                <w:lang w:val="es-ES"/>
              </w:rPr>
              <w:t>;</w:t>
            </w:r>
            <w:r w:rsidR="001660D4" w:rsidRPr="00896E44">
              <w:rPr>
                <w:rFonts w:asciiTheme="majorHAnsi" w:hAnsiTheme="majorHAnsi"/>
                <w:bCs/>
                <w:sz w:val="19"/>
                <w:szCs w:val="19"/>
                <w:lang w:val="es-ES"/>
              </w:rPr>
              <w:t xml:space="preserve"> 1 de agosto </w:t>
            </w:r>
            <w:r w:rsidR="005053BF" w:rsidRPr="00896E44">
              <w:rPr>
                <w:rFonts w:asciiTheme="majorHAnsi" w:hAnsiTheme="majorHAnsi"/>
                <w:bCs/>
                <w:sz w:val="19"/>
                <w:szCs w:val="19"/>
                <w:lang w:val="es-ES"/>
              </w:rPr>
              <w:t xml:space="preserve">y 9 de octubre </w:t>
            </w:r>
            <w:r w:rsidR="001660D4" w:rsidRPr="00896E44">
              <w:rPr>
                <w:rFonts w:asciiTheme="majorHAnsi" w:hAnsiTheme="majorHAnsi"/>
                <w:bCs/>
                <w:sz w:val="19"/>
                <w:szCs w:val="19"/>
                <w:lang w:val="es-ES"/>
              </w:rPr>
              <w:t>de 2017</w:t>
            </w:r>
            <w:r w:rsidR="00311025" w:rsidRPr="00896E44">
              <w:rPr>
                <w:rStyle w:val="FootnoteReference"/>
                <w:rFonts w:asciiTheme="majorHAnsi" w:hAnsiTheme="majorHAnsi"/>
                <w:bCs/>
                <w:sz w:val="19"/>
                <w:szCs w:val="19"/>
                <w:lang w:val="es-ES"/>
              </w:rPr>
              <w:footnoteReference w:id="6"/>
            </w:r>
          </w:p>
        </w:tc>
      </w:tr>
      <w:tr w:rsidR="008A58EA" w:rsidRPr="00896E44" w:rsidTr="004A6A54">
        <w:tc>
          <w:tcPr>
            <w:tcW w:w="3600" w:type="dxa"/>
            <w:tcBorders>
              <w:top w:val="single" w:sz="6" w:space="0" w:color="auto"/>
              <w:bottom w:val="single" w:sz="6" w:space="0" w:color="auto"/>
            </w:tcBorders>
            <w:shd w:val="clear" w:color="auto" w:fill="386294"/>
            <w:vAlign w:val="center"/>
          </w:tcPr>
          <w:p w:rsidR="008A58EA" w:rsidRPr="00896E44" w:rsidRDefault="008A58EA" w:rsidP="008E3BFE">
            <w:pPr>
              <w:jc w:val="center"/>
              <w:rPr>
                <w:rFonts w:asciiTheme="majorHAnsi" w:hAnsiTheme="majorHAnsi"/>
                <w:b/>
                <w:bCs/>
                <w:color w:val="FFFFFF" w:themeColor="background1"/>
                <w:sz w:val="19"/>
                <w:szCs w:val="19"/>
                <w:lang w:val="es-ES"/>
              </w:rPr>
            </w:pPr>
            <w:r w:rsidRPr="00896E44">
              <w:rPr>
                <w:rFonts w:asciiTheme="majorHAnsi" w:hAnsiTheme="majorHAnsi"/>
                <w:b/>
                <w:bCs/>
                <w:color w:val="FFFFFF" w:themeColor="background1"/>
                <w:sz w:val="19"/>
                <w:szCs w:val="19"/>
                <w:lang w:val="es-ES"/>
              </w:rPr>
              <w:t>Observaciones adicionales del Estado</w:t>
            </w:r>
          </w:p>
        </w:tc>
        <w:tc>
          <w:tcPr>
            <w:tcW w:w="5760" w:type="dxa"/>
            <w:vAlign w:val="center"/>
          </w:tcPr>
          <w:p w:rsidR="008A58EA" w:rsidRPr="00896E44" w:rsidRDefault="00F42E25" w:rsidP="00197152">
            <w:pPr>
              <w:jc w:val="both"/>
              <w:rPr>
                <w:rFonts w:asciiTheme="majorHAnsi" w:hAnsiTheme="majorHAnsi"/>
                <w:bCs/>
                <w:sz w:val="19"/>
                <w:szCs w:val="19"/>
                <w:lang w:val="es-ES"/>
              </w:rPr>
            </w:pPr>
            <w:r w:rsidRPr="00896E44">
              <w:rPr>
                <w:rFonts w:asciiTheme="majorHAnsi" w:hAnsiTheme="majorHAnsi"/>
                <w:bCs/>
                <w:sz w:val="19"/>
                <w:szCs w:val="19"/>
                <w:lang w:val="es-ES"/>
              </w:rPr>
              <w:t>27 de marzo de 2015</w:t>
            </w:r>
          </w:p>
        </w:tc>
      </w:tr>
    </w:tbl>
    <w:p w:rsidR="003239B8" w:rsidRPr="00896E44" w:rsidRDefault="003239B8" w:rsidP="00843858">
      <w:pPr>
        <w:spacing w:before="240" w:after="240"/>
        <w:ind w:firstLine="720"/>
        <w:jc w:val="both"/>
        <w:rPr>
          <w:rFonts w:asciiTheme="majorHAnsi" w:hAnsiTheme="majorHAnsi"/>
          <w:b/>
          <w:bCs/>
          <w:sz w:val="19"/>
          <w:szCs w:val="19"/>
          <w:lang w:val="es-ES"/>
        </w:rPr>
      </w:pPr>
      <w:r w:rsidRPr="00896E44">
        <w:rPr>
          <w:rFonts w:asciiTheme="majorHAnsi" w:hAnsiTheme="majorHAnsi"/>
          <w:b/>
          <w:bCs/>
          <w:sz w:val="19"/>
          <w:szCs w:val="19"/>
          <w:lang w:val="es-ES"/>
        </w:rPr>
        <w:t xml:space="preserve">III. </w:t>
      </w:r>
      <w:r w:rsidRPr="00896E44">
        <w:rPr>
          <w:rFonts w:asciiTheme="majorHAnsi" w:hAnsiTheme="majorHAnsi"/>
          <w:b/>
          <w:bCs/>
          <w:sz w:val="19"/>
          <w:szCs w:val="19"/>
          <w:lang w:val="es-ES"/>
        </w:rPr>
        <w:tab/>
        <w:t>COMPETENCIA</w:t>
      </w:r>
      <w:r w:rsidR="00EE00E9" w:rsidRPr="00896E44">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96E44" w:rsidTr="004A6A54">
        <w:trPr>
          <w:cantSplit/>
        </w:trPr>
        <w:tc>
          <w:tcPr>
            <w:tcW w:w="3600" w:type="dxa"/>
            <w:tcBorders>
              <w:top w:val="single" w:sz="4" w:space="0" w:color="auto"/>
              <w:bottom w:val="single" w:sz="6" w:space="0" w:color="auto"/>
            </w:tcBorders>
            <w:shd w:val="clear" w:color="auto" w:fill="386294"/>
            <w:vAlign w:val="center"/>
          </w:tcPr>
          <w:p w:rsidR="003239B8" w:rsidRPr="00896E44" w:rsidRDefault="003239B8" w:rsidP="008D2290">
            <w:pPr>
              <w:jc w:val="center"/>
              <w:rPr>
                <w:rFonts w:asciiTheme="majorHAnsi" w:hAnsiTheme="majorHAnsi"/>
                <w:b/>
                <w:bCs/>
                <w:i/>
                <w:color w:val="FFFFFF" w:themeColor="background1"/>
                <w:sz w:val="19"/>
                <w:szCs w:val="19"/>
                <w:lang w:val="es-BO"/>
              </w:rPr>
            </w:pPr>
            <w:r w:rsidRPr="00896E44">
              <w:rPr>
                <w:rFonts w:asciiTheme="majorHAnsi" w:hAnsiTheme="majorHAnsi"/>
                <w:b/>
                <w:bCs/>
                <w:color w:val="FFFFFF" w:themeColor="background1"/>
                <w:sz w:val="19"/>
                <w:szCs w:val="19"/>
                <w:lang w:val="es-BO"/>
              </w:rPr>
              <w:t>Competencia</w:t>
            </w:r>
            <w:r w:rsidRPr="00896E44">
              <w:rPr>
                <w:rFonts w:asciiTheme="majorHAnsi" w:hAnsiTheme="majorHAnsi"/>
                <w:b/>
                <w:bCs/>
                <w:i/>
                <w:color w:val="FFFFFF" w:themeColor="background1"/>
                <w:sz w:val="19"/>
                <w:szCs w:val="19"/>
                <w:lang w:val="es-BO"/>
              </w:rPr>
              <w:t xml:space="preserve"> </w:t>
            </w:r>
            <w:proofErr w:type="spellStart"/>
            <w:r w:rsidRPr="00896E44">
              <w:rPr>
                <w:rFonts w:asciiTheme="majorHAnsi" w:hAnsiTheme="majorHAnsi"/>
                <w:b/>
                <w:bCs/>
                <w:i/>
                <w:color w:val="FFFFFF" w:themeColor="background1"/>
                <w:sz w:val="19"/>
                <w:szCs w:val="19"/>
                <w:lang w:val="es-BO"/>
              </w:rPr>
              <w:t>Ratione</w:t>
            </w:r>
            <w:proofErr w:type="spellEnd"/>
            <w:r w:rsidRPr="00896E44">
              <w:rPr>
                <w:rFonts w:asciiTheme="majorHAnsi" w:hAnsiTheme="majorHAnsi"/>
                <w:b/>
                <w:bCs/>
                <w:i/>
                <w:color w:val="FFFFFF" w:themeColor="background1"/>
                <w:sz w:val="19"/>
                <w:szCs w:val="19"/>
                <w:lang w:val="es-BO"/>
              </w:rPr>
              <w:t xml:space="preserve"> </w:t>
            </w:r>
            <w:proofErr w:type="spellStart"/>
            <w:r w:rsidRPr="00896E44">
              <w:rPr>
                <w:rFonts w:asciiTheme="majorHAnsi" w:hAnsiTheme="majorHAnsi"/>
                <w:b/>
                <w:bCs/>
                <w:i/>
                <w:color w:val="FFFFFF" w:themeColor="background1"/>
                <w:sz w:val="19"/>
                <w:szCs w:val="19"/>
                <w:lang w:val="es-BO"/>
              </w:rPr>
              <w:t>personae</w:t>
            </w:r>
            <w:proofErr w:type="spellEnd"/>
            <w:r w:rsidRPr="00896E44">
              <w:rPr>
                <w:rFonts w:asciiTheme="majorHAnsi" w:hAnsiTheme="majorHAnsi"/>
                <w:b/>
                <w:bCs/>
                <w:i/>
                <w:color w:val="FFFFFF" w:themeColor="background1"/>
                <w:sz w:val="19"/>
                <w:szCs w:val="19"/>
                <w:lang w:val="es-BO"/>
              </w:rPr>
              <w:t>:</w:t>
            </w:r>
          </w:p>
        </w:tc>
        <w:tc>
          <w:tcPr>
            <w:tcW w:w="5760" w:type="dxa"/>
            <w:vAlign w:val="center"/>
          </w:tcPr>
          <w:p w:rsidR="003239B8" w:rsidRPr="00896E44" w:rsidRDefault="0070428C" w:rsidP="008D2290">
            <w:pPr>
              <w:rPr>
                <w:rFonts w:asciiTheme="majorHAnsi" w:hAnsiTheme="majorHAnsi"/>
                <w:bCs/>
                <w:sz w:val="19"/>
                <w:szCs w:val="19"/>
                <w:lang w:val="es-BO"/>
              </w:rPr>
            </w:pPr>
            <w:r w:rsidRPr="00896E44">
              <w:rPr>
                <w:rFonts w:asciiTheme="majorHAnsi" w:hAnsiTheme="majorHAnsi"/>
                <w:bCs/>
                <w:sz w:val="19"/>
                <w:szCs w:val="19"/>
                <w:lang w:val="es-BO"/>
              </w:rPr>
              <w:t>Sí</w:t>
            </w:r>
          </w:p>
        </w:tc>
      </w:tr>
      <w:tr w:rsidR="003239B8" w:rsidRPr="00896E44" w:rsidTr="004A6A54">
        <w:trPr>
          <w:cantSplit/>
        </w:trPr>
        <w:tc>
          <w:tcPr>
            <w:tcW w:w="3600" w:type="dxa"/>
            <w:tcBorders>
              <w:top w:val="single" w:sz="6" w:space="0" w:color="auto"/>
              <w:bottom w:val="single" w:sz="6" w:space="0" w:color="auto"/>
            </w:tcBorders>
            <w:shd w:val="clear" w:color="auto" w:fill="386294"/>
            <w:vAlign w:val="center"/>
          </w:tcPr>
          <w:p w:rsidR="003239B8" w:rsidRPr="00896E44" w:rsidRDefault="003239B8" w:rsidP="008D2290">
            <w:pPr>
              <w:jc w:val="center"/>
              <w:rPr>
                <w:rFonts w:asciiTheme="majorHAnsi" w:hAnsiTheme="majorHAnsi"/>
                <w:b/>
                <w:bCs/>
                <w:color w:val="FFFFFF" w:themeColor="background1"/>
                <w:sz w:val="19"/>
                <w:szCs w:val="19"/>
                <w:lang w:val="es-BO"/>
              </w:rPr>
            </w:pPr>
            <w:r w:rsidRPr="00896E44">
              <w:rPr>
                <w:rFonts w:asciiTheme="majorHAnsi" w:hAnsiTheme="majorHAnsi"/>
                <w:b/>
                <w:bCs/>
                <w:color w:val="FFFFFF" w:themeColor="background1"/>
                <w:sz w:val="19"/>
                <w:szCs w:val="19"/>
                <w:lang w:val="es-BO"/>
              </w:rPr>
              <w:t>Competencia</w:t>
            </w:r>
            <w:r w:rsidRPr="00896E44">
              <w:rPr>
                <w:rFonts w:asciiTheme="majorHAnsi" w:hAnsiTheme="majorHAnsi"/>
                <w:b/>
                <w:bCs/>
                <w:i/>
                <w:color w:val="FFFFFF" w:themeColor="background1"/>
                <w:sz w:val="19"/>
                <w:szCs w:val="19"/>
                <w:lang w:val="es-BO"/>
              </w:rPr>
              <w:t xml:space="preserve"> </w:t>
            </w:r>
            <w:proofErr w:type="spellStart"/>
            <w:r w:rsidRPr="00896E44">
              <w:rPr>
                <w:rFonts w:asciiTheme="majorHAnsi" w:hAnsiTheme="majorHAnsi"/>
                <w:b/>
                <w:bCs/>
                <w:i/>
                <w:color w:val="FFFFFF" w:themeColor="background1"/>
                <w:sz w:val="19"/>
                <w:szCs w:val="19"/>
                <w:lang w:val="es-BO"/>
              </w:rPr>
              <w:t>Ratione</w:t>
            </w:r>
            <w:proofErr w:type="spellEnd"/>
            <w:r w:rsidRPr="00896E44">
              <w:rPr>
                <w:rFonts w:asciiTheme="majorHAnsi" w:hAnsiTheme="majorHAnsi"/>
                <w:b/>
                <w:bCs/>
                <w:i/>
                <w:color w:val="FFFFFF" w:themeColor="background1"/>
                <w:sz w:val="19"/>
                <w:szCs w:val="19"/>
                <w:lang w:val="es-BO"/>
              </w:rPr>
              <w:t xml:space="preserve"> </w:t>
            </w:r>
            <w:proofErr w:type="spellStart"/>
            <w:r w:rsidRPr="00896E44">
              <w:rPr>
                <w:rFonts w:asciiTheme="majorHAnsi" w:hAnsiTheme="majorHAnsi"/>
                <w:b/>
                <w:bCs/>
                <w:i/>
                <w:color w:val="FFFFFF" w:themeColor="background1"/>
                <w:sz w:val="19"/>
                <w:szCs w:val="19"/>
                <w:lang w:val="es-BO"/>
              </w:rPr>
              <w:t>loci</w:t>
            </w:r>
            <w:proofErr w:type="spellEnd"/>
            <w:r w:rsidRPr="00896E44">
              <w:rPr>
                <w:rFonts w:asciiTheme="majorHAnsi" w:hAnsiTheme="majorHAnsi"/>
                <w:b/>
                <w:bCs/>
                <w:color w:val="FFFFFF" w:themeColor="background1"/>
                <w:sz w:val="19"/>
                <w:szCs w:val="19"/>
                <w:lang w:val="es-BO"/>
              </w:rPr>
              <w:t>:</w:t>
            </w:r>
          </w:p>
        </w:tc>
        <w:tc>
          <w:tcPr>
            <w:tcW w:w="5760" w:type="dxa"/>
            <w:vAlign w:val="center"/>
          </w:tcPr>
          <w:p w:rsidR="003239B8" w:rsidRPr="00896E44" w:rsidRDefault="0070428C" w:rsidP="008D2290">
            <w:pPr>
              <w:rPr>
                <w:rFonts w:asciiTheme="majorHAnsi" w:hAnsiTheme="majorHAnsi"/>
                <w:bCs/>
                <w:sz w:val="19"/>
                <w:szCs w:val="19"/>
                <w:lang w:val="es-BO"/>
              </w:rPr>
            </w:pPr>
            <w:r w:rsidRPr="00896E44">
              <w:rPr>
                <w:rFonts w:asciiTheme="majorHAnsi" w:hAnsiTheme="majorHAnsi"/>
                <w:bCs/>
                <w:sz w:val="19"/>
                <w:szCs w:val="19"/>
                <w:lang w:val="es-BO"/>
              </w:rPr>
              <w:t>Sí</w:t>
            </w:r>
          </w:p>
        </w:tc>
      </w:tr>
      <w:tr w:rsidR="003239B8" w:rsidRPr="00896E44" w:rsidTr="004A6A54">
        <w:trPr>
          <w:cantSplit/>
        </w:trPr>
        <w:tc>
          <w:tcPr>
            <w:tcW w:w="3600" w:type="dxa"/>
            <w:tcBorders>
              <w:top w:val="single" w:sz="6" w:space="0" w:color="auto"/>
              <w:bottom w:val="single" w:sz="6" w:space="0" w:color="auto"/>
            </w:tcBorders>
            <w:shd w:val="clear" w:color="auto" w:fill="386294"/>
            <w:vAlign w:val="center"/>
          </w:tcPr>
          <w:p w:rsidR="003239B8" w:rsidRPr="00896E44" w:rsidRDefault="003239B8" w:rsidP="008D2290">
            <w:pPr>
              <w:jc w:val="center"/>
              <w:rPr>
                <w:rFonts w:asciiTheme="majorHAnsi" w:hAnsiTheme="majorHAnsi"/>
                <w:b/>
                <w:bCs/>
                <w:color w:val="FFFFFF" w:themeColor="background1"/>
                <w:sz w:val="19"/>
                <w:szCs w:val="19"/>
                <w:lang w:val="es-BO"/>
              </w:rPr>
            </w:pPr>
            <w:r w:rsidRPr="00896E44">
              <w:rPr>
                <w:rFonts w:asciiTheme="majorHAnsi" w:hAnsiTheme="majorHAnsi"/>
                <w:b/>
                <w:bCs/>
                <w:color w:val="FFFFFF" w:themeColor="background1"/>
                <w:sz w:val="19"/>
                <w:szCs w:val="19"/>
                <w:lang w:val="es-BO"/>
              </w:rPr>
              <w:t>Competencia</w:t>
            </w:r>
            <w:r w:rsidRPr="00896E44">
              <w:rPr>
                <w:rFonts w:asciiTheme="majorHAnsi" w:hAnsiTheme="majorHAnsi"/>
                <w:b/>
                <w:bCs/>
                <w:i/>
                <w:color w:val="FFFFFF" w:themeColor="background1"/>
                <w:sz w:val="19"/>
                <w:szCs w:val="19"/>
                <w:lang w:val="es-BO"/>
              </w:rPr>
              <w:t xml:space="preserve"> </w:t>
            </w:r>
            <w:proofErr w:type="spellStart"/>
            <w:r w:rsidRPr="00896E44">
              <w:rPr>
                <w:rFonts w:asciiTheme="majorHAnsi" w:hAnsiTheme="majorHAnsi"/>
                <w:b/>
                <w:bCs/>
                <w:i/>
                <w:color w:val="FFFFFF" w:themeColor="background1"/>
                <w:sz w:val="19"/>
                <w:szCs w:val="19"/>
                <w:lang w:val="es-BO"/>
              </w:rPr>
              <w:t>Ratione</w:t>
            </w:r>
            <w:proofErr w:type="spellEnd"/>
            <w:r w:rsidRPr="00896E44">
              <w:rPr>
                <w:rFonts w:asciiTheme="majorHAnsi" w:hAnsiTheme="majorHAnsi"/>
                <w:b/>
                <w:bCs/>
                <w:i/>
                <w:color w:val="FFFFFF" w:themeColor="background1"/>
                <w:sz w:val="19"/>
                <w:szCs w:val="19"/>
                <w:lang w:val="es-BO"/>
              </w:rPr>
              <w:t xml:space="preserve"> </w:t>
            </w:r>
            <w:proofErr w:type="spellStart"/>
            <w:r w:rsidRPr="00896E44">
              <w:rPr>
                <w:rFonts w:asciiTheme="majorHAnsi" w:hAnsiTheme="majorHAnsi"/>
                <w:b/>
                <w:bCs/>
                <w:i/>
                <w:color w:val="FFFFFF" w:themeColor="background1"/>
                <w:sz w:val="19"/>
                <w:szCs w:val="19"/>
                <w:lang w:val="es-BO"/>
              </w:rPr>
              <w:t>temporis</w:t>
            </w:r>
            <w:proofErr w:type="spellEnd"/>
            <w:r w:rsidRPr="00896E44">
              <w:rPr>
                <w:rFonts w:asciiTheme="majorHAnsi" w:hAnsiTheme="majorHAnsi"/>
                <w:b/>
                <w:bCs/>
                <w:color w:val="FFFFFF" w:themeColor="background1"/>
                <w:sz w:val="19"/>
                <w:szCs w:val="19"/>
                <w:lang w:val="es-BO"/>
              </w:rPr>
              <w:t>:</w:t>
            </w:r>
          </w:p>
        </w:tc>
        <w:tc>
          <w:tcPr>
            <w:tcW w:w="5760" w:type="dxa"/>
            <w:vAlign w:val="center"/>
          </w:tcPr>
          <w:p w:rsidR="003239B8" w:rsidRPr="00896E44" w:rsidRDefault="0070428C" w:rsidP="008D2290">
            <w:pPr>
              <w:rPr>
                <w:rFonts w:asciiTheme="majorHAnsi" w:hAnsiTheme="majorHAnsi"/>
                <w:bCs/>
                <w:sz w:val="19"/>
                <w:szCs w:val="19"/>
                <w:lang w:val="es-BO"/>
              </w:rPr>
            </w:pPr>
            <w:r w:rsidRPr="00896E44">
              <w:rPr>
                <w:rFonts w:asciiTheme="majorHAnsi" w:hAnsiTheme="majorHAnsi"/>
                <w:bCs/>
                <w:sz w:val="19"/>
                <w:szCs w:val="19"/>
                <w:lang w:val="es-BO"/>
              </w:rPr>
              <w:t>Sí</w:t>
            </w:r>
          </w:p>
        </w:tc>
      </w:tr>
      <w:tr w:rsidR="003239B8" w:rsidRPr="007237C7" w:rsidTr="004A6A54">
        <w:trPr>
          <w:cantSplit/>
        </w:trPr>
        <w:tc>
          <w:tcPr>
            <w:tcW w:w="3600" w:type="dxa"/>
            <w:tcBorders>
              <w:top w:val="single" w:sz="6" w:space="0" w:color="auto"/>
              <w:bottom w:val="single" w:sz="6" w:space="0" w:color="auto"/>
            </w:tcBorders>
            <w:shd w:val="clear" w:color="auto" w:fill="386294"/>
            <w:vAlign w:val="center"/>
          </w:tcPr>
          <w:p w:rsidR="003239B8" w:rsidRPr="00896E44" w:rsidRDefault="003239B8" w:rsidP="008D2290">
            <w:pPr>
              <w:jc w:val="center"/>
              <w:rPr>
                <w:rFonts w:asciiTheme="majorHAnsi" w:hAnsiTheme="majorHAnsi"/>
                <w:b/>
                <w:bCs/>
                <w:color w:val="FFFFFF" w:themeColor="background1"/>
                <w:sz w:val="19"/>
                <w:szCs w:val="19"/>
              </w:rPr>
            </w:pPr>
            <w:r w:rsidRPr="00896E44">
              <w:rPr>
                <w:rFonts w:asciiTheme="majorHAnsi" w:hAnsiTheme="majorHAnsi"/>
                <w:b/>
                <w:bCs/>
                <w:color w:val="FFFFFF" w:themeColor="background1"/>
                <w:sz w:val="19"/>
                <w:szCs w:val="19"/>
                <w:lang w:val="es-BO"/>
              </w:rPr>
              <w:t>Competen</w:t>
            </w:r>
            <w:proofErr w:type="spellStart"/>
            <w:r w:rsidRPr="00896E44">
              <w:rPr>
                <w:rFonts w:asciiTheme="majorHAnsi" w:hAnsiTheme="majorHAnsi"/>
                <w:b/>
                <w:bCs/>
                <w:color w:val="FFFFFF" w:themeColor="background1"/>
                <w:sz w:val="19"/>
                <w:szCs w:val="19"/>
              </w:rPr>
              <w:t>cia</w:t>
            </w:r>
            <w:proofErr w:type="spellEnd"/>
            <w:r w:rsidRPr="00896E44">
              <w:rPr>
                <w:rFonts w:asciiTheme="majorHAnsi" w:hAnsiTheme="majorHAnsi"/>
                <w:b/>
                <w:bCs/>
                <w:i/>
                <w:color w:val="FFFFFF" w:themeColor="background1"/>
                <w:sz w:val="19"/>
                <w:szCs w:val="19"/>
              </w:rPr>
              <w:t xml:space="preserve"> </w:t>
            </w:r>
            <w:proofErr w:type="spellStart"/>
            <w:r w:rsidRPr="00896E44">
              <w:rPr>
                <w:rFonts w:asciiTheme="majorHAnsi" w:hAnsiTheme="majorHAnsi"/>
                <w:b/>
                <w:bCs/>
                <w:i/>
                <w:color w:val="FFFFFF" w:themeColor="background1"/>
                <w:sz w:val="19"/>
                <w:szCs w:val="19"/>
              </w:rPr>
              <w:t>Ratione</w:t>
            </w:r>
            <w:proofErr w:type="spellEnd"/>
            <w:r w:rsidRPr="00896E44">
              <w:rPr>
                <w:rFonts w:asciiTheme="majorHAnsi" w:hAnsiTheme="majorHAnsi"/>
                <w:b/>
                <w:bCs/>
                <w:i/>
                <w:color w:val="FFFFFF" w:themeColor="background1"/>
                <w:sz w:val="19"/>
                <w:szCs w:val="19"/>
              </w:rPr>
              <w:t xml:space="preserve"> </w:t>
            </w:r>
            <w:proofErr w:type="spellStart"/>
            <w:r w:rsidRPr="00896E44">
              <w:rPr>
                <w:rFonts w:asciiTheme="majorHAnsi" w:hAnsiTheme="majorHAnsi"/>
                <w:b/>
                <w:bCs/>
                <w:i/>
                <w:color w:val="FFFFFF" w:themeColor="background1"/>
                <w:sz w:val="19"/>
                <w:szCs w:val="19"/>
              </w:rPr>
              <w:t>materia</w:t>
            </w:r>
            <w:r w:rsidR="00EE00E9" w:rsidRPr="00896E44">
              <w:rPr>
                <w:rFonts w:asciiTheme="majorHAnsi" w:hAnsiTheme="majorHAnsi"/>
                <w:b/>
                <w:bCs/>
                <w:i/>
                <w:color w:val="FFFFFF" w:themeColor="background1"/>
                <w:sz w:val="19"/>
                <w:szCs w:val="19"/>
              </w:rPr>
              <w:t>e</w:t>
            </w:r>
            <w:proofErr w:type="spellEnd"/>
            <w:r w:rsidRPr="00896E44">
              <w:rPr>
                <w:rFonts w:asciiTheme="majorHAnsi" w:hAnsiTheme="majorHAnsi"/>
                <w:b/>
                <w:bCs/>
                <w:color w:val="FFFFFF" w:themeColor="background1"/>
                <w:sz w:val="19"/>
                <w:szCs w:val="19"/>
              </w:rPr>
              <w:t>:</w:t>
            </w:r>
          </w:p>
        </w:tc>
        <w:tc>
          <w:tcPr>
            <w:tcW w:w="5760" w:type="dxa"/>
            <w:vAlign w:val="center"/>
          </w:tcPr>
          <w:p w:rsidR="003239B8" w:rsidRPr="00896E44" w:rsidRDefault="0070428C" w:rsidP="008C1AE5">
            <w:pPr>
              <w:jc w:val="both"/>
              <w:rPr>
                <w:rFonts w:asciiTheme="majorHAnsi" w:hAnsiTheme="majorHAnsi"/>
                <w:bCs/>
                <w:sz w:val="19"/>
                <w:szCs w:val="19"/>
                <w:lang w:val="es-BO"/>
              </w:rPr>
            </w:pPr>
            <w:r w:rsidRPr="00896E44">
              <w:rPr>
                <w:rFonts w:asciiTheme="majorHAnsi" w:hAnsiTheme="majorHAnsi"/>
                <w:bCs/>
                <w:sz w:val="19"/>
                <w:szCs w:val="19"/>
                <w:lang w:val="es-ES"/>
              </w:rPr>
              <w:t>Sí, Convención Americana (depósito de instrumento realizado el 31 de julio de 1973)</w:t>
            </w:r>
            <w:r w:rsidR="008C1AE5">
              <w:rPr>
                <w:rFonts w:asciiTheme="majorHAnsi" w:hAnsiTheme="majorHAnsi"/>
                <w:bCs/>
                <w:sz w:val="19"/>
                <w:szCs w:val="19"/>
                <w:lang w:val="es-ES"/>
              </w:rPr>
              <w:t xml:space="preserve"> y</w:t>
            </w:r>
            <w:r w:rsidR="007C768A" w:rsidRPr="00896E44">
              <w:rPr>
                <w:rFonts w:asciiTheme="majorHAnsi" w:hAnsiTheme="majorHAnsi"/>
                <w:bCs/>
                <w:sz w:val="19"/>
                <w:szCs w:val="19"/>
                <w:lang w:val="es-ES"/>
              </w:rPr>
              <w:t xml:space="preserve"> </w:t>
            </w:r>
            <w:r w:rsidRPr="00896E44">
              <w:rPr>
                <w:rFonts w:asciiTheme="majorHAnsi" w:hAnsiTheme="majorHAnsi"/>
                <w:sz w:val="19"/>
                <w:szCs w:val="19"/>
                <w:lang w:val="es-ES"/>
              </w:rPr>
              <w:t>Convención Interamericana para Prevenir y Sancionar la Tortura</w:t>
            </w:r>
            <w:r w:rsidR="007C768A" w:rsidRPr="00896E44">
              <w:rPr>
                <w:rStyle w:val="FootnoteReference"/>
                <w:rFonts w:asciiTheme="majorHAnsi" w:hAnsiTheme="majorHAnsi"/>
                <w:sz w:val="19"/>
                <w:szCs w:val="19"/>
                <w:lang w:val="es-ES"/>
              </w:rPr>
              <w:footnoteReference w:id="7"/>
            </w:r>
            <w:r w:rsidRPr="00896E44">
              <w:rPr>
                <w:rFonts w:asciiTheme="majorHAnsi" w:hAnsiTheme="majorHAnsi"/>
                <w:sz w:val="19"/>
                <w:szCs w:val="19"/>
                <w:lang w:val="es-ES"/>
              </w:rPr>
              <w:t xml:space="preserve"> (depósito de instrumento realizado el 19 de enero de 1999)</w:t>
            </w:r>
          </w:p>
        </w:tc>
      </w:tr>
    </w:tbl>
    <w:p w:rsidR="003239B8" w:rsidRPr="00896E44" w:rsidRDefault="003239B8" w:rsidP="003239B8">
      <w:pPr>
        <w:spacing w:before="240" w:after="240"/>
        <w:ind w:firstLine="720"/>
        <w:jc w:val="both"/>
        <w:rPr>
          <w:rFonts w:asciiTheme="majorHAnsi" w:hAnsiTheme="majorHAnsi"/>
          <w:b/>
          <w:bCs/>
          <w:sz w:val="19"/>
          <w:szCs w:val="19"/>
          <w:lang w:val="es-ES"/>
        </w:rPr>
      </w:pPr>
      <w:r w:rsidRPr="00896E44">
        <w:rPr>
          <w:rFonts w:asciiTheme="majorHAnsi" w:hAnsiTheme="majorHAnsi"/>
          <w:b/>
          <w:bCs/>
          <w:sz w:val="19"/>
          <w:szCs w:val="19"/>
          <w:lang w:val="es-ES"/>
        </w:rPr>
        <w:t xml:space="preserve">IV. </w:t>
      </w:r>
      <w:r w:rsidRPr="00896E44">
        <w:rPr>
          <w:rFonts w:asciiTheme="majorHAnsi" w:hAnsiTheme="majorHAnsi"/>
          <w:b/>
          <w:bCs/>
          <w:sz w:val="19"/>
          <w:szCs w:val="19"/>
          <w:lang w:val="es-ES"/>
        </w:rPr>
        <w:tab/>
      </w:r>
      <w:r w:rsidR="00EE00E9" w:rsidRPr="00896E44">
        <w:rPr>
          <w:rFonts w:asciiTheme="majorHAnsi" w:hAnsiTheme="majorHAnsi"/>
          <w:b/>
          <w:bCs/>
          <w:sz w:val="19"/>
          <w:szCs w:val="19"/>
          <w:lang w:val="es-ES"/>
        </w:rPr>
        <w:t>DUPLICACIÓN</w:t>
      </w:r>
      <w:r w:rsidR="00EE00E9" w:rsidRPr="00896E44">
        <w:rPr>
          <w:rFonts w:asciiTheme="majorHAnsi" w:hAnsiTheme="majorHAnsi"/>
          <w:b/>
          <w:bCs/>
          <w:color w:val="FFFFFF" w:themeColor="background1"/>
          <w:sz w:val="19"/>
          <w:szCs w:val="19"/>
          <w:lang w:val="es-ES"/>
        </w:rPr>
        <w:t xml:space="preserve"> </w:t>
      </w:r>
      <w:r w:rsidR="00EE00E9" w:rsidRPr="00896E44">
        <w:rPr>
          <w:rFonts w:asciiTheme="majorHAnsi" w:hAnsiTheme="majorHAnsi"/>
          <w:b/>
          <w:bCs/>
          <w:sz w:val="19"/>
          <w:szCs w:val="19"/>
          <w:lang w:val="es-ES"/>
        </w:rPr>
        <w:t>DE PROCEDIMIENTOS Y COSA JUZGADA</w:t>
      </w:r>
      <w:r w:rsidR="00EE00E9" w:rsidRPr="00896E44">
        <w:rPr>
          <w:rFonts w:asciiTheme="majorHAnsi" w:hAnsiTheme="majorHAnsi"/>
          <w:b/>
          <w:bCs/>
          <w:i/>
          <w:sz w:val="19"/>
          <w:szCs w:val="19"/>
          <w:lang w:val="es-ES"/>
        </w:rPr>
        <w:t xml:space="preserve"> </w:t>
      </w:r>
      <w:r w:rsidR="00EE00E9" w:rsidRPr="00896E44">
        <w:rPr>
          <w:rFonts w:asciiTheme="majorHAnsi" w:hAnsiTheme="majorHAnsi"/>
          <w:b/>
          <w:bCs/>
          <w:sz w:val="19"/>
          <w:szCs w:val="19"/>
          <w:lang w:val="es-ES"/>
        </w:rPr>
        <w:t xml:space="preserve">INTERNACIONAL, </w:t>
      </w:r>
      <w:r w:rsidRPr="00896E44">
        <w:rPr>
          <w:rFonts w:asciiTheme="majorHAnsi" w:hAnsiTheme="majorHAnsi"/>
          <w:b/>
          <w:bCs/>
          <w:sz w:val="19"/>
          <w:szCs w:val="19"/>
          <w:lang w:val="es-ES"/>
        </w:rPr>
        <w:t xml:space="preserve"> CARACTERIZACIÓN, </w:t>
      </w:r>
      <w:r w:rsidRPr="00896E44">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896E44" w:rsidTr="004A6A54">
        <w:trPr>
          <w:cantSplit/>
        </w:trPr>
        <w:tc>
          <w:tcPr>
            <w:tcW w:w="3600" w:type="dxa"/>
            <w:tcBorders>
              <w:top w:val="single" w:sz="4" w:space="0" w:color="auto"/>
              <w:bottom w:val="single" w:sz="6" w:space="0" w:color="auto"/>
            </w:tcBorders>
            <w:shd w:val="clear" w:color="auto" w:fill="386294"/>
            <w:vAlign w:val="center"/>
          </w:tcPr>
          <w:p w:rsidR="00EE00E9" w:rsidRPr="00896E44" w:rsidRDefault="00EE00E9" w:rsidP="008D2290">
            <w:pPr>
              <w:jc w:val="center"/>
              <w:rPr>
                <w:rFonts w:asciiTheme="majorHAnsi" w:hAnsiTheme="majorHAnsi"/>
                <w:b/>
                <w:bCs/>
                <w:color w:val="FFFFFF" w:themeColor="background1"/>
                <w:sz w:val="19"/>
                <w:szCs w:val="19"/>
                <w:lang w:val="es-ES"/>
              </w:rPr>
            </w:pPr>
            <w:r w:rsidRPr="00896E44">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896E44" w:rsidRDefault="0070428C" w:rsidP="008D2290">
            <w:pPr>
              <w:jc w:val="both"/>
              <w:rPr>
                <w:rFonts w:asciiTheme="majorHAnsi" w:hAnsiTheme="majorHAnsi"/>
                <w:bCs/>
                <w:sz w:val="19"/>
                <w:szCs w:val="19"/>
                <w:lang w:val="es-ES"/>
              </w:rPr>
            </w:pPr>
            <w:r w:rsidRPr="00896E44">
              <w:rPr>
                <w:rFonts w:asciiTheme="majorHAnsi" w:hAnsiTheme="majorHAnsi"/>
                <w:bCs/>
                <w:sz w:val="19"/>
                <w:szCs w:val="19"/>
                <w:lang w:val="es-ES"/>
              </w:rPr>
              <w:t>No</w:t>
            </w:r>
          </w:p>
        </w:tc>
      </w:tr>
      <w:tr w:rsidR="003239B8" w:rsidRPr="007237C7" w:rsidTr="004A6A54">
        <w:trPr>
          <w:cantSplit/>
        </w:trPr>
        <w:tc>
          <w:tcPr>
            <w:tcW w:w="3600" w:type="dxa"/>
            <w:tcBorders>
              <w:top w:val="single" w:sz="4" w:space="0" w:color="auto"/>
              <w:bottom w:val="single" w:sz="6" w:space="0" w:color="auto"/>
            </w:tcBorders>
            <w:shd w:val="clear" w:color="auto" w:fill="386294"/>
            <w:vAlign w:val="center"/>
          </w:tcPr>
          <w:p w:rsidR="003239B8" w:rsidRPr="00896E44" w:rsidRDefault="003239B8" w:rsidP="008D2290">
            <w:pPr>
              <w:jc w:val="center"/>
              <w:rPr>
                <w:rFonts w:asciiTheme="majorHAnsi" w:hAnsiTheme="majorHAnsi"/>
                <w:b/>
                <w:bCs/>
                <w:i/>
                <w:color w:val="FFFFFF" w:themeColor="background1"/>
                <w:sz w:val="19"/>
                <w:szCs w:val="19"/>
              </w:rPr>
            </w:pPr>
            <w:r w:rsidRPr="00896E44">
              <w:rPr>
                <w:rFonts w:asciiTheme="majorHAnsi" w:hAnsiTheme="majorHAnsi"/>
                <w:b/>
                <w:bCs/>
                <w:color w:val="FFFFFF" w:themeColor="background1"/>
                <w:sz w:val="19"/>
                <w:szCs w:val="19"/>
              </w:rPr>
              <w:t xml:space="preserve">Derechos </w:t>
            </w:r>
            <w:proofErr w:type="spellStart"/>
            <w:r w:rsidRPr="00896E44">
              <w:rPr>
                <w:rFonts w:asciiTheme="majorHAnsi" w:hAnsiTheme="majorHAnsi"/>
                <w:b/>
                <w:bCs/>
                <w:color w:val="FFFFFF" w:themeColor="background1"/>
                <w:sz w:val="19"/>
                <w:szCs w:val="19"/>
              </w:rPr>
              <w:t>declarados</w:t>
            </w:r>
            <w:proofErr w:type="spellEnd"/>
            <w:r w:rsidRPr="00896E44">
              <w:rPr>
                <w:rFonts w:asciiTheme="majorHAnsi" w:hAnsiTheme="majorHAnsi"/>
                <w:b/>
                <w:bCs/>
                <w:color w:val="FFFFFF" w:themeColor="background1"/>
                <w:sz w:val="19"/>
                <w:szCs w:val="19"/>
              </w:rPr>
              <w:t xml:space="preserve"> </w:t>
            </w:r>
            <w:proofErr w:type="spellStart"/>
            <w:r w:rsidRPr="00896E44">
              <w:rPr>
                <w:rFonts w:asciiTheme="majorHAnsi" w:hAnsiTheme="majorHAnsi"/>
                <w:b/>
                <w:bCs/>
                <w:color w:val="FFFFFF" w:themeColor="background1"/>
                <w:sz w:val="19"/>
                <w:szCs w:val="19"/>
              </w:rPr>
              <w:t>admisibles</w:t>
            </w:r>
            <w:proofErr w:type="spellEnd"/>
            <w:r w:rsidRPr="00896E44">
              <w:rPr>
                <w:rFonts w:asciiTheme="majorHAnsi" w:hAnsiTheme="majorHAnsi"/>
                <w:b/>
                <w:bCs/>
                <w:i/>
                <w:color w:val="FFFFFF" w:themeColor="background1"/>
                <w:sz w:val="19"/>
                <w:szCs w:val="19"/>
              </w:rPr>
              <w:t>:</w:t>
            </w:r>
          </w:p>
        </w:tc>
        <w:tc>
          <w:tcPr>
            <w:tcW w:w="5760" w:type="dxa"/>
            <w:vAlign w:val="center"/>
          </w:tcPr>
          <w:p w:rsidR="003239B8" w:rsidRPr="00896E44" w:rsidRDefault="00AF3123" w:rsidP="008C1AE5">
            <w:pPr>
              <w:jc w:val="both"/>
              <w:rPr>
                <w:rFonts w:asciiTheme="majorHAnsi" w:hAnsiTheme="majorHAnsi"/>
                <w:bCs/>
                <w:sz w:val="19"/>
                <w:szCs w:val="19"/>
                <w:lang w:val="es-BO"/>
              </w:rPr>
            </w:pPr>
            <w:r w:rsidRPr="00896E44">
              <w:rPr>
                <w:rFonts w:asciiTheme="majorHAnsi" w:hAnsiTheme="majorHAnsi"/>
                <w:bCs/>
                <w:sz w:val="19"/>
                <w:szCs w:val="19"/>
                <w:lang w:val="es-ES"/>
              </w:rPr>
              <w:t xml:space="preserve">Artículos 4 (vida), 5 (integridad personal), 7 (libertad personal), </w:t>
            </w:r>
            <w:r w:rsidRPr="00896E44">
              <w:rPr>
                <w:rFonts w:asciiTheme="majorHAnsi" w:hAnsiTheme="majorHAnsi"/>
                <w:sz w:val="19"/>
                <w:szCs w:val="19"/>
                <w:bdr w:val="none" w:sz="0" w:space="0" w:color="auto" w:frame="1"/>
                <w:lang w:val="es-UY"/>
              </w:rPr>
              <w:t xml:space="preserve">8 (garantías judiciales), </w:t>
            </w:r>
            <w:r w:rsidR="00E374D6" w:rsidRPr="00896E44">
              <w:rPr>
                <w:rFonts w:asciiTheme="majorHAnsi" w:hAnsiTheme="majorHAnsi"/>
                <w:bCs/>
                <w:sz w:val="19"/>
                <w:szCs w:val="19"/>
                <w:lang w:val="es-CO"/>
              </w:rPr>
              <w:t xml:space="preserve">17 (protección a la familia), 19 (niñez), 21 (propiedad privada), 22 (circulación y de residencia), 25 (protección judicial) y 26 (derechos económicos, sociales y culturales) </w:t>
            </w:r>
            <w:r w:rsidR="00E374D6" w:rsidRPr="00896E44">
              <w:rPr>
                <w:rFonts w:asciiTheme="majorHAnsi" w:hAnsiTheme="majorHAnsi"/>
                <w:sz w:val="19"/>
                <w:szCs w:val="19"/>
                <w:bdr w:val="none" w:sz="0" w:space="0" w:color="auto" w:frame="1"/>
                <w:lang w:val="es-UY"/>
              </w:rPr>
              <w:t>de la Convención Americana, en relación con sus artículos 1.1 y 2 y artículos 1, 6 y 8 de la CIPST</w:t>
            </w:r>
          </w:p>
        </w:tc>
      </w:tr>
      <w:tr w:rsidR="003239B8" w:rsidRPr="007237C7" w:rsidTr="004A6A54">
        <w:trPr>
          <w:cantSplit/>
        </w:trPr>
        <w:tc>
          <w:tcPr>
            <w:tcW w:w="3600" w:type="dxa"/>
            <w:tcBorders>
              <w:top w:val="single" w:sz="6" w:space="0" w:color="auto"/>
              <w:bottom w:val="single" w:sz="6" w:space="0" w:color="auto"/>
            </w:tcBorders>
            <w:shd w:val="clear" w:color="auto" w:fill="386294"/>
            <w:vAlign w:val="center"/>
          </w:tcPr>
          <w:p w:rsidR="003239B8" w:rsidRPr="00896E44" w:rsidRDefault="003239B8" w:rsidP="008D2290">
            <w:pPr>
              <w:jc w:val="center"/>
              <w:rPr>
                <w:rFonts w:asciiTheme="majorHAnsi" w:hAnsiTheme="majorHAnsi"/>
                <w:b/>
                <w:bCs/>
                <w:color w:val="FFFFFF" w:themeColor="background1"/>
                <w:sz w:val="19"/>
                <w:szCs w:val="19"/>
                <w:lang w:val="es-ES"/>
              </w:rPr>
            </w:pPr>
            <w:r w:rsidRPr="00896E44">
              <w:rPr>
                <w:rFonts w:asciiTheme="majorHAnsi" w:hAnsiTheme="majorHAnsi"/>
                <w:b/>
                <w:bCs/>
                <w:color w:val="FFFFFF" w:themeColor="background1"/>
                <w:sz w:val="19"/>
                <w:szCs w:val="19"/>
                <w:lang w:val="es-ES"/>
              </w:rPr>
              <w:t>Agotamiento de recursos internos</w:t>
            </w:r>
            <w:r w:rsidR="00EE00E9" w:rsidRPr="00896E44">
              <w:rPr>
                <w:rFonts w:asciiTheme="majorHAnsi" w:hAnsiTheme="majorHAnsi"/>
                <w:b/>
                <w:bCs/>
                <w:color w:val="FFFFFF" w:themeColor="background1"/>
                <w:sz w:val="19"/>
                <w:szCs w:val="19"/>
                <w:lang w:val="es-ES"/>
              </w:rPr>
              <w:t xml:space="preserve"> o procedencia de una excepción</w:t>
            </w:r>
            <w:r w:rsidRPr="00896E44">
              <w:rPr>
                <w:rFonts w:asciiTheme="majorHAnsi" w:hAnsiTheme="majorHAnsi"/>
                <w:b/>
                <w:bCs/>
                <w:color w:val="FFFFFF" w:themeColor="background1"/>
                <w:sz w:val="19"/>
                <w:szCs w:val="19"/>
                <w:lang w:val="es-ES"/>
              </w:rPr>
              <w:t>:</w:t>
            </w:r>
          </w:p>
        </w:tc>
        <w:tc>
          <w:tcPr>
            <w:tcW w:w="5760" w:type="dxa"/>
            <w:vAlign w:val="center"/>
          </w:tcPr>
          <w:p w:rsidR="003239B8" w:rsidRPr="00896E44" w:rsidRDefault="0070428C" w:rsidP="008D2290">
            <w:pPr>
              <w:rPr>
                <w:rFonts w:asciiTheme="majorHAnsi" w:hAnsiTheme="majorHAnsi"/>
                <w:bCs/>
                <w:sz w:val="19"/>
                <w:szCs w:val="19"/>
                <w:lang w:val="es-ES"/>
              </w:rPr>
            </w:pPr>
            <w:r w:rsidRPr="00896E44">
              <w:rPr>
                <w:rFonts w:asciiTheme="majorHAnsi" w:hAnsiTheme="majorHAnsi"/>
                <w:bCs/>
                <w:sz w:val="19"/>
                <w:szCs w:val="19"/>
                <w:lang w:val="es-BO"/>
              </w:rPr>
              <w:t>Sí, en los términos de la sección VI</w:t>
            </w:r>
          </w:p>
        </w:tc>
      </w:tr>
      <w:tr w:rsidR="003239B8" w:rsidRPr="007237C7" w:rsidTr="004A6A54">
        <w:trPr>
          <w:cantSplit/>
        </w:trPr>
        <w:tc>
          <w:tcPr>
            <w:tcW w:w="3600" w:type="dxa"/>
            <w:tcBorders>
              <w:top w:val="single" w:sz="6" w:space="0" w:color="auto"/>
              <w:bottom w:val="single" w:sz="6" w:space="0" w:color="auto"/>
            </w:tcBorders>
            <w:shd w:val="clear" w:color="auto" w:fill="386294"/>
            <w:vAlign w:val="center"/>
          </w:tcPr>
          <w:p w:rsidR="003239B8" w:rsidRPr="00896E44" w:rsidRDefault="003239B8" w:rsidP="008D2290">
            <w:pPr>
              <w:jc w:val="center"/>
              <w:rPr>
                <w:rFonts w:asciiTheme="majorHAnsi" w:hAnsiTheme="majorHAnsi"/>
                <w:b/>
                <w:bCs/>
                <w:color w:val="FFFFFF" w:themeColor="background1"/>
                <w:sz w:val="19"/>
                <w:szCs w:val="19"/>
              </w:rPr>
            </w:pPr>
            <w:proofErr w:type="spellStart"/>
            <w:r w:rsidRPr="00896E44">
              <w:rPr>
                <w:rFonts w:asciiTheme="majorHAnsi" w:hAnsiTheme="majorHAnsi"/>
                <w:b/>
                <w:bCs/>
                <w:color w:val="FFFFFF" w:themeColor="background1"/>
                <w:sz w:val="19"/>
                <w:szCs w:val="19"/>
              </w:rPr>
              <w:lastRenderedPageBreak/>
              <w:t>Presentación</w:t>
            </w:r>
            <w:proofErr w:type="spellEnd"/>
            <w:r w:rsidRPr="00896E44">
              <w:rPr>
                <w:rFonts w:asciiTheme="majorHAnsi" w:hAnsiTheme="majorHAnsi"/>
                <w:b/>
                <w:bCs/>
                <w:color w:val="FFFFFF" w:themeColor="background1"/>
                <w:sz w:val="19"/>
                <w:szCs w:val="19"/>
              </w:rPr>
              <w:t xml:space="preserve"> </w:t>
            </w:r>
            <w:proofErr w:type="spellStart"/>
            <w:r w:rsidRPr="00896E44">
              <w:rPr>
                <w:rFonts w:asciiTheme="majorHAnsi" w:hAnsiTheme="majorHAnsi"/>
                <w:b/>
                <w:bCs/>
                <w:color w:val="FFFFFF" w:themeColor="background1"/>
                <w:sz w:val="19"/>
                <w:szCs w:val="19"/>
              </w:rPr>
              <w:t>dentro</w:t>
            </w:r>
            <w:proofErr w:type="spellEnd"/>
            <w:r w:rsidRPr="00896E44">
              <w:rPr>
                <w:rFonts w:asciiTheme="majorHAnsi" w:hAnsiTheme="majorHAnsi"/>
                <w:b/>
                <w:bCs/>
                <w:color w:val="FFFFFF" w:themeColor="background1"/>
                <w:sz w:val="19"/>
                <w:szCs w:val="19"/>
              </w:rPr>
              <w:t xml:space="preserve"> de </w:t>
            </w:r>
            <w:proofErr w:type="spellStart"/>
            <w:r w:rsidRPr="00896E44">
              <w:rPr>
                <w:rFonts w:asciiTheme="majorHAnsi" w:hAnsiTheme="majorHAnsi"/>
                <w:b/>
                <w:bCs/>
                <w:color w:val="FFFFFF" w:themeColor="background1"/>
                <w:sz w:val="19"/>
                <w:szCs w:val="19"/>
              </w:rPr>
              <w:t>plazo</w:t>
            </w:r>
            <w:proofErr w:type="spellEnd"/>
            <w:r w:rsidRPr="00896E44">
              <w:rPr>
                <w:rFonts w:asciiTheme="majorHAnsi" w:hAnsiTheme="majorHAnsi"/>
                <w:b/>
                <w:bCs/>
                <w:color w:val="FFFFFF" w:themeColor="background1"/>
                <w:sz w:val="19"/>
                <w:szCs w:val="19"/>
              </w:rPr>
              <w:t>:</w:t>
            </w:r>
          </w:p>
        </w:tc>
        <w:tc>
          <w:tcPr>
            <w:tcW w:w="5760" w:type="dxa"/>
            <w:vAlign w:val="center"/>
          </w:tcPr>
          <w:p w:rsidR="003239B8" w:rsidRPr="00896E44" w:rsidRDefault="0070428C" w:rsidP="008D2290">
            <w:pPr>
              <w:rPr>
                <w:rFonts w:asciiTheme="majorHAnsi" w:hAnsiTheme="majorHAnsi"/>
                <w:bCs/>
                <w:sz w:val="19"/>
                <w:szCs w:val="19"/>
                <w:lang w:val="es-BO"/>
              </w:rPr>
            </w:pPr>
            <w:r w:rsidRPr="00896E44">
              <w:rPr>
                <w:rFonts w:asciiTheme="majorHAnsi" w:hAnsiTheme="majorHAnsi"/>
                <w:bCs/>
                <w:sz w:val="19"/>
                <w:szCs w:val="19"/>
                <w:lang w:val="es-BO"/>
              </w:rPr>
              <w:t>Sí, en los términos de la sección VI</w:t>
            </w:r>
          </w:p>
        </w:tc>
      </w:tr>
    </w:tbl>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B036A3" w:rsidRDefault="002B701F" w:rsidP="00B036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B036A3">
        <w:rPr>
          <w:rFonts w:ascii="Cambria" w:hAnsi="Cambria"/>
          <w:sz w:val="20"/>
          <w:szCs w:val="20"/>
          <w:lang w:val="es-BO"/>
        </w:rPr>
        <w:t>El peticionario manifiesta</w:t>
      </w:r>
      <w:r w:rsidR="00313837" w:rsidRPr="00B036A3">
        <w:rPr>
          <w:rFonts w:ascii="Cambria" w:hAnsi="Cambria"/>
          <w:sz w:val="20"/>
          <w:szCs w:val="20"/>
          <w:lang w:val="es-BO"/>
        </w:rPr>
        <w:t xml:space="preserve"> que </w:t>
      </w:r>
      <w:r w:rsidR="002E3204" w:rsidRPr="00B036A3">
        <w:rPr>
          <w:rFonts w:ascii="Cambria" w:hAnsi="Cambria"/>
          <w:sz w:val="20"/>
          <w:szCs w:val="20"/>
          <w:lang w:val="es-BO"/>
        </w:rPr>
        <w:t>durante el año 199</w:t>
      </w:r>
      <w:r w:rsidR="00AE683D" w:rsidRPr="00B036A3">
        <w:rPr>
          <w:rFonts w:ascii="Cambria" w:hAnsi="Cambria"/>
          <w:sz w:val="20"/>
          <w:szCs w:val="20"/>
          <w:lang w:val="es-BO"/>
        </w:rPr>
        <w:t>9</w:t>
      </w:r>
      <w:r w:rsidR="002E3204" w:rsidRPr="00B036A3">
        <w:rPr>
          <w:rFonts w:ascii="Cambria" w:hAnsi="Cambria"/>
          <w:sz w:val="20"/>
          <w:szCs w:val="20"/>
          <w:lang w:val="es-BO"/>
        </w:rPr>
        <w:t xml:space="preserve">, </w:t>
      </w:r>
      <w:r w:rsidR="00215D3C" w:rsidRPr="00B036A3">
        <w:rPr>
          <w:rFonts w:ascii="Cambria" w:hAnsi="Cambria"/>
          <w:sz w:val="20"/>
          <w:szCs w:val="20"/>
          <w:lang w:val="es-BO"/>
        </w:rPr>
        <w:t xml:space="preserve">grupos paramilitares pertenecientes a las Autodefensas Unidas de Colombia (en adelante </w:t>
      </w:r>
      <w:r w:rsidR="008131F0" w:rsidRPr="00B036A3">
        <w:rPr>
          <w:rFonts w:ascii="Cambria" w:hAnsi="Cambria"/>
          <w:sz w:val="20"/>
          <w:szCs w:val="20"/>
          <w:lang w:val="es-BO"/>
        </w:rPr>
        <w:t>“</w:t>
      </w:r>
      <w:r w:rsidR="00215D3C" w:rsidRPr="00B036A3">
        <w:rPr>
          <w:rFonts w:ascii="Cambria" w:hAnsi="Cambria"/>
          <w:sz w:val="20"/>
          <w:szCs w:val="20"/>
          <w:lang w:val="es-BO"/>
        </w:rPr>
        <w:t>AUC</w:t>
      </w:r>
      <w:r w:rsidR="008131F0" w:rsidRPr="00B036A3">
        <w:rPr>
          <w:rFonts w:ascii="Cambria" w:hAnsi="Cambria"/>
          <w:sz w:val="20"/>
          <w:szCs w:val="20"/>
          <w:lang w:val="es-BO"/>
        </w:rPr>
        <w:t>”</w:t>
      </w:r>
      <w:r w:rsidR="00215D3C" w:rsidRPr="00B036A3">
        <w:rPr>
          <w:rFonts w:ascii="Cambria" w:hAnsi="Cambria"/>
          <w:sz w:val="20"/>
          <w:szCs w:val="20"/>
          <w:lang w:val="es-BO"/>
        </w:rPr>
        <w:t>) tomaron control de varios sectores de</w:t>
      </w:r>
      <w:r w:rsidR="002E3204" w:rsidRPr="00B036A3">
        <w:rPr>
          <w:rFonts w:ascii="Cambria" w:hAnsi="Cambria"/>
          <w:sz w:val="20"/>
          <w:szCs w:val="20"/>
          <w:lang w:val="es-BO"/>
        </w:rPr>
        <w:t>l Municipio de</w:t>
      </w:r>
      <w:r w:rsidR="00AE683D" w:rsidRPr="00B036A3">
        <w:rPr>
          <w:rFonts w:ascii="Cambria" w:hAnsi="Cambria"/>
          <w:sz w:val="20"/>
          <w:szCs w:val="20"/>
          <w:lang w:val="es-BO"/>
        </w:rPr>
        <w:t xml:space="preserve"> El Piñón</w:t>
      </w:r>
      <w:r w:rsidR="002E3204" w:rsidRPr="00B036A3">
        <w:rPr>
          <w:rFonts w:ascii="Cambria" w:hAnsi="Cambria"/>
          <w:sz w:val="20"/>
          <w:szCs w:val="20"/>
          <w:lang w:val="es-BO"/>
        </w:rPr>
        <w:t>,</w:t>
      </w:r>
      <w:r w:rsidR="00AE683D" w:rsidRPr="00B036A3">
        <w:rPr>
          <w:rFonts w:ascii="Cambria" w:hAnsi="Cambria"/>
          <w:sz w:val="20"/>
          <w:szCs w:val="20"/>
          <w:lang w:val="es-BO"/>
        </w:rPr>
        <w:t xml:space="preserve"> </w:t>
      </w:r>
      <w:r w:rsidR="002E3204" w:rsidRPr="00B036A3">
        <w:rPr>
          <w:rFonts w:ascii="Cambria" w:hAnsi="Cambria"/>
          <w:sz w:val="20"/>
          <w:szCs w:val="20"/>
          <w:lang w:val="es-BO"/>
        </w:rPr>
        <w:t xml:space="preserve">Departamento de </w:t>
      </w:r>
      <w:r w:rsidR="00AE683D" w:rsidRPr="00B036A3">
        <w:rPr>
          <w:rFonts w:ascii="Cambria" w:hAnsi="Cambria"/>
          <w:sz w:val="20"/>
          <w:szCs w:val="20"/>
          <w:lang w:val="es-BO"/>
        </w:rPr>
        <w:t>Magdalena</w:t>
      </w:r>
      <w:r w:rsidRPr="00B036A3">
        <w:rPr>
          <w:rFonts w:ascii="Cambria" w:hAnsi="Cambria"/>
          <w:sz w:val="20"/>
          <w:szCs w:val="20"/>
          <w:lang w:val="es-BO"/>
        </w:rPr>
        <w:t>. Señala</w:t>
      </w:r>
      <w:r w:rsidR="00215D3C" w:rsidRPr="00B036A3">
        <w:rPr>
          <w:rFonts w:ascii="Cambria" w:hAnsi="Cambria"/>
          <w:sz w:val="20"/>
          <w:szCs w:val="20"/>
          <w:lang w:val="es-BO"/>
        </w:rPr>
        <w:t xml:space="preserve"> que </w:t>
      </w:r>
      <w:r w:rsidR="008131F0" w:rsidRPr="00B036A3">
        <w:rPr>
          <w:rFonts w:ascii="Cambria" w:hAnsi="Cambria"/>
          <w:sz w:val="20"/>
          <w:szCs w:val="20"/>
          <w:lang w:val="es-BO"/>
        </w:rPr>
        <w:t>estos realizaban</w:t>
      </w:r>
      <w:r w:rsidR="00215D3C" w:rsidRPr="00B036A3">
        <w:rPr>
          <w:rFonts w:ascii="Cambria" w:hAnsi="Cambria"/>
          <w:sz w:val="20"/>
          <w:szCs w:val="20"/>
          <w:lang w:val="es-BO"/>
        </w:rPr>
        <w:t xml:space="preserve"> frecuentes </w:t>
      </w:r>
      <w:r w:rsidR="002E3204" w:rsidRPr="00B036A3">
        <w:rPr>
          <w:rFonts w:ascii="Cambria" w:hAnsi="Cambria"/>
          <w:sz w:val="20"/>
          <w:szCs w:val="20"/>
          <w:lang w:val="es-BO"/>
        </w:rPr>
        <w:t>incursiones</w:t>
      </w:r>
      <w:r w:rsidR="008131F0" w:rsidRPr="00B036A3">
        <w:rPr>
          <w:rFonts w:ascii="Cambria" w:hAnsi="Cambria"/>
          <w:sz w:val="20"/>
          <w:szCs w:val="20"/>
          <w:lang w:val="es-BO"/>
        </w:rPr>
        <w:t xml:space="preserve"> en</w:t>
      </w:r>
      <w:r w:rsidRPr="00B036A3">
        <w:rPr>
          <w:rFonts w:ascii="Cambria" w:hAnsi="Cambria"/>
          <w:sz w:val="20"/>
          <w:szCs w:val="20"/>
          <w:lang w:val="es-BO"/>
        </w:rPr>
        <w:t xml:space="preserve"> los pueblos de la región</w:t>
      </w:r>
      <w:r w:rsidR="008E7DEE" w:rsidRPr="00B036A3">
        <w:rPr>
          <w:rFonts w:ascii="Cambria" w:hAnsi="Cambria"/>
          <w:sz w:val="20"/>
          <w:szCs w:val="20"/>
          <w:lang w:val="es-BO"/>
        </w:rPr>
        <w:t xml:space="preserve"> </w:t>
      </w:r>
      <w:r w:rsidR="002E3204" w:rsidRPr="00B036A3">
        <w:rPr>
          <w:rFonts w:ascii="Cambria" w:hAnsi="Cambria"/>
          <w:sz w:val="20"/>
          <w:szCs w:val="20"/>
          <w:lang w:val="es-BO"/>
        </w:rPr>
        <w:t>buscando a miembros y/o posibles colaboradores de las Fuerzas Armadas Revolucionarias de Colombia (en adelante “FARC”).</w:t>
      </w:r>
      <w:r w:rsidR="00CC0051" w:rsidRPr="00B036A3">
        <w:rPr>
          <w:rFonts w:ascii="Cambria" w:hAnsi="Cambria"/>
          <w:sz w:val="20"/>
          <w:szCs w:val="20"/>
          <w:lang w:val="es-BO"/>
        </w:rPr>
        <w:t xml:space="preserve"> </w:t>
      </w:r>
      <w:r w:rsidR="00B036A3">
        <w:rPr>
          <w:rFonts w:ascii="Cambria" w:hAnsi="Cambria"/>
          <w:sz w:val="20"/>
          <w:szCs w:val="20"/>
          <w:lang w:val="es-BO"/>
        </w:rPr>
        <w:t xml:space="preserve"> </w:t>
      </w:r>
      <w:r w:rsidR="00CC06C8" w:rsidRPr="00B036A3">
        <w:rPr>
          <w:rFonts w:ascii="Cambria" w:hAnsi="Cambria"/>
          <w:sz w:val="20"/>
          <w:szCs w:val="20"/>
          <w:lang w:val="es-BO"/>
        </w:rPr>
        <w:t xml:space="preserve">Así, </w:t>
      </w:r>
      <w:r w:rsidR="00EE4620" w:rsidRPr="00B036A3">
        <w:rPr>
          <w:rFonts w:ascii="Cambria" w:hAnsi="Cambria"/>
          <w:sz w:val="20"/>
          <w:szCs w:val="20"/>
          <w:lang w:val="es-BO"/>
        </w:rPr>
        <w:t>afirma</w:t>
      </w:r>
      <w:r w:rsidR="00CC06C8" w:rsidRPr="00B036A3">
        <w:rPr>
          <w:rFonts w:ascii="Cambria" w:hAnsi="Cambria"/>
          <w:sz w:val="20"/>
          <w:szCs w:val="20"/>
          <w:lang w:val="es-BO"/>
        </w:rPr>
        <w:t xml:space="preserve"> que el 9 de enero de 1999</w:t>
      </w:r>
      <w:r w:rsidR="000067F6" w:rsidRPr="00B036A3">
        <w:rPr>
          <w:rFonts w:ascii="Cambria" w:hAnsi="Cambria"/>
          <w:sz w:val="20"/>
          <w:szCs w:val="20"/>
          <w:lang w:val="es-BO"/>
        </w:rPr>
        <w:t xml:space="preserve"> se desarrolló un op</w:t>
      </w:r>
      <w:r w:rsidR="006069CB" w:rsidRPr="00B036A3">
        <w:rPr>
          <w:rFonts w:ascii="Cambria" w:hAnsi="Cambria"/>
          <w:sz w:val="20"/>
          <w:szCs w:val="20"/>
          <w:lang w:val="es-BO"/>
        </w:rPr>
        <w:t>erativo</w:t>
      </w:r>
      <w:r w:rsidR="007502F0" w:rsidRPr="00B036A3">
        <w:rPr>
          <w:rFonts w:ascii="Cambria" w:hAnsi="Cambria"/>
          <w:sz w:val="20"/>
          <w:szCs w:val="20"/>
          <w:lang w:val="es-BO"/>
        </w:rPr>
        <w:t xml:space="preserve"> paramilitar</w:t>
      </w:r>
      <w:r w:rsidR="006069CB" w:rsidRPr="00B036A3">
        <w:rPr>
          <w:rFonts w:ascii="Cambria" w:hAnsi="Cambria"/>
          <w:sz w:val="20"/>
          <w:szCs w:val="20"/>
          <w:lang w:val="es-BO"/>
        </w:rPr>
        <w:t xml:space="preserve"> en la localidad de Playón de Orozco, </w:t>
      </w:r>
      <w:r w:rsidR="00B036A3" w:rsidRPr="00B036A3">
        <w:rPr>
          <w:rFonts w:ascii="Cambria" w:hAnsi="Cambria"/>
          <w:sz w:val="20"/>
          <w:szCs w:val="20"/>
          <w:lang w:val="es-BO"/>
        </w:rPr>
        <w:t>que tuvo como resultado la tortura y masacre de algunas presuntas víctimas y el posterior desplazamiento de l</w:t>
      </w:r>
      <w:r w:rsidR="00B036A3">
        <w:rPr>
          <w:rFonts w:ascii="Cambria" w:hAnsi="Cambria"/>
          <w:sz w:val="20"/>
          <w:szCs w:val="20"/>
          <w:lang w:val="es-BO"/>
        </w:rPr>
        <w:t>as demás.</w:t>
      </w:r>
    </w:p>
    <w:p w:rsidR="00EE4620" w:rsidRPr="00D11E4A" w:rsidRDefault="00EE4620" w:rsidP="00B036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B036A3">
        <w:rPr>
          <w:rFonts w:ascii="Cambria" w:hAnsi="Cambria"/>
          <w:sz w:val="20"/>
          <w:szCs w:val="20"/>
          <w:lang w:val="es-ES"/>
        </w:rPr>
        <w:t>Relata que</w:t>
      </w:r>
      <w:r w:rsidR="00B036A3">
        <w:rPr>
          <w:rFonts w:ascii="Cambria" w:hAnsi="Cambria"/>
          <w:sz w:val="20"/>
          <w:szCs w:val="20"/>
          <w:lang w:val="es-ES"/>
        </w:rPr>
        <w:t xml:space="preserve"> ese 9 de enero,</w:t>
      </w:r>
      <w:r w:rsidRPr="00B036A3">
        <w:rPr>
          <w:rFonts w:ascii="Cambria" w:hAnsi="Cambria"/>
          <w:sz w:val="20"/>
          <w:szCs w:val="20"/>
          <w:lang w:val="es-ES"/>
        </w:rPr>
        <w:t xml:space="preserve"> </w:t>
      </w:r>
      <w:r w:rsidR="000971D9" w:rsidRPr="00B036A3">
        <w:rPr>
          <w:rFonts w:ascii="Cambria" w:hAnsi="Cambria"/>
          <w:sz w:val="20"/>
          <w:szCs w:val="20"/>
          <w:lang w:val="es-ES"/>
        </w:rPr>
        <w:t>cerca del mediodía</w:t>
      </w:r>
      <w:r w:rsidR="00B036A3">
        <w:rPr>
          <w:rFonts w:ascii="Cambria" w:hAnsi="Cambria"/>
          <w:sz w:val="20"/>
          <w:szCs w:val="20"/>
          <w:lang w:val="es-ES"/>
        </w:rPr>
        <w:t>,</w:t>
      </w:r>
      <w:r w:rsidR="000971D9" w:rsidRPr="00B036A3">
        <w:rPr>
          <w:rFonts w:ascii="Cambria" w:hAnsi="Cambria"/>
          <w:sz w:val="20"/>
          <w:szCs w:val="20"/>
          <w:lang w:val="es-ES"/>
        </w:rPr>
        <w:t xml:space="preserve"> un numeroso grupo de paramilitares</w:t>
      </w:r>
      <w:r w:rsidR="00F630E6" w:rsidRPr="00B036A3">
        <w:rPr>
          <w:rFonts w:ascii="Cambria" w:hAnsi="Cambria"/>
          <w:sz w:val="20"/>
          <w:szCs w:val="20"/>
          <w:lang w:val="es-ES"/>
        </w:rPr>
        <w:t xml:space="preserve"> fuertemente armados,</w:t>
      </w:r>
      <w:r w:rsidR="000971D9" w:rsidRPr="00B036A3">
        <w:rPr>
          <w:rFonts w:ascii="Cambria" w:hAnsi="Cambria"/>
          <w:sz w:val="20"/>
          <w:szCs w:val="20"/>
          <w:lang w:val="es-ES"/>
        </w:rPr>
        <w:t xml:space="preserve"> rodeó el pu</w:t>
      </w:r>
      <w:r w:rsidR="00F630E6" w:rsidRPr="00B036A3">
        <w:rPr>
          <w:rFonts w:ascii="Cambria" w:hAnsi="Cambria"/>
          <w:sz w:val="20"/>
          <w:szCs w:val="20"/>
          <w:lang w:val="es-ES"/>
        </w:rPr>
        <w:t>eblo y sus entradas principales, obligando a todos sus habitantes a dirigir</w:t>
      </w:r>
      <w:r w:rsidR="002B701F" w:rsidRPr="00B036A3">
        <w:rPr>
          <w:rFonts w:ascii="Cambria" w:hAnsi="Cambria"/>
          <w:sz w:val="20"/>
          <w:szCs w:val="20"/>
          <w:lang w:val="es-ES"/>
        </w:rPr>
        <w:t xml:space="preserve">se </w:t>
      </w:r>
      <w:r w:rsidR="00D11E4A">
        <w:rPr>
          <w:rFonts w:ascii="Cambria" w:hAnsi="Cambria"/>
          <w:sz w:val="20"/>
          <w:szCs w:val="20"/>
          <w:lang w:val="es-ES"/>
        </w:rPr>
        <w:t>haci</w:t>
      </w:r>
      <w:r w:rsidR="002B701F" w:rsidRPr="00B036A3">
        <w:rPr>
          <w:rFonts w:ascii="Cambria" w:hAnsi="Cambria"/>
          <w:sz w:val="20"/>
          <w:szCs w:val="20"/>
          <w:lang w:val="es-ES"/>
        </w:rPr>
        <w:t>a la pequeña capilla</w:t>
      </w:r>
      <w:r w:rsidR="003B3BC3">
        <w:rPr>
          <w:rFonts w:ascii="Cambria" w:hAnsi="Cambria"/>
          <w:sz w:val="20"/>
          <w:szCs w:val="20"/>
          <w:lang w:val="es-ES"/>
        </w:rPr>
        <w:t xml:space="preserve"> ubicada en la plaza principal</w:t>
      </w:r>
      <w:r w:rsidR="002B701F" w:rsidRPr="00B036A3">
        <w:rPr>
          <w:rFonts w:ascii="Cambria" w:hAnsi="Cambria"/>
          <w:sz w:val="20"/>
          <w:szCs w:val="20"/>
          <w:lang w:val="es-ES"/>
        </w:rPr>
        <w:t>. Indica</w:t>
      </w:r>
      <w:r w:rsidR="00F630E6" w:rsidRPr="00B036A3">
        <w:rPr>
          <w:rFonts w:ascii="Cambria" w:hAnsi="Cambria"/>
          <w:sz w:val="20"/>
          <w:szCs w:val="20"/>
          <w:lang w:val="es-ES"/>
        </w:rPr>
        <w:t xml:space="preserve"> que saca</w:t>
      </w:r>
      <w:r w:rsidR="00D11E4A">
        <w:rPr>
          <w:rFonts w:ascii="Cambria" w:hAnsi="Cambria"/>
          <w:sz w:val="20"/>
          <w:szCs w:val="20"/>
          <w:lang w:val="es-ES"/>
        </w:rPr>
        <w:t>ron</w:t>
      </w:r>
      <w:r w:rsidR="00F630E6" w:rsidRPr="00B036A3">
        <w:rPr>
          <w:rFonts w:ascii="Cambria" w:hAnsi="Cambria"/>
          <w:sz w:val="20"/>
          <w:szCs w:val="20"/>
          <w:lang w:val="es-ES"/>
        </w:rPr>
        <w:t xml:space="preserve"> a los pobladores </w:t>
      </w:r>
      <w:r w:rsidR="00D11E4A">
        <w:rPr>
          <w:rFonts w:ascii="Cambria" w:hAnsi="Cambria"/>
          <w:sz w:val="20"/>
          <w:szCs w:val="20"/>
          <w:lang w:val="es-ES"/>
        </w:rPr>
        <w:t xml:space="preserve">de sus casas </w:t>
      </w:r>
      <w:r w:rsidR="00F630E6" w:rsidRPr="00B036A3">
        <w:rPr>
          <w:rFonts w:ascii="Cambria" w:hAnsi="Cambria"/>
          <w:sz w:val="20"/>
          <w:szCs w:val="20"/>
          <w:lang w:val="es-ES"/>
        </w:rPr>
        <w:t>con amenazas y a golpes. Cuando t</w:t>
      </w:r>
      <w:r w:rsidR="00963B72" w:rsidRPr="00B036A3">
        <w:rPr>
          <w:rFonts w:ascii="Cambria" w:hAnsi="Cambria"/>
          <w:sz w:val="20"/>
          <w:szCs w:val="20"/>
          <w:lang w:val="es-ES"/>
        </w:rPr>
        <w:t xml:space="preserve">odos se encontraban </w:t>
      </w:r>
      <w:r w:rsidR="003B3BC3">
        <w:rPr>
          <w:rFonts w:ascii="Cambria" w:hAnsi="Cambria"/>
          <w:sz w:val="20"/>
          <w:szCs w:val="20"/>
          <w:lang w:val="es-ES"/>
        </w:rPr>
        <w:t>reunidos</w:t>
      </w:r>
      <w:r w:rsidR="00963B72" w:rsidRPr="00B036A3">
        <w:rPr>
          <w:rFonts w:ascii="Cambria" w:hAnsi="Cambria"/>
          <w:sz w:val="20"/>
          <w:szCs w:val="20"/>
          <w:lang w:val="es-ES"/>
        </w:rPr>
        <w:t>, procedieron a separar a los niños y niñas de sus padres y</w:t>
      </w:r>
      <w:r w:rsidR="007502F0" w:rsidRPr="00B036A3">
        <w:rPr>
          <w:rFonts w:ascii="Cambria" w:hAnsi="Cambria"/>
          <w:sz w:val="20"/>
          <w:szCs w:val="20"/>
          <w:lang w:val="es-ES"/>
        </w:rPr>
        <w:t xml:space="preserve"> a</w:t>
      </w:r>
      <w:r w:rsidR="00963B72" w:rsidRPr="00B036A3">
        <w:rPr>
          <w:rFonts w:ascii="Cambria" w:hAnsi="Cambria"/>
          <w:sz w:val="20"/>
          <w:szCs w:val="20"/>
          <w:lang w:val="es-ES"/>
        </w:rPr>
        <w:t xml:space="preserve"> divi</w:t>
      </w:r>
      <w:r w:rsidR="00896E44">
        <w:rPr>
          <w:rFonts w:ascii="Cambria" w:hAnsi="Cambria"/>
          <w:sz w:val="20"/>
          <w:szCs w:val="20"/>
          <w:lang w:val="es-ES"/>
        </w:rPr>
        <w:t>dir a los hombres y las mujeres</w:t>
      </w:r>
      <w:r w:rsidR="00963B72" w:rsidRPr="00B036A3">
        <w:rPr>
          <w:rFonts w:ascii="Cambria" w:hAnsi="Cambria"/>
          <w:sz w:val="20"/>
          <w:szCs w:val="20"/>
          <w:lang w:val="es-ES"/>
        </w:rPr>
        <w:t xml:space="preserve">. </w:t>
      </w:r>
    </w:p>
    <w:p w:rsidR="0079293F" w:rsidRPr="004D709B" w:rsidRDefault="002B701F" w:rsidP="00EE46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ES"/>
        </w:rPr>
        <w:t>Señala</w:t>
      </w:r>
      <w:r w:rsidR="00534AD2">
        <w:rPr>
          <w:rFonts w:ascii="Cambria" w:hAnsi="Cambria"/>
          <w:sz w:val="20"/>
          <w:szCs w:val="20"/>
          <w:lang w:val="es-ES"/>
        </w:rPr>
        <w:t xml:space="preserve"> que </w:t>
      </w:r>
      <w:r w:rsidR="00D11E4A">
        <w:rPr>
          <w:rFonts w:ascii="Cambria" w:hAnsi="Cambria"/>
          <w:sz w:val="20"/>
          <w:szCs w:val="20"/>
          <w:lang w:val="es-ES"/>
        </w:rPr>
        <w:t>inicialmente</w:t>
      </w:r>
      <w:r w:rsidR="00D97E88">
        <w:rPr>
          <w:rFonts w:ascii="Cambria" w:hAnsi="Cambria"/>
          <w:sz w:val="20"/>
          <w:szCs w:val="20"/>
          <w:lang w:val="es-ES"/>
        </w:rPr>
        <w:t xml:space="preserve"> apartaron a Ramón García Orozco y Eliecer de la Cruz</w:t>
      </w:r>
      <w:r w:rsidR="00F9255C">
        <w:rPr>
          <w:rFonts w:ascii="Cambria" w:hAnsi="Cambria"/>
          <w:sz w:val="20"/>
          <w:szCs w:val="20"/>
          <w:lang w:val="es-ES"/>
        </w:rPr>
        <w:t xml:space="preserve">, </w:t>
      </w:r>
      <w:r w:rsidR="00EE3E81">
        <w:rPr>
          <w:rFonts w:ascii="Cambria" w:hAnsi="Cambria"/>
          <w:sz w:val="20"/>
          <w:szCs w:val="20"/>
          <w:lang w:val="es-ES"/>
        </w:rPr>
        <w:t>y posteriormente</w:t>
      </w:r>
      <w:r w:rsidR="00741F23">
        <w:rPr>
          <w:rFonts w:ascii="Cambria" w:hAnsi="Cambria"/>
          <w:sz w:val="20"/>
          <w:szCs w:val="20"/>
          <w:lang w:val="es-ES"/>
        </w:rPr>
        <w:t>, entre insultos, golpes y amenazas</w:t>
      </w:r>
      <w:r w:rsidR="00EE3E81">
        <w:rPr>
          <w:rFonts w:ascii="Cambria" w:hAnsi="Cambria"/>
          <w:sz w:val="20"/>
          <w:szCs w:val="20"/>
          <w:lang w:val="es-ES"/>
        </w:rPr>
        <w:t xml:space="preserve"> </w:t>
      </w:r>
      <w:r w:rsidR="002C695D">
        <w:rPr>
          <w:rFonts w:ascii="Cambria" w:hAnsi="Cambria"/>
          <w:sz w:val="20"/>
          <w:szCs w:val="20"/>
          <w:lang w:val="es-ES"/>
        </w:rPr>
        <w:t xml:space="preserve">hicieron lo mismo con </w:t>
      </w:r>
      <w:r w:rsidR="00896E44">
        <w:rPr>
          <w:rFonts w:ascii="Cambria" w:hAnsi="Cambria"/>
          <w:sz w:val="20"/>
          <w:szCs w:val="20"/>
          <w:lang w:val="es-ES"/>
        </w:rPr>
        <w:t xml:space="preserve">aproximadamente </w:t>
      </w:r>
      <w:r w:rsidR="00754F74">
        <w:rPr>
          <w:rFonts w:ascii="Cambria" w:hAnsi="Cambria"/>
          <w:sz w:val="20"/>
          <w:szCs w:val="20"/>
          <w:lang w:val="es-ES"/>
        </w:rPr>
        <w:t>25</w:t>
      </w:r>
      <w:r w:rsidR="00EE3E81">
        <w:rPr>
          <w:rFonts w:ascii="Cambria" w:hAnsi="Cambria"/>
          <w:sz w:val="20"/>
          <w:szCs w:val="20"/>
          <w:lang w:val="es-ES"/>
        </w:rPr>
        <w:t xml:space="preserve"> </w:t>
      </w:r>
      <w:r w:rsidR="00741F23">
        <w:rPr>
          <w:rFonts w:ascii="Cambria" w:hAnsi="Cambria"/>
          <w:sz w:val="20"/>
          <w:szCs w:val="20"/>
          <w:lang w:val="es-ES"/>
        </w:rPr>
        <w:t xml:space="preserve">personas más. </w:t>
      </w:r>
      <w:r>
        <w:rPr>
          <w:rFonts w:ascii="Cambria" w:hAnsi="Cambria"/>
          <w:sz w:val="20"/>
          <w:szCs w:val="20"/>
          <w:lang w:val="es-ES"/>
        </w:rPr>
        <w:t>Indica</w:t>
      </w:r>
      <w:r w:rsidR="00C53F8C">
        <w:rPr>
          <w:rFonts w:ascii="Cambria" w:hAnsi="Cambria"/>
          <w:sz w:val="20"/>
          <w:szCs w:val="20"/>
          <w:lang w:val="es-ES"/>
        </w:rPr>
        <w:t xml:space="preserve"> que </w:t>
      </w:r>
      <w:r w:rsidR="001C2273">
        <w:rPr>
          <w:rFonts w:ascii="Cambria" w:hAnsi="Cambria"/>
          <w:sz w:val="20"/>
          <w:szCs w:val="20"/>
          <w:lang w:val="es-ES"/>
        </w:rPr>
        <w:t xml:space="preserve">los demás </w:t>
      </w:r>
      <w:r w:rsidR="00C53F8C">
        <w:rPr>
          <w:rFonts w:ascii="Cambria" w:hAnsi="Cambria"/>
          <w:sz w:val="20"/>
          <w:szCs w:val="20"/>
          <w:lang w:val="es-ES"/>
        </w:rPr>
        <w:t>pobladores</w:t>
      </w:r>
      <w:r w:rsidR="001C2273">
        <w:rPr>
          <w:rFonts w:ascii="Cambria" w:hAnsi="Cambria"/>
          <w:sz w:val="20"/>
          <w:szCs w:val="20"/>
          <w:lang w:val="es-ES"/>
        </w:rPr>
        <w:t xml:space="preserve">, fueron encerrados en </w:t>
      </w:r>
      <w:r w:rsidR="00DB18E0">
        <w:rPr>
          <w:rFonts w:ascii="Cambria" w:hAnsi="Cambria"/>
          <w:sz w:val="20"/>
          <w:szCs w:val="20"/>
          <w:lang w:val="es-ES"/>
        </w:rPr>
        <w:t>la capilla</w:t>
      </w:r>
      <w:r w:rsidR="001C2273">
        <w:rPr>
          <w:rFonts w:ascii="Cambria" w:hAnsi="Cambria"/>
          <w:sz w:val="20"/>
          <w:szCs w:val="20"/>
          <w:lang w:val="es-ES"/>
        </w:rPr>
        <w:t xml:space="preserve"> y obligados a permanecer allí</w:t>
      </w:r>
      <w:r w:rsidR="005F1B9C">
        <w:rPr>
          <w:rFonts w:ascii="Cambria" w:hAnsi="Cambria"/>
          <w:sz w:val="20"/>
          <w:szCs w:val="20"/>
          <w:lang w:val="es-ES"/>
        </w:rPr>
        <w:t xml:space="preserve">, mientras los paramilitares </w:t>
      </w:r>
      <w:r w:rsidR="00973CB2">
        <w:rPr>
          <w:rFonts w:ascii="Cambria" w:hAnsi="Cambria"/>
          <w:sz w:val="20"/>
          <w:szCs w:val="20"/>
          <w:lang w:val="es-ES"/>
        </w:rPr>
        <w:t xml:space="preserve">golpeaban, torturaban, mutilaban y asesinaban a las personas que apartaron del grupo. </w:t>
      </w:r>
      <w:r>
        <w:rPr>
          <w:rFonts w:ascii="Cambria" w:hAnsi="Cambria"/>
          <w:sz w:val="20"/>
          <w:szCs w:val="20"/>
          <w:lang w:val="es-BO"/>
        </w:rPr>
        <w:t>Indica</w:t>
      </w:r>
      <w:r w:rsidR="004D709B" w:rsidRPr="004D709B">
        <w:rPr>
          <w:rFonts w:ascii="Cambria" w:hAnsi="Cambria"/>
          <w:sz w:val="20"/>
          <w:szCs w:val="20"/>
          <w:lang w:val="es-BO"/>
        </w:rPr>
        <w:t xml:space="preserve"> que antes de marcharse los paramilitares</w:t>
      </w:r>
      <w:r w:rsidR="004D709B">
        <w:rPr>
          <w:rFonts w:ascii="Cambria" w:hAnsi="Cambria"/>
          <w:sz w:val="20"/>
          <w:szCs w:val="20"/>
          <w:lang w:val="es-BO"/>
        </w:rPr>
        <w:t xml:space="preserve"> </w:t>
      </w:r>
      <w:r w:rsidR="00E75E4C">
        <w:rPr>
          <w:rFonts w:ascii="Cambria" w:hAnsi="Cambria"/>
          <w:sz w:val="20"/>
          <w:szCs w:val="20"/>
          <w:lang w:val="es-BO"/>
        </w:rPr>
        <w:t xml:space="preserve">advirtieron que harían lo mismo en otros corregimientos y </w:t>
      </w:r>
      <w:r w:rsidR="004D709B" w:rsidRPr="004D709B">
        <w:rPr>
          <w:rFonts w:ascii="Cambria" w:hAnsi="Cambria"/>
          <w:sz w:val="20"/>
          <w:szCs w:val="20"/>
          <w:lang w:val="es-BO"/>
        </w:rPr>
        <w:t>saquearon sus propiedades</w:t>
      </w:r>
      <w:r w:rsidR="00973CB2">
        <w:rPr>
          <w:rFonts w:ascii="Cambria" w:hAnsi="Cambria"/>
          <w:sz w:val="20"/>
          <w:szCs w:val="20"/>
          <w:lang w:val="es-BO"/>
        </w:rPr>
        <w:t xml:space="preserve"> e incendiaron </w:t>
      </w:r>
      <w:r w:rsidR="00973CB2">
        <w:rPr>
          <w:rFonts w:ascii="Cambria" w:hAnsi="Cambria"/>
          <w:sz w:val="20"/>
          <w:szCs w:val="20"/>
          <w:lang w:val="es-ES"/>
        </w:rPr>
        <w:t>19 casas, parcelas y pequeños sembradíos.</w:t>
      </w:r>
    </w:p>
    <w:p w:rsidR="00534AD2" w:rsidRPr="00AF35BF" w:rsidRDefault="002B701F" w:rsidP="00EE46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Sostiene</w:t>
      </w:r>
      <w:r w:rsidR="004D709B" w:rsidRPr="004D709B">
        <w:rPr>
          <w:rFonts w:ascii="Cambria" w:hAnsi="Cambria"/>
          <w:sz w:val="20"/>
          <w:szCs w:val="20"/>
          <w:lang w:val="es-BO"/>
        </w:rPr>
        <w:t xml:space="preserve"> que cua</w:t>
      </w:r>
      <w:r w:rsidR="004D709B">
        <w:rPr>
          <w:rFonts w:ascii="Cambria" w:hAnsi="Cambria"/>
          <w:sz w:val="20"/>
          <w:szCs w:val="20"/>
          <w:lang w:val="es-BO"/>
        </w:rPr>
        <w:t xml:space="preserve">ndo los pobladores </w:t>
      </w:r>
      <w:r w:rsidR="00293B48">
        <w:rPr>
          <w:rFonts w:ascii="Cambria" w:hAnsi="Cambria"/>
          <w:sz w:val="20"/>
          <w:szCs w:val="20"/>
          <w:lang w:val="es-BO"/>
        </w:rPr>
        <w:t>encerrados</w:t>
      </w:r>
      <w:r w:rsidR="004D709B">
        <w:rPr>
          <w:rFonts w:ascii="Cambria" w:hAnsi="Cambria"/>
          <w:sz w:val="20"/>
          <w:szCs w:val="20"/>
          <w:lang w:val="es-BO"/>
        </w:rPr>
        <w:t xml:space="preserve"> pudieron salir</w:t>
      </w:r>
      <w:r w:rsidR="00293B48">
        <w:rPr>
          <w:rFonts w:ascii="Cambria" w:hAnsi="Cambria"/>
          <w:sz w:val="20"/>
          <w:szCs w:val="20"/>
          <w:lang w:val="es-BO"/>
        </w:rPr>
        <w:t>,</w:t>
      </w:r>
      <w:r w:rsidR="004D709B" w:rsidRPr="004D709B">
        <w:rPr>
          <w:rFonts w:ascii="Cambria" w:hAnsi="Cambria"/>
          <w:sz w:val="20"/>
          <w:szCs w:val="20"/>
          <w:lang w:val="es-BO"/>
        </w:rPr>
        <w:t xml:space="preserve"> constataron con pánico el caos que había ocasionado el grupo paramilitar y</w:t>
      </w:r>
      <w:r w:rsidR="00293B48">
        <w:rPr>
          <w:rFonts w:ascii="Cambria" w:hAnsi="Cambria"/>
          <w:sz w:val="20"/>
          <w:szCs w:val="20"/>
          <w:lang w:val="es-BO"/>
        </w:rPr>
        <w:t>,</w:t>
      </w:r>
      <w:r w:rsidR="004D709B" w:rsidRPr="004D709B">
        <w:rPr>
          <w:rFonts w:ascii="Cambria" w:hAnsi="Cambria"/>
          <w:sz w:val="20"/>
          <w:szCs w:val="20"/>
          <w:lang w:val="es-BO"/>
        </w:rPr>
        <w:t xml:space="preserve"> temiendo que volvieran</w:t>
      </w:r>
      <w:r w:rsidR="00293B48">
        <w:rPr>
          <w:rFonts w:ascii="Cambria" w:hAnsi="Cambria"/>
          <w:sz w:val="20"/>
          <w:szCs w:val="20"/>
          <w:lang w:val="es-BO"/>
        </w:rPr>
        <w:t>,</w:t>
      </w:r>
      <w:r w:rsidR="00EF10CF">
        <w:rPr>
          <w:rFonts w:ascii="Cambria" w:hAnsi="Cambria"/>
          <w:sz w:val="20"/>
          <w:szCs w:val="20"/>
          <w:lang w:val="es-BO"/>
        </w:rPr>
        <w:t xml:space="preserve"> </w:t>
      </w:r>
      <w:r w:rsidR="00B52284">
        <w:rPr>
          <w:rFonts w:ascii="Cambria" w:hAnsi="Cambria"/>
          <w:sz w:val="20"/>
          <w:szCs w:val="20"/>
          <w:lang w:val="es-BO"/>
        </w:rPr>
        <w:t>muchos</w:t>
      </w:r>
      <w:r w:rsidR="004D709B" w:rsidRPr="004D709B">
        <w:rPr>
          <w:rFonts w:ascii="Cambria" w:hAnsi="Cambria"/>
          <w:sz w:val="20"/>
          <w:szCs w:val="20"/>
          <w:lang w:val="es-BO"/>
        </w:rPr>
        <w:t xml:space="preserve"> corr</w:t>
      </w:r>
      <w:r w:rsidR="004D709B">
        <w:rPr>
          <w:rFonts w:ascii="Cambria" w:hAnsi="Cambria"/>
          <w:sz w:val="20"/>
          <w:szCs w:val="20"/>
          <w:lang w:val="es-BO"/>
        </w:rPr>
        <w:t>ieron a esconderse en el monte</w:t>
      </w:r>
      <w:r>
        <w:rPr>
          <w:rFonts w:ascii="Cambria" w:hAnsi="Cambria"/>
          <w:sz w:val="20"/>
          <w:szCs w:val="20"/>
          <w:lang w:val="es-BO"/>
        </w:rPr>
        <w:t>. Alega</w:t>
      </w:r>
      <w:r w:rsidR="001854F2">
        <w:rPr>
          <w:rFonts w:ascii="Cambria" w:hAnsi="Cambria"/>
          <w:sz w:val="20"/>
          <w:szCs w:val="20"/>
          <w:lang w:val="es-BO"/>
        </w:rPr>
        <w:t xml:space="preserve"> que debido al terror generado</w:t>
      </w:r>
      <w:r w:rsidR="00293B48">
        <w:rPr>
          <w:rFonts w:ascii="Cambria" w:hAnsi="Cambria"/>
          <w:sz w:val="20"/>
          <w:szCs w:val="20"/>
          <w:lang w:val="es-BO"/>
        </w:rPr>
        <w:t>,</w:t>
      </w:r>
      <w:r w:rsidR="001854F2">
        <w:rPr>
          <w:rFonts w:ascii="Cambria" w:hAnsi="Cambria"/>
          <w:sz w:val="20"/>
          <w:szCs w:val="20"/>
          <w:lang w:val="es-BO"/>
        </w:rPr>
        <w:t xml:space="preserve"> </w:t>
      </w:r>
      <w:r w:rsidR="00B52284">
        <w:rPr>
          <w:rFonts w:ascii="Cambria" w:hAnsi="Cambria"/>
          <w:sz w:val="20"/>
          <w:szCs w:val="20"/>
          <w:lang w:val="es-BO"/>
        </w:rPr>
        <w:t xml:space="preserve">unos días después algunas </w:t>
      </w:r>
      <w:r w:rsidR="001854F2">
        <w:rPr>
          <w:rFonts w:ascii="Cambria" w:hAnsi="Cambria"/>
          <w:sz w:val="20"/>
          <w:szCs w:val="20"/>
          <w:lang w:val="es-BO"/>
        </w:rPr>
        <w:t xml:space="preserve">familias optaron por llevarse los cuerpos de sus seres queridos a pueblos vecinos, mientras que los que no contaban con recursos económicos, tuvieron que inhumarlos allí mismo. </w:t>
      </w:r>
      <w:r w:rsidR="0005111F" w:rsidRPr="004D709B">
        <w:rPr>
          <w:rFonts w:ascii="Cambria" w:hAnsi="Cambria"/>
          <w:sz w:val="20"/>
          <w:szCs w:val="20"/>
          <w:lang w:val="es-BO"/>
        </w:rPr>
        <w:t xml:space="preserve"> </w:t>
      </w:r>
      <w:r w:rsidR="006015BB" w:rsidRPr="004D709B">
        <w:rPr>
          <w:rFonts w:ascii="Cambria" w:hAnsi="Cambria"/>
          <w:sz w:val="20"/>
          <w:szCs w:val="20"/>
          <w:lang w:val="es-ES"/>
        </w:rPr>
        <w:t xml:space="preserve"> </w:t>
      </w:r>
    </w:p>
    <w:p w:rsidR="005B2B88" w:rsidRPr="005B2B88" w:rsidRDefault="002B701F" w:rsidP="00EE46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ES"/>
        </w:rPr>
        <w:t>Afirma</w:t>
      </w:r>
      <w:r w:rsidR="00AF35BF">
        <w:rPr>
          <w:rFonts w:ascii="Cambria" w:hAnsi="Cambria"/>
          <w:sz w:val="20"/>
          <w:szCs w:val="20"/>
          <w:lang w:val="es-ES"/>
        </w:rPr>
        <w:t xml:space="preserve"> que producto de los violentos hechos</w:t>
      </w:r>
      <w:r w:rsidR="00A44EDA">
        <w:rPr>
          <w:rFonts w:ascii="Cambria" w:hAnsi="Cambria"/>
          <w:sz w:val="20"/>
          <w:szCs w:val="20"/>
          <w:lang w:val="es-ES"/>
        </w:rPr>
        <w:t xml:space="preserve"> y la identificación tan precisa que hicieron los paramilitares de sus familiares,</w:t>
      </w:r>
      <w:r w:rsidR="00AF35BF">
        <w:rPr>
          <w:rFonts w:ascii="Cambria" w:hAnsi="Cambria"/>
          <w:sz w:val="20"/>
          <w:szCs w:val="20"/>
          <w:lang w:val="es-ES"/>
        </w:rPr>
        <w:t xml:space="preserve"> los pobladores </w:t>
      </w:r>
      <w:r w:rsidR="00293B48">
        <w:rPr>
          <w:rFonts w:ascii="Cambria" w:hAnsi="Cambria"/>
          <w:sz w:val="20"/>
          <w:szCs w:val="20"/>
          <w:lang w:val="es-ES"/>
        </w:rPr>
        <w:t xml:space="preserve">sobrevivientes </w:t>
      </w:r>
      <w:r w:rsidR="00AF35BF">
        <w:rPr>
          <w:rFonts w:ascii="Cambria" w:hAnsi="Cambria"/>
          <w:sz w:val="20"/>
          <w:szCs w:val="20"/>
          <w:lang w:val="es-ES"/>
        </w:rPr>
        <w:t>de Playón de Orozco</w:t>
      </w:r>
      <w:r w:rsidR="004F7B46">
        <w:rPr>
          <w:rFonts w:ascii="Cambria" w:hAnsi="Cambria"/>
          <w:sz w:val="20"/>
          <w:szCs w:val="20"/>
          <w:lang w:val="es-ES"/>
        </w:rPr>
        <w:t xml:space="preserve"> y de algunas comunidades cercanas, </w:t>
      </w:r>
      <w:r w:rsidR="00AF35BF">
        <w:rPr>
          <w:rFonts w:ascii="Cambria" w:hAnsi="Cambria"/>
          <w:sz w:val="20"/>
          <w:szCs w:val="20"/>
          <w:lang w:val="es-ES"/>
        </w:rPr>
        <w:t>tuvieron que desplazarse</w:t>
      </w:r>
      <w:r w:rsidR="005305CC">
        <w:rPr>
          <w:rFonts w:ascii="Cambria" w:hAnsi="Cambria"/>
          <w:sz w:val="20"/>
          <w:szCs w:val="20"/>
          <w:lang w:val="es-ES"/>
        </w:rPr>
        <w:t>. Señala que 243 familias compuestas por aproximadamente 1</w:t>
      </w:r>
      <w:r w:rsidR="00727F72">
        <w:rPr>
          <w:rFonts w:ascii="Cambria" w:hAnsi="Cambria"/>
          <w:sz w:val="20"/>
          <w:szCs w:val="20"/>
          <w:lang w:val="es-ES"/>
        </w:rPr>
        <w:t>932</w:t>
      </w:r>
      <w:r w:rsidR="005305CC">
        <w:rPr>
          <w:rFonts w:ascii="Cambria" w:hAnsi="Cambria"/>
          <w:sz w:val="20"/>
          <w:szCs w:val="20"/>
          <w:lang w:val="es-ES"/>
        </w:rPr>
        <w:t xml:space="preserve"> personas, en su mayoría niños, abandonaron sus viviendas debido a las amenazas</w:t>
      </w:r>
      <w:r>
        <w:rPr>
          <w:rFonts w:ascii="Cambria" w:hAnsi="Cambria"/>
          <w:sz w:val="20"/>
          <w:szCs w:val="20"/>
          <w:lang w:val="es-ES"/>
        </w:rPr>
        <w:t xml:space="preserve">. </w:t>
      </w:r>
      <w:r w:rsidR="004F7B46">
        <w:rPr>
          <w:rFonts w:ascii="Cambria" w:hAnsi="Cambria"/>
          <w:sz w:val="20"/>
          <w:szCs w:val="20"/>
          <w:lang w:val="es-ES"/>
        </w:rPr>
        <w:t xml:space="preserve">Aduce que el desplazamiento interno fue registrado por la Defensoría del Pueblo de Magdalena </w:t>
      </w:r>
      <w:r w:rsidR="00A97028">
        <w:rPr>
          <w:rFonts w:ascii="Cambria" w:hAnsi="Cambria"/>
          <w:sz w:val="20"/>
          <w:szCs w:val="20"/>
          <w:lang w:val="es-ES"/>
        </w:rPr>
        <w:t xml:space="preserve">desde el 13 de enero de 1999 y por la Personería Municipal de </w:t>
      </w:r>
      <w:proofErr w:type="spellStart"/>
      <w:r w:rsidR="00A97028">
        <w:rPr>
          <w:rFonts w:ascii="Cambria" w:hAnsi="Cambria"/>
          <w:sz w:val="20"/>
          <w:szCs w:val="20"/>
          <w:lang w:val="es-ES"/>
        </w:rPr>
        <w:t>Pivijay</w:t>
      </w:r>
      <w:proofErr w:type="spellEnd"/>
      <w:r w:rsidR="00A97028">
        <w:rPr>
          <w:rFonts w:ascii="Cambria" w:hAnsi="Cambria"/>
          <w:sz w:val="20"/>
          <w:szCs w:val="20"/>
          <w:lang w:val="es-ES"/>
        </w:rPr>
        <w:t xml:space="preserve"> el 14 de enero de 1999. Además indica que</w:t>
      </w:r>
      <w:r w:rsidR="00DF29EB">
        <w:rPr>
          <w:rFonts w:ascii="Cambria" w:hAnsi="Cambria"/>
          <w:sz w:val="20"/>
          <w:szCs w:val="20"/>
          <w:lang w:val="es-ES"/>
        </w:rPr>
        <w:t xml:space="preserve"> debido a las incursiones paramilitares en la zona, </w:t>
      </w:r>
      <w:r w:rsidR="00A97028">
        <w:rPr>
          <w:rFonts w:ascii="Cambria" w:hAnsi="Cambria"/>
          <w:sz w:val="20"/>
          <w:szCs w:val="20"/>
          <w:lang w:val="es-ES"/>
        </w:rPr>
        <w:t>el 20 de enero de 1999, la C</w:t>
      </w:r>
      <w:r w:rsidR="005454DF">
        <w:rPr>
          <w:rFonts w:ascii="Cambria" w:hAnsi="Cambria"/>
          <w:sz w:val="20"/>
          <w:szCs w:val="20"/>
          <w:lang w:val="es-ES"/>
        </w:rPr>
        <w:t xml:space="preserve">uerpo </w:t>
      </w:r>
      <w:r w:rsidR="00A97028">
        <w:rPr>
          <w:rFonts w:ascii="Cambria" w:hAnsi="Cambria"/>
          <w:sz w:val="20"/>
          <w:szCs w:val="20"/>
          <w:lang w:val="es-ES"/>
        </w:rPr>
        <w:t>T</w:t>
      </w:r>
      <w:r w:rsidR="005454DF">
        <w:rPr>
          <w:rFonts w:ascii="Cambria" w:hAnsi="Cambria"/>
          <w:sz w:val="20"/>
          <w:szCs w:val="20"/>
          <w:lang w:val="es-ES"/>
        </w:rPr>
        <w:t xml:space="preserve">écnico de </w:t>
      </w:r>
      <w:r w:rsidR="00A97028">
        <w:rPr>
          <w:rFonts w:ascii="Cambria" w:hAnsi="Cambria"/>
          <w:sz w:val="20"/>
          <w:szCs w:val="20"/>
          <w:lang w:val="es-ES"/>
        </w:rPr>
        <w:t>I</w:t>
      </w:r>
      <w:r w:rsidR="005454DF">
        <w:rPr>
          <w:rFonts w:ascii="Cambria" w:hAnsi="Cambria"/>
          <w:sz w:val="20"/>
          <w:szCs w:val="20"/>
          <w:lang w:val="es-ES"/>
        </w:rPr>
        <w:t>nvestigación de la Fiscalía</w:t>
      </w:r>
      <w:r w:rsidR="00A97028">
        <w:rPr>
          <w:rFonts w:ascii="Cambria" w:hAnsi="Cambria"/>
          <w:sz w:val="20"/>
          <w:szCs w:val="20"/>
          <w:lang w:val="es-ES"/>
        </w:rPr>
        <w:t xml:space="preserve"> le solicitó al Gobernador del Departamento de Magdalena tomar las medidas preventivas mediante la presencia de la fuerza pública</w:t>
      </w:r>
      <w:r>
        <w:rPr>
          <w:rFonts w:ascii="Cambria" w:hAnsi="Cambria"/>
          <w:sz w:val="20"/>
          <w:szCs w:val="20"/>
          <w:lang w:val="es-ES"/>
        </w:rPr>
        <w:t>. Alega</w:t>
      </w:r>
      <w:r w:rsidR="00DF29EB">
        <w:rPr>
          <w:rFonts w:ascii="Cambria" w:hAnsi="Cambria"/>
          <w:sz w:val="20"/>
          <w:szCs w:val="20"/>
          <w:lang w:val="es-ES"/>
        </w:rPr>
        <w:t xml:space="preserve"> que no obstante tales pedidos, la situación de inseguridad se mantuvo sin que se realizaran esfuerzos para proteger a la población.</w:t>
      </w:r>
      <w:r w:rsidR="005B2B88">
        <w:rPr>
          <w:rFonts w:ascii="Cambria" w:hAnsi="Cambria"/>
          <w:sz w:val="20"/>
          <w:szCs w:val="20"/>
          <w:lang w:val="es-ES"/>
        </w:rPr>
        <w:t xml:space="preserve"> </w:t>
      </w:r>
    </w:p>
    <w:p w:rsidR="00F76D0B" w:rsidRPr="00F76D0B" w:rsidRDefault="002B701F" w:rsidP="00EE46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El peticionario</w:t>
      </w:r>
      <w:r w:rsidR="005B2B88">
        <w:rPr>
          <w:rFonts w:ascii="Cambria" w:hAnsi="Cambria"/>
          <w:sz w:val="20"/>
          <w:szCs w:val="20"/>
          <w:lang w:val="es-BO"/>
        </w:rPr>
        <w:t xml:space="preserve"> refiere que persiste la impunidad sobre los hechos</w:t>
      </w:r>
      <w:r w:rsidR="00E75E4C">
        <w:rPr>
          <w:rFonts w:ascii="Cambria" w:hAnsi="Cambria"/>
          <w:sz w:val="20"/>
          <w:szCs w:val="20"/>
          <w:lang w:val="es-BO"/>
        </w:rPr>
        <w:t>, a pesar de que estos</w:t>
      </w:r>
      <w:r w:rsidR="00AF1FA6">
        <w:rPr>
          <w:rFonts w:ascii="Cambria" w:hAnsi="Cambria"/>
          <w:sz w:val="20"/>
          <w:szCs w:val="20"/>
          <w:lang w:val="es-BO"/>
        </w:rPr>
        <w:t xml:space="preserve"> fueron conocidos por la Policía Nacional</w:t>
      </w:r>
      <w:r w:rsidR="00E75E4C">
        <w:rPr>
          <w:rFonts w:ascii="Cambria" w:hAnsi="Cambria"/>
          <w:sz w:val="20"/>
          <w:szCs w:val="20"/>
          <w:lang w:val="es-BO"/>
        </w:rPr>
        <w:t xml:space="preserve"> </w:t>
      </w:r>
      <w:r w:rsidR="000D5958">
        <w:rPr>
          <w:rFonts w:ascii="Cambria" w:hAnsi="Cambria"/>
          <w:sz w:val="20"/>
          <w:szCs w:val="20"/>
          <w:lang w:val="es-BO"/>
        </w:rPr>
        <w:t>inmediatamente y de que desde</w:t>
      </w:r>
      <w:r w:rsidR="00AF1FA6">
        <w:rPr>
          <w:rFonts w:ascii="Cambria" w:hAnsi="Cambria"/>
          <w:sz w:val="20"/>
          <w:szCs w:val="20"/>
          <w:lang w:val="es-BO"/>
        </w:rPr>
        <w:t xml:space="preserve"> el 10 de enero de 1999 algunas de las presuntas víctimas que se habían refugiado en la población de </w:t>
      </w:r>
      <w:proofErr w:type="spellStart"/>
      <w:r w:rsidR="00AF1FA6">
        <w:rPr>
          <w:rFonts w:ascii="Cambria" w:hAnsi="Cambria"/>
          <w:sz w:val="20"/>
          <w:szCs w:val="20"/>
          <w:lang w:val="es-BO"/>
        </w:rPr>
        <w:t>Pivijay</w:t>
      </w:r>
      <w:proofErr w:type="spellEnd"/>
      <w:r w:rsidR="000D5958">
        <w:rPr>
          <w:rFonts w:ascii="Cambria" w:hAnsi="Cambria"/>
          <w:sz w:val="20"/>
          <w:szCs w:val="20"/>
          <w:lang w:val="es-BO"/>
        </w:rPr>
        <w:t>, se entrevistaron con funcionarios de la policía</w:t>
      </w:r>
      <w:r w:rsidR="00A637AA">
        <w:rPr>
          <w:rFonts w:ascii="Cambria" w:hAnsi="Cambria"/>
          <w:sz w:val="20"/>
          <w:szCs w:val="20"/>
          <w:lang w:val="es-BO"/>
        </w:rPr>
        <w:t xml:space="preserve">. Afirma que </w:t>
      </w:r>
      <w:r w:rsidR="000D5958">
        <w:rPr>
          <w:rFonts w:ascii="Cambria" w:hAnsi="Cambria"/>
          <w:sz w:val="20"/>
          <w:szCs w:val="20"/>
          <w:lang w:val="es-BO"/>
        </w:rPr>
        <w:t>la Policía</w:t>
      </w:r>
      <w:r w:rsidR="00A637AA">
        <w:rPr>
          <w:rFonts w:ascii="Cambria" w:hAnsi="Cambria"/>
          <w:sz w:val="20"/>
          <w:szCs w:val="20"/>
          <w:lang w:val="es-BO"/>
        </w:rPr>
        <w:t xml:space="preserve"> </w:t>
      </w:r>
      <w:r w:rsidR="000D5958">
        <w:rPr>
          <w:rFonts w:ascii="Cambria" w:hAnsi="Cambria"/>
          <w:sz w:val="20"/>
          <w:szCs w:val="20"/>
          <w:lang w:val="es-BO"/>
        </w:rPr>
        <w:t xml:space="preserve">visitó </w:t>
      </w:r>
      <w:r w:rsidR="00AF1FA6">
        <w:rPr>
          <w:rFonts w:ascii="Cambria" w:hAnsi="Cambria"/>
          <w:sz w:val="20"/>
          <w:szCs w:val="20"/>
          <w:lang w:val="es-BO"/>
        </w:rPr>
        <w:t>Playón de Orozco</w:t>
      </w:r>
      <w:r w:rsidR="00A637AA">
        <w:rPr>
          <w:rFonts w:ascii="Cambria" w:hAnsi="Cambria"/>
          <w:sz w:val="20"/>
          <w:szCs w:val="20"/>
          <w:lang w:val="es-BO"/>
        </w:rPr>
        <w:t xml:space="preserve">, donde </w:t>
      </w:r>
      <w:r w:rsidR="000D5958">
        <w:rPr>
          <w:rFonts w:ascii="Cambria" w:hAnsi="Cambria"/>
          <w:sz w:val="20"/>
          <w:szCs w:val="20"/>
          <w:lang w:val="es-BO"/>
        </w:rPr>
        <w:t xml:space="preserve">constató </w:t>
      </w:r>
      <w:r w:rsidR="00A637AA">
        <w:rPr>
          <w:rFonts w:ascii="Cambria" w:hAnsi="Cambria"/>
          <w:sz w:val="20"/>
          <w:szCs w:val="20"/>
          <w:lang w:val="es-BO"/>
        </w:rPr>
        <w:t xml:space="preserve">que algunos cadáveres aún se encontraban en las calles y </w:t>
      </w:r>
      <w:r w:rsidR="000D5958">
        <w:rPr>
          <w:rFonts w:ascii="Cambria" w:hAnsi="Cambria"/>
          <w:sz w:val="20"/>
          <w:szCs w:val="20"/>
          <w:lang w:val="es-BO"/>
        </w:rPr>
        <w:t xml:space="preserve">verificó </w:t>
      </w:r>
      <w:r w:rsidR="00A637AA">
        <w:rPr>
          <w:rFonts w:ascii="Cambria" w:hAnsi="Cambria"/>
          <w:sz w:val="20"/>
          <w:szCs w:val="20"/>
          <w:lang w:val="es-BO"/>
        </w:rPr>
        <w:t xml:space="preserve">la destrucción. </w:t>
      </w:r>
      <w:r w:rsidR="006F08B6">
        <w:rPr>
          <w:rFonts w:ascii="Cambria" w:hAnsi="Cambria"/>
          <w:sz w:val="20"/>
          <w:szCs w:val="20"/>
          <w:lang w:val="es-BO"/>
        </w:rPr>
        <w:t xml:space="preserve">Así, el 12 de enero de 1999 la Fiscalía Delegada ante Jueces Regionales de Santa Marta inició el proceso de investigación. </w:t>
      </w:r>
      <w:r>
        <w:rPr>
          <w:rFonts w:ascii="Cambria" w:hAnsi="Cambria"/>
          <w:sz w:val="20"/>
          <w:szCs w:val="20"/>
          <w:lang w:val="es-ES"/>
        </w:rPr>
        <w:t>Sin embargo, alega</w:t>
      </w:r>
      <w:r w:rsidR="006269F5" w:rsidRPr="00974DB8">
        <w:rPr>
          <w:rFonts w:ascii="Cambria" w:hAnsi="Cambria"/>
          <w:sz w:val="20"/>
          <w:szCs w:val="20"/>
          <w:lang w:val="es-ES"/>
        </w:rPr>
        <w:t xml:space="preserve"> que </w:t>
      </w:r>
      <w:r w:rsidR="006269F5">
        <w:rPr>
          <w:rFonts w:ascii="Cambria" w:hAnsi="Cambria"/>
          <w:sz w:val="20"/>
          <w:szCs w:val="20"/>
          <w:lang w:val="es-ES"/>
        </w:rPr>
        <w:t>el mismo no fue efectivo</w:t>
      </w:r>
      <w:r w:rsidR="00196E1F">
        <w:rPr>
          <w:rFonts w:ascii="Cambria" w:hAnsi="Cambria"/>
          <w:sz w:val="20"/>
          <w:szCs w:val="20"/>
          <w:lang w:val="es-ES"/>
        </w:rPr>
        <w:t>,</w:t>
      </w:r>
      <w:r w:rsidR="006269F5" w:rsidRPr="00974DB8">
        <w:rPr>
          <w:rFonts w:ascii="Cambria" w:hAnsi="Cambria"/>
          <w:sz w:val="20"/>
          <w:szCs w:val="20"/>
          <w:lang w:val="es-ES"/>
        </w:rPr>
        <w:t xml:space="preserve"> pues </w:t>
      </w:r>
      <w:r w:rsidR="006269F5">
        <w:rPr>
          <w:rFonts w:ascii="Cambria" w:hAnsi="Cambria"/>
          <w:sz w:val="20"/>
          <w:szCs w:val="20"/>
          <w:lang w:val="es-ES"/>
        </w:rPr>
        <w:t>pese a que las</w:t>
      </w:r>
      <w:r w:rsidR="00196E1F">
        <w:rPr>
          <w:rFonts w:ascii="Cambria" w:hAnsi="Cambria"/>
          <w:sz w:val="20"/>
          <w:szCs w:val="20"/>
          <w:lang w:val="es-ES"/>
        </w:rPr>
        <w:t xml:space="preserve"> presuntas víctimas identificaron a varios paramilitares y que las</w:t>
      </w:r>
      <w:r w:rsidR="006269F5">
        <w:rPr>
          <w:rFonts w:ascii="Cambria" w:hAnsi="Cambria"/>
          <w:sz w:val="20"/>
          <w:szCs w:val="20"/>
          <w:lang w:val="es-ES"/>
        </w:rPr>
        <w:t xml:space="preserve"> autoridades </w:t>
      </w:r>
      <w:r w:rsidR="000D5958">
        <w:rPr>
          <w:rFonts w:ascii="Cambria" w:hAnsi="Cambria"/>
          <w:sz w:val="20"/>
          <w:szCs w:val="20"/>
          <w:lang w:val="es-ES"/>
        </w:rPr>
        <w:t xml:space="preserve">los </w:t>
      </w:r>
      <w:r w:rsidR="00196E1F">
        <w:rPr>
          <w:rFonts w:ascii="Cambria" w:hAnsi="Cambria"/>
          <w:sz w:val="20"/>
          <w:szCs w:val="20"/>
          <w:lang w:val="es-ES"/>
        </w:rPr>
        <w:t>vincul</w:t>
      </w:r>
      <w:r w:rsidR="006269F5">
        <w:rPr>
          <w:rFonts w:ascii="Cambria" w:hAnsi="Cambria"/>
          <w:sz w:val="20"/>
          <w:szCs w:val="20"/>
          <w:lang w:val="es-ES"/>
        </w:rPr>
        <w:t xml:space="preserve">aron </w:t>
      </w:r>
      <w:r w:rsidR="000D5958">
        <w:rPr>
          <w:rFonts w:ascii="Cambria" w:hAnsi="Cambria"/>
          <w:sz w:val="20"/>
          <w:szCs w:val="20"/>
          <w:lang w:val="es-ES"/>
        </w:rPr>
        <w:t xml:space="preserve">con miembros </w:t>
      </w:r>
      <w:r w:rsidR="00196E1F">
        <w:rPr>
          <w:rFonts w:ascii="Cambria" w:hAnsi="Cambria"/>
          <w:sz w:val="20"/>
          <w:szCs w:val="20"/>
          <w:lang w:val="es-ES"/>
        </w:rPr>
        <w:t xml:space="preserve">del Ejército, </w:t>
      </w:r>
      <w:r w:rsidR="00F76D0B">
        <w:rPr>
          <w:rFonts w:ascii="Cambria" w:hAnsi="Cambria"/>
          <w:sz w:val="20"/>
          <w:szCs w:val="20"/>
          <w:lang w:val="es-ES"/>
        </w:rPr>
        <w:t xml:space="preserve">hasta el momento no han sido juzgados </w:t>
      </w:r>
      <w:r w:rsidR="000D5958">
        <w:rPr>
          <w:rFonts w:ascii="Cambria" w:hAnsi="Cambria"/>
          <w:sz w:val="20"/>
          <w:szCs w:val="20"/>
          <w:lang w:val="es-ES"/>
        </w:rPr>
        <w:t xml:space="preserve">ni </w:t>
      </w:r>
      <w:r w:rsidR="00F76D0B">
        <w:rPr>
          <w:rFonts w:ascii="Cambria" w:hAnsi="Cambria"/>
          <w:sz w:val="20"/>
          <w:szCs w:val="20"/>
          <w:lang w:val="es-ES"/>
        </w:rPr>
        <w:t>sancionados</w:t>
      </w:r>
      <w:r w:rsidR="00196E1F">
        <w:rPr>
          <w:rFonts w:ascii="Cambria" w:hAnsi="Cambria"/>
          <w:sz w:val="20"/>
          <w:szCs w:val="20"/>
          <w:lang w:val="es-ES"/>
        </w:rPr>
        <w:t>.</w:t>
      </w:r>
    </w:p>
    <w:p w:rsidR="004C3394" w:rsidRPr="002B701F" w:rsidRDefault="004E56A7" w:rsidP="002B70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ES"/>
        </w:rPr>
        <w:t>Afirma</w:t>
      </w:r>
      <w:r w:rsidR="00F76D0B">
        <w:rPr>
          <w:rFonts w:ascii="Cambria" w:hAnsi="Cambria"/>
          <w:sz w:val="20"/>
          <w:szCs w:val="20"/>
          <w:lang w:val="es-ES"/>
        </w:rPr>
        <w:t xml:space="preserve"> que 286 grupos familiares presentaron acciones de tutela contra el </w:t>
      </w:r>
      <w:r w:rsidR="00F76D0B" w:rsidRPr="00F76D0B">
        <w:rPr>
          <w:rFonts w:ascii="Cambria" w:hAnsi="Cambria"/>
          <w:sz w:val="20"/>
          <w:szCs w:val="20"/>
          <w:lang w:val="es-ES"/>
        </w:rPr>
        <w:t>Departamento Administrativo para la Prosperidad Social</w:t>
      </w:r>
      <w:r w:rsidR="00F76D0B">
        <w:rPr>
          <w:rFonts w:ascii="Cambria" w:hAnsi="Cambria"/>
          <w:sz w:val="20"/>
          <w:szCs w:val="20"/>
          <w:lang w:val="es-ES"/>
        </w:rPr>
        <w:t xml:space="preserve"> solicitando la indemnización por el desplazamient</w:t>
      </w:r>
      <w:r>
        <w:rPr>
          <w:rFonts w:ascii="Cambria" w:hAnsi="Cambria"/>
          <w:sz w:val="20"/>
          <w:szCs w:val="20"/>
          <w:lang w:val="es-ES"/>
        </w:rPr>
        <w:t>o forzado que sufrieron. Indica</w:t>
      </w:r>
      <w:r w:rsidR="00F76D0B">
        <w:rPr>
          <w:rFonts w:ascii="Cambria" w:hAnsi="Cambria"/>
          <w:sz w:val="20"/>
          <w:szCs w:val="20"/>
          <w:lang w:val="es-ES"/>
        </w:rPr>
        <w:t xml:space="preserve"> que </w:t>
      </w:r>
      <w:r w:rsidR="00F34CD8">
        <w:rPr>
          <w:rFonts w:ascii="Cambria" w:hAnsi="Cambria"/>
          <w:sz w:val="20"/>
          <w:szCs w:val="20"/>
          <w:lang w:val="es-ES"/>
        </w:rPr>
        <w:t xml:space="preserve">luego de ser conocidas por diferentes autoridades judiciales en primera y segunda instancia, </w:t>
      </w:r>
      <w:r w:rsidR="00F76D0B">
        <w:rPr>
          <w:rFonts w:ascii="Cambria" w:hAnsi="Cambria"/>
          <w:sz w:val="20"/>
          <w:szCs w:val="20"/>
          <w:lang w:val="es-ES"/>
        </w:rPr>
        <w:t xml:space="preserve">dichas acciones fueron unificadas y la Corte Constitucional emitió la sentencia 254 de 2013 el 24 de </w:t>
      </w:r>
      <w:r w:rsidR="00F76D0B">
        <w:rPr>
          <w:rFonts w:ascii="Cambria" w:hAnsi="Cambria"/>
          <w:sz w:val="20"/>
          <w:szCs w:val="20"/>
          <w:lang w:val="es-ES"/>
        </w:rPr>
        <w:lastRenderedPageBreak/>
        <w:t>abril de 2013, concediendo</w:t>
      </w:r>
      <w:r w:rsidR="00196E1F">
        <w:rPr>
          <w:rFonts w:ascii="Cambria" w:hAnsi="Cambria"/>
          <w:sz w:val="20"/>
          <w:szCs w:val="20"/>
          <w:lang w:val="es-ES"/>
        </w:rPr>
        <w:t xml:space="preserve"> </w:t>
      </w:r>
      <w:r w:rsidR="00F34CD8" w:rsidRPr="00F34CD8">
        <w:rPr>
          <w:rFonts w:ascii="Cambria" w:hAnsi="Cambria"/>
          <w:sz w:val="20"/>
          <w:szCs w:val="20"/>
          <w:lang w:val="es-ES"/>
        </w:rPr>
        <w:t xml:space="preserve">la reparación administrativa </w:t>
      </w:r>
      <w:r w:rsidR="000D5958">
        <w:rPr>
          <w:rFonts w:ascii="Cambria" w:hAnsi="Cambria"/>
          <w:sz w:val="20"/>
          <w:szCs w:val="20"/>
          <w:lang w:val="es-ES"/>
        </w:rPr>
        <w:t>a</w:t>
      </w:r>
      <w:r w:rsidR="000D5958" w:rsidRPr="00F34CD8">
        <w:rPr>
          <w:rFonts w:ascii="Cambria" w:hAnsi="Cambria"/>
          <w:sz w:val="20"/>
          <w:szCs w:val="20"/>
          <w:lang w:val="es-ES"/>
        </w:rPr>
        <w:t xml:space="preserve"> </w:t>
      </w:r>
      <w:r w:rsidR="00F34CD8" w:rsidRPr="00F34CD8">
        <w:rPr>
          <w:rFonts w:ascii="Cambria" w:hAnsi="Cambria"/>
          <w:sz w:val="20"/>
          <w:szCs w:val="20"/>
          <w:lang w:val="es-ES"/>
        </w:rPr>
        <w:t>las</w:t>
      </w:r>
      <w:r w:rsidR="00F34CD8">
        <w:rPr>
          <w:rFonts w:ascii="Cambria" w:hAnsi="Cambria"/>
          <w:sz w:val="20"/>
          <w:szCs w:val="20"/>
          <w:lang w:val="es-ES"/>
        </w:rPr>
        <w:t xml:space="preserve"> presuntas</w:t>
      </w:r>
      <w:r w:rsidR="00F34CD8" w:rsidRPr="00F34CD8">
        <w:rPr>
          <w:rFonts w:ascii="Cambria" w:hAnsi="Cambria"/>
          <w:sz w:val="20"/>
          <w:szCs w:val="20"/>
          <w:lang w:val="es-ES"/>
        </w:rPr>
        <w:t xml:space="preserve"> víctimas</w:t>
      </w:r>
      <w:r>
        <w:rPr>
          <w:rFonts w:ascii="Cambria" w:hAnsi="Cambria"/>
          <w:sz w:val="20"/>
          <w:szCs w:val="20"/>
          <w:lang w:val="es-ES"/>
        </w:rPr>
        <w:t>. No obstante, resalta</w:t>
      </w:r>
      <w:r w:rsidR="00F34CD8">
        <w:rPr>
          <w:rFonts w:ascii="Cambria" w:hAnsi="Cambria"/>
          <w:sz w:val="20"/>
          <w:szCs w:val="20"/>
          <w:lang w:val="es-ES"/>
        </w:rPr>
        <w:t xml:space="preserve"> que hasta la fecha tal decisión no ha sido efectivizada por las instituciones estatales y se encuentra pendiente de cumplimiento.</w:t>
      </w:r>
      <w:r w:rsidR="002B701F">
        <w:rPr>
          <w:rFonts w:ascii="Cambria" w:hAnsi="Cambria"/>
          <w:sz w:val="20"/>
          <w:szCs w:val="20"/>
          <w:lang w:val="es-BO"/>
        </w:rPr>
        <w:t xml:space="preserve"> </w:t>
      </w:r>
      <w:r w:rsidR="00C578BB" w:rsidRPr="002B701F">
        <w:rPr>
          <w:rFonts w:ascii="Cambria" w:hAnsi="Cambria"/>
          <w:sz w:val="20"/>
          <w:szCs w:val="20"/>
          <w:lang w:val="es-ES"/>
        </w:rPr>
        <w:t>Por otra parte, indica que 853 presuntas víctimas presentaron una demanda de reparación directa ante el Juzgado Séptimo Administrativo del Circuito de Santa Marta</w:t>
      </w:r>
      <w:r w:rsidR="002B701F">
        <w:rPr>
          <w:rFonts w:ascii="Cambria" w:hAnsi="Cambria"/>
          <w:sz w:val="20"/>
          <w:szCs w:val="20"/>
          <w:lang w:val="es-ES"/>
        </w:rPr>
        <w:t xml:space="preserve"> que no ha sido resuelto.</w:t>
      </w:r>
      <w:r w:rsidR="00C578BB" w:rsidRPr="002B701F">
        <w:rPr>
          <w:rFonts w:ascii="Cambria" w:hAnsi="Cambria"/>
          <w:sz w:val="20"/>
          <w:szCs w:val="20"/>
          <w:lang w:val="es-ES"/>
        </w:rPr>
        <w:t xml:space="preserve"> </w:t>
      </w:r>
    </w:p>
    <w:p w:rsidR="007F7E64" w:rsidRDefault="00AF1FA6" w:rsidP="00EE46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 </w:t>
      </w:r>
      <w:r w:rsidR="002B701F">
        <w:rPr>
          <w:rFonts w:ascii="Cambria" w:hAnsi="Cambria"/>
          <w:sz w:val="20"/>
          <w:szCs w:val="20"/>
          <w:lang w:val="es-BO"/>
        </w:rPr>
        <w:t>Por su parte el Estado señala que la petición es inadmisible pues los recursos internos no</w:t>
      </w:r>
      <w:r w:rsidR="004E56A7">
        <w:rPr>
          <w:rFonts w:ascii="Cambria" w:hAnsi="Cambria"/>
          <w:sz w:val="20"/>
          <w:szCs w:val="20"/>
          <w:lang w:val="es-BO"/>
        </w:rPr>
        <w:t xml:space="preserve"> </w:t>
      </w:r>
      <w:r w:rsidR="002B701F">
        <w:rPr>
          <w:rFonts w:ascii="Cambria" w:hAnsi="Cambria"/>
          <w:sz w:val="20"/>
          <w:szCs w:val="20"/>
          <w:lang w:val="es-BO"/>
        </w:rPr>
        <w:t>fueron agotados</w:t>
      </w:r>
      <w:r w:rsidR="004E56A7">
        <w:rPr>
          <w:rFonts w:ascii="Cambria" w:hAnsi="Cambria"/>
          <w:sz w:val="20"/>
          <w:szCs w:val="20"/>
          <w:lang w:val="es-BO"/>
        </w:rPr>
        <w:t>. En relación con el proceso penal sostiene que los hechos están siendo investigados por</w:t>
      </w:r>
      <w:r w:rsidR="007F7E64">
        <w:rPr>
          <w:rFonts w:ascii="Cambria" w:hAnsi="Cambria"/>
          <w:sz w:val="20"/>
          <w:szCs w:val="20"/>
          <w:lang w:val="es-BO"/>
        </w:rPr>
        <w:t xml:space="preserve"> l</w:t>
      </w:r>
      <w:r w:rsidR="004E56A7">
        <w:rPr>
          <w:rFonts w:ascii="Cambria" w:hAnsi="Cambria"/>
          <w:sz w:val="20"/>
          <w:szCs w:val="20"/>
          <w:lang w:val="es-BO"/>
        </w:rPr>
        <w:t>a</w:t>
      </w:r>
      <w:r w:rsidR="007F7E64">
        <w:rPr>
          <w:rFonts w:ascii="Cambria" w:hAnsi="Cambria"/>
          <w:sz w:val="20"/>
          <w:szCs w:val="20"/>
          <w:lang w:val="es-BO"/>
        </w:rPr>
        <w:t xml:space="preserve"> </w:t>
      </w:r>
      <w:r w:rsidR="004E56A7">
        <w:rPr>
          <w:rFonts w:ascii="Cambria" w:hAnsi="Cambria"/>
          <w:sz w:val="20"/>
          <w:szCs w:val="20"/>
          <w:lang w:val="es-BO"/>
        </w:rPr>
        <w:t xml:space="preserve">justicia ordinaria y la justicia transicional en el marco de la Ley de Justicia y Paz. Afirma que el caso está en conocimiento del Tribunal de Justicia y Paz de Barraquilla desde el 22 de septiembre de 2011. Refiere que luego </w:t>
      </w:r>
      <w:r w:rsidR="00C4071E">
        <w:rPr>
          <w:rFonts w:ascii="Cambria" w:hAnsi="Cambria"/>
          <w:sz w:val="20"/>
          <w:szCs w:val="20"/>
          <w:lang w:val="es-BO"/>
        </w:rPr>
        <w:t xml:space="preserve">de </w:t>
      </w:r>
      <w:r w:rsidR="004E56A7">
        <w:rPr>
          <w:rFonts w:ascii="Cambria" w:hAnsi="Cambria"/>
          <w:sz w:val="20"/>
          <w:szCs w:val="20"/>
          <w:lang w:val="es-BO"/>
        </w:rPr>
        <w:t>actuaciones investigativas de la Fiscalía y versiones obtenidas de algunos postulados, se dispuso la detención preventiva de cuatro personas.</w:t>
      </w:r>
      <w:r w:rsidR="007F7E64">
        <w:rPr>
          <w:rFonts w:ascii="Cambria" w:hAnsi="Cambria"/>
          <w:sz w:val="20"/>
          <w:szCs w:val="20"/>
          <w:lang w:val="es-BO"/>
        </w:rPr>
        <w:t xml:space="preserve"> Manifiesta que debido a la complejidad de los hechos y a la cantidad de víctimas, no se configura un retardo injustificado de justicia, pues las autoridades judiciales se encuentran cumpliendo con los procedimientos de investigación, juzgamiento y sanción de manera diligente.</w:t>
      </w:r>
    </w:p>
    <w:p w:rsidR="00053523" w:rsidRDefault="00053523" w:rsidP="00EE46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Adicionalmente indica que el Juzgado 14 de Instrucción Penal Militar, inició una investigación preliminar por los hechos y al no encontrar pruebas sobre acciones u omisiones de la fuerza pública, el 8 de abril de 1999 decidió inhibirse de iniciar un proceso contra el personal militar. Indica que se inició un proceso disciplinario que fue archivad</w:t>
      </w:r>
      <w:r w:rsidR="0081065F">
        <w:rPr>
          <w:rFonts w:ascii="Cambria" w:hAnsi="Cambria"/>
          <w:sz w:val="20"/>
          <w:szCs w:val="20"/>
          <w:lang w:val="es-BO"/>
        </w:rPr>
        <w:t>o</w:t>
      </w:r>
      <w:r>
        <w:rPr>
          <w:rFonts w:ascii="Cambria" w:hAnsi="Cambria"/>
          <w:sz w:val="20"/>
          <w:szCs w:val="20"/>
          <w:lang w:val="es-BO"/>
        </w:rPr>
        <w:t xml:space="preserve"> el 19 de marzo de 1999 por no existir mérito.</w:t>
      </w:r>
    </w:p>
    <w:p w:rsidR="00C26827" w:rsidRDefault="007F7E64" w:rsidP="00EE46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Sostiene que el peticionario no ha recurrido a la jurisdicción contencioso administrativo a través de la acción de reparación directa, la cual es un mecanismo efectivo para determinar a responsabilidad del Estado y lograr el pago de indemnizaciones. Advierte que algunas presuntas víctimas presentaron una solicitud de conciliación ante el Procurador Judicial Primero para Asuntos Administrativos de Santa Marta, la cual se encuentra pendiente de resolución. </w:t>
      </w:r>
    </w:p>
    <w:p w:rsidR="00AF35BF" w:rsidRPr="00C26827" w:rsidRDefault="00C26827" w:rsidP="00C268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BO"/>
        </w:rPr>
        <w:t xml:space="preserve">Adicionalmente, </w:t>
      </w:r>
      <w:proofErr w:type="gramStart"/>
      <w:r>
        <w:rPr>
          <w:rFonts w:ascii="Cambria" w:hAnsi="Cambria"/>
          <w:sz w:val="20"/>
          <w:szCs w:val="20"/>
          <w:lang w:val="es-BO"/>
        </w:rPr>
        <w:t>el</w:t>
      </w:r>
      <w:proofErr w:type="gramEnd"/>
      <w:r w:rsidRPr="00974DB8">
        <w:rPr>
          <w:rFonts w:ascii="Cambria" w:hAnsi="Cambria"/>
          <w:sz w:val="20"/>
          <w:szCs w:val="20"/>
          <w:lang w:val="es-BO"/>
        </w:rPr>
        <w:t xml:space="preserve"> </w:t>
      </w:r>
      <w:r>
        <w:rPr>
          <w:rFonts w:ascii="Cambria" w:hAnsi="Cambria"/>
          <w:sz w:val="20"/>
          <w:szCs w:val="20"/>
          <w:lang w:val="es-BO"/>
        </w:rPr>
        <w:t xml:space="preserve">manifiesta </w:t>
      </w:r>
      <w:r w:rsidRPr="00974DB8">
        <w:rPr>
          <w:rFonts w:ascii="Cambria" w:hAnsi="Cambria"/>
          <w:sz w:val="20"/>
          <w:szCs w:val="20"/>
          <w:lang w:val="es-BO"/>
        </w:rPr>
        <w:t xml:space="preserve">que los hechos de la petición no caracterizan violaciones a derechos humanos, pues </w:t>
      </w:r>
      <w:r w:rsidRPr="00974DB8">
        <w:rPr>
          <w:rFonts w:ascii="Cambria" w:hAnsi="Cambria"/>
          <w:sz w:val="20"/>
          <w:szCs w:val="20"/>
          <w:lang w:val="es-ES"/>
        </w:rPr>
        <w:t xml:space="preserve">los hechos ocurridos en </w:t>
      </w:r>
      <w:r>
        <w:rPr>
          <w:rFonts w:ascii="Cambria" w:hAnsi="Cambria"/>
          <w:sz w:val="20"/>
          <w:szCs w:val="20"/>
          <w:lang w:val="es-ES"/>
        </w:rPr>
        <w:t xml:space="preserve">Playón de Orozco </w:t>
      </w:r>
      <w:r w:rsidRPr="00974DB8">
        <w:rPr>
          <w:rFonts w:ascii="Cambria" w:hAnsi="Cambria"/>
          <w:sz w:val="20"/>
          <w:szCs w:val="20"/>
          <w:lang w:val="es-ES"/>
        </w:rPr>
        <w:t xml:space="preserve">fueron cometidos por terceros particulares, aparentemente miembros de las AUC.  </w:t>
      </w:r>
      <w:r>
        <w:rPr>
          <w:rFonts w:ascii="Cambria" w:hAnsi="Cambria"/>
          <w:sz w:val="20"/>
          <w:szCs w:val="20"/>
          <w:lang w:val="es-ES"/>
        </w:rPr>
        <w:t xml:space="preserve">Resalta que el peticionario no ha demostrado que las autoridades estatales tuvieran conocimiento de un riesgo en la zona ni su participación en los sucesos. </w:t>
      </w:r>
    </w:p>
    <w:p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rsidR="00B24A4C" w:rsidRPr="00974DB8" w:rsidRDefault="00B24A4C" w:rsidP="00B24A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BO"/>
        </w:rPr>
        <w:t>El</w:t>
      </w:r>
      <w:r w:rsidRPr="00974DB8">
        <w:rPr>
          <w:rFonts w:ascii="Cambria" w:hAnsi="Cambria"/>
          <w:sz w:val="20"/>
          <w:szCs w:val="20"/>
          <w:lang w:val="es-BO"/>
        </w:rPr>
        <w:t xml:space="preserve"> peticionario sostiene que las investigaciones no han concluido</w:t>
      </w:r>
      <w:r w:rsidR="00053523">
        <w:rPr>
          <w:rFonts w:ascii="Cambria" w:hAnsi="Cambria"/>
          <w:sz w:val="20"/>
          <w:szCs w:val="20"/>
          <w:lang w:val="es-BO"/>
        </w:rPr>
        <w:t xml:space="preserve"> ni se ha sancionado a los responsables</w:t>
      </w:r>
      <w:r w:rsidRPr="00974DB8">
        <w:rPr>
          <w:rFonts w:ascii="Cambria" w:hAnsi="Cambria"/>
          <w:sz w:val="20"/>
          <w:szCs w:val="20"/>
          <w:lang w:val="es-BO"/>
        </w:rPr>
        <w:t xml:space="preserve">. Alegan que, en consecuencia, existe una injustificada retardación de justicia. Por su parte, el Estado señala que los recursos no fueron agotados, pues el proceso penal se encuentra en curso y, en consideración de la complejidad del caso, no existe retardo injustificado.  </w:t>
      </w:r>
    </w:p>
    <w:p w:rsidR="00B24A4C" w:rsidRPr="00974DB8" w:rsidRDefault="00B24A4C" w:rsidP="00B24A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74DB8">
        <w:rPr>
          <w:rFonts w:ascii="Cambria" w:hAnsi="Cambria"/>
          <w:sz w:val="20"/>
          <w:szCs w:val="20"/>
          <w:lang w:val="es-BO"/>
        </w:rPr>
        <w:t>La Comisión ha señalado que, como regla general, una investigación penal debe realizarse prontamente para proteger los intereses de las víctimas, preservar la prueba e incluso salvaguardar los derechos de toda persona que en el contexto de la investigación sea considerada sospechosa</w:t>
      </w:r>
      <w:r w:rsidRPr="00974DB8">
        <w:rPr>
          <w:rStyle w:val="FootnoteReference"/>
          <w:rFonts w:ascii="Cambria" w:hAnsi="Cambria"/>
          <w:sz w:val="20"/>
          <w:szCs w:val="20"/>
          <w:lang w:val="es-BO"/>
        </w:rPr>
        <w:footnoteReference w:id="8"/>
      </w:r>
      <w:r w:rsidRPr="00974DB8">
        <w:rPr>
          <w:rFonts w:ascii="Cambria" w:hAnsi="Cambria"/>
          <w:sz w:val="20"/>
          <w:szCs w:val="20"/>
          <w:lang w:val="es-BO"/>
        </w:rPr>
        <w:t xml:space="preserve">. De la información aportada por las partes, se observa que la investigación destinada al esclarecimiento de los hechos continúa abierta, sin que se haya esclarecido y establecido la responsabilidad en la autoría material e intelectual por los hechos de la presente petición. Por lo tanto, dadas las características de la petición y el lapso transcurrido desde los hechos materia del reclamo, la Comisión considera que resulta aplicable la excepción prevista en el artículo 46.2.c de la Convención. </w:t>
      </w:r>
      <w:r w:rsidRPr="00974DB8">
        <w:rPr>
          <w:rFonts w:ascii="Cambria" w:hAnsi="Cambria"/>
          <w:sz w:val="20"/>
          <w:szCs w:val="20"/>
          <w:lang w:val="es-ES"/>
        </w:rPr>
        <w:t xml:space="preserve">Asimismo, la Comisión </w:t>
      </w:r>
      <w:r w:rsidRPr="00974DB8">
        <w:rPr>
          <w:rFonts w:ascii="Cambria" w:hAnsi="Cambria"/>
          <w:sz w:val="20"/>
          <w:szCs w:val="20"/>
          <w:bdr w:val="none" w:sz="0" w:space="0" w:color="auto" w:frame="1"/>
          <w:lang w:val="es-UY"/>
        </w:rPr>
        <w:t>considera que la petición fue presentada dentro de un plazo razonable y que debe darse por satisfecho el requisito de admisibilidad referente al plazo de presentación.</w:t>
      </w:r>
    </w:p>
    <w:p w:rsidR="003239B8" w:rsidRPr="00954ABF" w:rsidRDefault="00B24A4C" w:rsidP="00954AB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74DB8">
        <w:rPr>
          <w:rFonts w:ascii="Cambria" w:hAnsi="Cambria"/>
          <w:sz w:val="20"/>
          <w:szCs w:val="20"/>
          <w:lang w:val="es-BO"/>
        </w:rPr>
        <w:t xml:space="preserve">Por otra parte, la CIDH </w:t>
      </w:r>
      <w:r w:rsidRPr="00974DB8">
        <w:rPr>
          <w:rFonts w:ascii="Cambria" w:hAnsi="Cambria"/>
          <w:sz w:val="20"/>
          <w:szCs w:val="20"/>
          <w:lang w:val="es-ES"/>
        </w:rPr>
        <w:t xml:space="preserve">recuerda que, a efectos de determinar la admisibilidad de un reclamo de la naturaleza del presente, la acción de reparación no constituye la vía idónea ni resulta necesario su </w:t>
      </w:r>
      <w:r w:rsidRPr="00974DB8">
        <w:rPr>
          <w:rFonts w:ascii="Cambria" w:hAnsi="Cambria"/>
          <w:sz w:val="20"/>
          <w:szCs w:val="20"/>
          <w:lang w:val="es-ES"/>
        </w:rPr>
        <w:lastRenderedPageBreak/>
        <w:t>agotamiento, dado que no es adecuada para proporcionar una reparación integral y justicia a los familiares</w:t>
      </w:r>
      <w:r w:rsidRPr="00974DB8">
        <w:rPr>
          <w:rStyle w:val="FootnoteReference"/>
          <w:rFonts w:ascii="Cambria" w:hAnsi="Cambria"/>
          <w:sz w:val="20"/>
          <w:szCs w:val="20"/>
          <w:lang w:val="es-ES"/>
        </w:rPr>
        <w:footnoteReference w:id="9"/>
      </w:r>
      <w:r w:rsidRPr="00974DB8">
        <w:rPr>
          <w:rFonts w:ascii="Cambria" w:hAnsi="Cambria"/>
          <w:sz w:val="20"/>
          <w:szCs w:val="20"/>
          <w:lang w:val="es-ES"/>
        </w:rPr>
        <w:t>. Sin perjuicio de lo mencionado, si bien en el presente caso el proceso penal es el recurso idóneo para la investigación de los hechos, se observa que los peticionarios alegan además violaciones concretas en el marco de la demanda de reparación directa</w:t>
      </w:r>
      <w:r w:rsidR="00053523">
        <w:rPr>
          <w:rFonts w:ascii="Cambria" w:hAnsi="Cambria"/>
          <w:sz w:val="20"/>
          <w:szCs w:val="20"/>
          <w:lang w:val="es-ES"/>
        </w:rPr>
        <w:t xml:space="preserve"> y la falta de cumplimiento de la acción de tutela interpuesta para lograr una reparación por el desplazamiento forzado</w:t>
      </w:r>
      <w:r w:rsidRPr="00974DB8">
        <w:rPr>
          <w:rFonts w:ascii="Cambria" w:hAnsi="Cambria"/>
          <w:sz w:val="20"/>
          <w:szCs w:val="20"/>
          <w:lang w:val="es-ES"/>
        </w:rPr>
        <w:t>. Por ello, dada la vinculación</w:t>
      </w:r>
      <w:r w:rsidR="00053523">
        <w:rPr>
          <w:rFonts w:ascii="Cambria" w:hAnsi="Cambria"/>
          <w:sz w:val="20"/>
          <w:szCs w:val="20"/>
          <w:lang w:val="es-ES"/>
        </w:rPr>
        <w:t xml:space="preserve"> entre tales </w:t>
      </w:r>
      <w:r w:rsidRPr="00974DB8">
        <w:rPr>
          <w:rFonts w:ascii="Cambria" w:hAnsi="Cambria"/>
          <w:sz w:val="20"/>
          <w:szCs w:val="20"/>
          <w:lang w:val="es-ES"/>
        </w:rPr>
        <w:t>procesos, la Comisión toma en cuenta que</w:t>
      </w:r>
      <w:r w:rsidR="0081065F">
        <w:rPr>
          <w:rFonts w:ascii="Cambria" w:hAnsi="Cambria"/>
          <w:sz w:val="20"/>
          <w:szCs w:val="20"/>
          <w:lang w:val="es-ES"/>
        </w:rPr>
        <w:t xml:space="preserve"> además,</w:t>
      </w:r>
      <w:r w:rsidRPr="00974DB8">
        <w:rPr>
          <w:rFonts w:ascii="Cambria" w:hAnsi="Cambria"/>
          <w:sz w:val="20"/>
          <w:szCs w:val="20"/>
          <w:lang w:val="es-ES"/>
        </w:rPr>
        <w:t xml:space="preserve"> en la jurisdicción contencioso administrativa los recursos internos se agotaron con la </w:t>
      </w:r>
      <w:r w:rsidR="00954ABF">
        <w:rPr>
          <w:rFonts w:ascii="Cambria" w:hAnsi="Cambria"/>
          <w:sz w:val="20"/>
          <w:szCs w:val="20"/>
          <w:lang w:val="es-ES"/>
        </w:rPr>
        <w:t>sentencia 254 de 2013 el 24 de abril de 2013,</w:t>
      </w:r>
      <w:r w:rsidRPr="00974DB8">
        <w:rPr>
          <w:rFonts w:ascii="Cambria" w:hAnsi="Cambria"/>
          <w:sz w:val="20"/>
          <w:szCs w:val="20"/>
          <w:lang w:val="es-ES"/>
        </w:rPr>
        <w:t xml:space="preserve"> </w:t>
      </w:r>
      <w:r w:rsidR="00954ABF">
        <w:rPr>
          <w:rFonts w:ascii="Cambria" w:hAnsi="Cambria"/>
          <w:sz w:val="20"/>
          <w:szCs w:val="20"/>
          <w:lang w:val="es-ES"/>
        </w:rPr>
        <w:t xml:space="preserve">emitida </w:t>
      </w:r>
      <w:r w:rsidRPr="00974DB8">
        <w:rPr>
          <w:rFonts w:ascii="Cambria" w:hAnsi="Cambria"/>
          <w:sz w:val="20"/>
          <w:szCs w:val="20"/>
          <w:lang w:val="es-ES"/>
        </w:rPr>
        <w:t>por la</w:t>
      </w:r>
      <w:r w:rsidR="00954ABF">
        <w:rPr>
          <w:rFonts w:ascii="Cambria" w:hAnsi="Cambria"/>
          <w:sz w:val="20"/>
          <w:szCs w:val="20"/>
          <w:lang w:val="es-ES"/>
        </w:rPr>
        <w:t xml:space="preserve"> Corte Constitucional</w:t>
      </w:r>
      <w:r w:rsidRPr="00974DB8">
        <w:rPr>
          <w:rFonts w:ascii="Cambria" w:hAnsi="Cambria"/>
          <w:sz w:val="20"/>
          <w:szCs w:val="20"/>
          <w:lang w:val="es-ES"/>
        </w:rPr>
        <w:t xml:space="preserve">. </w:t>
      </w:r>
    </w:p>
    <w:p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rsidR="00E374D6" w:rsidRDefault="00954ABF" w:rsidP="00E374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74DB8">
        <w:rPr>
          <w:rFonts w:ascii="Cambria" w:hAnsi="Cambria"/>
          <w:sz w:val="20"/>
          <w:szCs w:val="20"/>
          <w:lang w:val="es-BO"/>
        </w:rPr>
        <w:t xml:space="preserve">En vista de los elementos de hecho y de derecho expuestos por las partes y la naturaleza del asunto puesto bajo su conocimiento, la Comisión considera que las alegadas detenciones ilegales, torturas y  ejecuciones extrajudiciales de las presuntas víctimas, así como las supuestas afectaciones a la integridad personal y la falta de protección judicial efectiva de sus familiares, ocasionadas como resultado de la masacre </w:t>
      </w:r>
      <w:r>
        <w:rPr>
          <w:rFonts w:ascii="Cambria" w:hAnsi="Cambria"/>
          <w:sz w:val="20"/>
          <w:szCs w:val="20"/>
          <w:lang w:val="es-BO"/>
        </w:rPr>
        <w:t>perpetrada en Playón de Orozco</w:t>
      </w:r>
      <w:r w:rsidRPr="00974DB8">
        <w:rPr>
          <w:rFonts w:ascii="Cambria" w:hAnsi="Cambria"/>
          <w:sz w:val="20"/>
          <w:szCs w:val="20"/>
          <w:lang w:val="es-BO"/>
        </w:rPr>
        <w:t>, podrían caracterizar posibles violaciones de los artículos 4 (derecho a la vida), 5 (derecho a la integridad personal), 7 (libertad perso</w:t>
      </w:r>
      <w:r w:rsidR="00E374D6">
        <w:rPr>
          <w:rFonts w:ascii="Cambria" w:hAnsi="Cambria"/>
          <w:sz w:val="20"/>
          <w:szCs w:val="20"/>
          <w:lang w:val="es-BO"/>
        </w:rPr>
        <w:t xml:space="preserve">nal), 8 (garantías judiciales) y </w:t>
      </w:r>
      <w:r w:rsidRPr="00974DB8">
        <w:rPr>
          <w:rFonts w:ascii="Cambria" w:hAnsi="Cambria"/>
          <w:sz w:val="20"/>
          <w:szCs w:val="20"/>
          <w:lang w:val="es-BO"/>
        </w:rPr>
        <w:t>25 (protección judicial) de la Convención Americana en relación con su</w:t>
      </w:r>
      <w:r w:rsidR="00E374D6">
        <w:rPr>
          <w:rFonts w:ascii="Cambria" w:hAnsi="Cambria"/>
          <w:sz w:val="20"/>
          <w:szCs w:val="20"/>
          <w:lang w:val="es-BO"/>
        </w:rPr>
        <w:t>s</w:t>
      </w:r>
      <w:r w:rsidRPr="00974DB8">
        <w:rPr>
          <w:rFonts w:ascii="Cambria" w:hAnsi="Cambria"/>
          <w:sz w:val="20"/>
          <w:szCs w:val="20"/>
          <w:lang w:val="es-BO"/>
        </w:rPr>
        <w:t xml:space="preserve"> artículo</w:t>
      </w:r>
      <w:r w:rsidR="00E374D6">
        <w:rPr>
          <w:rFonts w:ascii="Cambria" w:hAnsi="Cambria"/>
          <w:sz w:val="20"/>
          <w:szCs w:val="20"/>
          <w:lang w:val="es-BO"/>
        </w:rPr>
        <w:t>s</w:t>
      </w:r>
      <w:r w:rsidRPr="00974DB8">
        <w:rPr>
          <w:rFonts w:ascii="Cambria" w:hAnsi="Cambria"/>
          <w:sz w:val="20"/>
          <w:szCs w:val="20"/>
          <w:lang w:val="es-BO"/>
        </w:rPr>
        <w:t xml:space="preserve"> 1.1</w:t>
      </w:r>
      <w:r w:rsidR="00E374D6">
        <w:rPr>
          <w:rFonts w:ascii="Cambria" w:hAnsi="Cambria"/>
          <w:sz w:val="20"/>
          <w:szCs w:val="20"/>
          <w:lang w:val="es-BO"/>
        </w:rPr>
        <w:t xml:space="preserve"> y 2</w:t>
      </w:r>
      <w:r w:rsidRPr="00974DB8">
        <w:rPr>
          <w:rFonts w:ascii="Cambria" w:hAnsi="Cambria"/>
          <w:sz w:val="20"/>
          <w:szCs w:val="20"/>
          <w:lang w:val="es-BO"/>
        </w:rPr>
        <w:t xml:space="preserve">; </w:t>
      </w:r>
      <w:r w:rsidR="007C768A">
        <w:rPr>
          <w:rFonts w:asciiTheme="majorHAnsi" w:hAnsiTheme="majorHAnsi"/>
          <w:sz w:val="20"/>
          <w:szCs w:val="20"/>
          <w:lang w:val="es-ES"/>
        </w:rPr>
        <w:t>y el artículo 7 de la Convención Belém do Pará</w:t>
      </w:r>
      <w:r w:rsidR="00D0780A">
        <w:rPr>
          <w:rFonts w:asciiTheme="majorHAnsi" w:hAnsiTheme="majorHAnsi"/>
          <w:sz w:val="20"/>
          <w:szCs w:val="20"/>
          <w:lang w:val="es-ES"/>
        </w:rPr>
        <w:t>. Así</w:t>
      </w:r>
      <w:r w:rsidR="00D0780A" w:rsidRPr="00974DB8">
        <w:rPr>
          <w:rFonts w:asciiTheme="majorHAnsi" w:hAnsiTheme="majorHAnsi"/>
          <w:sz w:val="20"/>
          <w:szCs w:val="20"/>
          <w:lang w:val="es-ES"/>
        </w:rPr>
        <w:t xml:space="preserve"> como los artículos 1, 6 y 8 de la Convención Interamericana para Prevenir y Sancionar la Tortura,</w:t>
      </w:r>
      <w:r w:rsidR="00D0780A">
        <w:rPr>
          <w:rFonts w:asciiTheme="majorHAnsi" w:hAnsiTheme="majorHAnsi"/>
          <w:sz w:val="20"/>
          <w:szCs w:val="20"/>
          <w:lang w:val="es-ES"/>
        </w:rPr>
        <w:t xml:space="preserve"> </w:t>
      </w:r>
      <w:r w:rsidRPr="00974DB8">
        <w:rPr>
          <w:rFonts w:asciiTheme="majorHAnsi" w:hAnsiTheme="majorHAnsi"/>
          <w:sz w:val="20"/>
          <w:szCs w:val="20"/>
          <w:lang w:val="es-ES"/>
        </w:rPr>
        <w:t>debido a la alegada falta de investigación</w:t>
      </w:r>
      <w:r w:rsidRPr="00974DB8">
        <w:rPr>
          <w:rFonts w:ascii="Cambria" w:hAnsi="Cambria"/>
          <w:sz w:val="20"/>
          <w:szCs w:val="20"/>
          <w:lang w:val="es-BO"/>
        </w:rPr>
        <w:t>, en perjuicio de las presuntas víctimas y sus familia</w:t>
      </w:r>
      <w:r w:rsidRPr="00E374D6">
        <w:rPr>
          <w:rFonts w:ascii="Cambria" w:hAnsi="Cambria"/>
          <w:sz w:val="20"/>
          <w:szCs w:val="20"/>
          <w:lang w:val="es-BO"/>
        </w:rPr>
        <w:t xml:space="preserve">s. </w:t>
      </w:r>
    </w:p>
    <w:p w:rsidR="00E374D6" w:rsidRPr="00E374D6" w:rsidRDefault="00954ABF" w:rsidP="00E374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374D6">
        <w:rPr>
          <w:rFonts w:ascii="Cambria" w:hAnsi="Cambria"/>
          <w:sz w:val="20"/>
          <w:szCs w:val="20"/>
          <w:lang w:val="es-BO"/>
        </w:rPr>
        <w:t>Asimismo, considera que la</w:t>
      </w:r>
      <w:r w:rsidR="000152EC">
        <w:rPr>
          <w:rFonts w:ascii="Cambria" w:hAnsi="Cambria"/>
          <w:sz w:val="20"/>
          <w:szCs w:val="20"/>
          <w:lang w:val="es-BO"/>
        </w:rPr>
        <w:t>s</w:t>
      </w:r>
      <w:r w:rsidRPr="00E374D6">
        <w:rPr>
          <w:rFonts w:ascii="Cambria" w:hAnsi="Cambria"/>
          <w:sz w:val="20"/>
          <w:szCs w:val="20"/>
          <w:lang w:val="es-BO"/>
        </w:rPr>
        <w:t xml:space="preserve"> alegada</w:t>
      </w:r>
      <w:r w:rsidR="000152EC">
        <w:rPr>
          <w:rFonts w:ascii="Cambria" w:hAnsi="Cambria"/>
          <w:sz w:val="20"/>
          <w:szCs w:val="20"/>
          <w:lang w:val="es-BO"/>
        </w:rPr>
        <w:t xml:space="preserve">s detenciones ilegales y amenazas </w:t>
      </w:r>
      <w:r w:rsidR="00264733">
        <w:rPr>
          <w:rFonts w:ascii="Cambria" w:hAnsi="Cambria"/>
          <w:sz w:val="20"/>
          <w:szCs w:val="20"/>
          <w:lang w:val="es-BO"/>
        </w:rPr>
        <w:t xml:space="preserve">cometidas </w:t>
      </w:r>
      <w:r w:rsidR="000152EC">
        <w:rPr>
          <w:rFonts w:ascii="Cambria" w:hAnsi="Cambria"/>
          <w:sz w:val="20"/>
          <w:szCs w:val="20"/>
          <w:lang w:val="es-BO"/>
        </w:rPr>
        <w:t xml:space="preserve">contra </w:t>
      </w:r>
      <w:r w:rsidR="0027041B">
        <w:rPr>
          <w:rFonts w:ascii="Cambria" w:hAnsi="Cambria"/>
          <w:sz w:val="20"/>
          <w:szCs w:val="20"/>
          <w:lang w:val="es-BO"/>
        </w:rPr>
        <w:t>los pobladores</w:t>
      </w:r>
      <w:r w:rsidR="000152EC">
        <w:rPr>
          <w:rFonts w:ascii="Cambria" w:hAnsi="Cambria"/>
          <w:sz w:val="20"/>
          <w:szCs w:val="20"/>
          <w:lang w:val="es-BO"/>
        </w:rPr>
        <w:t xml:space="preserve">, </w:t>
      </w:r>
      <w:r w:rsidR="00264733">
        <w:rPr>
          <w:rFonts w:ascii="Cambria" w:hAnsi="Cambria"/>
          <w:sz w:val="20"/>
          <w:szCs w:val="20"/>
          <w:lang w:val="es-BO"/>
        </w:rPr>
        <w:t xml:space="preserve">y </w:t>
      </w:r>
      <w:r w:rsidR="000152EC">
        <w:rPr>
          <w:rFonts w:ascii="Cambria" w:hAnsi="Cambria"/>
          <w:sz w:val="20"/>
          <w:szCs w:val="20"/>
          <w:lang w:val="es-BO"/>
        </w:rPr>
        <w:t xml:space="preserve">la </w:t>
      </w:r>
      <w:r w:rsidR="0027041B">
        <w:rPr>
          <w:rFonts w:ascii="Cambria" w:hAnsi="Cambria"/>
          <w:sz w:val="20"/>
          <w:szCs w:val="20"/>
          <w:lang w:val="es-BO"/>
        </w:rPr>
        <w:t>presunta</w:t>
      </w:r>
      <w:r w:rsidRPr="00E374D6">
        <w:rPr>
          <w:rFonts w:ascii="Cambria" w:hAnsi="Cambria"/>
          <w:sz w:val="20"/>
          <w:szCs w:val="20"/>
          <w:lang w:val="es-BO"/>
        </w:rPr>
        <w:t xml:space="preserve"> destrucción, incendio y saqueo de </w:t>
      </w:r>
      <w:r w:rsidR="00264733">
        <w:rPr>
          <w:rFonts w:ascii="Cambria" w:hAnsi="Cambria"/>
          <w:sz w:val="20"/>
          <w:szCs w:val="20"/>
          <w:lang w:val="es-BO"/>
        </w:rPr>
        <w:t>su</w:t>
      </w:r>
      <w:r w:rsidRPr="00E374D6">
        <w:rPr>
          <w:rFonts w:ascii="Cambria" w:hAnsi="Cambria"/>
          <w:sz w:val="20"/>
          <w:szCs w:val="20"/>
          <w:lang w:val="es-BO"/>
        </w:rPr>
        <w:t>s propiedades, la intimidación de grupos armados irregulares en la zona y la supuesta aquiescencia y falta de prevención del Estado, así como el consecuente desplazamiento interno de los pobladores de Playón de Orozco y otros pueblos aledaños</w:t>
      </w:r>
      <w:r w:rsidR="00E374D6">
        <w:rPr>
          <w:rFonts w:ascii="Cambria" w:hAnsi="Cambria"/>
          <w:sz w:val="20"/>
          <w:szCs w:val="20"/>
          <w:lang w:val="es-BO"/>
        </w:rPr>
        <w:t>, y la falta de protección judicial</w:t>
      </w:r>
      <w:r w:rsidRPr="00E374D6">
        <w:rPr>
          <w:rFonts w:ascii="Cambria" w:hAnsi="Cambria"/>
          <w:sz w:val="20"/>
          <w:szCs w:val="20"/>
          <w:lang w:val="es-BO"/>
        </w:rPr>
        <w:t>, producto de los hechos ocurridos el 9 de enero de 1999, podrían caracterizar violaciones de los artículos 5 (derecho a la integridad personal),</w:t>
      </w:r>
      <w:r w:rsidR="00264733">
        <w:rPr>
          <w:rFonts w:ascii="Cambria" w:hAnsi="Cambria"/>
          <w:sz w:val="20"/>
          <w:szCs w:val="20"/>
          <w:lang w:val="es-BO"/>
        </w:rPr>
        <w:t xml:space="preserve"> 7 (libertad personal),</w:t>
      </w:r>
      <w:r w:rsidRPr="00E374D6">
        <w:rPr>
          <w:rFonts w:ascii="Cambria" w:hAnsi="Cambria"/>
          <w:sz w:val="20"/>
          <w:szCs w:val="20"/>
          <w:lang w:val="es-BO"/>
        </w:rPr>
        <w:t xml:space="preserve"> 8 (garantías judiciales), </w:t>
      </w:r>
      <w:r w:rsidR="00E374D6" w:rsidRPr="00E374D6">
        <w:rPr>
          <w:rFonts w:asciiTheme="majorHAnsi" w:hAnsiTheme="majorHAnsi"/>
          <w:bCs/>
          <w:sz w:val="20"/>
          <w:szCs w:val="20"/>
          <w:lang w:val="es-CO"/>
        </w:rPr>
        <w:t xml:space="preserve">17 (protección a la familia), 19 (niñez), </w:t>
      </w:r>
      <w:r w:rsidR="00E374D6" w:rsidRPr="00974DB8">
        <w:rPr>
          <w:rFonts w:ascii="Cambria" w:hAnsi="Cambria"/>
          <w:sz w:val="20"/>
          <w:szCs w:val="20"/>
          <w:bdr w:val="none" w:sz="0" w:space="0" w:color="auto" w:frame="1"/>
          <w:lang w:val="es-UY"/>
        </w:rPr>
        <w:t>21</w:t>
      </w:r>
      <w:r w:rsidR="00E374D6">
        <w:rPr>
          <w:rFonts w:ascii="Cambria" w:hAnsi="Cambria"/>
          <w:sz w:val="20"/>
          <w:szCs w:val="20"/>
          <w:bdr w:val="none" w:sz="0" w:space="0" w:color="auto" w:frame="1"/>
          <w:lang w:val="es-UY"/>
        </w:rPr>
        <w:t xml:space="preserve"> (propiedad privada), </w:t>
      </w:r>
      <w:r w:rsidR="00E374D6" w:rsidRPr="00E374D6">
        <w:rPr>
          <w:rFonts w:asciiTheme="majorHAnsi" w:hAnsiTheme="majorHAnsi"/>
          <w:bCs/>
          <w:sz w:val="20"/>
          <w:szCs w:val="20"/>
          <w:lang w:val="es-CO"/>
        </w:rPr>
        <w:t>22 (circulación y de residencia), 25 (protección judicial) y 26 (derechos económicos, sociales y culturales) de la Convención Americana en relación con los artículo</w:t>
      </w:r>
      <w:r w:rsidR="00E374D6">
        <w:rPr>
          <w:rFonts w:asciiTheme="majorHAnsi" w:hAnsiTheme="majorHAnsi"/>
          <w:bCs/>
          <w:sz w:val="20"/>
          <w:szCs w:val="20"/>
          <w:lang w:val="es-CO"/>
        </w:rPr>
        <w:t>s</w:t>
      </w:r>
      <w:r w:rsidR="00E374D6" w:rsidRPr="00E374D6">
        <w:rPr>
          <w:rFonts w:asciiTheme="majorHAnsi" w:hAnsiTheme="majorHAnsi"/>
          <w:bCs/>
          <w:sz w:val="20"/>
          <w:szCs w:val="20"/>
          <w:lang w:val="es-CO"/>
        </w:rPr>
        <w:t xml:space="preserve"> 1.1 y 2 del mismo instrumento, respecto de las presuntas víctimas y sus familiares.</w:t>
      </w:r>
    </w:p>
    <w:p w:rsidR="00954ABF" w:rsidRDefault="004B140D" w:rsidP="004B14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Pr>
          <w:rFonts w:asciiTheme="majorHAnsi" w:hAnsiTheme="majorHAnsi"/>
          <w:b/>
          <w:bCs/>
          <w:sz w:val="20"/>
          <w:szCs w:val="20"/>
          <w:lang w:val="es-ES"/>
        </w:rPr>
        <w:t>VIII.</w:t>
      </w:r>
      <w:r w:rsidR="00954ABF" w:rsidRPr="00E374D6">
        <w:rPr>
          <w:rFonts w:asciiTheme="majorHAnsi" w:hAnsiTheme="majorHAnsi"/>
          <w:b/>
          <w:bCs/>
          <w:sz w:val="20"/>
          <w:szCs w:val="20"/>
          <w:lang w:val="es-ES"/>
        </w:rPr>
        <w:tab/>
        <w:t>DECISIÓN</w:t>
      </w:r>
    </w:p>
    <w:p w:rsidR="004B140D" w:rsidRPr="00E374D6" w:rsidRDefault="004B140D" w:rsidP="004B14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rsidR="00954ABF" w:rsidRPr="004B140D" w:rsidRDefault="00954ABF" w:rsidP="004B140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974DB8">
        <w:rPr>
          <w:rFonts w:asciiTheme="majorHAnsi" w:hAnsiTheme="majorHAnsi"/>
          <w:sz w:val="20"/>
          <w:szCs w:val="20"/>
          <w:lang w:val="es-ES"/>
        </w:rPr>
        <w:t>Declarar admisible la presente petición en relación con los artículos 4, 5, 7, 8, 17,</w:t>
      </w:r>
      <w:r w:rsidR="00E374D6">
        <w:rPr>
          <w:rFonts w:asciiTheme="majorHAnsi" w:hAnsiTheme="majorHAnsi"/>
          <w:sz w:val="20"/>
          <w:szCs w:val="20"/>
          <w:lang w:val="es-ES"/>
        </w:rPr>
        <w:t xml:space="preserve"> 19,</w:t>
      </w:r>
      <w:r w:rsidRPr="00974DB8">
        <w:rPr>
          <w:rFonts w:asciiTheme="majorHAnsi" w:hAnsiTheme="majorHAnsi"/>
          <w:sz w:val="20"/>
          <w:szCs w:val="20"/>
          <w:lang w:val="es-ES"/>
        </w:rPr>
        <w:t xml:space="preserve"> 22</w:t>
      </w:r>
      <w:r w:rsidR="00E374D6">
        <w:rPr>
          <w:rFonts w:asciiTheme="majorHAnsi" w:hAnsiTheme="majorHAnsi"/>
          <w:sz w:val="20"/>
          <w:szCs w:val="20"/>
          <w:lang w:val="es-ES"/>
        </w:rPr>
        <w:t>,</w:t>
      </w:r>
      <w:r w:rsidRPr="00974DB8">
        <w:rPr>
          <w:rFonts w:asciiTheme="majorHAnsi" w:hAnsiTheme="majorHAnsi"/>
          <w:sz w:val="20"/>
          <w:szCs w:val="20"/>
          <w:lang w:val="es-ES"/>
        </w:rPr>
        <w:t xml:space="preserve"> 25</w:t>
      </w:r>
      <w:r w:rsidR="00E374D6">
        <w:rPr>
          <w:rFonts w:asciiTheme="majorHAnsi" w:hAnsiTheme="majorHAnsi"/>
          <w:sz w:val="20"/>
          <w:szCs w:val="20"/>
          <w:lang w:val="es-ES"/>
        </w:rPr>
        <w:t xml:space="preserve"> y 26 en concordancia con sus</w:t>
      </w:r>
      <w:r w:rsidRPr="00974DB8">
        <w:rPr>
          <w:rFonts w:asciiTheme="majorHAnsi" w:hAnsiTheme="majorHAnsi"/>
          <w:sz w:val="20"/>
          <w:szCs w:val="20"/>
          <w:lang w:val="es-ES"/>
        </w:rPr>
        <w:t xml:space="preserve"> artículo</w:t>
      </w:r>
      <w:r w:rsidR="00E374D6">
        <w:rPr>
          <w:rFonts w:asciiTheme="majorHAnsi" w:hAnsiTheme="majorHAnsi"/>
          <w:sz w:val="20"/>
          <w:szCs w:val="20"/>
          <w:lang w:val="es-ES"/>
        </w:rPr>
        <w:t>s</w:t>
      </w:r>
      <w:r w:rsidRPr="00974DB8">
        <w:rPr>
          <w:rFonts w:asciiTheme="majorHAnsi" w:hAnsiTheme="majorHAnsi"/>
          <w:sz w:val="20"/>
          <w:szCs w:val="20"/>
          <w:lang w:val="es-ES"/>
        </w:rPr>
        <w:t xml:space="preserve"> 1.1</w:t>
      </w:r>
      <w:r w:rsidR="00E374D6">
        <w:rPr>
          <w:rFonts w:asciiTheme="majorHAnsi" w:hAnsiTheme="majorHAnsi"/>
          <w:sz w:val="20"/>
          <w:szCs w:val="20"/>
          <w:lang w:val="es-ES"/>
        </w:rPr>
        <w:t xml:space="preserve"> y 2</w:t>
      </w:r>
      <w:r w:rsidR="008C1AE5">
        <w:rPr>
          <w:rFonts w:asciiTheme="majorHAnsi" w:hAnsiTheme="majorHAnsi"/>
          <w:sz w:val="20"/>
          <w:szCs w:val="20"/>
          <w:lang w:val="es-ES"/>
        </w:rPr>
        <w:t xml:space="preserve"> de la Convención Americana y</w:t>
      </w:r>
      <w:r w:rsidRPr="00974DB8">
        <w:rPr>
          <w:rFonts w:asciiTheme="majorHAnsi" w:hAnsiTheme="majorHAnsi"/>
          <w:sz w:val="20"/>
          <w:szCs w:val="20"/>
          <w:lang w:val="es-ES"/>
        </w:rPr>
        <w:t xml:space="preserve"> </w:t>
      </w:r>
      <w:r w:rsidR="007C768A">
        <w:rPr>
          <w:rFonts w:asciiTheme="majorHAnsi" w:hAnsiTheme="majorHAnsi"/>
          <w:sz w:val="20"/>
          <w:szCs w:val="20"/>
          <w:lang w:val="es-ES"/>
        </w:rPr>
        <w:t>los</w:t>
      </w:r>
      <w:r w:rsidRPr="00974DB8">
        <w:rPr>
          <w:rFonts w:asciiTheme="majorHAnsi" w:hAnsiTheme="majorHAnsi"/>
          <w:sz w:val="20"/>
          <w:szCs w:val="20"/>
          <w:lang w:val="es-ES"/>
        </w:rPr>
        <w:t xml:space="preserve"> artículos 1, 6 y 8 de la Convención Interamericana para Prevenir y Sancionar la Tortura</w:t>
      </w:r>
      <w:r w:rsidR="007C768A">
        <w:rPr>
          <w:rFonts w:asciiTheme="majorHAnsi" w:hAnsiTheme="majorHAnsi"/>
          <w:sz w:val="20"/>
          <w:szCs w:val="20"/>
          <w:lang w:val="es-ES"/>
        </w:rPr>
        <w:t>;</w:t>
      </w:r>
    </w:p>
    <w:p w:rsidR="004B140D" w:rsidRPr="00974DB8" w:rsidRDefault="004B140D" w:rsidP="004B14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4A6A54" w:rsidRDefault="004A6A54" w:rsidP="004B140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4B140D" w:rsidRPr="009B7794" w:rsidRDefault="004B140D" w:rsidP="004B14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rsidR="004B140D" w:rsidRPr="00396544" w:rsidRDefault="004B140D" w:rsidP="004B140D">
      <w:pPr>
        <w:pStyle w:val="ListParagraph"/>
        <w:suppressAutoHyphens/>
        <w:ind w:left="0" w:firstLine="720"/>
        <w:jc w:val="both"/>
        <w:rPr>
          <w:sz w:val="20"/>
          <w:szCs w:val="20"/>
          <w:lang w:val="es-ES"/>
        </w:rPr>
      </w:pPr>
      <w:r w:rsidRPr="00091857">
        <w:rPr>
          <w:sz w:val="20"/>
          <w:szCs w:val="20"/>
          <w:lang w:val="es-ES"/>
        </w:rPr>
        <w:t xml:space="preserve">Aprobado por la Comisión Interamericana de Derechos Humanos a los </w:t>
      </w:r>
      <w:r>
        <w:rPr>
          <w:sz w:val="20"/>
          <w:szCs w:val="20"/>
          <w:lang w:val="es-ES"/>
        </w:rPr>
        <w:t>3</w:t>
      </w:r>
      <w:r w:rsidRPr="00091857">
        <w:rPr>
          <w:sz w:val="20"/>
          <w:szCs w:val="20"/>
          <w:lang w:val="es-ES"/>
        </w:rPr>
        <w:t xml:space="preserve"> días del mes de </w:t>
      </w:r>
      <w:r>
        <w:rPr>
          <w:rFonts w:cs="Arial"/>
          <w:noProof/>
          <w:spacing w:val="-2"/>
          <w:sz w:val="20"/>
          <w:szCs w:val="20"/>
          <w:lang w:val="es-CL"/>
        </w:rPr>
        <w:t>enero</w:t>
      </w:r>
      <w:r w:rsidRPr="00091857">
        <w:rPr>
          <w:sz w:val="20"/>
          <w:szCs w:val="20"/>
          <w:lang w:val="es-ES"/>
        </w:rPr>
        <w:t xml:space="preserve"> de 201</w:t>
      </w:r>
      <w:r>
        <w:rPr>
          <w:sz w:val="20"/>
          <w:szCs w:val="20"/>
          <w:lang w:val="es-ES"/>
        </w:rPr>
        <w:t>9</w:t>
      </w:r>
      <w:r w:rsidRPr="00091857">
        <w:rPr>
          <w:sz w:val="20"/>
          <w:szCs w:val="20"/>
          <w:lang w:val="es-ES"/>
        </w:rPr>
        <w:t xml:space="preserve">.  (Firmado): Margarette </w:t>
      </w:r>
      <w:proofErr w:type="spellStart"/>
      <w:r w:rsidRPr="004B140D">
        <w:rPr>
          <w:sz w:val="20"/>
          <w:szCs w:val="20"/>
          <w:lang w:val="es-NI"/>
        </w:rPr>
        <w:t>May</w:t>
      </w:r>
      <w:proofErr w:type="spellEnd"/>
      <w:r w:rsidRPr="00091857">
        <w:rPr>
          <w:sz w:val="20"/>
          <w:szCs w:val="20"/>
          <w:lang w:val="es-ES"/>
        </w:rPr>
        <w:t xml:space="preserve"> </w:t>
      </w:r>
      <w:r w:rsidRPr="004B140D">
        <w:rPr>
          <w:sz w:val="20"/>
          <w:szCs w:val="20"/>
          <w:lang w:val="es-NI"/>
        </w:rPr>
        <w:t>Macaulay</w:t>
      </w:r>
      <w:r w:rsidRPr="00091857">
        <w:rPr>
          <w:sz w:val="20"/>
          <w:szCs w:val="20"/>
          <w:lang w:val="es-ES"/>
        </w:rPr>
        <w:t xml:space="preserve">, Presidenta; Esmeralda E. Arosemena Bernal de Troitiño, Primera Vicepresidenta; Francisco José Eguiguren Praeli, Joel Hernández García, Antonia Urrejola y Flávia </w:t>
      </w:r>
      <w:r w:rsidRPr="00091857">
        <w:rPr>
          <w:sz w:val="20"/>
          <w:szCs w:val="20"/>
          <w:lang w:val="es-NI"/>
        </w:rPr>
        <w:t>Piovesan</w:t>
      </w:r>
      <w:r w:rsidRPr="00091857">
        <w:rPr>
          <w:sz w:val="20"/>
          <w:szCs w:val="20"/>
          <w:lang w:val="es-ES"/>
        </w:rPr>
        <w:t>, Miembros de la Comisión.</w:t>
      </w:r>
    </w:p>
    <w:p w:rsidR="004B140D" w:rsidRDefault="004B140D" w:rsidP="004B140D">
      <w:pPr>
        <w:pStyle w:val="ListParagraph"/>
        <w:suppressAutoHyphens/>
        <w:ind w:left="0" w:firstLine="720"/>
        <w:jc w:val="both"/>
        <w:rPr>
          <w:sz w:val="20"/>
          <w:szCs w:val="20"/>
          <w:lang w:val="es-ES"/>
        </w:rPr>
      </w:pPr>
    </w:p>
    <w:p w:rsidR="0079293F" w:rsidRDefault="0079293F" w:rsidP="00974491">
      <w:pPr>
        <w:rPr>
          <w:rFonts w:ascii="Cambria" w:hAnsi="Cambria" w:cs="Calibri"/>
          <w:sz w:val="20"/>
          <w:szCs w:val="20"/>
          <w:lang w:val="es-ES"/>
        </w:rPr>
      </w:pPr>
    </w:p>
    <w:p w:rsidR="007237C7" w:rsidRDefault="007237C7">
      <w:pPr>
        <w:rPr>
          <w:rFonts w:ascii="Cambria" w:hAnsi="Cambria" w:cs="Calibri"/>
          <w:b/>
          <w:sz w:val="20"/>
          <w:szCs w:val="20"/>
          <w:lang w:val="es-ES"/>
        </w:rPr>
      </w:pPr>
      <w:r>
        <w:rPr>
          <w:rFonts w:ascii="Cambria" w:hAnsi="Cambria" w:cs="Calibri"/>
          <w:b/>
          <w:sz w:val="20"/>
          <w:szCs w:val="20"/>
          <w:lang w:val="es-ES"/>
        </w:rPr>
        <w:br w:type="page"/>
      </w:r>
    </w:p>
    <w:p w:rsidR="00E374D6" w:rsidRDefault="00E374D6" w:rsidP="00E374D6">
      <w:pPr>
        <w:jc w:val="center"/>
        <w:rPr>
          <w:rFonts w:ascii="Cambria" w:hAnsi="Cambria" w:cs="Calibri"/>
          <w:b/>
          <w:sz w:val="20"/>
          <w:szCs w:val="20"/>
          <w:lang w:val="es-ES"/>
        </w:rPr>
      </w:pPr>
      <w:r>
        <w:rPr>
          <w:rFonts w:ascii="Cambria" w:hAnsi="Cambria" w:cs="Calibri"/>
          <w:b/>
          <w:sz w:val="20"/>
          <w:szCs w:val="20"/>
          <w:lang w:val="es-ES"/>
        </w:rPr>
        <w:lastRenderedPageBreak/>
        <w:t>Anexo 1</w:t>
      </w:r>
    </w:p>
    <w:p w:rsidR="0079293F" w:rsidRPr="00E374D6" w:rsidRDefault="0079293F" w:rsidP="00E374D6">
      <w:pPr>
        <w:jc w:val="center"/>
        <w:rPr>
          <w:rFonts w:ascii="Cambria" w:hAnsi="Cambria" w:cs="Calibri"/>
          <w:b/>
          <w:sz w:val="20"/>
          <w:szCs w:val="20"/>
          <w:lang w:val="es-ES"/>
        </w:rPr>
      </w:pPr>
      <w:r w:rsidRPr="00E374D6">
        <w:rPr>
          <w:rFonts w:ascii="Cambria" w:hAnsi="Cambria" w:cs="Calibri"/>
          <w:b/>
          <w:sz w:val="20"/>
          <w:szCs w:val="20"/>
          <w:lang w:val="es-ES"/>
        </w:rPr>
        <w:t>Listado de presuntas víctimas</w:t>
      </w:r>
    </w:p>
    <w:p w:rsidR="00311025" w:rsidRDefault="00311025" w:rsidP="00974491">
      <w:pPr>
        <w:rPr>
          <w:rFonts w:ascii="Cambria" w:hAnsi="Cambria" w:cs="Calibri"/>
          <w:sz w:val="20"/>
          <w:szCs w:val="20"/>
          <w:lang w:val="es-ES"/>
        </w:rPr>
      </w:pPr>
    </w:p>
    <w:p w:rsidR="00311025" w:rsidRDefault="00311025" w:rsidP="00974491">
      <w:pPr>
        <w:rPr>
          <w:rFonts w:ascii="Cambria" w:hAnsi="Cambria" w:cs="Calibri"/>
          <w:sz w:val="20"/>
          <w:szCs w:val="20"/>
          <w:lang w:val="es-ES"/>
        </w:rPr>
      </w:pPr>
    </w:p>
    <w:p w:rsidR="00E374D6" w:rsidRPr="00E374D6" w:rsidRDefault="00E374D6" w:rsidP="00974491">
      <w:pPr>
        <w:rPr>
          <w:rFonts w:ascii="Cambria" w:hAnsi="Cambria" w:cs="Calibri"/>
          <w:b/>
          <w:sz w:val="20"/>
          <w:szCs w:val="20"/>
          <w:lang w:val="es-ES"/>
        </w:rPr>
      </w:pPr>
      <w:r w:rsidRPr="00E374D6">
        <w:rPr>
          <w:rFonts w:ascii="Cambria" w:hAnsi="Cambria" w:cs="Calibri"/>
          <w:b/>
          <w:sz w:val="20"/>
          <w:szCs w:val="20"/>
          <w:lang w:val="es-ES"/>
        </w:rPr>
        <w:t>Presuntas víctimas fallecidas</w:t>
      </w:r>
    </w:p>
    <w:p w:rsidR="0079293F" w:rsidRDefault="0079293F" w:rsidP="00974491">
      <w:pPr>
        <w:rPr>
          <w:rFonts w:ascii="Cambria" w:hAnsi="Cambria" w:cs="Calibri"/>
          <w:sz w:val="20"/>
          <w:szCs w:val="20"/>
          <w:lang w:val="es-ES"/>
        </w:rPr>
      </w:pPr>
    </w:p>
    <w:p w:rsidR="0079293F" w:rsidRPr="00E3130A" w:rsidRDefault="0079293F" w:rsidP="0079293F">
      <w:pPr>
        <w:pStyle w:val="ListParagraph"/>
        <w:numPr>
          <w:ilvl w:val="0"/>
          <w:numId w:val="110"/>
        </w:numPr>
        <w:rPr>
          <w:rFonts w:cs="Calibri"/>
          <w:color w:val="auto"/>
          <w:sz w:val="20"/>
          <w:szCs w:val="20"/>
          <w:lang w:val="es-ES"/>
        </w:rPr>
      </w:pPr>
      <w:r w:rsidRPr="00E3130A">
        <w:rPr>
          <w:color w:val="auto"/>
          <w:sz w:val="20"/>
          <w:szCs w:val="20"/>
          <w:lang w:val="es-ES"/>
        </w:rPr>
        <w:t xml:space="preserve">Ramón García Orozco </w:t>
      </w:r>
    </w:p>
    <w:p w:rsidR="0079293F" w:rsidRPr="00E3130A" w:rsidRDefault="0079293F" w:rsidP="0079293F">
      <w:pPr>
        <w:pStyle w:val="ListParagraph"/>
        <w:numPr>
          <w:ilvl w:val="0"/>
          <w:numId w:val="110"/>
        </w:numPr>
        <w:rPr>
          <w:rFonts w:cs="Calibri"/>
          <w:color w:val="auto"/>
          <w:sz w:val="20"/>
          <w:szCs w:val="20"/>
          <w:lang w:val="es-ES"/>
        </w:rPr>
      </w:pPr>
      <w:r w:rsidRPr="00E3130A">
        <w:rPr>
          <w:color w:val="auto"/>
          <w:sz w:val="20"/>
          <w:szCs w:val="20"/>
          <w:lang w:val="es-ES"/>
        </w:rPr>
        <w:t>Eliecer de la Cruz</w:t>
      </w:r>
    </w:p>
    <w:p w:rsidR="0079293F" w:rsidRPr="00E3130A" w:rsidRDefault="0079293F" w:rsidP="0079293F">
      <w:pPr>
        <w:pStyle w:val="ListParagraph"/>
        <w:numPr>
          <w:ilvl w:val="0"/>
          <w:numId w:val="110"/>
        </w:numPr>
        <w:rPr>
          <w:rFonts w:cs="Calibri"/>
          <w:color w:val="auto"/>
          <w:sz w:val="20"/>
          <w:szCs w:val="20"/>
          <w:lang w:val="es-ES"/>
        </w:rPr>
      </w:pPr>
      <w:r w:rsidRPr="00E3130A">
        <w:rPr>
          <w:color w:val="auto"/>
          <w:sz w:val="20"/>
          <w:szCs w:val="20"/>
          <w:lang w:val="es-ES"/>
        </w:rPr>
        <w:t>Andrés Alberto Polo Villa</w:t>
      </w:r>
    </w:p>
    <w:p w:rsidR="00F13316" w:rsidRPr="00E3130A" w:rsidRDefault="00F13316" w:rsidP="00F13316">
      <w:pPr>
        <w:pStyle w:val="ListParagraph"/>
        <w:numPr>
          <w:ilvl w:val="0"/>
          <w:numId w:val="110"/>
        </w:numPr>
        <w:rPr>
          <w:rFonts w:cs="Calibri"/>
          <w:color w:val="auto"/>
          <w:sz w:val="20"/>
          <w:szCs w:val="20"/>
          <w:lang w:val="es-ES"/>
        </w:rPr>
      </w:pPr>
      <w:r w:rsidRPr="00E3130A">
        <w:rPr>
          <w:color w:val="auto"/>
          <w:sz w:val="20"/>
          <w:szCs w:val="20"/>
          <w:lang w:val="es-ES"/>
        </w:rPr>
        <w:t>Orlando Polo Villa</w:t>
      </w:r>
    </w:p>
    <w:p w:rsidR="0079293F" w:rsidRPr="00E3130A" w:rsidRDefault="0079293F" w:rsidP="0079293F">
      <w:pPr>
        <w:pStyle w:val="ListParagraph"/>
        <w:numPr>
          <w:ilvl w:val="0"/>
          <w:numId w:val="110"/>
        </w:numPr>
        <w:rPr>
          <w:rFonts w:cs="Calibri"/>
          <w:color w:val="auto"/>
          <w:sz w:val="20"/>
          <w:szCs w:val="20"/>
          <w:lang w:val="es-ES"/>
        </w:rPr>
      </w:pPr>
      <w:proofErr w:type="spellStart"/>
      <w:r w:rsidRPr="00E3130A">
        <w:rPr>
          <w:color w:val="auto"/>
          <w:sz w:val="20"/>
          <w:szCs w:val="20"/>
          <w:lang w:val="es-ES"/>
        </w:rPr>
        <w:t>Lascario</w:t>
      </w:r>
      <w:proofErr w:type="spellEnd"/>
      <w:r w:rsidRPr="00E3130A">
        <w:rPr>
          <w:color w:val="auto"/>
          <w:sz w:val="20"/>
          <w:szCs w:val="20"/>
          <w:lang w:val="es-ES"/>
        </w:rPr>
        <w:t xml:space="preserve"> Miguel</w:t>
      </w:r>
      <w:r w:rsidR="004F0424" w:rsidRPr="00E3130A">
        <w:rPr>
          <w:color w:val="auto"/>
          <w:sz w:val="20"/>
          <w:szCs w:val="20"/>
          <w:lang w:val="es-ES"/>
        </w:rPr>
        <w:t xml:space="preserve"> de la Hoz Pabón</w:t>
      </w:r>
    </w:p>
    <w:p w:rsidR="0079293F" w:rsidRPr="00E3130A" w:rsidRDefault="002C7A3F" w:rsidP="0079293F">
      <w:pPr>
        <w:pStyle w:val="ListParagraph"/>
        <w:numPr>
          <w:ilvl w:val="0"/>
          <w:numId w:val="110"/>
        </w:numPr>
        <w:rPr>
          <w:rFonts w:cs="Calibri"/>
          <w:color w:val="auto"/>
          <w:sz w:val="20"/>
          <w:szCs w:val="20"/>
          <w:lang w:val="es-ES"/>
        </w:rPr>
      </w:pPr>
      <w:r w:rsidRPr="00E3130A">
        <w:rPr>
          <w:color w:val="auto"/>
          <w:sz w:val="20"/>
          <w:szCs w:val="20"/>
          <w:lang w:val="es-ES"/>
        </w:rPr>
        <w:t>Edgardo</w:t>
      </w:r>
      <w:r w:rsidR="00132B5C" w:rsidRPr="00E3130A">
        <w:rPr>
          <w:color w:val="auto"/>
          <w:sz w:val="20"/>
          <w:szCs w:val="20"/>
          <w:lang w:val="es-ES"/>
        </w:rPr>
        <w:t xml:space="preserve"> Rafael</w:t>
      </w:r>
      <w:r w:rsidRPr="00E3130A">
        <w:rPr>
          <w:color w:val="auto"/>
          <w:sz w:val="20"/>
          <w:szCs w:val="20"/>
          <w:lang w:val="es-ES"/>
        </w:rPr>
        <w:t xml:space="preserve"> de l</w:t>
      </w:r>
      <w:r w:rsidR="0079293F" w:rsidRPr="00E3130A">
        <w:rPr>
          <w:color w:val="auto"/>
          <w:sz w:val="20"/>
          <w:szCs w:val="20"/>
          <w:lang w:val="es-ES"/>
        </w:rPr>
        <w:t>a Hoz Pabón</w:t>
      </w:r>
    </w:p>
    <w:p w:rsidR="004F0424" w:rsidRPr="00E3130A" w:rsidRDefault="004F0424" w:rsidP="004F0424">
      <w:pPr>
        <w:pStyle w:val="ListParagraph"/>
        <w:numPr>
          <w:ilvl w:val="0"/>
          <w:numId w:val="110"/>
        </w:numPr>
        <w:rPr>
          <w:rFonts w:cs="Calibri"/>
          <w:color w:val="auto"/>
          <w:sz w:val="20"/>
          <w:szCs w:val="20"/>
          <w:lang w:val="es-ES"/>
        </w:rPr>
      </w:pPr>
      <w:r w:rsidRPr="00E3130A">
        <w:rPr>
          <w:color w:val="auto"/>
          <w:sz w:val="20"/>
          <w:szCs w:val="20"/>
          <w:lang w:val="es-ES"/>
        </w:rPr>
        <w:t>Luis Alberto de la Hoz Pabón</w:t>
      </w:r>
    </w:p>
    <w:p w:rsidR="002C7A3F" w:rsidRPr="00E3130A" w:rsidRDefault="0079293F" w:rsidP="002C7A3F">
      <w:pPr>
        <w:pStyle w:val="ListParagraph"/>
        <w:numPr>
          <w:ilvl w:val="0"/>
          <w:numId w:val="110"/>
        </w:numPr>
        <w:rPr>
          <w:rFonts w:cs="Calibri"/>
          <w:color w:val="auto"/>
          <w:sz w:val="20"/>
          <w:szCs w:val="20"/>
          <w:lang w:val="es-ES"/>
        </w:rPr>
      </w:pPr>
      <w:r w:rsidRPr="00E3130A">
        <w:rPr>
          <w:color w:val="auto"/>
          <w:sz w:val="20"/>
          <w:szCs w:val="20"/>
          <w:lang w:val="es-ES"/>
        </w:rPr>
        <w:t xml:space="preserve">Diomedes </w:t>
      </w:r>
      <w:r w:rsidR="002C7A3F" w:rsidRPr="00E3130A">
        <w:rPr>
          <w:color w:val="auto"/>
          <w:sz w:val="20"/>
          <w:szCs w:val="20"/>
          <w:lang w:val="es-ES"/>
        </w:rPr>
        <w:t>José Barrios Mozo</w:t>
      </w:r>
    </w:p>
    <w:p w:rsidR="002C7A3F" w:rsidRPr="00E3130A" w:rsidRDefault="002C7A3F" w:rsidP="002C7A3F">
      <w:pPr>
        <w:pStyle w:val="ListParagraph"/>
        <w:numPr>
          <w:ilvl w:val="0"/>
          <w:numId w:val="110"/>
        </w:numPr>
        <w:rPr>
          <w:rFonts w:cs="Calibri"/>
          <w:color w:val="auto"/>
          <w:sz w:val="20"/>
          <w:szCs w:val="20"/>
          <w:lang w:val="es-ES"/>
        </w:rPr>
      </w:pPr>
      <w:proofErr w:type="spellStart"/>
      <w:r w:rsidRPr="00E3130A">
        <w:rPr>
          <w:color w:val="auto"/>
          <w:sz w:val="20"/>
          <w:szCs w:val="20"/>
          <w:lang w:val="es-ES"/>
        </w:rPr>
        <w:t>Ubaldino</w:t>
      </w:r>
      <w:proofErr w:type="spellEnd"/>
      <w:r w:rsidRPr="00E3130A">
        <w:rPr>
          <w:color w:val="auto"/>
          <w:sz w:val="20"/>
          <w:szCs w:val="20"/>
          <w:lang w:val="es-ES"/>
        </w:rPr>
        <w:t xml:space="preserve"> Ospina Carranza</w:t>
      </w:r>
    </w:p>
    <w:p w:rsidR="002C7A3F" w:rsidRPr="00E3130A" w:rsidRDefault="00132B5C" w:rsidP="002C7A3F">
      <w:pPr>
        <w:pStyle w:val="ListParagraph"/>
        <w:numPr>
          <w:ilvl w:val="0"/>
          <w:numId w:val="110"/>
        </w:numPr>
        <w:rPr>
          <w:rFonts w:cs="Calibri"/>
          <w:color w:val="auto"/>
          <w:sz w:val="20"/>
          <w:szCs w:val="20"/>
          <w:lang w:val="es-ES"/>
        </w:rPr>
      </w:pPr>
      <w:proofErr w:type="spellStart"/>
      <w:r w:rsidRPr="00E3130A">
        <w:rPr>
          <w:color w:val="auto"/>
          <w:sz w:val="20"/>
          <w:szCs w:val="20"/>
          <w:lang w:val="es-ES"/>
        </w:rPr>
        <w:t>Hi</w:t>
      </w:r>
      <w:r w:rsidR="002C7A3F" w:rsidRPr="00E3130A">
        <w:rPr>
          <w:color w:val="auto"/>
          <w:sz w:val="20"/>
          <w:szCs w:val="20"/>
          <w:lang w:val="es-ES"/>
        </w:rPr>
        <w:t>dal</w:t>
      </w:r>
      <w:proofErr w:type="spellEnd"/>
      <w:r w:rsidR="002C7A3F" w:rsidRPr="00E3130A">
        <w:rPr>
          <w:color w:val="auto"/>
          <w:sz w:val="20"/>
          <w:szCs w:val="20"/>
          <w:lang w:val="es-ES"/>
        </w:rPr>
        <w:t xml:space="preserve"> Antonio Arévalo Gonzalez</w:t>
      </w:r>
    </w:p>
    <w:p w:rsidR="002C7A3F" w:rsidRPr="00E3130A" w:rsidRDefault="002C7A3F" w:rsidP="002C7A3F">
      <w:pPr>
        <w:pStyle w:val="ListParagraph"/>
        <w:numPr>
          <w:ilvl w:val="0"/>
          <w:numId w:val="110"/>
        </w:numPr>
        <w:rPr>
          <w:rFonts w:cs="Calibri"/>
          <w:color w:val="auto"/>
          <w:sz w:val="20"/>
          <w:szCs w:val="20"/>
          <w:lang w:val="es-ES"/>
        </w:rPr>
      </w:pPr>
      <w:r w:rsidRPr="00E3130A">
        <w:rPr>
          <w:color w:val="auto"/>
          <w:sz w:val="20"/>
          <w:szCs w:val="20"/>
          <w:lang w:val="es-ES"/>
        </w:rPr>
        <w:t>Carmen Elena Ruda</w:t>
      </w:r>
      <w:r w:rsidR="00FB2471" w:rsidRPr="00E3130A">
        <w:rPr>
          <w:color w:val="auto"/>
          <w:sz w:val="20"/>
          <w:szCs w:val="20"/>
          <w:lang w:val="es-ES"/>
        </w:rPr>
        <w:t>s</w:t>
      </w:r>
      <w:r w:rsidRPr="00E3130A">
        <w:rPr>
          <w:color w:val="auto"/>
          <w:sz w:val="20"/>
          <w:szCs w:val="20"/>
          <w:lang w:val="es-ES"/>
        </w:rPr>
        <w:t xml:space="preserve"> Cantillo</w:t>
      </w:r>
    </w:p>
    <w:p w:rsidR="002C7A3F" w:rsidRPr="00E3130A" w:rsidRDefault="002C7A3F" w:rsidP="002C7A3F">
      <w:pPr>
        <w:pStyle w:val="ListParagraph"/>
        <w:numPr>
          <w:ilvl w:val="0"/>
          <w:numId w:val="110"/>
        </w:numPr>
        <w:rPr>
          <w:rFonts w:cs="Calibri"/>
          <w:color w:val="auto"/>
          <w:sz w:val="20"/>
          <w:szCs w:val="20"/>
          <w:lang w:val="es-ES"/>
        </w:rPr>
      </w:pPr>
      <w:r w:rsidRPr="00E3130A">
        <w:rPr>
          <w:color w:val="auto"/>
          <w:sz w:val="20"/>
          <w:szCs w:val="20"/>
          <w:lang w:val="es-ES"/>
        </w:rPr>
        <w:t>Ángel Cantillo Moya</w:t>
      </w:r>
    </w:p>
    <w:p w:rsidR="002C7A3F" w:rsidRPr="00E3130A" w:rsidRDefault="002C7A3F" w:rsidP="002C7A3F">
      <w:pPr>
        <w:pStyle w:val="ListParagraph"/>
        <w:numPr>
          <w:ilvl w:val="0"/>
          <w:numId w:val="110"/>
        </w:numPr>
        <w:rPr>
          <w:rFonts w:cs="Calibri"/>
          <w:color w:val="auto"/>
          <w:sz w:val="20"/>
          <w:szCs w:val="20"/>
          <w:lang w:val="es-ES"/>
        </w:rPr>
      </w:pPr>
      <w:r w:rsidRPr="00E3130A">
        <w:rPr>
          <w:color w:val="auto"/>
          <w:sz w:val="20"/>
          <w:szCs w:val="20"/>
          <w:lang w:val="es-ES"/>
        </w:rPr>
        <w:t xml:space="preserve">Álvaro de la Cruz Monzón </w:t>
      </w:r>
    </w:p>
    <w:p w:rsidR="002C7A3F" w:rsidRPr="00E3130A" w:rsidRDefault="002C7A3F" w:rsidP="002C7A3F">
      <w:pPr>
        <w:pStyle w:val="ListParagraph"/>
        <w:numPr>
          <w:ilvl w:val="0"/>
          <w:numId w:val="110"/>
        </w:numPr>
        <w:rPr>
          <w:rFonts w:cs="Calibri"/>
          <w:color w:val="auto"/>
          <w:sz w:val="20"/>
          <w:szCs w:val="20"/>
          <w:lang w:val="es-ES"/>
        </w:rPr>
      </w:pPr>
      <w:r w:rsidRPr="00E3130A">
        <w:rPr>
          <w:color w:val="auto"/>
          <w:sz w:val="20"/>
          <w:szCs w:val="20"/>
          <w:lang w:val="es-ES"/>
        </w:rPr>
        <w:t>Humberto Rafael Romo Barrios</w:t>
      </w:r>
    </w:p>
    <w:p w:rsidR="002C7A3F" w:rsidRPr="00E3130A" w:rsidRDefault="002C7A3F" w:rsidP="002C7A3F">
      <w:pPr>
        <w:pStyle w:val="ListParagraph"/>
        <w:numPr>
          <w:ilvl w:val="0"/>
          <w:numId w:val="110"/>
        </w:numPr>
        <w:rPr>
          <w:rFonts w:cs="Calibri"/>
          <w:color w:val="auto"/>
          <w:sz w:val="20"/>
          <w:szCs w:val="20"/>
          <w:lang w:val="es-ES"/>
        </w:rPr>
      </w:pPr>
      <w:r w:rsidRPr="00E3130A">
        <w:rPr>
          <w:color w:val="auto"/>
          <w:sz w:val="20"/>
          <w:szCs w:val="20"/>
          <w:lang w:val="es-ES"/>
        </w:rPr>
        <w:t xml:space="preserve">Julio César Mozo Ortiz </w:t>
      </w:r>
    </w:p>
    <w:p w:rsidR="002C7A3F" w:rsidRPr="00E3130A" w:rsidRDefault="002C7A3F" w:rsidP="002C7A3F">
      <w:pPr>
        <w:pStyle w:val="ListParagraph"/>
        <w:numPr>
          <w:ilvl w:val="0"/>
          <w:numId w:val="110"/>
        </w:numPr>
        <w:rPr>
          <w:rFonts w:cs="Calibri"/>
          <w:color w:val="auto"/>
          <w:sz w:val="20"/>
          <w:szCs w:val="20"/>
          <w:lang w:val="es-ES"/>
        </w:rPr>
      </w:pPr>
      <w:r w:rsidRPr="00E3130A">
        <w:rPr>
          <w:color w:val="auto"/>
          <w:sz w:val="20"/>
          <w:szCs w:val="20"/>
          <w:lang w:val="es-ES"/>
        </w:rPr>
        <w:t xml:space="preserve">José Agustín </w:t>
      </w:r>
      <w:proofErr w:type="spellStart"/>
      <w:r w:rsidRPr="00E3130A">
        <w:rPr>
          <w:color w:val="auto"/>
          <w:sz w:val="20"/>
          <w:szCs w:val="20"/>
          <w:lang w:val="es-ES"/>
        </w:rPr>
        <w:t>Palacin</w:t>
      </w:r>
      <w:proofErr w:type="spellEnd"/>
      <w:r w:rsidRPr="00E3130A">
        <w:rPr>
          <w:color w:val="auto"/>
          <w:sz w:val="20"/>
          <w:szCs w:val="20"/>
          <w:lang w:val="es-ES"/>
        </w:rPr>
        <w:t xml:space="preserve"> Mendoza</w:t>
      </w:r>
    </w:p>
    <w:p w:rsidR="002C7A3F" w:rsidRPr="00E3130A" w:rsidRDefault="002C7A3F" w:rsidP="002C7A3F">
      <w:pPr>
        <w:pStyle w:val="ListParagraph"/>
        <w:numPr>
          <w:ilvl w:val="0"/>
          <w:numId w:val="110"/>
        </w:numPr>
        <w:rPr>
          <w:rFonts w:cs="Calibri"/>
          <w:color w:val="auto"/>
          <w:sz w:val="20"/>
          <w:szCs w:val="20"/>
          <w:lang w:val="es-ES"/>
        </w:rPr>
      </w:pPr>
      <w:r w:rsidRPr="00E3130A">
        <w:rPr>
          <w:color w:val="auto"/>
          <w:sz w:val="20"/>
          <w:szCs w:val="20"/>
          <w:lang w:val="es-ES"/>
        </w:rPr>
        <w:t>Luis José Bocanegra Barrios</w:t>
      </w:r>
    </w:p>
    <w:p w:rsidR="00F13316" w:rsidRPr="00E3130A" w:rsidRDefault="00F13316" w:rsidP="00F13316">
      <w:pPr>
        <w:pStyle w:val="ListParagraph"/>
        <w:numPr>
          <w:ilvl w:val="0"/>
          <w:numId w:val="110"/>
        </w:numPr>
        <w:rPr>
          <w:rFonts w:cs="Calibri"/>
          <w:color w:val="auto"/>
          <w:sz w:val="20"/>
          <w:szCs w:val="20"/>
          <w:lang w:val="es-ES"/>
        </w:rPr>
      </w:pPr>
      <w:r w:rsidRPr="00E3130A">
        <w:rPr>
          <w:color w:val="auto"/>
          <w:sz w:val="20"/>
          <w:szCs w:val="20"/>
          <w:lang w:val="es-ES"/>
        </w:rPr>
        <w:t>Eduardo Rafael Bocanegra Barrios</w:t>
      </w:r>
    </w:p>
    <w:p w:rsidR="002C7A3F" w:rsidRPr="00E3130A" w:rsidRDefault="002C7A3F" w:rsidP="002C7A3F">
      <w:pPr>
        <w:pStyle w:val="ListParagraph"/>
        <w:numPr>
          <w:ilvl w:val="0"/>
          <w:numId w:val="110"/>
        </w:numPr>
        <w:rPr>
          <w:rFonts w:cs="Calibri"/>
          <w:color w:val="auto"/>
          <w:sz w:val="20"/>
          <w:szCs w:val="20"/>
          <w:lang w:val="es-ES"/>
        </w:rPr>
      </w:pPr>
      <w:r w:rsidRPr="00E3130A">
        <w:rPr>
          <w:color w:val="auto"/>
          <w:sz w:val="20"/>
          <w:szCs w:val="20"/>
          <w:lang w:val="es-ES"/>
        </w:rPr>
        <w:t xml:space="preserve">Manuel Antonio Villa </w:t>
      </w:r>
      <w:r w:rsidR="004F0424" w:rsidRPr="00E3130A">
        <w:rPr>
          <w:color w:val="auto"/>
          <w:sz w:val="20"/>
          <w:szCs w:val="20"/>
          <w:lang w:val="es-ES"/>
        </w:rPr>
        <w:t>García</w:t>
      </w:r>
    </w:p>
    <w:p w:rsidR="002C7A3F" w:rsidRPr="00E3130A" w:rsidRDefault="002C7A3F" w:rsidP="002C7A3F">
      <w:pPr>
        <w:pStyle w:val="ListParagraph"/>
        <w:numPr>
          <w:ilvl w:val="0"/>
          <w:numId w:val="110"/>
        </w:numPr>
        <w:rPr>
          <w:rFonts w:cs="Calibri"/>
          <w:color w:val="auto"/>
          <w:sz w:val="20"/>
          <w:szCs w:val="20"/>
          <w:lang w:val="pt-BR"/>
        </w:rPr>
      </w:pPr>
      <w:r w:rsidRPr="00E3130A">
        <w:rPr>
          <w:color w:val="auto"/>
          <w:sz w:val="20"/>
          <w:szCs w:val="20"/>
          <w:lang w:val="pt-BR"/>
        </w:rPr>
        <w:t xml:space="preserve">Luis Alberto Camacho de Ávila </w:t>
      </w:r>
    </w:p>
    <w:p w:rsidR="002C7A3F" w:rsidRPr="00E3130A" w:rsidRDefault="002C7A3F" w:rsidP="00F13316">
      <w:pPr>
        <w:pStyle w:val="ListParagraph"/>
        <w:numPr>
          <w:ilvl w:val="0"/>
          <w:numId w:val="110"/>
        </w:numPr>
        <w:rPr>
          <w:rFonts w:cs="Calibri"/>
          <w:color w:val="auto"/>
          <w:sz w:val="20"/>
          <w:szCs w:val="20"/>
          <w:lang w:val="es-ES"/>
        </w:rPr>
      </w:pPr>
      <w:r w:rsidRPr="00E3130A">
        <w:rPr>
          <w:color w:val="auto"/>
          <w:sz w:val="20"/>
          <w:szCs w:val="20"/>
          <w:lang w:val="es-ES"/>
        </w:rPr>
        <w:t>José Antonio Ar</w:t>
      </w:r>
      <w:r w:rsidR="00F13316" w:rsidRPr="00E3130A">
        <w:rPr>
          <w:color w:val="auto"/>
          <w:sz w:val="20"/>
          <w:szCs w:val="20"/>
          <w:lang w:val="es-ES"/>
        </w:rPr>
        <w:t>é</w:t>
      </w:r>
      <w:r w:rsidRPr="00E3130A">
        <w:rPr>
          <w:color w:val="auto"/>
          <w:sz w:val="20"/>
          <w:szCs w:val="20"/>
          <w:lang w:val="es-ES"/>
        </w:rPr>
        <w:t xml:space="preserve">valo </w:t>
      </w:r>
      <w:proofErr w:type="spellStart"/>
      <w:r w:rsidRPr="00E3130A">
        <w:rPr>
          <w:color w:val="auto"/>
          <w:sz w:val="20"/>
          <w:szCs w:val="20"/>
          <w:lang w:val="es-ES"/>
        </w:rPr>
        <w:t>Aldanada</w:t>
      </w:r>
      <w:proofErr w:type="spellEnd"/>
    </w:p>
    <w:p w:rsidR="00F13316" w:rsidRPr="00E3130A" w:rsidRDefault="00F13316" w:rsidP="00F13316">
      <w:pPr>
        <w:pStyle w:val="ListParagraph"/>
        <w:numPr>
          <w:ilvl w:val="0"/>
          <w:numId w:val="110"/>
        </w:numPr>
        <w:rPr>
          <w:rFonts w:cs="Calibri"/>
          <w:color w:val="auto"/>
          <w:sz w:val="20"/>
          <w:szCs w:val="20"/>
          <w:lang w:val="es-ES"/>
        </w:rPr>
      </w:pPr>
      <w:r w:rsidRPr="00E3130A">
        <w:rPr>
          <w:color w:val="auto"/>
          <w:sz w:val="20"/>
          <w:szCs w:val="20"/>
          <w:lang w:val="es-ES"/>
        </w:rPr>
        <w:t>Julio César Pab</w:t>
      </w:r>
      <w:r w:rsidR="0005111F" w:rsidRPr="00E3130A">
        <w:rPr>
          <w:color w:val="auto"/>
          <w:sz w:val="20"/>
          <w:szCs w:val="20"/>
          <w:lang w:val="es-ES"/>
        </w:rPr>
        <w:t>ó</w:t>
      </w:r>
      <w:r w:rsidRPr="00E3130A">
        <w:rPr>
          <w:color w:val="auto"/>
          <w:sz w:val="20"/>
          <w:szCs w:val="20"/>
          <w:lang w:val="es-ES"/>
        </w:rPr>
        <w:t>n Miranda</w:t>
      </w:r>
    </w:p>
    <w:p w:rsidR="00F13316" w:rsidRPr="00E3130A" w:rsidRDefault="00F13316" w:rsidP="00F13316">
      <w:pPr>
        <w:pStyle w:val="ListParagraph"/>
        <w:numPr>
          <w:ilvl w:val="0"/>
          <w:numId w:val="110"/>
        </w:numPr>
        <w:rPr>
          <w:rFonts w:cs="Calibri"/>
          <w:color w:val="auto"/>
          <w:sz w:val="20"/>
          <w:szCs w:val="20"/>
          <w:lang w:val="es-ES"/>
        </w:rPr>
      </w:pPr>
      <w:r w:rsidRPr="00E3130A">
        <w:rPr>
          <w:color w:val="auto"/>
          <w:sz w:val="20"/>
          <w:szCs w:val="20"/>
          <w:lang w:val="es-ES"/>
        </w:rPr>
        <w:t xml:space="preserve">José Calvo González </w:t>
      </w:r>
    </w:p>
    <w:p w:rsidR="0005111F" w:rsidRPr="00E3130A" w:rsidRDefault="0005111F" w:rsidP="00F13316">
      <w:pPr>
        <w:pStyle w:val="ListParagraph"/>
        <w:numPr>
          <w:ilvl w:val="0"/>
          <w:numId w:val="110"/>
        </w:numPr>
        <w:rPr>
          <w:rFonts w:cs="Calibri"/>
          <w:color w:val="auto"/>
          <w:sz w:val="20"/>
          <w:szCs w:val="20"/>
          <w:lang w:val="es-ES"/>
        </w:rPr>
      </w:pPr>
      <w:r w:rsidRPr="00E3130A">
        <w:rPr>
          <w:color w:val="auto"/>
          <w:sz w:val="20"/>
          <w:szCs w:val="20"/>
          <w:lang w:val="es-ES"/>
        </w:rPr>
        <w:t xml:space="preserve">Yolanda </w:t>
      </w:r>
      <w:proofErr w:type="spellStart"/>
      <w:r w:rsidRPr="00E3130A">
        <w:rPr>
          <w:color w:val="auto"/>
          <w:sz w:val="20"/>
          <w:szCs w:val="20"/>
          <w:lang w:val="es-ES"/>
        </w:rPr>
        <w:t>Palacin</w:t>
      </w:r>
      <w:proofErr w:type="spellEnd"/>
    </w:p>
    <w:p w:rsidR="00F575FD" w:rsidRPr="00E3130A" w:rsidRDefault="00F575FD" w:rsidP="00F13316">
      <w:pPr>
        <w:pStyle w:val="ListParagraph"/>
        <w:numPr>
          <w:ilvl w:val="0"/>
          <w:numId w:val="110"/>
        </w:numPr>
        <w:rPr>
          <w:rFonts w:cs="Calibri"/>
          <w:color w:val="auto"/>
          <w:sz w:val="20"/>
          <w:szCs w:val="20"/>
          <w:lang w:val="es-ES"/>
        </w:rPr>
      </w:pPr>
      <w:r w:rsidRPr="00E3130A">
        <w:rPr>
          <w:color w:val="auto"/>
          <w:sz w:val="20"/>
          <w:szCs w:val="20"/>
          <w:lang w:val="es-ES"/>
        </w:rPr>
        <w:t>Humberto Enrique Cervantes Mozo</w:t>
      </w:r>
    </w:p>
    <w:p w:rsidR="0005111F" w:rsidRPr="00E3130A" w:rsidRDefault="0005111F" w:rsidP="00F13316">
      <w:pPr>
        <w:pStyle w:val="ListParagraph"/>
        <w:numPr>
          <w:ilvl w:val="0"/>
          <w:numId w:val="110"/>
        </w:numPr>
        <w:rPr>
          <w:rFonts w:cs="Calibri"/>
          <w:color w:val="auto"/>
          <w:sz w:val="20"/>
          <w:szCs w:val="20"/>
          <w:lang w:val="es-ES"/>
        </w:rPr>
      </w:pPr>
      <w:r w:rsidRPr="00E3130A">
        <w:rPr>
          <w:color w:val="auto"/>
          <w:sz w:val="20"/>
          <w:szCs w:val="20"/>
          <w:lang w:val="es-ES"/>
        </w:rPr>
        <w:t>Hansel Rafael Rodríguez Carpio</w:t>
      </w:r>
    </w:p>
    <w:p w:rsidR="0005111F" w:rsidRPr="00E3130A" w:rsidRDefault="0005111F" w:rsidP="00F13316">
      <w:pPr>
        <w:pStyle w:val="ListParagraph"/>
        <w:numPr>
          <w:ilvl w:val="0"/>
          <w:numId w:val="110"/>
        </w:numPr>
        <w:rPr>
          <w:rFonts w:asciiTheme="majorHAnsi" w:hAnsiTheme="majorHAnsi" w:cs="Calibri"/>
          <w:color w:val="auto"/>
          <w:sz w:val="20"/>
          <w:szCs w:val="20"/>
          <w:lang w:val="es-ES"/>
        </w:rPr>
      </w:pPr>
      <w:r w:rsidRPr="00E3130A">
        <w:rPr>
          <w:rFonts w:asciiTheme="majorHAnsi" w:hAnsiTheme="majorHAnsi"/>
          <w:color w:val="auto"/>
          <w:sz w:val="20"/>
          <w:szCs w:val="20"/>
          <w:lang w:val="es-ES"/>
        </w:rPr>
        <w:t>Jaime Alberto Rojano Lozano</w:t>
      </w:r>
    </w:p>
    <w:p w:rsidR="0005111F" w:rsidRPr="00E3130A" w:rsidRDefault="0005111F" w:rsidP="00F13316">
      <w:pPr>
        <w:pStyle w:val="ListParagraph"/>
        <w:numPr>
          <w:ilvl w:val="0"/>
          <w:numId w:val="110"/>
        </w:numPr>
        <w:rPr>
          <w:rFonts w:asciiTheme="majorHAnsi" w:hAnsiTheme="majorHAnsi" w:cs="Calibri"/>
          <w:color w:val="auto"/>
          <w:sz w:val="20"/>
          <w:szCs w:val="20"/>
          <w:lang w:val="es-ES"/>
        </w:rPr>
      </w:pPr>
      <w:r w:rsidRPr="00E3130A">
        <w:rPr>
          <w:rFonts w:asciiTheme="majorHAnsi" w:hAnsiTheme="majorHAnsi"/>
          <w:color w:val="auto"/>
          <w:sz w:val="20"/>
          <w:szCs w:val="20"/>
          <w:lang w:val="es-ES"/>
        </w:rPr>
        <w:t xml:space="preserve">Andrés José Salas Romo </w:t>
      </w:r>
    </w:p>
    <w:p w:rsidR="00311025" w:rsidRDefault="00311025" w:rsidP="00311025">
      <w:pPr>
        <w:rPr>
          <w:rFonts w:asciiTheme="majorHAnsi" w:hAnsiTheme="majorHAnsi" w:cs="Calibri"/>
          <w:sz w:val="20"/>
          <w:szCs w:val="20"/>
          <w:lang w:val="es-ES"/>
        </w:rPr>
      </w:pPr>
    </w:p>
    <w:p w:rsidR="00311025" w:rsidRPr="00311025" w:rsidRDefault="00311025" w:rsidP="00311025">
      <w:pPr>
        <w:rPr>
          <w:rFonts w:asciiTheme="majorHAnsi" w:hAnsiTheme="majorHAnsi" w:cs="Calibri"/>
          <w:sz w:val="20"/>
          <w:szCs w:val="20"/>
          <w:lang w:val="es-ES"/>
        </w:rPr>
      </w:pPr>
    </w:p>
    <w:p w:rsidR="003910D0" w:rsidRPr="003910D0" w:rsidRDefault="003910D0" w:rsidP="003910D0">
      <w:pPr>
        <w:rPr>
          <w:rFonts w:asciiTheme="majorHAnsi" w:hAnsiTheme="majorHAnsi" w:cs="Calibri"/>
          <w:sz w:val="20"/>
          <w:szCs w:val="20"/>
          <w:lang w:val="es-ES"/>
        </w:rPr>
      </w:pPr>
    </w:p>
    <w:p w:rsidR="00311025" w:rsidRDefault="00311025" w:rsidP="00E374D6">
      <w:pPr>
        <w:jc w:val="center"/>
        <w:rPr>
          <w:rFonts w:asciiTheme="majorHAnsi" w:hAnsiTheme="majorHAnsi" w:cs="Calibri"/>
          <w:b/>
          <w:sz w:val="20"/>
          <w:szCs w:val="20"/>
          <w:lang w:val="es-ES"/>
        </w:rPr>
      </w:pPr>
    </w:p>
    <w:p w:rsidR="00311025" w:rsidRDefault="00311025" w:rsidP="00E374D6">
      <w:pPr>
        <w:jc w:val="center"/>
        <w:rPr>
          <w:rFonts w:asciiTheme="majorHAnsi" w:hAnsiTheme="majorHAnsi" w:cs="Calibri"/>
          <w:b/>
          <w:sz w:val="20"/>
          <w:szCs w:val="20"/>
          <w:lang w:val="es-ES"/>
        </w:rPr>
      </w:pPr>
    </w:p>
    <w:p w:rsidR="00E374D6" w:rsidRDefault="00E374D6" w:rsidP="00E374D6">
      <w:pPr>
        <w:jc w:val="center"/>
        <w:rPr>
          <w:rFonts w:asciiTheme="majorHAnsi" w:hAnsiTheme="majorHAnsi" w:cs="Calibri"/>
          <w:b/>
          <w:sz w:val="20"/>
          <w:szCs w:val="20"/>
          <w:lang w:val="es-ES"/>
        </w:rPr>
      </w:pPr>
      <w:r w:rsidRPr="00E374D6">
        <w:rPr>
          <w:rFonts w:asciiTheme="majorHAnsi" w:hAnsiTheme="majorHAnsi" w:cs="Calibri"/>
          <w:b/>
          <w:sz w:val="20"/>
          <w:szCs w:val="20"/>
          <w:lang w:val="es-ES"/>
        </w:rPr>
        <w:t>Anexo 2</w:t>
      </w:r>
    </w:p>
    <w:p w:rsidR="00E374D6" w:rsidRPr="00E374D6" w:rsidRDefault="00E374D6" w:rsidP="00E374D6">
      <w:pPr>
        <w:jc w:val="center"/>
        <w:rPr>
          <w:rFonts w:asciiTheme="majorHAnsi" w:hAnsiTheme="majorHAnsi" w:cs="Calibri"/>
          <w:b/>
          <w:sz w:val="20"/>
          <w:szCs w:val="20"/>
          <w:lang w:val="es-ES"/>
        </w:rPr>
      </w:pPr>
      <w:r>
        <w:rPr>
          <w:rFonts w:asciiTheme="majorHAnsi" w:hAnsiTheme="majorHAnsi" w:cs="Calibri"/>
          <w:b/>
          <w:sz w:val="20"/>
          <w:szCs w:val="20"/>
          <w:lang w:val="es-ES"/>
        </w:rPr>
        <w:t xml:space="preserve">Listado proporcionado por el peticionario </w:t>
      </w:r>
      <w:r w:rsidR="00936A64">
        <w:rPr>
          <w:rFonts w:asciiTheme="majorHAnsi" w:hAnsiTheme="majorHAnsi" w:cs="Calibri"/>
          <w:b/>
          <w:sz w:val="20"/>
          <w:szCs w:val="20"/>
          <w:lang w:val="es-ES"/>
        </w:rPr>
        <w:t>que incluyen a las 19</w:t>
      </w:r>
      <w:r w:rsidR="00620A64">
        <w:rPr>
          <w:rFonts w:asciiTheme="majorHAnsi" w:hAnsiTheme="majorHAnsi" w:cs="Calibri"/>
          <w:b/>
          <w:sz w:val="20"/>
          <w:szCs w:val="20"/>
          <w:lang w:val="es-ES"/>
        </w:rPr>
        <w:t>32</w:t>
      </w:r>
      <w:r w:rsidR="00936A64">
        <w:rPr>
          <w:rFonts w:asciiTheme="majorHAnsi" w:hAnsiTheme="majorHAnsi" w:cs="Calibri"/>
          <w:b/>
          <w:sz w:val="20"/>
          <w:szCs w:val="20"/>
          <w:lang w:val="es-ES"/>
        </w:rPr>
        <w:t xml:space="preserve"> presuntas víctimas</w:t>
      </w:r>
      <w:r w:rsidR="00C30F0F">
        <w:rPr>
          <w:rFonts w:asciiTheme="majorHAnsi" w:hAnsiTheme="majorHAnsi" w:cs="Calibri"/>
          <w:b/>
          <w:sz w:val="20"/>
          <w:szCs w:val="20"/>
          <w:lang w:val="es-ES"/>
        </w:rPr>
        <w:t xml:space="preserve"> afectadas por el incendio de sus propiedades y/o desplazamiento forzado</w:t>
      </w:r>
      <w:r w:rsidR="00936A64">
        <w:rPr>
          <w:rFonts w:asciiTheme="majorHAnsi" w:hAnsiTheme="majorHAnsi" w:cs="Calibri"/>
          <w:b/>
          <w:sz w:val="20"/>
          <w:szCs w:val="20"/>
          <w:lang w:val="es-ES"/>
        </w:rPr>
        <w:t xml:space="preserve"> </w:t>
      </w:r>
    </w:p>
    <w:sectPr w:rsidR="00E374D6" w:rsidRPr="00E374D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903" w:rsidRDefault="00D51903">
      <w:r>
        <w:separator/>
      </w:r>
    </w:p>
  </w:endnote>
  <w:endnote w:type="continuationSeparator" w:id="0">
    <w:p w:rsidR="00D51903" w:rsidRDefault="00D5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02C" w:rsidRDefault="00A750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7502C">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903" w:rsidRPr="000F35ED" w:rsidRDefault="00D51903">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D51903" w:rsidRPr="000F35ED" w:rsidRDefault="00D51903" w:rsidP="000F35ED">
      <w:pPr>
        <w:rPr>
          <w:rFonts w:asciiTheme="majorHAnsi" w:hAnsiTheme="majorHAnsi"/>
          <w:sz w:val="16"/>
          <w:szCs w:val="16"/>
        </w:rPr>
      </w:pPr>
      <w:r w:rsidRPr="000F35ED">
        <w:rPr>
          <w:rFonts w:asciiTheme="majorHAnsi" w:hAnsiTheme="majorHAnsi"/>
          <w:sz w:val="16"/>
          <w:szCs w:val="16"/>
        </w:rPr>
        <w:separator/>
      </w:r>
    </w:p>
    <w:p w:rsidR="00D51903" w:rsidRPr="000F35ED" w:rsidRDefault="00D5190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D51903" w:rsidRPr="000F35ED" w:rsidRDefault="00D51903"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A5D86" w:rsidRPr="00D0780A" w:rsidRDefault="004A5D86" w:rsidP="000D3BAD">
      <w:pPr>
        <w:pStyle w:val="FootnoteText"/>
        <w:spacing w:after="120"/>
        <w:ind w:firstLine="720"/>
        <w:jc w:val="both"/>
        <w:rPr>
          <w:rFonts w:asciiTheme="majorHAnsi" w:hAnsiTheme="majorHAnsi"/>
          <w:sz w:val="16"/>
          <w:szCs w:val="16"/>
          <w:lang w:val="es-BO"/>
        </w:rPr>
      </w:pPr>
      <w:r w:rsidRPr="00703678">
        <w:rPr>
          <w:rStyle w:val="FootnoteReference"/>
          <w:rFonts w:asciiTheme="majorHAnsi" w:hAnsiTheme="majorHAnsi"/>
          <w:sz w:val="16"/>
          <w:szCs w:val="16"/>
        </w:rPr>
        <w:footnoteRef/>
      </w:r>
      <w:r w:rsidRPr="00D0780A">
        <w:rPr>
          <w:rFonts w:asciiTheme="majorHAnsi" w:hAnsiTheme="majorHAnsi"/>
          <w:sz w:val="16"/>
          <w:szCs w:val="16"/>
          <w:lang w:val="es-BO"/>
        </w:rPr>
        <w:t xml:space="preserve"> </w:t>
      </w:r>
      <w:r w:rsidRPr="00896E44">
        <w:rPr>
          <w:rFonts w:asciiTheme="majorHAnsi" w:hAnsiTheme="majorHAnsi"/>
          <w:sz w:val="16"/>
          <w:szCs w:val="16"/>
          <w:lang w:val="es-BO"/>
        </w:rPr>
        <w:t xml:space="preserve">La petición individualiza a </w:t>
      </w:r>
      <w:r w:rsidR="00117FC4" w:rsidRPr="00896E44">
        <w:rPr>
          <w:rFonts w:asciiTheme="majorHAnsi" w:hAnsiTheme="majorHAnsi"/>
          <w:sz w:val="16"/>
          <w:szCs w:val="16"/>
          <w:lang w:val="es-BO"/>
        </w:rPr>
        <w:t xml:space="preserve">1960 </w:t>
      </w:r>
      <w:r w:rsidRPr="00896E44">
        <w:rPr>
          <w:rFonts w:asciiTheme="majorHAnsi" w:hAnsiTheme="majorHAnsi"/>
          <w:sz w:val="16"/>
          <w:szCs w:val="16"/>
          <w:lang w:val="es-BO"/>
        </w:rPr>
        <w:t>presuntas víctimas, identificadas en el documento anexo.</w:t>
      </w:r>
      <w:r w:rsidR="006A2FE1" w:rsidRPr="00896E44">
        <w:rPr>
          <w:rFonts w:asciiTheme="majorHAnsi" w:hAnsiTheme="majorHAnsi"/>
          <w:sz w:val="16"/>
          <w:szCs w:val="16"/>
          <w:lang w:val="es-BO"/>
        </w:rPr>
        <w:t xml:space="preserve">  </w:t>
      </w:r>
      <w:r w:rsidR="00117FC4" w:rsidRPr="00896E44">
        <w:rPr>
          <w:rFonts w:asciiTheme="majorHAnsi" w:hAnsiTheme="majorHAnsi"/>
          <w:sz w:val="16"/>
          <w:szCs w:val="16"/>
          <w:lang w:val="es-BO"/>
        </w:rPr>
        <w:t xml:space="preserve">Al respecto, el peticionario remitió un listado con </w:t>
      </w:r>
      <w:r w:rsidR="00295B40" w:rsidRPr="00896E44">
        <w:rPr>
          <w:rFonts w:asciiTheme="majorHAnsi" w:hAnsiTheme="majorHAnsi"/>
          <w:sz w:val="16"/>
          <w:szCs w:val="16"/>
          <w:lang w:val="es-BO"/>
        </w:rPr>
        <w:t xml:space="preserve">1932 </w:t>
      </w:r>
      <w:r w:rsidR="00896E44" w:rsidRPr="00896E44">
        <w:rPr>
          <w:rFonts w:asciiTheme="majorHAnsi" w:hAnsiTheme="majorHAnsi"/>
          <w:sz w:val="16"/>
          <w:szCs w:val="16"/>
          <w:lang w:val="es-BO"/>
        </w:rPr>
        <w:t xml:space="preserve">presuntas </w:t>
      </w:r>
      <w:r w:rsidR="00295B40" w:rsidRPr="00896E44">
        <w:rPr>
          <w:rFonts w:asciiTheme="majorHAnsi" w:hAnsiTheme="majorHAnsi"/>
          <w:sz w:val="16"/>
          <w:szCs w:val="16"/>
          <w:lang w:val="es-BO"/>
        </w:rPr>
        <w:t xml:space="preserve">víctimas </w:t>
      </w:r>
      <w:r w:rsidR="00117FC4" w:rsidRPr="00896E44">
        <w:rPr>
          <w:rFonts w:asciiTheme="majorHAnsi" w:hAnsiTheme="majorHAnsi"/>
          <w:sz w:val="16"/>
          <w:szCs w:val="16"/>
          <w:lang w:val="es-BO"/>
        </w:rPr>
        <w:t xml:space="preserve">que alega </w:t>
      </w:r>
      <w:r w:rsidR="00295B40" w:rsidRPr="00896E44">
        <w:rPr>
          <w:rFonts w:asciiTheme="majorHAnsi" w:hAnsiTheme="majorHAnsi"/>
          <w:sz w:val="16"/>
          <w:szCs w:val="16"/>
          <w:lang w:val="es-BO"/>
        </w:rPr>
        <w:t>inclu</w:t>
      </w:r>
      <w:r w:rsidR="00117FC4" w:rsidRPr="00896E44">
        <w:rPr>
          <w:rFonts w:asciiTheme="majorHAnsi" w:hAnsiTheme="majorHAnsi"/>
          <w:sz w:val="16"/>
          <w:szCs w:val="16"/>
          <w:lang w:val="es-BO"/>
        </w:rPr>
        <w:t>iría</w:t>
      </w:r>
      <w:r w:rsidR="00295B40" w:rsidRPr="00896E44">
        <w:rPr>
          <w:rFonts w:asciiTheme="majorHAnsi" w:hAnsiTheme="majorHAnsi"/>
          <w:sz w:val="16"/>
          <w:szCs w:val="16"/>
          <w:lang w:val="es-BO"/>
        </w:rPr>
        <w:t xml:space="preserve"> a las personas cuyas casas </w:t>
      </w:r>
      <w:r w:rsidR="00896E44" w:rsidRPr="00896E44">
        <w:rPr>
          <w:rFonts w:asciiTheme="majorHAnsi" w:hAnsiTheme="majorHAnsi"/>
          <w:sz w:val="16"/>
          <w:szCs w:val="16"/>
          <w:lang w:val="es-BO"/>
        </w:rPr>
        <w:t>f</w:t>
      </w:r>
      <w:r w:rsidR="00295B40" w:rsidRPr="00896E44">
        <w:rPr>
          <w:rFonts w:asciiTheme="majorHAnsi" w:hAnsiTheme="majorHAnsi"/>
          <w:sz w:val="16"/>
          <w:szCs w:val="16"/>
          <w:lang w:val="es-BO"/>
        </w:rPr>
        <w:t xml:space="preserve">ueron quemadas y las que sufrieron desplazamiento forzado. </w:t>
      </w:r>
      <w:r w:rsidR="00117FC4" w:rsidRPr="00896E44">
        <w:rPr>
          <w:rFonts w:asciiTheme="majorHAnsi" w:hAnsiTheme="majorHAnsi"/>
          <w:sz w:val="16"/>
          <w:szCs w:val="16"/>
          <w:lang w:val="es-BO"/>
        </w:rPr>
        <w:t xml:space="preserve"> Asimismo, el peticionario identifica por separado a 23 (en un listad</w:t>
      </w:r>
      <w:r w:rsidR="00E3130A">
        <w:rPr>
          <w:rFonts w:asciiTheme="majorHAnsi" w:hAnsiTheme="majorHAnsi"/>
          <w:sz w:val="16"/>
          <w:szCs w:val="16"/>
          <w:lang w:val="es-BO"/>
        </w:rPr>
        <w:t>o</w:t>
      </w:r>
      <w:r w:rsidR="00117FC4" w:rsidRPr="00896E44">
        <w:rPr>
          <w:rFonts w:asciiTheme="majorHAnsi" w:hAnsiTheme="majorHAnsi"/>
          <w:sz w:val="16"/>
          <w:szCs w:val="16"/>
          <w:lang w:val="es-BO"/>
        </w:rPr>
        <w:t>) y 28 (en un listado con cinco personas adicionales) presuntas víctimas que habrían sido ejecutadas y no figuran en el listado de 193</w:t>
      </w:r>
      <w:r w:rsidR="00896E44" w:rsidRPr="00896E44">
        <w:rPr>
          <w:rFonts w:asciiTheme="majorHAnsi" w:hAnsiTheme="majorHAnsi"/>
          <w:sz w:val="16"/>
          <w:szCs w:val="16"/>
          <w:lang w:val="es-BO"/>
        </w:rPr>
        <w:t>2 personas señalado anteriormente.</w:t>
      </w:r>
      <w:r w:rsidR="00896E44">
        <w:rPr>
          <w:rFonts w:asciiTheme="majorHAnsi" w:hAnsiTheme="majorHAnsi"/>
          <w:sz w:val="16"/>
          <w:szCs w:val="16"/>
          <w:lang w:val="es-BO"/>
        </w:rPr>
        <w:t xml:space="preserve"> </w:t>
      </w:r>
    </w:p>
  </w:footnote>
  <w:footnote w:id="3">
    <w:p w:rsidR="004A6A54" w:rsidRPr="00D0780A" w:rsidRDefault="004A6A54" w:rsidP="000D3BAD">
      <w:pPr>
        <w:pStyle w:val="FootnoteText"/>
        <w:spacing w:after="120"/>
        <w:ind w:firstLine="720"/>
        <w:jc w:val="both"/>
        <w:rPr>
          <w:rFonts w:asciiTheme="majorHAnsi" w:hAnsiTheme="majorHAnsi"/>
          <w:sz w:val="16"/>
          <w:szCs w:val="16"/>
          <w:lang w:val="es-ES"/>
        </w:rPr>
      </w:pPr>
      <w:r w:rsidRPr="00D0780A">
        <w:rPr>
          <w:rStyle w:val="FootnoteReference"/>
          <w:rFonts w:asciiTheme="majorHAnsi" w:hAnsiTheme="majorHAnsi"/>
          <w:sz w:val="16"/>
          <w:szCs w:val="16"/>
        </w:rPr>
        <w:footnoteRef/>
      </w:r>
      <w:r w:rsidRPr="00D0780A">
        <w:rPr>
          <w:rFonts w:asciiTheme="majorHAnsi" w:hAnsiTheme="majorHAnsi"/>
          <w:sz w:val="16"/>
          <w:szCs w:val="16"/>
          <w:lang w:val="es-ES"/>
        </w:rPr>
        <w:t xml:space="preserve"> Conforme a lo dispuesto en el artículo 17.2.a del Reglamento de la Comisión, el Comisionado </w:t>
      </w:r>
      <w:r w:rsidR="00816CC4" w:rsidRPr="00D0780A">
        <w:rPr>
          <w:rFonts w:asciiTheme="majorHAnsi" w:hAnsiTheme="majorHAnsi"/>
          <w:sz w:val="16"/>
          <w:szCs w:val="16"/>
          <w:lang w:val="es-ES"/>
        </w:rPr>
        <w:t>Luis Ernesto Vargas Silva</w:t>
      </w:r>
      <w:r w:rsidRPr="00D0780A">
        <w:rPr>
          <w:rFonts w:asciiTheme="majorHAnsi" w:hAnsiTheme="majorHAnsi"/>
          <w:sz w:val="16"/>
          <w:szCs w:val="16"/>
          <w:lang w:val="es-ES"/>
        </w:rPr>
        <w:t xml:space="preserve">, de nacionalidad </w:t>
      </w:r>
      <w:r w:rsidR="00816CC4" w:rsidRPr="00D0780A">
        <w:rPr>
          <w:rFonts w:asciiTheme="majorHAnsi" w:hAnsiTheme="majorHAnsi"/>
          <w:sz w:val="16"/>
          <w:szCs w:val="16"/>
          <w:lang w:val="es-ES"/>
        </w:rPr>
        <w:t>colombiana</w:t>
      </w:r>
      <w:r w:rsidRPr="00D0780A">
        <w:rPr>
          <w:rFonts w:asciiTheme="majorHAnsi" w:hAnsiTheme="majorHAnsi"/>
          <w:sz w:val="16"/>
          <w:szCs w:val="16"/>
          <w:lang w:val="es-ES"/>
        </w:rPr>
        <w:t>, no participó en el debate ni en la decisión del presente asunto.</w:t>
      </w:r>
    </w:p>
  </w:footnote>
  <w:footnote w:id="4">
    <w:p w:rsidR="004B4F58" w:rsidRPr="00D0780A" w:rsidRDefault="004B4F58" w:rsidP="000D3BAD">
      <w:pPr>
        <w:pStyle w:val="FootnoteText"/>
        <w:spacing w:after="120"/>
        <w:ind w:firstLine="720"/>
        <w:jc w:val="both"/>
        <w:rPr>
          <w:rFonts w:asciiTheme="majorHAnsi" w:hAnsiTheme="majorHAnsi"/>
          <w:sz w:val="16"/>
          <w:szCs w:val="16"/>
          <w:lang w:val="es-BO"/>
        </w:rPr>
      </w:pPr>
      <w:r w:rsidRPr="00D0780A">
        <w:rPr>
          <w:rStyle w:val="FootnoteReference"/>
          <w:rFonts w:asciiTheme="majorHAnsi" w:hAnsiTheme="majorHAnsi"/>
          <w:sz w:val="16"/>
          <w:szCs w:val="16"/>
        </w:rPr>
        <w:footnoteRef/>
      </w:r>
      <w:r w:rsidRPr="00D0780A">
        <w:rPr>
          <w:rFonts w:asciiTheme="majorHAnsi" w:hAnsiTheme="majorHAnsi"/>
          <w:sz w:val="16"/>
          <w:szCs w:val="16"/>
          <w:lang w:val="es-BO"/>
        </w:rPr>
        <w:t xml:space="preserve"> </w:t>
      </w:r>
      <w:r w:rsidRPr="00D0780A">
        <w:rPr>
          <w:rFonts w:asciiTheme="majorHAnsi" w:hAnsiTheme="majorHAnsi"/>
          <w:sz w:val="16"/>
          <w:szCs w:val="16"/>
          <w:lang w:val="es-ES"/>
        </w:rPr>
        <w:t>En adelante “Convención” o “Convención Americana”.</w:t>
      </w:r>
    </w:p>
  </w:footnote>
  <w:footnote w:id="5">
    <w:p w:rsidR="008E3BFE" w:rsidRPr="00D0780A" w:rsidRDefault="008E3BFE" w:rsidP="000D3BAD">
      <w:pPr>
        <w:pStyle w:val="FootnoteText"/>
        <w:spacing w:after="120"/>
        <w:ind w:firstLine="720"/>
        <w:jc w:val="both"/>
        <w:rPr>
          <w:rFonts w:asciiTheme="majorHAnsi" w:hAnsiTheme="majorHAnsi"/>
          <w:sz w:val="16"/>
          <w:szCs w:val="16"/>
          <w:lang w:val="es-ES"/>
        </w:rPr>
      </w:pPr>
      <w:r w:rsidRPr="00D0780A">
        <w:rPr>
          <w:rStyle w:val="FootnoteReference"/>
          <w:rFonts w:asciiTheme="majorHAnsi" w:hAnsiTheme="majorHAnsi"/>
          <w:sz w:val="16"/>
          <w:szCs w:val="16"/>
        </w:rPr>
        <w:footnoteRef/>
      </w:r>
      <w:r w:rsidRPr="00D0780A">
        <w:rPr>
          <w:rFonts w:asciiTheme="majorHAnsi" w:hAnsiTheme="majorHAnsi"/>
          <w:sz w:val="16"/>
          <w:szCs w:val="16"/>
          <w:lang w:val="es-ES"/>
        </w:rPr>
        <w:t xml:space="preserve"> Las observaciones de cada parte fueron debidamente trasladadas a la parte contraria.</w:t>
      </w:r>
    </w:p>
  </w:footnote>
  <w:footnote w:id="6">
    <w:p w:rsidR="00311025" w:rsidRPr="00D0780A" w:rsidRDefault="00311025" w:rsidP="000D3BAD">
      <w:pPr>
        <w:pStyle w:val="FootnoteText"/>
        <w:spacing w:after="120"/>
        <w:ind w:firstLine="720"/>
        <w:jc w:val="both"/>
        <w:rPr>
          <w:rFonts w:asciiTheme="majorHAnsi" w:hAnsiTheme="majorHAnsi"/>
          <w:sz w:val="16"/>
          <w:szCs w:val="16"/>
          <w:lang w:val="es-ES"/>
        </w:rPr>
      </w:pPr>
      <w:r w:rsidRPr="00D0780A">
        <w:rPr>
          <w:rStyle w:val="FootnoteReference"/>
          <w:rFonts w:asciiTheme="majorHAnsi" w:hAnsiTheme="majorHAnsi"/>
          <w:sz w:val="16"/>
          <w:szCs w:val="16"/>
        </w:rPr>
        <w:footnoteRef/>
      </w:r>
      <w:r w:rsidRPr="00D0780A">
        <w:rPr>
          <w:rFonts w:asciiTheme="majorHAnsi" w:hAnsiTheme="majorHAnsi"/>
          <w:sz w:val="16"/>
          <w:szCs w:val="16"/>
          <w:lang w:val="es-BO"/>
        </w:rPr>
        <w:t xml:space="preserve"> </w:t>
      </w:r>
      <w:r w:rsidRPr="00D0780A">
        <w:rPr>
          <w:rFonts w:asciiTheme="majorHAnsi" w:hAnsiTheme="majorHAnsi"/>
          <w:sz w:val="16"/>
          <w:szCs w:val="16"/>
          <w:lang w:val="es-ES"/>
        </w:rPr>
        <w:t xml:space="preserve">El 17 de enero de 2012 </w:t>
      </w:r>
      <w:r w:rsidR="00A51480" w:rsidRPr="00D0780A">
        <w:rPr>
          <w:rFonts w:asciiTheme="majorHAnsi" w:hAnsiTheme="majorHAnsi"/>
          <w:sz w:val="16"/>
          <w:szCs w:val="16"/>
          <w:lang w:val="es-ES"/>
        </w:rPr>
        <w:t>el</w:t>
      </w:r>
      <w:r w:rsidRPr="00D0780A">
        <w:rPr>
          <w:rFonts w:asciiTheme="majorHAnsi" w:hAnsiTheme="majorHAnsi"/>
          <w:sz w:val="16"/>
          <w:szCs w:val="16"/>
          <w:lang w:val="es-ES"/>
        </w:rPr>
        <w:t xml:space="preserve"> peticionario </w:t>
      </w:r>
      <w:r w:rsidR="00A51480" w:rsidRPr="00D0780A">
        <w:rPr>
          <w:rFonts w:asciiTheme="majorHAnsi" w:hAnsiTheme="majorHAnsi"/>
          <w:sz w:val="16"/>
          <w:szCs w:val="16"/>
          <w:lang w:val="es-ES"/>
        </w:rPr>
        <w:t xml:space="preserve">manifestó </w:t>
      </w:r>
      <w:r w:rsidRPr="00D0780A">
        <w:rPr>
          <w:rFonts w:asciiTheme="majorHAnsi" w:hAnsiTheme="majorHAnsi"/>
          <w:sz w:val="16"/>
          <w:szCs w:val="16"/>
          <w:lang w:val="es-ES"/>
        </w:rPr>
        <w:t xml:space="preserve">su interés en una </w:t>
      </w:r>
      <w:r w:rsidR="00197152" w:rsidRPr="00D0780A">
        <w:rPr>
          <w:rFonts w:asciiTheme="majorHAnsi" w:hAnsiTheme="majorHAnsi"/>
          <w:sz w:val="16"/>
          <w:szCs w:val="16"/>
          <w:lang w:val="es-ES"/>
        </w:rPr>
        <w:t xml:space="preserve">eventual </w:t>
      </w:r>
      <w:proofErr w:type="spellStart"/>
      <w:r w:rsidR="00197152" w:rsidRPr="00D0780A">
        <w:rPr>
          <w:rFonts w:asciiTheme="majorHAnsi" w:hAnsiTheme="majorHAnsi"/>
          <w:sz w:val="16"/>
          <w:szCs w:val="16"/>
          <w:lang w:val="es-ES"/>
        </w:rPr>
        <w:t>soluci</w:t>
      </w:r>
      <w:r w:rsidR="00197152" w:rsidRPr="00D0780A">
        <w:rPr>
          <w:rFonts w:asciiTheme="majorHAnsi" w:hAnsiTheme="majorHAnsi"/>
          <w:sz w:val="16"/>
          <w:szCs w:val="16"/>
          <w:lang w:val="es-CR"/>
        </w:rPr>
        <w:t>ón</w:t>
      </w:r>
      <w:proofErr w:type="spellEnd"/>
      <w:r w:rsidR="00197152" w:rsidRPr="00D0780A">
        <w:rPr>
          <w:rFonts w:asciiTheme="majorHAnsi" w:hAnsiTheme="majorHAnsi"/>
          <w:sz w:val="16"/>
          <w:szCs w:val="16"/>
          <w:lang w:val="es-CR"/>
        </w:rPr>
        <w:t xml:space="preserve"> amistosa.  El Estado respondi</w:t>
      </w:r>
      <w:r w:rsidR="00A51480" w:rsidRPr="00D0780A">
        <w:rPr>
          <w:rFonts w:asciiTheme="majorHAnsi" w:hAnsiTheme="majorHAnsi"/>
          <w:sz w:val="16"/>
          <w:szCs w:val="16"/>
          <w:lang w:val="es-CR"/>
        </w:rPr>
        <w:t>ó</w:t>
      </w:r>
      <w:r w:rsidR="00197152" w:rsidRPr="00D0780A">
        <w:rPr>
          <w:rFonts w:asciiTheme="majorHAnsi" w:hAnsiTheme="majorHAnsi"/>
          <w:sz w:val="16"/>
          <w:szCs w:val="16"/>
          <w:lang w:val="es-CR"/>
        </w:rPr>
        <w:t xml:space="preserve"> el 27 de marzo de 2015 y </w:t>
      </w:r>
      <w:r w:rsidR="00A51480" w:rsidRPr="00D0780A">
        <w:rPr>
          <w:rFonts w:asciiTheme="majorHAnsi" w:hAnsiTheme="majorHAnsi"/>
          <w:sz w:val="16"/>
          <w:szCs w:val="16"/>
          <w:lang w:val="es-CR"/>
        </w:rPr>
        <w:t>el</w:t>
      </w:r>
      <w:r w:rsidR="00197152" w:rsidRPr="00D0780A">
        <w:rPr>
          <w:rFonts w:asciiTheme="majorHAnsi" w:hAnsiTheme="majorHAnsi"/>
          <w:sz w:val="16"/>
          <w:szCs w:val="16"/>
          <w:lang w:val="es-CR"/>
        </w:rPr>
        <w:t xml:space="preserve"> peticionario</w:t>
      </w:r>
      <w:r w:rsidR="00A51480" w:rsidRPr="00D0780A">
        <w:rPr>
          <w:rFonts w:asciiTheme="majorHAnsi" w:hAnsiTheme="majorHAnsi"/>
          <w:sz w:val="16"/>
          <w:szCs w:val="16"/>
          <w:lang w:val="es-CR"/>
        </w:rPr>
        <w:t xml:space="preserve"> información su desinterés de continuar con el proceso el </w:t>
      </w:r>
      <w:r w:rsidR="00197152" w:rsidRPr="00D0780A">
        <w:rPr>
          <w:rFonts w:asciiTheme="majorHAnsi" w:hAnsiTheme="majorHAnsi"/>
          <w:sz w:val="16"/>
          <w:szCs w:val="16"/>
          <w:lang w:val="es-CR"/>
        </w:rPr>
        <w:t xml:space="preserve"> </w:t>
      </w:r>
      <w:r w:rsidRPr="00D0780A">
        <w:rPr>
          <w:rFonts w:asciiTheme="majorHAnsi" w:hAnsiTheme="majorHAnsi"/>
          <w:sz w:val="16"/>
          <w:szCs w:val="16"/>
          <w:lang w:val="es-ES"/>
        </w:rPr>
        <w:t>1 de junio de 2017</w:t>
      </w:r>
      <w:r w:rsidR="00A51480" w:rsidRPr="00D0780A">
        <w:rPr>
          <w:rFonts w:asciiTheme="majorHAnsi" w:hAnsiTheme="majorHAnsi"/>
          <w:sz w:val="16"/>
          <w:szCs w:val="16"/>
          <w:lang w:val="es-ES"/>
        </w:rPr>
        <w:t>.</w:t>
      </w:r>
    </w:p>
  </w:footnote>
  <w:footnote w:id="7">
    <w:p w:rsidR="007C768A" w:rsidRPr="00D0780A" w:rsidRDefault="007C768A" w:rsidP="000D3BAD">
      <w:pPr>
        <w:pStyle w:val="FootnoteText"/>
        <w:spacing w:after="120"/>
        <w:ind w:firstLine="720"/>
        <w:jc w:val="both"/>
        <w:rPr>
          <w:rFonts w:asciiTheme="majorHAnsi" w:hAnsiTheme="majorHAnsi"/>
          <w:sz w:val="16"/>
          <w:szCs w:val="16"/>
          <w:lang w:val="es-BO"/>
        </w:rPr>
      </w:pPr>
      <w:r w:rsidRPr="00D0780A">
        <w:rPr>
          <w:rStyle w:val="FootnoteReference"/>
          <w:rFonts w:asciiTheme="majorHAnsi" w:hAnsiTheme="majorHAnsi"/>
          <w:sz w:val="16"/>
          <w:szCs w:val="16"/>
        </w:rPr>
        <w:footnoteRef/>
      </w:r>
      <w:r w:rsidRPr="00D0780A">
        <w:rPr>
          <w:rFonts w:asciiTheme="majorHAnsi" w:hAnsiTheme="majorHAnsi"/>
          <w:sz w:val="16"/>
          <w:szCs w:val="16"/>
          <w:lang w:val="es-BO"/>
        </w:rPr>
        <w:t xml:space="preserve"> En adelante “CIPST”</w:t>
      </w:r>
    </w:p>
  </w:footnote>
  <w:footnote w:id="8">
    <w:p w:rsidR="00B24A4C" w:rsidRPr="00D0780A" w:rsidRDefault="00B24A4C" w:rsidP="000D3BAD">
      <w:pPr>
        <w:pStyle w:val="FootnoteText"/>
        <w:spacing w:after="120"/>
        <w:ind w:firstLine="720"/>
        <w:jc w:val="both"/>
        <w:rPr>
          <w:rFonts w:asciiTheme="majorHAnsi" w:hAnsiTheme="majorHAnsi"/>
          <w:sz w:val="16"/>
          <w:szCs w:val="16"/>
          <w:lang w:val="es-BO"/>
        </w:rPr>
      </w:pPr>
      <w:r w:rsidRPr="00D0780A">
        <w:rPr>
          <w:rStyle w:val="FootnoteReference"/>
          <w:rFonts w:asciiTheme="majorHAnsi" w:hAnsiTheme="majorHAnsi"/>
          <w:sz w:val="16"/>
          <w:szCs w:val="16"/>
        </w:rPr>
        <w:footnoteRef/>
      </w:r>
      <w:r w:rsidRPr="00D0780A">
        <w:rPr>
          <w:rFonts w:asciiTheme="majorHAnsi" w:hAnsiTheme="majorHAnsi"/>
          <w:sz w:val="16"/>
          <w:szCs w:val="16"/>
          <w:lang w:val="es-BO"/>
        </w:rPr>
        <w:t xml:space="preserve"> CIDH, Informe No.54/15, Petición 467/97, Admisibilidad. Masacre de Campamento, Colombia, 17 de octubre de 2015, párr. 33.</w:t>
      </w:r>
    </w:p>
  </w:footnote>
  <w:footnote w:id="9">
    <w:p w:rsidR="00B24A4C" w:rsidRPr="00D0780A" w:rsidRDefault="00B24A4C" w:rsidP="000D3BAD">
      <w:pPr>
        <w:pStyle w:val="FootnoteText"/>
        <w:spacing w:after="120"/>
        <w:ind w:firstLine="720"/>
        <w:jc w:val="both"/>
        <w:rPr>
          <w:rFonts w:asciiTheme="majorHAnsi" w:hAnsiTheme="majorHAnsi"/>
          <w:sz w:val="16"/>
          <w:szCs w:val="16"/>
          <w:lang w:val="es-BO"/>
        </w:rPr>
      </w:pPr>
      <w:r w:rsidRPr="00D0780A">
        <w:rPr>
          <w:rStyle w:val="FootnoteReference"/>
          <w:rFonts w:asciiTheme="majorHAnsi" w:hAnsiTheme="majorHAnsi"/>
          <w:sz w:val="16"/>
          <w:szCs w:val="16"/>
        </w:rPr>
        <w:footnoteRef/>
      </w:r>
      <w:r w:rsidRPr="00D0780A">
        <w:rPr>
          <w:rFonts w:asciiTheme="majorHAnsi" w:hAnsiTheme="majorHAnsi"/>
          <w:sz w:val="16"/>
          <w:szCs w:val="16"/>
          <w:lang w:val="es-BO"/>
        </w:rPr>
        <w:t xml:space="preserve"> CIDH, Informe Nº 107/17. Petición 535-07. Admisibilidad. Vitelio </w:t>
      </w:r>
      <w:proofErr w:type="spellStart"/>
      <w:r w:rsidRPr="00D0780A">
        <w:rPr>
          <w:rFonts w:asciiTheme="majorHAnsi" w:hAnsiTheme="majorHAnsi"/>
          <w:sz w:val="16"/>
          <w:szCs w:val="16"/>
          <w:lang w:val="es-BO"/>
        </w:rPr>
        <w:t>Capera</w:t>
      </w:r>
      <w:proofErr w:type="spellEnd"/>
      <w:r w:rsidRPr="00D0780A">
        <w:rPr>
          <w:rFonts w:asciiTheme="majorHAnsi" w:hAnsiTheme="majorHAnsi"/>
          <w:sz w:val="16"/>
          <w:szCs w:val="16"/>
          <w:lang w:val="es-BO"/>
        </w:rPr>
        <w:t xml:space="preserve"> Cruz y familia. Colombia. 7 de septiembre de 2017, párr.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16F69727" wp14:editId="0D116E71">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D5190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02C" w:rsidRDefault="00A750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912AE0"/>
    <w:multiLevelType w:val="hybridMultilevel"/>
    <w:tmpl w:val="E46E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617C95"/>
    <w:multiLevelType w:val="hybridMultilevel"/>
    <w:tmpl w:val="ACD29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9"/>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9"/>
  </w:num>
  <w:num w:numId="81">
    <w:abstractNumId w:val="40"/>
  </w:num>
  <w:num w:numId="82">
    <w:abstractNumId w:val="44"/>
  </w:num>
  <w:num w:numId="83">
    <w:abstractNumId w:val="45"/>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6"/>
  </w:num>
  <w:num w:numId="96">
    <w:abstractNumId w:val="58"/>
  </w:num>
  <w:num w:numId="97">
    <w:abstractNumId w:val="55"/>
  </w:num>
  <w:num w:numId="98">
    <w:abstractNumId w:val="50"/>
  </w:num>
  <w:num w:numId="99">
    <w:abstractNumId w:val="41"/>
  </w:num>
  <w:num w:numId="100">
    <w:abstractNumId w:val="3"/>
  </w:num>
  <w:num w:numId="101">
    <w:abstractNumId w:val="28"/>
  </w:num>
  <w:num w:numId="102">
    <w:abstractNumId w:val="52"/>
  </w:num>
  <w:num w:numId="103">
    <w:abstractNumId w:val="6"/>
  </w:num>
  <w:num w:numId="104">
    <w:abstractNumId w:val="67"/>
  </w:num>
  <w:num w:numId="105">
    <w:abstractNumId w:val="56"/>
  </w:num>
  <w:num w:numId="106">
    <w:abstractNumId w:val="4"/>
  </w:num>
  <w:num w:numId="107">
    <w:abstractNumId w:val="32"/>
  </w:num>
  <w:num w:numId="108">
    <w:abstractNumId w:val="15"/>
  </w:num>
  <w:num w:numId="109">
    <w:abstractNumId w:val="48"/>
  </w:num>
  <w:num w:numId="110">
    <w:abstractNumId w:val="38"/>
  </w:num>
  <w:num w:numId="111">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rsids>
    <w:rsidRoot w:val="006B2D5C"/>
    <w:rsid w:val="0000036F"/>
    <w:rsid w:val="00000CDA"/>
    <w:rsid w:val="000067F6"/>
    <w:rsid w:val="00006E1F"/>
    <w:rsid w:val="000070D7"/>
    <w:rsid w:val="000152EC"/>
    <w:rsid w:val="0001788C"/>
    <w:rsid w:val="000337EF"/>
    <w:rsid w:val="00040C3A"/>
    <w:rsid w:val="000419AD"/>
    <w:rsid w:val="0005111F"/>
    <w:rsid w:val="00053523"/>
    <w:rsid w:val="000716C5"/>
    <w:rsid w:val="00075E23"/>
    <w:rsid w:val="0009344A"/>
    <w:rsid w:val="000971D9"/>
    <w:rsid w:val="000A392E"/>
    <w:rsid w:val="000A575F"/>
    <w:rsid w:val="000D10DB"/>
    <w:rsid w:val="000D3BAD"/>
    <w:rsid w:val="000D4CD3"/>
    <w:rsid w:val="000D5958"/>
    <w:rsid w:val="000E5EB5"/>
    <w:rsid w:val="000F35ED"/>
    <w:rsid w:val="00103938"/>
    <w:rsid w:val="0010405C"/>
    <w:rsid w:val="00107131"/>
    <w:rsid w:val="0010736F"/>
    <w:rsid w:val="00113F73"/>
    <w:rsid w:val="00117FC4"/>
    <w:rsid w:val="00121CC2"/>
    <w:rsid w:val="00127643"/>
    <w:rsid w:val="00132B5C"/>
    <w:rsid w:val="00133EE5"/>
    <w:rsid w:val="001616F6"/>
    <w:rsid w:val="001660D4"/>
    <w:rsid w:val="00167A34"/>
    <w:rsid w:val="00170AE0"/>
    <w:rsid w:val="001854F2"/>
    <w:rsid w:val="00196E1F"/>
    <w:rsid w:val="00197152"/>
    <w:rsid w:val="001A6B35"/>
    <w:rsid w:val="001A7870"/>
    <w:rsid w:val="001B3A00"/>
    <w:rsid w:val="001C1B41"/>
    <w:rsid w:val="001C2273"/>
    <w:rsid w:val="001D65EF"/>
    <w:rsid w:val="001E49E7"/>
    <w:rsid w:val="001F06DB"/>
    <w:rsid w:val="001F7201"/>
    <w:rsid w:val="001F765A"/>
    <w:rsid w:val="00215D3C"/>
    <w:rsid w:val="00223A29"/>
    <w:rsid w:val="002250A3"/>
    <w:rsid w:val="00235217"/>
    <w:rsid w:val="00246D1F"/>
    <w:rsid w:val="00247403"/>
    <w:rsid w:val="00247542"/>
    <w:rsid w:val="002633C5"/>
    <w:rsid w:val="00264733"/>
    <w:rsid w:val="00266B61"/>
    <w:rsid w:val="0026712A"/>
    <w:rsid w:val="0027041B"/>
    <w:rsid w:val="002704DB"/>
    <w:rsid w:val="00293B48"/>
    <w:rsid w:val="00295B40"/>
    <w:rsid w:val="002A0AAE"/>
    <w:rsid w:val="002A5820"/>
    <w:rsid w:val="002A5B1B"/>
    <w:rsid w:val="002B701F"/>
    <w:rsid w:val="002C695D"/>
    <w:rsid w:val="002C7A3F"/>
    <w:rsid w:val="002D2B26"/>
    <w:rsid w:val="002D7EA2"/>
    <w:rsid w:val="002E187C"/>
    <w:rsid w:val="002E3204"/>
    <w:rsid w:val="00302733"/>
    <w:rsid w:val="003062AA"/>
    <w:rsid w:val="00311025"/>
    <w:rsid w:val="00313837"/>
    <w:rsid w:val="00314078"/>
    <w:rsid w:val="0031535D"/>
    <w:rsid w:val="00322E40"/>
    <w:rsid w:val="003239B8"/>
    <w:rsid w:val="0033169F"/>
    <w:rsid w:val="00344977"/>
    <w:rsid w:val="00346C95"/>
    <w:rsid w:val="00356185"/>
    <w:rsid w:val="00360380"/>
    <w:rsid w:val="0037303B"/>
    <w:rsid w:val="0037519E"/>
    <w:rsid w:val="00384E9A"/>
    <w:rsid w:val="00386CF0"/>
    <w:rsid w:val="003910D0"/>
    <w:rsid w:val="003A2E9B"/>
    <w:rsid w:val="003B3BC3"/>
    <w:rsid w:val="003B70FB"/>
    <w:rsid w:val="003C676B"/>
    <w:rsid w:val="003D3BC2"/>
    <w:rsid w:val="003E6CA1"/>
    <w:rsid w:val="003F1E4C"/>
    <w:rsid w:val="00402E62"/>
    <w:rsid w:val="004065A8"/>
    <w:rsid w:val="004165C2"/>
    <w:rsid w:val="00441ECB"/>
    <w:rsid w:val="00445193"/>
    <w:rsid w:val="00461B2B"/>
    <w:rsid w:val="00462C1B"/>
    <w:rsid w:val="00467B7E"/>
    <w:rsid w:val="00473BB4"/>
    <w:rsid w:val="00475166"/>
    <w:rsid w:val="00477592"/>
    <w:rsid w:val="00486F1C"/>
    <w:rsid w:val="004908D8"/>
    <w:rsid w:val="0049419D"/>
    <w:rsid w:val="004A5D86"/>
    <w:rsid w:val="004A6A54"/>
    <w:rsid w:val="004B140D"/>
    <w:rsid w:val="004B4F58"/>
    <w:rsid w:val="004C20D2"/>
    <w:rsid w:val="004C2312"/>
    <w:rsid w:val="004C3394"/>
    <w:rsid w:val="004C4B62"/>
    <w:rsid w:val="004C54C9"/>
    <w:rsid w:val="004D4ABA"/>
    <w:rsid w:val="004D6025"/>
    <w:rsid w:val="004D709B"/>
    <w:rsid w:val="004E2649"/>
    <w:rsid w:val="004E56A7"/>
    <w:rsid w:val="004F0424"/>
    <w:rsid w:val="004F7B46"/>
    <w:rsid w:val="00501399"/>
    <w:rsid w:val="005053BF"/>
    <w:rsid w:val="0050633D"/>
    <w:rsid w:val="00507BC4"/>
    <w:rsid w:val="005128E4"/>
    <w:rsid w:val="005133DB"/>
    <w:rsid w:val="00525560"/>
    <w:rsid w:val="005305CC"/>
    <w:rsid w:val="00534AD2"/>
    <w:rsid w:val="00544C49"/>
    <w:rsid w:val="005454DF"/>
    <w:rsid w:val="005516A1"/>
    <w:rsid w:val="005619D6"/>
    <w:rsid w:val="00563557"/>
    <w:rsid w:val="0057402A"/>
    <w:rsid w:val="005771D0"/>
    <w:rsid w:val="0059191A"/>
    <w:rsid w:val="005921FF"/>
    <w:rsid w:val="005A24ED"/>
    <w:rsid w:val="005A6D0E"/>
    <w:rsid w:val="005B2B88"/>
    <w:rsid w:val="005B52B0"/>
    <w:rsid w:val="005B576C"/>
    <w:rsid w:val="005B6806"/>
    <w:rsid w:val="005C4225"/>
    <w:rsid w:val="005F0DAD"/>
    <w:rsid w:val="005F0F33"/>
    <w:rsid w:val="005F1B9C"/>
    <w:rsid w:val="00600DEB"/>
    <w:rsid w:val="006015BB"/>
    <w:rsid w:val="006069CB"/>
    <w:rsid w:val="00620A64"/>
    <w:rsid w:val="006269F5"/>
    <w:rsid w:val="00627C9F"/>
    <w:rsid w:val="006311E9"/>
    <w:rsid w:val="00632354"/>
    <w:rsid w:val="00642810"/>
    <w:rsid w:val="00643CF0"/>
    <w:rsid w:val="006502D0"/>
    <w:rsid w:val="00652333"/>
    <w:rsid w:val="0068009E"/>
    <w:rsid w:val="00680A7B"/>
    <w:rsid w:val="00692219"/>
    <w:rsid w:val="00696B84"/>
    <w:rsid w:val="00696BA0"/>
    <w:rsid w:val="006A17D2"/>
    <w:rsid w:val="006A2FE1"/>
    <w:rsid w:val="006A73E6"/>
    <w:rsid w:val="006B2D5C"/>
    <w:rsid w:val="006C1E6F"/>
    <w:rsid w:val="006C39D2"/>
    <w:rsid w:val="006C4EB1"/>
    <w:rsid w:val="006C615E"/>
    <w:rsid w:val="006D60D5"/>
    <w:rsid w:val="006E0166"/>
    <w:rsid w:val="006E7B34"/>
    <w:rsid w:val="006F08B6"/>
    <w:rsid w:val="00703678"/>
    <w:rsid w:val="0070428C"/>
    <w:rsid w:val="0070697F"/>
    <w:rsid w:val="0072199C"/>
    <w:rsid w:val="00722C9F"/>
    <w:rsid w:val="007237C7"/>
    <w:rsid w:val="007253B8"/>
    <w:rsid w:val="00727F72"/>
    <w:rsid w:val="0073741F"/>
    <w:rsid w:val="00741F23"/>
    <w:rsid w:val="007502F0"/>
    <w:rsid w:val="007524C3"/>
    <w:rsid w:val="00754F74"/>
    <w:rsid w:val="0076643F"/>
    <w:rsid w:val="00777F63"/>
    <w:rsid w:val="0079293F"/>
    <w:rsid w:val="00796744"/>
    <w:rsid w:val="007A5817"/>
    <w:rsid w:val="007B05C4"/>
    <w:rsid w:val="007B60E9"/>
    <w:rsid w:val="007B6CC3"/>
    <w:rsid w:val="007B76D3"/>
    <w:rsid w:val="007C3334"/>
    <w:rsid w:val="007C3C36"/>
    <w:rsid w:val="007C768A"/>
    <w:rsid w:val="007D2B98"/>
    <w:rsid w:val="007E21BC"/>
    <w:rsid w:val="007E7C82"/>
    <w:rsid w:val="007F28E6"/>
    <w:rsid w:val="007F588D"/>
    <w:rsid w:val="007F7E64"/>
    <w:rsid w:val="00803F1C"/>
    <w:rsid w:val="0080600E"/>
    <w:rsid w:val="0081065F"/>
    <w:rsid w:val="008131F0"/>
    <w:rsid w:val="00816CC4"/>
    <w:rsid w:val="00817612"/>
    <w:rsid w:val="008338A4"/>
    <w:rsid w:val="00834D49"/>
    <w:rsid w:val="00837C45"/>
    <w:rsid w:val="00843858"/>
    <w:rsid w:val="00844730"/>
    <w:rsid w:val="008457C2"/>
    <w:rsid w:val="00857A82"/>
    <w:rsid w:val="0086261F"/>
    <w:rsid w:val="00862EA8"/>
    <w:rsid w:val="00873836"/>
    <w:rsid w:val="00876B07"/>
    <w:rsid w:val="00885737"/>
    <w:rsid w:val="00890650"/>
    <w:rsid w:val="00896E44"/>
    <w:rsid w:val="00897E12"/>
    <w:rsid w:val="008A58EA"/>
    <w:rsid w:val="008A7E0F"/>
    <w:rsid w:val="008B12F5"/>
    <w:rsid w:val="008C1AE5"/>
    <w:rsid w:val="008D768D"/>
    <w:rsid w:val="008E3759"/>
    <w:rsid w:val="008E3BFE"/>
    <w:rsid w:val="008E7DEE"/>
    <w:rsid w:val="008F1912"/>
    <w:rsid w:val="0090270B"/>
    <w:rsid w:val="009041DC"/>
    <w:rsid w:val="00917B5A"/>
    <w:rsid w:val="00920A58"/>
    <w:rsid w:val="00920A8C"/>
    <w:rsid w:val="009228D9"/>
    <w:rsid w:val="00934A2C"/>
    <w:rsid w:val="00936A64"/>
    <w:rsid w:val="00954ABF"/>
    <w:rsid w:val="00963B72"/>
    <w:rsid w:val="0096706E"/>
    <w:rsid w:val="00973CB2"/>
    <w:rsid w:val="00974491"/>
    <w:rsid w:val="00975C4E"/>
    <w:rsid w:val="00981FBA"/>
    <w:rsid w:val="00997BC5"/>
    <w:rsid w:val="009A4F41"/>
    <w:rsid w:val="009B381B"/>
    <w:rsid w:val="009D1753"/>
    <w:rsid w:val="009D7611"/>
    <w:rsid w:val="009E0B61"/>
    <w:rsid w:val="009E46D7"/>
    <w:rsid w:val="009E53DE"/>
    <w:rsid w:val="00A11E44"/>
    <w:rsid w:val="00A328B3"/>
    <w:rsid w:val="00A44EDA"/>
    <w:rsid w:val="00A50FCF"/>
    <w:rsid w:val="00A51480"/>
    <w:rsid w:val="00A528D1"/>
    <w:rsid w:val="00A610CD"/>
    <w:rsid w:val="00A637AA"/>
    <w:rsid w:val="00A7502C"/>
    <w:rsid w:val="00A758AA"/>
    <w:rsid w:val="00A97028"/>
    <w:rsid w:val="00AA09A2"/>
    <w:rsid w:val="00AA7996"/>
    <w:rsid w:val="00AB23F0"/>
    <w:rsid w:val="00AC19CB"/>
    <w:rsid w:val="00AD1274"/>
    <w:rsid w:val="00AE5488"/>
    <w:rsid w:val="00AE683D"/>
    <w:rsid w:val="00AE6F91"/>
    <w:rsid w:val="00AF1FA6"/>
    <w:rsid w:val="00AF3123"/>
    <w:rsid w:val="00AF35BF"/>
    <w:rsid w:val="00AF5571"/>
    <w:rsid w:val="00B00BA1"/>
    <w:rsid w:val="00B010DC"/>
    <w:rsid w:val="00B036A3"/>
    <w:rsid w:val="00B07341"/>
    <w:rsid w:val="00B24A4C"/>
    <w:rsid w:val="00B30539"/>
    <w:rsid w:val="00B314DB"/>
    <w:rsid w:val="00B361F2"/>
    <w:rsid w:val="00B3718B"/>
    <w:rsid w:val="00B37AD7"/>
    <w:rsid w:val="00B4632A"/>
    <w:rsid w:val="00B52284"/>
    <w:rsid w:val="00B530F1"/>
    <w:rsid w:val="00B74AF3"/>
    <w:rsid w:val="00BA276C"/>
    <w:rsid w:val="00BB306F"/>
    <w:rsid w:val="00BB720E"/>
    <w:rsid w:val="00BD4B89"/>
    <w:rsid w:val="00BD5922"/>
    <w:rsid w:val="00BE2E7E"/>
    <w:rsid w:val="00BF02CB"/>
    <w:rsid w:val="00BF43CB"/>
    <w:rsid w:val="00BF6FD8"/>
    <w:rsid w:val="00C03680"/>
    <w:rsid w:val="00C054DF"/>
    <w:rsid w:val="00C21762"/>
    <w:rsid w:val="00C21FEF"/>
    <w:rsid w:val="00C24543"/>
    <w:rsid w:val="00C256A2"/>
    <w:rsid w:val="00C26827"/>
    <w:rsid w:val="00C30F0F"/>
    <w:rsid w:val="00C32A02"/>
    <w:rsid w:val="00C4071E"/>
    <w:rsid w:val="00C456EB"/>
    <w:rsid w:val="00C51515"/>
    <w:rsid w:val="00C53F8C"/>
    <w:rsid w:val="00C5660B"/>
    <w:rsid w:val="00C578BB"/>
    <w:rsid w:val="00C66B72"/>
    <w:rsid w:val="00C87AC4"/>
    <w:rsid w:val="00C94875"/>
    <w:rsid w:val="00C9567A"/>
    <w:rsid w:val="00CB212D"/>
    <w:rsid w:val="00CB2660"/>
    <w:rsid w:val="00CC0051"/>
    <w:rsid w:val="00CC06C8"/>
    <w:rsid w:val="00CC5E90"/>
    <w:rsid w:val="00CD046C"/>
    <w:rsid w:val="00CE076C"/>
    <w:rsid w:val="00CE5199"/>
    <w:rsid w:val="00CE66D5"/>
    <w:rsid w:val="00CF637A"/>
    <w:rsid w:val="00D059DE"/>
    <w:rsid w:val="00D05ABD"/>
    <w:rsid w:val="00D0780A"/>
    <w:rsid w:val="00D11E4A"/>
    <w:rsid w:val="00D13FCE"/>
    <w:rsid w:val="00D306D1"/>
    <w:rsid w:val="00D30800"/>
    <w:rsid w:val="00D34786"/>
    <w:rsid w:val="00D37BFC"/>
    <w:rsid w:val="00D47A8E"/>
    <w:rsid w:val="00D51903"/>
    <w:rsid w:val="00D52D14"/>
    <w:rsid w:val="00D67A30"/>
    <w:rsid w:val="00D712D3"/>
    <w:rsid w:val="00D71422"/>
    <w:rsid w:val="00D72DC6"/>
    <w:rsid w:val="00D7558D"/>
    <w:rsid w:val="00D81D92"/>
    <w:rsid w:val="00D876F9"/>
    <w:rsid w:val="00D97E88"/>
    <w:rsid w:val="00DA7B5F"/>
    <w:rsid w:val="00DB18E0"/>
    <w:rsid w:val="00DC11E7"/>
    <w:rsid w:val="00DC5B38"/>
    <w:rsid w:val="00DC7023"/>
    <w:rsid w:val="00DC769A"/>
    <w:rsid w:val="00DD3D86"/>
    <w:rsid w:val="00DF1EC4"/>
    <w:rsid w:val="00DF29EB"/>
    <w:rsid w:val="00DF6E3F"/>
    <w:rsid w:val="00E0340B"/>
    <w:rsid w:val="00E04A90"/>
    <w:rsid w:val="00E0551F"/>
    <w:rsid w:val="00E219C7"/>
    <w:rsid w:val="00E3130A"/>
    <w:rsid w:val="00E364F1"/>
    <w:rsid w:val="00E374D6"/>
    <w:rsid w:val="00E4118C"/>
    <w:rsid w:val="00E43157"/>
    <w:rsid w:val="00E461CE"/>
    <w:rsid w:val="00E720CA"/>
    <w:rsid w:val="00E75E4C"/>
    <w:rsid w:val="00E84EB5"/>
    <w:rsid w:val="00E85662"/>
    <w:rsid w:val="00E8789F"/>
    <w:rsid w:val="00E91643"/>
    <w:rsid w:val="00E97B71"/>
    <w:rsid w:val="00EA3D34"/>
    <w:rsid w:val="00EA5C1B"/>
    <w:rsid w:val="00EB454D"/>
    <w:rsid w:val="00ED549D"/>
    <w:rsid w:val="00ED76BE"/>
    <w:rsid w:val="00EE00E9"/>
    <w:rsid w:val="00EE3E81"/>
    <w:rsid w:val="00EE4620"/>
    <w:rsid w:val="00EF10CF"/>
    <w:rsid w:val="00EF619B"/>
    <w:rsid w:val="00F00B55"/>
    <w:rsid w:val="00F02AD1"/>
    <w:rsid w:val="00F13316"/>
    <w:rsid w:val="00F253CC"/>
    <w:rsid w:val="00F34CD8"/>
    <w:rsid w:val="00F37106"/>
    <w:rsid w:val="00F42E25"/>
    <w:rsid w:val="00F519CF"/>
    <w:rsid w:val="00F56BA5"/>
    <w:rsid w:val="00F575FD"/>
    <w:rsid w:val="00F60E22"/>
    <w:rsid w:val="00F630E6"/>
    <w:rsid w:val="00F76D0B"/>
    <w:rsid w:val="00F81395"/>
    <w:rsid w:val="00F81BB8"/>
    <w:rsid w:val="00F917D1"/>
    <w:rsid w:val="00F9255C"/>
    <w:rsid w:val="00F9653B"/>
    <w:rsid w:val="00FB12A4"/>
    <w:rsid w:val="00FB2471"/>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31F0"/>
    <w:rPr>
      <w:sz w:val="16"/>
      <w:szCs w:val="16"/>
    </w:rPr>
  </w:style>
  <w:style w:type="paragraph" w:styleId="CommentText">
    <w:name w:val="annotation text"/>
    <w:basedOn w:val="Normal"/>
    <w:link w:val="CommentTextChar"/>
    <w:uiPriority w:val="99"/>
    <w:semiHidden/>
    <w:unhideWhenUsed/>
    <w:rsid w:val="008131F0"/>
    <w:rPr>
      <w:sz w:val="20"/>
      <w:szCs w:val="20"/>
    </w:rPr>
  </w:style>
  <w:style w:type="character" w:customStyle="1" w:styleId="CommentTextChar">
    <w:name w:val="Comment Text Char"/>
    <w:basedOn w:val="DefaultParagraphFont"/>
    <w:link w:val="CommentText"/>
    <w:uiPriority w:val="99"/>
    <w:semiHidden/>
    <w:rsid w:val="008131F0"/>
    <w:rPr>
      <w:lang w:val="en-US" w:eastAsia="en-US"/>
    </w:rPr>
  </w:style>
  <w:style w:type="paragraph" w:styleId="CommentSubject">
    <w:name w:val="annotation subject"/>
    <w:basedOn w:val="CommentText"/>
    <w:next w:val="CommentText"/>
    <w:link w:val="CommentSubjectChar"/>
    <w:uiPriority w:val="99"/>
    <w:semiHidden/>
    <w:unhideWhenUsed/>
    <w:rsid w:val="008131F0"/>
    <w:rPr>
      <w:b/>
      <w:bCs/>
    </w:rPr>
  </w:style>
  <w:style w:type="character" w:customStyle="1" w:styleId="CommentSubjectChar">
    <w:name w:val="Comment Subject Char"/>
    <w:basedOn w:val="CommentTextChar"/>
    <w:link w:val="CommentSubject"/>
    <w:uiPriority w:val="99"/>
    <w:semiHidden/>
    <w:rsid w:val="008131F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800F2"/>
    <w:rsid w:val="00153A19"/>
    <w:rsid w:val="001551BA"/>
    <w:rsid w:val="00186708"/>
    <w:rsid w:val="00200821"/>
    <w:rsid w:val="002B16E0"/>
    <w:rsid w:val="00340E2E"/>
    <w:rsid w:val="00394049"/>
    <w:rsid w:val="00453AFF"/>
    <w:rsid w:val="004C2512"/>
    <w:rsid w:val="004F2DF8"/>
    <w:rsid w:val="005B5EE9"/>
    <w:rsid w:val="00622CCC"/>
    <w:rsid w:val="00774806"/>
    <w:rsid w:val="00802D3E"/>
    <w:rsid w:val="009679C2"/>
    <w:rsid w:val="009A261B"/>
    <w:rsid w:val="009D28B8"/>
    <w:rsid w:val="00AC15A4"/>
    <w:rsid w:val="00B0336C"/>
    <w:rsid w:val="00BF641E"/>
    <w:rsid w:val="00CF65D8"/>
    <w:rsid w:val="00DE216D"/>
    <w:rsid w:val="00F00D2F"/>
    <w:rsid w:val="00F128DF"/>
    <w:rsid w:val="00F17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ECF3F-0A13-4099-9746-DC0329ED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2252</Words>
  <Characters>12842</Characters>
  <Application>Microsoft Office Word</Application>
  <DocSecurity>0</DocSecurity>
  <Lines>107</Lines>
  <Paragraphs>30</Paragraphs>
  <ScaleCrop>false</ScaleCrop>
  <Company/>
  <LinksUpToDate>false</LinksUpToDate>
  <CharactersWithSpaces>15064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3/19</dc:title>
  <dc:creator/>
  <cp:lastModifiedBy/>
  <cp:revision>1</cp:revision>
  <dcterms:created xsi:type="dcterms:W3CDTF">2019-04-10T19:32:00Z</dcterms:created>
  <dcterms:modified xsi:type="dcterms:W3CDTF">2019-04-10T19:33:00Z</dcterms:modified>
</cp:coreProperties>
</file>