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8505C2" w:rsidRDefault="00D306D1" w:rsidP="00627C9F">
      <w:pPr>
        <w:jc w:val="both"/>
        <w:rPr>
          <w:rFonts w:asciiTheme="majorHAnsi" w:hAnsiTheme="majorHAnsi" w:cs="Univers"/>
          <w:b/>
          <w:bCs/>
          <w:sz w:val="22"/>
          <w:szCs w:val="22"/>
          <w:lang w:val="es-ES"/>
        </w:rPr>
      </w:pPr>
      <w:r w:rsidRPr="008505C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2968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505C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505C2"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505C2"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505C2" w:rsidRDefault="005128E4" w:rsidP="00040C3A">
      <w:pPr>
        <w:tabs>
          <w:tab w:val="center" w:pos="5400"/>
        </w:tabs>
        <w:suppressAutoHyphens/>
        <w:rPr>
          <w:rFonts w:asciiTheme="majorHAnsi" w:hAnsiTheme="majorHAnsi"/>
          <w:sz w:val="22"/>
          <w:szCs w:val="22"/>
          <w:lang w:val="es-ES"/>
        </w:rPr>
      </w:pPr>
    </w:p>
    <w:p w14:paraId="12A36B24" w14:textId="77777777" w:rsidR="005128E4" w:rsidRPr="008505C2" w:rsidRDefault="005128E4" w:rsidP="00040C3A">
      <w:pPr>
        <w:tabs>
          <w:tab w:val="center" w:pos="5400"/>
        </w:tabs>
        <w:suppressAutoHyphens/>
        <w:rPr>
          <w:rFonts w:asciiTheme="majorHAnsi" w:hAnsiTheme="majorHAnsi"/>
          <w:sz w:val="22"/>
          <w:szCs w:val="22"/>
          <w:lang w:val="es-ES"/>
        </w:rPr>
      </w:pPr>
    </w:p>
    <w:p w14:paraId="2252093D" w14:textId="77777777" w:rsidR="005128E4" w:rsidRPr="008505C2" w:rsidRDefault="005128E4" w:rsidP="00040C3A">
      <w:pPr>
        <w:tabs>
          <w:tab w:val="center" w:pos="5400"/>
        </w:tabs>
        <w:suppressAutoHyphens/>
        <w:rPr>
          <w:rFonts w:asciiTheme="majorHAnsi" w:hAnsiTheme="majorHAnsi"/>
          <w:sz w:val="22"/>
          <w:szCs w:val="22"/>
          <w:lang w:val="es-ES"/>
        </w:rPr>
      </w:pPr>
    </w:p>
    <w:p w14:paraId="403935BD" w14:textId="77777777" w:rsidR="00040C3A" w:rsidRPr="008505C2"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8505C2"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8505C2"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8505C2"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8505C2"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8505C2" w:rsidRDefault="003D3BC2" w:rsidP="00040C3A">
      <w:pPr>
        <w:tabs>
          <w:tab w:val="center" w:pos="5400"/>
        </w:tabs>
        <w:suppressAutoHyphens/>
        <w:jc w:val="center"/>
        <w:rPr>
          <w:rFonts w:asciiTheme="majorHAnsi" w:hAnsiTheme="majorHAnsi"/>
          <w:sz w:val="22"/>
          <w:szCs w:val="22"/>
          <w:lang w:val="es-ES"/>
        </w:rPr>
      </w:pPr>
      <w:r w:rsidRPr="008505C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76E166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15B8">
                              <w:rPr>
                                <w:rFonts w:asciiTheme="majorHAnsi" w:hAnsiTheme="majorHAnsi" w:cs="Arial"/>
                                <w:b/>
                                <w:bCs/>
                                <w:color w:val="0D0D0D" w:themeColor="text1" w:themeTint="F2"/>
                                <w:sz w:val="36"/>
                                <w:szCs w:val="22"/>
                                <w:lang w:val="es-ES_tradnl"/>
                              </w:rPr>
                              <w:t>211</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40CF182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505C2">
                              <w:rPr>
                                <w:rFonts w:asciiTheme="majorHAnsi" w:hAnsiTheme="majorHAnsi" w:cs="Arial"/>
                                <w:b/>
                                <w:color w:val="0D0D0D" w:themeColor="text1" w:themeTint="F2"/>
                                <w:sz w:val="36"/>
                                <w:szCs w:val="22"/>
                                <w:lang w:val="es-ES_tradnl"/>
                              </w:rPr>
                              <w:t>709</w:t>
                            </w:r>
                            <w:r w:rsidR="00246D1F" w:rsidRPr="004E2649">
                              <w:rPr>
                                <w:rFonts w:asciiTheme="majorHAnsi" w:hAnsiTheme="majorHAnsi" w:cs="Arial"/>
                                <w:b/>
                                <w:color w:val="0D0D0D" w:themeColor="text1" w:themeTint="F2"/>
                                <w:sz w:val="36"/>
                                <w:szCs w:val="22"/>
                                <w:lang w:val="es-ES_tradnl"/>
                              </w:rPr>
                              <w:t>-</w:t>
                            </w:r>
                            <w:r w:rsidR="008505C2">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1C13D1C1" w14:textId="77777777" w:rsidR="00E2504A" w:rsidRPr="00B2155F" w:rsidRDefault="00E2504A" w:rsidP="00E2504A">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sdt>
                              <w:sdtPr>
                                <w:rPr>
                                  <w:rFonts w:asciiTheme="majorHAnsi" w:hAnsiTheme="majorHAnsi" w:cs="Arial"/>
                                  <w:color w:val="0D0D0D" w:themeColor="text1" w:themeTint="F2"/>
                                  <w:szCs w:val="22"/>
                                  <w:lang w:val="es-ES"/>
                                </w:rPr>
                                <w:alias w:val="Tipo de Informe"/>
                                <w:tag w:val="Tipo de Informe"/>
                                <w:id w:val="-1892872903"/>
                                <w:dropDownList>
                                  <w:listItem w:value="Choose an item."/>
                                  <w:listItem w:displayText="ADMISIBILIDAD" w:value="ADMISIBILIDAD"/>
                                  <w:listItem w:displayText="INADMISIBILIDAD" w:value="INADMISIBILIDAD"/>
                                </w:dropDownList>
                              </w:sdtPr>
                              <w:sdtEndPr/>
                              <w:sdtContent>
                                <w:r>
                                  <w:rPr>
                                    <w:rFonts w:asciiTheme="majorHAnsi" w:hAnsiTheme="majorHAnsi" w:cs="Arial"/>
                                    <w:color w:val="0D0D0D" w:themeColor="text1" w:themeTint="F2"/>
                                    <w:szCs w:val="22"/>
                                    <w:lang w:val="es-ES"/>
                                  </w:rPr>
                                  <w:t>INADMISIBILIDAD</w:t>
                                </w:r>
                              </w:sdtContent>
                            </w:sdt>
                            <w:r w:rsidRPr="00B2155F">
                              <w:rPr>
                                <w:rFonts w:asciiTheme="majorHAnsi" w:hAnsiTheme="majorHAnsi" w:cs="Arial"/>
                                <w:color w:val="0D0D0D" w:themeColor="text1" w:themeTint="F2"/>
                                <w:szCs w:val="22"/>
                                <w:lang w:val="es-ES"/>
                              </w:rPr>
                              <w:t xml:space="preserve"> </w:t>
                            </w:r>
                          </w:p>
                          <w:p w14:paraId="3F62894B" w14:textId="77777777" w:rsidR="00E2504A" w:rsidRPr="00B2155F" w:rsidRDefault="00E2504A" w:rsidP="00E2504A">
                            <w:pPr>
                              <w:spacing w:line="276" w:lineRule="auto"/>
                              <w:rPr>
                                <w:rFonts w:asciiTheme="majorHAnsi" w:hAnsiTheme="majorHAnsi" w:cs="Arial"/>
                                <w:color w:val="0D0D0D" w:themeColor="text1" w:themeTint="F2"/>
                                <w:szCs w:val="22"/>
                                <w:lang w:val="es-ES"/>
                              </w:rPr>
                            </w:pPr>
                            <w:bookmarkStart w:id="0" w:name="_ftnref1"/>
                          </w:p>
                          <w:p w14:paraId="4239D438" w14:textId="01124EE4" w:rsidR="00E2504A" w:rsidRPr="007B0A3F" w:rsidRDefault="00E2504A" w:rsidP="00E2504A">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 xml:space="preserve">ALFONSO LÓPEZ </w:t>
                            </w:r>
                            <w:r w:rsidR="00B66DA8">
                              <w:rPr>
                                <w:rFonts w:asciiTheme="majorHAnsi" w:hAnsiTheme="majorHAnsi" w:cs="Arial"/>
                                <w:color w:val="0D0D0D" w:themeColor="text1" w:themeTint="F2"/>
                                <w:szCs w:val="22"/>
                                <w:lang w:val="es-CO"/>
                              </w:rPr>
                              <w:t>MICHELSEN Y</w:t>
                            </w:r>
                            <w:r>
                              <w:rPr>
                                <w:rFonts w:asciiTheme="majorHAnsi" w:hAnsiTheme="majorHAnsi" w:cs="Arial"/>
                                <w:color w:val="0D0D0D" w:themeColor="text1" w:themeTint="F2"/>
                                <w:szCs w:val="22"/>
                                <w:lang w:val="es-CO"/>
                              </w:rPr>
                              <w:t xml:space="preserve"> OTROS</w:t>
                            </w:r>
                          </w:p>
                          <w:bookmarkEnd w:id="0"/>
                          <w:p w14:paraId="3F8F373E" w14:textId="77777777" w:rsidR="00E2504A" w:rsidRPr="00AE5488" w:rsidRDefault="00EF130F" w:rsidP="00E2504A">
                            <w:pPr>
                              <w:rPr>
                                <w:color w:val="0D0D0D" w:themeColor="text1" w:themeTint="F2"/>
                                <w:lang w:val="es-ES_tradnl"/>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E2504A">
                                  <w:rPr>
                                    <w:rFonts w:asciiTheme="majorHAnsi" w:hAnsiTheme="majorHAnsi" w:cs="Arial"/>
                                    <w:bCs/>
                                    <w:color w:val="0D0D0D" w:themeColor="text1" w:themeTint="F2"/>
                                    <w:szCs w:val="22"/>
                                    <w:lang w:val="es-ES"/>
                                  </w:rPr>
                                  <w:t>COLOMBIA</w:t>
                                </w:r>
                              </w:sdtContent>
                            </w:sdt>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76E166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15B8">
                        <w:rPr>
                          <w:rFonts w:asciiTheme="majorHAnsi" w:hAnsiTheme="majorHAnsi" w:cs="Arial"/>
                          <w:b/>
                          <w:bCs/>
                          <w:color w:val="0D0D0D" w:themeColor="text1" w:themeTint="F2"/>
                          <w:sz w:val="36"/>
                          <w:szCs w:val="22"/>
                          <w:lang w:val="es-ES_tradnl"/>
                        </w:rPr>
                        <w:t>211</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40CF182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505C2">
                        <w:rPr>
                          <w:rFonts w:asciiTheme="majorHAnsi" w:hAnsiTheme="majorHAnsi" w:cs="Arial"/>
                          <w:b/>
                          <w:color w:val="0D0D0D" w:themeColor="text1" w:themeTint="F2"/>
                          <w:sz w:val="36"/>
                          <w:szCs w:val="22"/>
                          <w:lang w:val="es-ES_tradnl"/>
                        </w:rPr>
                        <w:t>709</w:t>
                      </w:r>
                      <w:r w:rsidR="00246D1F" w:rsidRPr="004E2649">
                        <w:rPr>
                          <w:rFonts w:asciiTheme="majorHAnsi" w:hAnsiTheme="majorHAnsi" w:cs="Arial"/>
                          <w:b/>
                          <w:color w:val="0D0D0D" w:themeColor="text1" w:themeTint="F2"/>
                          <w:sz w:val="36"/>
                          <w:szCs w:val="22"/>
                          <w:lang w:val="es-ES_tradnl"/>
                        </w:rPr>
                        <w:t>-</w:t>
                      </w:r>
                      <w:r w:rsidR="008505C2">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1C13D1C1" w14:textId="77777777" w:rsidR="00E2504A" w:rsidRPr="00B2155F" w:rsidRDefault="00E2504A" w:rsidP="00E2504A">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sdt>
                        <w:sdtPr>
                          <w:rPr>
                            <w:rFonts w:asciiTheme="majorHAnsi" w:hAnsiTheme="majorHAnsi" w:cs="Arial"/>
                            <w:color w:val="0D0D0D" w:themeColor="text1" w:themeTint="F2"/>
                            <w:szCs w:val="22"/>
                            <w:lang w:val="es-ES"/>
                          </w:rPr>
                          <w:alias w:val="Tipo de Informe"/>
                          <w:tag w:val="Tipo de Informe"/>
                          <w:id w:val="-1892872903"/>
                          <w:dropDownList>
                            <w:listItem w:value="Choose an item."/>
                            <w:listItem w:displayText="ADMISIBILIDAD" w:value="ADMISIBILIDAD"/>
                            <w:listItem w:displayText="INADMISIBILIDAD" w:value="INADMISIBILIDAD"/>
                          </w:dropDownList>
                        </w:sdtPr>
                        <w:sdtEndPr/>
                        <w:sdtContent>
                          <w:r>
                            <w:rPr>
                              <w:rFonts w:asciiTheme="majorHAnsi" w:hAnsiTheme="majorHAnsi" w:cs="Arial"/>
                              <w:color w:val="0D0D0D" w:themeColor="text1" w:themeTint="F2"/>
                              <w:szCs w:val="22"/>
                              <w:lang w:val="es-ES"/>
                            </w:rPr>
                            <w:t>INADMISIBILIDAD</w:t>
                          </w:r>
                        </w:sdtContent>
                      </w:sdt>
                      <w:r w:rsidRPr="00B2155F">
                        <w:rPr>
                          <w:rFonts w:asciiTheme="majorHAnsi" w:hAnsiTheme="majorHAnsi" w:cs="Arial"/>
                          <w:color w:val="0D0D0D" w:themeColor="text1" w:themeTint="F2"/>
                          <w:szCs w:val="22"/>
                          <w:lang w:val="es-ES"/>
                        </w:rPr>
                        <w:t xml:space="preserve"> </w:t>
                      </w:r>
                    </w:p>
                    <w:p w14:paraId="3F62894B" w14:textId="77777777" w:rsidR="00E2504A" w:rsidRPr="00B2155F" w:rsidRDefault="00E2504A" w:rsidP="00E2504A">
                      <w:pPr>
                        <w:spacing w:line="276" w:lineRule="auto"/>
                        <w:rPr>
                          <w:rFonts w:asciiTheme="majorHAnsi" w:hAnsiTheme="majorHAnsi" w:cs="Arial"/>
                          <w:color w:val="0D0D0D" w:themeColor="text1" w:themeTint="F2"/>
                          <w:szCs w:val="22"/>
                          <w:lang w:val="es-ES"/>
                        </w:rPr>
                      </w:pPr>
                      <w:bookmarkStart w:id="1" w:name="_ftnref1"/>
                    </w:p>
                    <w:p w14:paraId="4239D438" w14:textId="01124EE4" w:rsidR="00E2504A" w:rsidRPr="007B0A3F" w:rsidRDefault="00E2504A" w:rsidP="00E2504A">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 xml:space="preserve">ALFONSO LÓPEZ </w:t>
                      </w:r>
                      <w:r w:rsidR="00B66DA8">
                        <w:rPr>
                          <w:rFonts w:asciiTheme="majorHAnsi" w:hAnsiTheme="majorHAnsi" w:cs="Arial"/>
                          <w:color w:val="0D0D0D" w:themeColor="text1" w:themeTint="F2"/>
                          <w:szCs w:val="22"/>
                          <w:lang w:val="es-CO"/>
                        </w:rPr>
                        <w:t>MICHELSEN Y</w:t>
                      </w:r>
                      <w:r>
                        <w:rPr>
                          <w:rFonts w:asciiTheme="majorHAnsi" w:hAnsiTheme="majorHAnsi" w:cs="Arial"/>
                          <w:color w:val="0D0D0D" w:themeColor="text1" w:themeTint="F2"/>
                          <w:szCs w:val="22"/>
                          <w:lang w:val="es-CO"/>
                        </w:rPr>
                        <w:t xml:space="preserve"> OTROS</w:t>
                      </w:r>
                    </w:p>
                    <w:bookmarkEnd w:id="1"/>
                    <w:p w14:paraId="3F8F373E" w14:textId="77777777" w:rsidR="00E2504A" w:rsidRPr="00AE5488" w:rsidRDefault="00EF130F" w:rsidP="00E2504A">
                      <w:pPr>
                        <w:rPr>
                          <w:color w:val="0D0D0D" w:themeColor="text1" w:themeTint="F2"/>
                          <w:lang w:val="es-ES_tradnl"/>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E2504A">
                            <w:rPr>
                              <w:rFonts w:asciiTheme="majorHAnsi" w:hAnsiTheme="majorHAnsi" w:cs="Arial"/>
                              <w:bCs/>
                              <w:color w:val="0D0D0D" w:themeColor="text1" w:themeTint="F2"/>
                              <w:szCs w:val="22"/>
                              <w:lang w:val="es-ES"/>
                            </w:rPr>
                            <w:t>COLOMBIA</w:t>
                          </w:r>
                        </w:sdtContent>
                      </w:sdt>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505C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9BDF18D" w:rsidR="00627C9F" w:rsidRPr="00B66DA8" w:rsidRDefault="00834D49" w:rsidP="007A5817">
                            <w:pPr>
                              <w:spacing w:line="276" w:lineRule="auto"/>
                              <w:jc w:val="right"/>
                              <w:rPr>
                                <w:rFonts w:asciiTheme="minorHAnsi" w:hAnsiTheme="minorHAnsi"/>
                                <w:color w:val="FFFFFF" w:themeColor="background1"/>
                                <w:sz w:val="22"/>
                                <w:lang w:val="pt-BR"/>
                              </w:rPr>
                            </w:pPr>
                            <w:r w:rsidRPr="00B66DA8">
                              <w:rPr>
                                <w:rFonts w:asciiTheme="minorHAnsi" w:hAnsiTheme="minorHAnsi"/>
                                <w:color w:val="FFFFFF" w:themeColor="background1"/>
                                <w:sz w:val="22"/>
                                <w:lang w:val="pt-BR"/>
                              </w:rPr>
                              <w:t>OEA/Ser.L/V/II.</w:t>
                            </w:r>
                          </w:p>
                          <w:p w14:paraId="6A41611B" w14:textId="1AB9AF31" w:rsidR="00627C9F" w:rsidRPr="00B66DA8" w:rsidRDefault="00EF15B8" w:rsidP="007A5817">
                            <w:pPr>
                              <w:spacing w:line="276" w:lineRule="auto"/>
                              <w:jc w:val="right"/>
                              <w:rPr>
                                <w:rFonts w:asciiTheme="minorHAnsi" w:hAnsiTheme="minorHAnsi"/>
                                <w:color w:val="FFFFFF" w:themeColor="background1"/>
                                <w:sz w:val="22"/>
                                <w:lang w:val="pt-BR"/>
                              </w:rPr>
                            </w:pPr>
                            <w:r w:rsidRPr="00B66DA8">
                              <w:rPr>
                                <w:rFonts w:asciiTheme="minorHAnsi" w:hAnsiTheme="minorHAnsi"/>
                                <w:color w:val="FFFFFF" w:themeColor="background1"/>
                                <w:sz w:val="22"/>
                                <w:lang w:val="pt-BR"/>
                              </w:rPr>
                              <w:t>Doc. 237</w:t>
                            </w:r>
                          </w:p>
                          <w:p w14:paraId="69373ED2" w14:textId="051C2FD0" w:rsidR="00627C9F" w:rsidRPr="001B4C00" w:rsidRDefault="00EF15B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junio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9BDF18D" w:rsidR="00627C9F" w:rsidRPr="00B66DA8" w:rsidRDefault="00834D49" w:rsidP="007A5817">
                      <w:pPr>
                        <w:spacing w:line="276" w:lineRule="auto"/>
                        <w:jc w:val="right"/>
                        <w:rPr>
                          <w:rFonts w:asciiTheme="minorHAnsi" w:hAnsiTheme="minorHAnsi"/>
                          <w:color w:val="FFFFFF" w:themeColor="background1"/>
                          <w:sz w:val="22"/>
                          <w:lang w:val="pt-BR"/>
                        </w:rPr>
                      </w:pPr>
                      <w:r w:rsidRPr="00B66DA8">
                        <w:rPr>
                          <w:rFonts w:asciiTheme="minorHAnsi" w:hAnsiTheme="minorHAnsi"/>
                          <w:color w:val="FFFFFF" w:themeColor="background1"/>
                          <w:sz w:val="22"/>
                          <w:lang w:val="pt-BR"/>
                        </w:rPr>
                        <w:t>OEA/Ser.L/V/II.</w:t>
                      </w:r>
                    </w:p>
                    <w:p w14:paraId="6A41611B" w14:textId="1AB9AF31" w:rsidR="00627C9F" w:rsidRPr="00B66DA8" w:rsidRDefault="00EF15B8" w:rsidP="007A5817">
                      <w:pPr>
                        <w:spacing w:line="276" w:lineRule="auto"/>
                        <w:jc w:val="right"/>
                        <w:rPr>
                          <w:rFonts w:asciiTheme="minorHAnsi" w:hAnsiTheme="minorHAnsi"/>
                          <w:color w:val="FFFFFF" w:themeColor="background1"/>
                          <w:sz w:val="22"/>
                          <w:lang w:val="pt-BR"/>
                        </w:rPr>
                      </w:pPr>
                      <w:r w:rsidRPr="00B66DA8">
                        <w:rPr>
                          <w:rFonts w:asciiTheme="minorHAnsi" w:hAnsiTheme="minorHAnsi"/>
                          <w:color w:val="FFFFFF" w:themeColor="background1"/>
                          <w:sz w:val="22"/>
                          <w:lang w:val="pt-BR"/>
                        </w:rPr>
                        <w:t>Doc. 237</w:t>
                      </w:r>
                    </w:p>
                    <w:p w14:paraId="69373ED2" w14:textId="051C2FD0" w:rsidR="00627C9F" w:rsidRPr="001B4C00" w:rsidRDefault="00EF15B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junio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8505C2"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8505C2"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8505C2"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8505C2"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8505C2"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8505C2"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8505C2" w:rsidRDefault="0090270B" w:rsidP="00040C3A">
      <w:pPr>
        <w:tabs>
          <w:tab w:val="center" w:pos="5400"/>
        </w:tabs>
        <w:suppressAutoHyphens/>
        <w:jc w:val="center"/>
        <w:rPr>
          <w:rFonts w:asciiTheme="majorHAnsi" w:hAnsiTheme="majorHAnsi"/>
          <w:sz w:val="18"/>
          <w:szCs w:val="22"/>
          <w:lang w:val="es-ES"/>
        </w:rPr>
      </w:pPr>
      <w:r w:rsidRPr="008505C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2395CF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F15B8">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F15B8">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64628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2395CF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F15B8">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EF15B8">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64628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8505C2" w:rsidRDefault="0090270B" w:rsidP="00040C3A">
      <w:pPr>
        <w:tabs>
          <w:tab w:val="center" w:pos="5400"/>
        </w:tabs>
        <w:suppressAutoHyphens/>
        <w:jc w:val="center"/>
        <w:rPr>
          <w:rFonts w:asciiTheme="majorHAnsi" w:hAnsiTheme="majorHAnsi"/>
          <w:sz w:val="18"/>
          <w:szCs w:val="22"/>
          <w:lang w:val="es-ES"/>
        </w:rPr>
      </w:pPr>
      <w:r w:rsidRPr="008505C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876C1B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15B8" w:rsidRPr="00EF15B8">
                              <w:rPr>
                                <w:rFonts w:asciiTheme="majorHAnsi" w:hAnsiTheme="majorHAnsi"/>
                                <w:color w:val="595959" w:themeColor="text1" w:themeTint="A6"/>
                                <w:sz w:val="18"/>
                                <w:szCs w:val="18"/>
                                <w:lang w:val="pt-BR"/>
                              </w:rPr>
                              <w:t>211</w:t>
                            </w:r>
                            <w:r w:rsidR="007B05C4" w:rsidRPr="00EF15B8">
                              <w:rPr>
                                <w:rFonts w:asciiTheme="majorHAnsi" w:hAnsiTheme="majorHAnsi"/>
                                <w:color w:val="595959" w:themeColor="text1" w:themeTint="A6"/>
                                <w:sz w:val="18"/>
                                <w:szCs w:val="18"/>
                                <w:lang w:val="pt-BR"/>
                              </w:rPr>
                              <w:t>/</w:t>
                            </w:r>
                            <w:r w:rsidR="00EF15B8" w:rsidRPr="00EF15B8">
                              <w:rPr>
                                <w:rFonts w:asciiTheme="majorHAnsi" w:hAnsiTheme="majorHAnsi"/>
                                <w:color w:val="595959" w:themeColor="text1" w:themeTint="A6"/>
                                <w:sz w:val="18"/>
                                <w:szCs w:val="18"/>
                                <w:lang w:val="pt-BR"/>
                              </w:rPr>
                              <w:t>19</w:t>
                            </w:r>
                            <w:r w:rsidRPr="00EF15B8">
                              <w:rPr>
                                <w:rFonts w:asciiTheme="majorHAnsi" w:hAnsiTheme="majorHAnsi"/>
                                <w:color w:val="595959" w:themeColor="text1" w:themeTint="A6"/>
                                <w:sz w:val="18"/>
                                <w:szCs w:val="18"/>
                                <w:lang w:val="pt-BR"/>
                              </w:rPr>
                              <w:t>.</w:t>
                            </w:r>
                            <w:r w:rsidR="0064628A">
                              <w:rPr>
                                <w:rFonts w:asciiTheme="majorHAnsi" w:hAnsiTheme="majorHAnsi"/>
                                <w:color w:val="595959" w:themeColor="text1" w:themeTint="A6"/>
                                <w:sz w:val="18"/>
                                <w:szCs w:val="18"/>
                                <w:lang w:val="pt-BR"/>
                              </w:rPr>
                              <w:t xml:space="preserve"> Petición 709-07. </w:t>
                            </w:r>
                            <w:r w:rsidRPr="00EF15B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EF15B8">
                              <w:rPr>
                                <w:rFonts w:asciiTheme="majorHAnsi" w:hAnsiTheme="majorHAnsi"/>
                                <w:color w:val="595959" w:themeColor="text1" w:themeTint="A6"/>
                                <w:sz w:val="18"/>
                                <w:szCs w:val="18"/>
                                <w:lang w:val="es-ES_tradnl"/>
                              </w:rPr>
                              <w:t xml:space="preserve">Alfonso López </w:t>
                            </w:r>
                            <w:proofErr w:type="spellStart"/>
                            <w:r w:rsidR="00EF15B8">
                              <w:rPr>
                                <w:rFonts w:asciiTheme="majorHAnsi" w:hAnsiTheme="majorHAnsi"/>
                                <w:color w:val="595959" w:themeColor="text1" w:themeTint="A6"/>
                                <w:sz w:val="18"/>
                                <w:szCs w:val="18"/>
                                <w:lang w:val="es-ES_tradnl"/>
                              </w:rPr>
                              <w:t>Michelsen</w:t>
                            </w:r>
                            <w:proofErr w:type="spellEnd"/>
                            <w:r w:rsidR="00EF15B8">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EF15B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F15B8">
                              <w:rPr>
                                <w:rFonts w:asciiTheme="majorHAnsi" w:hAnsiTheme="majorHAnsi"/>
                                <w:color w:val="595959" w:themeColor="text1" w:themeTint="A6"/>
                                <w:sz w:val="18"/>
                                <w:szCs w:val="18"/>
                                <w:lang w:val="es-ES"/>
                              </w:rPr>
                              <w:t>7 de junio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876C1B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F15B8" w:rsidRPr="00EF15B8">
                        <w:rPr>
                          <w:rFonts w:asciiTheme="majorHAnsi" w:hAnsiTheme="majorHAnsi"/>
                          <w:color w:val="595959" w:themeColor="text1" w:themeTint="A6"/>
                          <w:sz w:val="18"/>
                          <w:szCs w:val="18"/>
                          <w:lang w:val="pt-BR"/>
                        </w:rPr>
                        <w:t>211</w:t>
                      </w:r>
                      <w:r w:rsidR="007B05C4" w:rsidRPr="00EF15B8">
                        <w:rPr>
                          <w:rFonts w:asciiTheme="majorHAnsi" w:hAnsiTheme="majorHAnsi"/>
                          <w:color w:val="595959" w:themeColor="text1" w:themeTint="A6"/>
                          <w:sz w:val="18"/>
                          <w:szCs w:val="18"/>
                          <w:lang w:val="pt-BR"/>
                        </w:rPr>
                        <w:t>/</w:t>
                      </w:r>
                      <w:r w:rsidR="00EF15B8" w:rsidRPr="00EF15B8">
                        <w:rPr>
                          <w:rFonts w:asciiTheme="majorHAnsi" w:hAnsiTheme="majorHAnsi"/>
                          <w:color w:val="595959" w:themeColor="text1" w:themeTint="A6"/>
                          <w:sz w:val="18"/>
                          <w:szCs w:val="18"/>
                          <w:lang w:val="pt-BR"/>
                        </w:rPr>
                        <w:t>19</w:t>
                      </w:r>
                      <w:r w:rsidRPr="00EF15B8">
                        <w:rPr>
                          <w:rFonts w:asciiTheme="majorHAnsi" w:hAnsiTheme="majorHAnsi"/>
                          <w:color w:val="595959" w:themeColor="text1" w:themeTint="A6"/>
                          <w:sz w:val="18"/>
                          <w:szCs w:val="18"/>
                          <w:lang w:val="pt-BR"/>
                        </w:rPr>
                        <w:t>.</w:t>
                      </w:r>
                      <w:r w:rsidR="0064628A">
                        <w:rPr>
                          <w:rFonts w:asciiTheme="majorHAnsi" w:hAnsiTheme="majorHAnsi"/>
                          <w:color w:val="595959" w:themeColor="text1" w:themeTint="A6"/>
                          <w:sz w:val="18"/>
                          <w:szCs w:val="18"/>
                          <w:lang w:val="pt-BR"/>
                        </w:rPr>
                        <w:t xml:space="preserve"> Petición 709-07. </w:t>
                      </w:r>
                      <w:r w:rsidRPr="00EF15B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EF15B8">
                        <w:rPr>
                          <w:rFonts w:asciiTheme="majorHAnsi" w:hAnsiTheme="majorHAnsi"/>
                          <w:color w:val="595959" w:themeColor="text1" w:themeTint="A6"/>
                          <w:sz w:val="18"/>
                          <w:szCs w:val="18"/>
                          <w:lang w:val="es-ES_tradnl"/>
                        </w:rPr>
                        <w:t xml:space="preserve">Alfonso López </w:t>
                      </w:r>
                      <w:proofErr w:type="spellStart"/>
                      <w:r w:rsidR="00EF15B8">
                        <w:rPr>
                          <w:rFonts w:asciiTheme="majorHAnsi" w:hAnsiTheme="majorHAnsi"/>
                          <w:color w:val="595959" w:themeColor="text1" w:themeTint="A6"/>
                          <w:sz w:val="18"/>
                          <w:szCs w:val="18"/>
                          <w:lang w:val="es-ES_tradnl"/>
                        </w:rPr>
                        <w:t>Michelsen</w:t>
                      </w:r>
                      <w:proofErr w:type="spellEnd"/>
                      <w:r w:rsidR="00EF15B8">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EF15B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F15B8">
                        <w:rPr>
                          <w:rFonts w:asciiTheme="majorHAnsi" w:hAnsiTheme="majorHAnsi"/>
                          <w:color w:val="595959" w:themeColor="text1" w:themeTint="A6"/>
                          <w:sz w:val="18"/>
                          <w:szCs w:val="18"/>
                          <w:lang w:val="es-ES"/>
                        </w:rPr>
                        <w:t>7 de junio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505C2" w:rsidRDefault="00A50FCF" w:rsidP="00040C3A">
      <w:pPr>
        <w:tabs>
          <w:tab w:val="center" w:pos="5400"/>
        </w:tabs>
        <w:suppressAutoHyphens/>
        <w:jc w:val="center"/>
        <w:rPr>
          <w:rFonts w:asciiTheme="majorHAnsi" w:hAnsiTheme="majorHAnsi"/>
          <w:sz w:val="18"/>
          <w:szCs w:val="22"/>
          <w:lang w:val="es-ES"/>
        </w:rPr>
      </w:pPr>
    </w:p>
    <w:p w14:paraId="1DA07629" w14:textId="44A8FF76" w:rsidR="0090270B" w:rsidRPr="008505C2" w:rsidRDefault="00D306D1" w:rsidP="005516A1">
      <w:pPr>
        <w:tabs>
          <w:tab w:val="center" w:pos="5400"/>
        </w:tabs>
        <w:suppressAutoHyphens/>
        <w:jc w:val="center"/>
        <w:rPr>
          <w:rFonts w:asciiTheme="majorHAnsi" w:hAnsiTheme="majorHAnsi"/>
          <w:b/>
          <w:sz w:val="20"/>
          <w:lang w:val="es-ES"/>
        </w:rPr>
      </w:pPr>
      <w:r w:rsidRPr="008505C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A1DBF0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25D233E" w:rsidR="0070697F" w:rsidRPr="008505C2" w:rsidRDefault="0064628A" w:rsidP="005516A1">
      <w:pPr>
        <w:tabs>
          <w:tab w:val="center" w:pos="5400"/>
        </w:tabs>
        <w:suppressAutoHyphens/>
        <w:jc w:val="center"/>
        <w:rPr>
          <w:rFonts w:asciiTheme="majorHAnsi" w:hAnsiTheme="majorHAnsi"/>
          <w:b/>
          <w:sz w:val="20"/>
          <w:lang w:val="es-ES"/>
        </w:rPr>
        <w:sectPr w:rsidR="0070697F" w:rsidRPr="008505C2"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8505C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4B18E5F">
                <wp:simplePos x="0" y="0"/>
                <wp:positionH relativeFrom="column">
                  <wp:posOffset>1333500</wp:posOffset>
                </wp:positionH>
                <wp:positionV relativeFrom="paragraph">
                  <wp:posOffset>242570</wp:posOffset>
                </wp:positionV>
                <wp:extent cx="4096385" cy="8147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814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19.1pt;width:322.55pt;height:6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8505C2">
        <w:rPr>
          <w:rFonts w:asciiTheme="majorHAnsi" w:hAnsiTheme="majorHAnsi"/>
          <w:b/>
          <w:sz w:val="20"/>
          <w:lang w:val="es-ES"/>
        </w:rPr>
        <w:tab/>
      </w:r>
    </w:p>
    <w:p w14:paraId="376DDC8B" w14:textId="77777777" w:rsidR="003239B8" w:rsidRPr="008505C2" w:rsidRDefault="003239B8" w:rsidP="007C402A">
      <w:pPr>
        <w:spacing w:after="120"/>
        <w:ind w:firstLine="720"/>
        <w:jc w:val="both"/>
        <w:rPr>
          <w:rFonts w:asciiTheme="majorHAnsi" w:hAnsiTheme="majorHAnsi"/>
          <w:b/>
          <w:bCs/>
          <w:sz w:val="20"/>
          <w:szCs w:val="20"/>
          <w:lang w:val="es-ES"/>
        </w:rPr>
      </w:pPr>
      <w:r w:rsidRPr="008505C2">
        <w:rPr>
          <w:rFonts w:asciiTheme="majorHAnsi" w:hAnsiTheme="majorHAnsi"/>
          <w:b/>
          <w:bCs/>
          <w:sz w:val="20"/>
          <w:szCs w:val="20"/>
          <w:lang w:val="es-ES"/>
        </w:rPr>
        <w:lastRenderedPageBreak/>
        <w:t>I.</w:t>
      </w:r>
      <w:r w:rsidRPr="008505C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2504A" w:rsidRPr="008505C2" w14:paraId="5A79D1F7" w14:textId="77777777" w:rsidTr="006B4A96">
        <w:tc>
          <w:tcPr>
            <w:tcW w:w="2790" w:type="dxa"/>
            <w:tcBorders>
              <w:top w:val="single" w:sz="4" w:space="0" w:color="auto"/>
              <w:bottom w:val="single" w:sz="6" w:space="0" w:color="auto"/>
            </w:tcBorders>
            <w:shd w:val="clear" w:color="auto" w:fill="386294"/>
            <w:vAlign w:val="center"/>
          </w:tcPr>
          <w:p w14:paraId="0CB2A43B" w14:textId="6FB89BFC" w:rsidR="00E2504A" w:rsidRPr="008505C2" w:rsidRDefault="00E2504A" w:rsidP="008D2290">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Parte peticionaria</w:t>
            </w:r>
          </w:p>
        </w:tc>
        <w:tc>
          <w:tcPr>
            <w:tcW w:w="6570" w:type="dxa"/>
          </w:tcPr>
          <w:p w14:paraId="3C5315D8" w14:textId="22DD2AA6" w:rsidR="00E2504A" w:rsidRPr="008505C2" w:rsidRDefault="00E2504A" w:rsidP="008D2290">
            <w:pPr>
              <w:jc w:val="both"/>
              <w:rPr>
                <w:rFonts w:asciiTheme="majorHAnsi" w:hAnsiTheme="majorHAnsi"/>
                <w:bCs/>
                <w:sz w:val="19"/>
                <w:szCs w:val="19"/>
                <w:lang w:val="es-ES"/>
              </w:rPr>
            </w:pPr>
            <w:r w:rsidRPr="008505C2">
              <w:rPr>
                <w:rFonts w:asciiTheme="majorHAnsi" w:hAnsiTheme="majorHAnsi"/>
                <w:sz w:val="19"/>
                <w:szCs w:val="19"/>
                <w:lang w:val="es-ES"/>
              </w:rPr>
              <w:t xml:space="preserve">Diego Muñoz Tamayo </w:t>
            </w:r>
          </w:p>
        </w:tc>
      </w:tr>
      <w:tr w:rsidR="00E2504A" w:rsidRPr="0064628A" w14:paraId="593A7E45" w14:textId="77777777" w:rsidTr="006B4A96">
        <w:tc>
          <w:tcPr>
            <w:tcW w:w="2790" w:type="dxa"/>
            <w:tcBorders>
              <w:top w:val="single" w:sz="6" w:space="0" w:color="auto"/>
              <w:bottom w:val="single" w:sz="6" w:space="0" w:color="auto"/>
            </w:tcBorders>
            <w:shd w:val="clear" w:color="auto" w:fill="386294"/>
            <w:vAlign w:val="center"/>
          </w:tcPr>
          <w:p w14:paraId="0E78CA0C" w14:textId="6191E4A1" w:rsidR="00E2504A" w:rsidRPr="008505C2" w:rsidRDefault="00E2504A" w:rsidP="008D2290">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Presunta víctima</w:t>
            </w:r>
          </w:p>
        </w:tc>
        <w:tc>
          <w:tcPr>
            <w:tcW w:w="6570" w:type="dxa"/>
          </w:tcPr>
          <w:p w14:paraId="4AEBF59E" w14:textId="4CA23FB6" w:rsidR="00E2504A" w:rsidRPr="008505C2" w:rsidRDefault="00E2504A" w:rsidP="005B6D22">
            <w:pPr>
              <w:jc w:val="both"/>
              <w:rPr>
                <w:rFonts w:asciiTheme="majorHAnsi" w:hAnsiTheme="majorHAnsi"/>
                <w:bCs/>
                <w:sz w:val="19"/>
                <w:szCs w:val="19"/>
                <w:lang w:val="es-ES"/>
              </w:rPr>
            </w:pPr>
            <w:r w:rsidRPr="008505C2">
              <w:rPr>
                <w:rFonts w:asciiTheme="majorHAnsi" w:hAnsiTheme="majorHAnsi"/>
                <w:sz w:val="19"/>
                <w:szCs w:val="19"/>
                <w:lang w:val="es-ES"/>
              </w:rPr>
              <w:t>Alfonso López Michelsen y otros</w:t>
            </w:r>
            <w:r w:rsidR="008505C2" w:rsidRPr="008505C2">
              <w:rPr>
                <w:rFonts w:asciiTheme="majorHAnsi" w:hAnsiTheme="majorHAnsi"/>
                <w:bCs/>
                <w:sz w:val="19"/>
                <w:szCs w:val="19"/>
                <w:vertAlign w:val="superscript"/>
                <w:lang w:val="es-CO"/>
              </w:rPr>
              <w:footnoteReference w:id="2"/>
            </w:r>
            <w:r w:rsidRPr="008505C2">
              <w:rPr>
                <w:rFonts w:asciiTheme="majorHAnsi" w:hAnsiTheme="majorHAnsi"/>
                <w:sz w:val="19"/>
                <w:szCs w:val="19"/>
                <w:lang w:val="es-ES"/>
              </w:rPr>
              <w:t xml:space="preserve">  </w:t>
            </w:r>
          </w:p>
        </w:tc>
      </w:tr>
      <w:tr w:rsidR="00E2504A" w:rsidRPr="008505C2" w14:paraId="3E62E1D3" w14:textId="77777777" w:rsidTr="006B4A96">
        <w:tc>
          <w:tcPr>
            <w:tcW w:w="2790" w:type="dxa"/>
            <w:tcBorders>
              <w:top w:val="single" w:sz="6" w:space="0" w:color="auto"/>
              <w:bottom w:val="single" w:sz="6" w:space="0" w:color="auto"/>
            </w:tcBorders>
            <w:shd w:val="clear" w:color="auto" w:fill="386294"/>
            <w:vAlign w:val="center"/>
          </w:tcPr>
          <w:p w14:paraId="340B0F09" w14:textId="16C11299" w:rsidR="00E2504A" w:rsidRPr="008505C2" w:rsidRDefault="00E2504A" w:rsidP="008D2290">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Estado denunciado</w:t>
            </w:r>
          </w:p>
        </w:tc>
        <w:tc>
          <w:tcPr>
            <w:tcW w:w="6570" w:type="dxa"/>
          </w:tcPr>
          <w:p w14:paraId="274C8A50" w14:textId="6ED4B68D" w:rsidR="00E2504A" w:rsidRPr="008505C2" w:rsidRDefault="00E2504A" w:rsidP="008D2290">
            <w:pPr>
              <w:jc w:val="both"/>
              <w:rPr>
                <w:rFonts w:asciiTheme="majorHAnsi" w:hAnsiTheme="majorHAnsi"/>
                <w:bCs/>
                <w:sz w:val="19"/>
                <w:szCs w:val="19"/>
                <w:lang w:val="es-ES"/>
              </w:rPr>
            </w:pPr>
            <w:r w:rsidRPr="008505C2">
              <w:rPr>
                <w:rFonts w:asciiTheme="majorHAnsi" w:hAnsiTheme="majorHAnsi"/>
                <w:sz w:val="19"/>
                <w:szCs w:val="19"/>
                <w:lang w:val="es-ES"/>
              </w:rPr>
              <w:t>Colombia</w:t>
            </w:r>
            <w:r w:rsidR="008505C2" w:rsidRPr="008505C2">
              <w:rPr>
                <w:rFonts w:asciiTheme="majorHAnsi" w:hAnsiTheme="majorHAnsi"/>
                <w:b/>
                <w:sz w:val="19"/>
                <w:szCs w:val="19"/>
                <w:vertAlign w:val="superscript"/>
                <w:lang w:val="es-ES_tradnl"/>
              </w:rPr>
              <w:footnoteReference w:id="3"/>
            </w:r>
            <w:r w:rsidRPr="008505C2">
              <w:rPr>
                <w:rFonts w:asciiTheme="majorHAnsi" w:hAnsiTheme="majorHAnsi"/>
                <w:sz w:val="19"/>
                <w:szCs w:val="19"/>
                <w:lang w:val="es-ES"/>
              </w:rPr>
              <w:t xml:space="preserve"> </w:t>
            </w:r>
          </w:p>
        </w:tc>
      </w:tr>
      <w:tr w:rsidR="00E2504A" w:rsidRPr="0064628A" w14:paraId="632511BC" w14:textId="77777777" w:rsidTr="006B4A96">
        <w:tc>
          <w:tcPr>
            <w:tcW w:w="2790" w:type="dxa"/>
            <w:tcBorders>
              <w:top w:val="single" w:sz="6" w:space="0" w:color="auto"/>
              <w:bottom w:val="single" w:sz="6" w:space="0" w:color="auto"/>
            </w:tcBorders>
            <w:shd w:val="clear" w:color="auto" w:fill="386294"/>
            <w:vAlign w:val="center"/>
          </w:tcPr>
          <w:p w14:paraId="727E2F6B" w14:textId="1D86EADA" w:rsidR="00E2504A" w:rsidRPr="008505C2" w:rsidRDefault="00E2504A" w:rsidP="00E4118C">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Derechos invocados</w:t>
            </w:r>
          </w:p>
        </w:tc>
        <w:tc>
          <w:tcPr>
            <w:tcW w:w="6570" w:type="dxa"/>
          </w:tcPr>
          <w:p w14:paraId="6DEE1EEB" w14:textId="6E45BB37" w:rsidR="00E2504A" w:rsidRPr="008505C2" w:rsidRDefault="00E2504A" w:rsidP="0034224A">
            <w:pPr>
              <w:jc w:val="both"/>
              <w:rPr>
                <w:rFonts w:asciiTheme="majorHAnsi" w:hAnsiTheme="majorHAnsi"/>
                <w:bCs/>
                <w:sz w:val="19"/>
                <w:szCs w:val="19"/>
                <w:lang w:val="es-ES"/>
              </w:rPr>
            </w:pPr>
            <w:r w:rsidRPr="008505C2">
              <w:rPr>
                <w:rFonts w:asciiTheme="majorHAnsi" w:hAnsiTheme="majorHAnsi"/>
                <w:sz w:val="19"/>
                <w:szCs w:val="19"/>
                <w:lang w:val="es-ES"/>
              </w:rPr>
              <w:t>Artículos 1.1 (Obligación de Respetar los Derechos), 2 (Deber de Adoptar Disposiciones de Derecho Interno), 8 (Garantías Judiciales) y 25 (Protección Judicial) de la Convención Americana sobre Derechos Humanos</w:t>
            </w:r>
            <w:r w:rsidR="008505C2" w:rsidRPr="008505C2">
              <w:rPr>
                <w:rFonts w:asciiTheme="majorHAnsi" w:hAnsiTheme="majorHAnsi"/>
                <w:bCs/>
                <w:sz w:val="19"/>
                <w:szCs w:val="19"/>
                <w:vertAlign w:val="superscript"/>
                <w:lang w:val="es-ES"/>
              </w:rPr>
              <w:footnoteReference w:id="4"/>
            </w:r>
            <w:r w:rsidRPr="008505C2">
              <w:rPr>
                <w:rFonts w:asciiTheme="majorHAnsi" w:hAnsiTheme="majorHAnsi"/>
                <w:sz w:val="19"/>
                <w:szCs w:val="19"/>
                <w:lang w:val="es-ES"/>
              </w:rPr>
              <w:t xml:space="preserve"> </w:t>
            </w:r>
          </w:p>
        </w:tc>
      </w:tr>
    </w:tbl>
    <w:p w14:paraId="20263696" w14:textId="77777777" w:rsidR="003239B8" w:rsidRPr="008505C2" w:rsidRDefault="003239B8" w:rsidP="007C402A">
      <w:pPr>
        <w:spacing w:before="120" w:after="120"/>
        <w:ind w:firstLine="720"/>
        <w:jc w:val="both"/>
        <w:rPr>
          <w:rFonts w:asciiTheme="majorHAnsi" w:hAnsiTheme="majorHAnsi"/>
          <w:b/>
          <w:bCs/>
          <w:sz w:val="20"/>
          <w:szCs w:val="20"/>
          <w:lang w:val="es-ES"/>
        </w:rPr>
      </w:pPr>
      <w:r w:rsidRPr="008505C2">
        <w:rPr>
          <w:rFonts w:asciiTheme="majorHAnsi" w:hAnsiTheme="majorHAnsi"/>
          <w:b/>
          <w:bCs/>
          <w:sz w:val="20"/>
          <w:szCs w:val="20"/>
          <w:lang w:val="es-ES"/>
        </w:rPr>
        <w:t>II.</w:t>
      </w:r>
      <w:r w:rsidRPr="008505C2">
        <w:rPr>
          <w:rFonts w:asciiTheme="majorHAnsi" w:hAnsiTheme="majorHAnsi"/>
          <w:b/>
          <w:bCs/>
          <w:sz w:val="20"/>
          <w:szCs w:val="20"/>
          <w:lang w:val="es-ES"/>
        </w:rPr>
        <w:tab/>
        <w:t>TRÁMITE ANTE LA CIDH</w:t>
      </w:r>
      <w:r w:rsidR="008E3BFE" w:rsidRPr="008505C2">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2504A" w:rsidRPr="008505C2"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E2504A" w:rsidRPr="008505C2" w:rsidRDefault="00E2504A" w:rsidP="004A6A54">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Recepción de la petición</w:t>
            </w:r>
          </w:p>
        </w:tc>
        <w:tc>
          <w:tcPr>
            <w:tcW w:w="6570" w:type="dxa"/>
            <w:vAlign w:val="center"/>
          </w:tcPr>
          <w:p w14:paraId="6E579153" w14:textId="2D936EC3" w:rsidR="00E2504A" w:rsidRPr="008505C2" w:rsidRDefault="00E2504A" w:rsidP="002625EA">
            <w:pPr>
              <w:jc w:val="both"/>
              <w:rPr>
                <w:rFonts w:ascii="Cambria" w:hAnsi="Cambria"/>
                <w:bCs/>
                <w:sz w:val="19"/>
                <w:szCs w:val="19"/>
                <w:lang w:val="es-ES"/>
              </w:rPr>
            </w:pPr>
            <w:r w:rsidRPr="008505C2">
              <w:rPr>
                <w:rFonts w:asciiTheme="majorHAnsi" w:hAnsiTheme="majorHAnsi"/>
                <w:bCs/>
                <w:sz w:val="19"/>
                <w:szCs w:val="19"/>
                <w:lang w:val="es-ES"/>
              </w:rPr>
              <w:t>4 de junio de 2007</w:t>
            </w:r>
          </w:p>
        </w:tc>
      </w:tr>
      <w:tr w:rsidR="00E2504A" w:rsidRPr="0064628A"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E2504A" w:rsidRPr="008505C2" w:rsidRDefault="00E2504A" w:rsidP="004A6A54">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Información adicional recibida en la etapa de estudio</w:t>
            </w:r>
          </w:p>
        </w:tc>
        <w:tc>
          <w:tcPr>
            <w:tcW w:w="6570" w:type="dxa"/>
            <w:vAlign w:val="center"/>
          </w:tcPr>
          <w:p w14:paraId="796669C8" w14:textId="0C0CFC9E" w:rsidR="00E2504A" w:rsidRPr="008505C2" w:rsidRDefault="00E2504A" w:rsidP="002625EA">
            <w:pPr>
              <w:jc w:val="both"/>
              <w:rPr>
                <w:rFonts w:ascii="Cambria" w:hAnsi="Cambria"/>
                <w:bCs/>
                <w:sz w:val="19"/>
                <w:szCs w:val="19"/>
                <w:lang w:val="es-ES"/>
              </w:rPr>
            </w:pPr>
            <w:r w:rsidRPr="008505C2">
              <w:rPr>
                <w:rFonts w:asciiTheme="majorHAnsi" w:hAnsiTheme="majorHAnsi"/>
                <w:bCs/>
                <w:sz w:val="19"/>
                <w:szCs w:val="19"/>
                <w:lang w:val="es-ES"/>
              </w:rPr>
              <w:t>12 de septiembre  de 2008 y 30 de marzo de 2009</w:t>
            </w:r>
          </w:p>
        </w:tc>
      </w:tr>
      <w:tr w:rsidR="00E2504A" w:rsidRPr="008505C2"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E2504A" w:rsidRPr="008505C2" w:rsidRDefault="00E2504A" w:rsidP="000C1C69">
            <w:pPr>
              <w:jc w:val="center"/>
              <w:rPr>
                <w:rFonts w:ascii="Cambria" w:hAnsi="Cambria"/>
                <w:bCs/>
                <w:color w:val="FFFFFF" w:themeColor="background1"/>
                <w:sz w:val="19"/>
                <w:szCs w:val="19"/>
                <w:lang w:val="es-ES"/>
              </w:rPr>
            </w:pPr>
            <w:r w:rsidRPr="008505C2">
              <w:rPr>
                <w:rFonts w:ascii="Cambria" w:hAnsi="Cambria"/>
                <w:color w:val="FFFFFF" w:themeColor="background1"/>
                <w:sz w:val="19"/>
                <w:szCs w:val="19"/>
                <w:lang w:val="es-ES"/>
              </w:rPr>
              <w:t>Notificación de la petición</w:t>
            </w:r>
          </w:p>
        </w:tc>
        <w:tc>
          <w:tcPr>
            <w:tcW w:w="6570" w:type="dxa"/>
            <w:vAlign w:val="center"/>
          </w:tcPr>
          <w:p w14:paraId="1519DA6A" w14:textId="694401B4" w:rsidR="00E2504A" w:rsidRPr="008505C2" w:rsidRDefault="00E2504A" w:rsidP="008D2290">
            <w:pPr>
              <w:jc w:val="both"/>
              <w:rPr>
                <w:rFonts w:ascii="Cambria" w:hAnsi="Cambria"/>
                <w:bCs/>
                <w:sz w:val="19"/>
                <w:szCs w:val="19"/>
                <w:lang w:val="es-ES"/>
              </w:rPr>
            </w:pPr>
            <w:r w:rsidRPr="008505C2">
              <w:rPr>
                <w:rFonts w:asciiTheme="majorHAnsi" w:hAnsiTheme="majorHAnsi"/>
                <w:bCs/>
                <w:sz w:val="19"/>
                <w:szCs w:val="19"/>
                <w:lang w:val="es-ES"/>
              </w:rPr>
              <w:t>10 de mayo de 2011</w:t>
            </w:r>
          </w:p>
        </w:tc>
      </w:tr>
      <w:tr w:rsidR="00E2504A" w:rsidRPr="008505C2"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E2504A" w:rsidRPr="008505C2" w:rsidRDefault="00E2504A" w:rsidP="00F06354">
            <w:pPr>
              <w:jc w:val="center"/>
              <w:rPr>
                <w:rFonts w:ascii="Cambria" w:hAnsi="Cambria"/>
                <w:bCs/>
                <w:color w:val="FFFFFF" w:themeColor="background1"/>
                <w:sz w:val="19"/>
                <w:szCs w:val="19"/>
                <w:lang w:val="es-ES"/>
              </w:rPr>
            </w:pPr>
            <w:r w:rsidRPr="008505C2">
              <w:rPr>
                <w:rFonts w:ascii="Cambria" w:hAnsi="Cambria"/>
                <w:color w:val="FFFFFF" w:themeColor="background1"/>
                <w:sz w:val="19"/>
                <w:szCs w:val="19"/>
                <w:lang w:val="es-ES"/>
              </w:rPr>
              <w:t>Primera respuesta del Estado</w:t>
            </w:r>
          </w:p>
        </w:tc>
        <w:tc>
          <w:tcPr>
            <w:tcW w:w="6570" w:type="dxa"/>
            <w:vAlign w:val="center"/>
          </w:tcPr>
          <w:p w14:paraId="1972B99E" w14:textId="71023B17" w:rsidR="00E2504A" w:rsidRPr="008505C2" w:rsidRDefault="00E2504A" w:rsidP="00F06354">
            <w:pPr>
              <w:jc w:val="both"/>
              <w:rPr>
                <w:rFonts w:ascii="Cambria" w:hAnsi="Cambria"/>
                <w:bCs/>
                <w:sz w:val="19"/>
                <w:szCs w:val="19"/>
                <w:lang w:val="es-ES"/>
              </w:rPr>
            </w:pPr>
            <w:r w:rsidRPr="008505C2">
              <w:rPr>
                <w:rFonts w:asciiTheme="majorHAnsi" w:hAnsiTheme="majorHAnsi"/>
                <w:bCs/>
                <w:sz w:val="19"/>
                <w:szCs w:val="19"/>
                <w:lang w:val="es-ES"/>
              </w:rPr>
              <w:t>26 de septiembre de 2011</w:t>
            </w:r>
          </w:p>
        </w:tc>
      </w:tr>
      <w:tr w:rsidR="00E2504A" w:rsidRPr="0064628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E2504A" w:rsidRPr="008505C2" w:rsidRDefault="00E2504A" w:rsidP="00F06354">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Observaciones adicionales de la parte peticionaria</w:t>
            </w:r>
          </w:p>
        </w:tc>
        <w:tc>
          <w:tcPr>
            <w:tcW w:w="6570" w:type="dxa"/>
            <w:vAlign w:val="center"/>
          </w:tcPr>
          <w:p w14:paraId="41D8B862" w14:textId="7DA1E65A" w:rsidR="00E2504A" w:rsidRPr="008505C2" w:rsidRDefault="00E2504A" w:rsidP="00D77503">
            <w:pPr>
              <w:jc w:val="both"/>
              <w:rPr>
                <w:rFonts w:ascii="Cambria" w:hAnsi="Cambria"/>
                <w:bCs/>
                <w:sz w:val="19"/>
                <w:szCs w:val="19"/>
                <w:lang w:val="es-ES"/>
              </w:rPr>
            </w:pPr>
            <w:r w:rsidRPr="008505C2">
              <w:rPr>
                <w:rFonts w:asciiTheme="majorHAnsi" w:hAnsiTheme="majorHAnsi"/>
                <w:bCs/>
                <w:sz w:val="19"/>
                <w:szCs w:val="19"/>
                <w:lang w:val="es-ES"/>
              </w:rPr>
              <w:t>27 de septiembre de 2012, 25 de febrero y 9 de octubre de 2013, 5 febrero de 2014 y 21 de junio de 2016</w:t>
            </w:r>
          </w:p>
        </w:tc>
      </w:tr>
      <w:tr w:rsidR="00E2504A" w:rsidRPr="0064628A"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E2504A" w:rsidRPr="008505C2" w:rsidRDefault="00E2504A" w:rsidP="00F06354">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Observaciones adicionales del Estado</w:t>
            </w:r>
          </w:p>
        </w:tc>
        <w:tc>
          <w:tcPr>
            <w:tcW w:w="6570" w:type="dxa"/>
            <w:vAlign w:val="center"/>
          </w:tcPr>
          <w:p w14:paraId="3CE49AFE" w14:textId="470EF46B" w:rsidR="00E2504A" w:rsidRPr="008505C2" w:rsidRDefault="00E2504A" w:rsidP="00F06354">
            <w:pPr>
              <w:jc w:val="both"/>
              <w:rPr>
                <w:rFonts w:ascii="Cambria" w:hAnsi="Cambria"/>
                <w:bCs/>
                <w:sz w:val="19"/>
                <w:szCs w:val="19"/>
                <w:lang w:val="es-ES"/>
              </w:rPr>
            </w:pPr>
            <w:r w:rsidRPr="008505C2">
              <w:rPr>
                <w:rFonts w:asciiTheme="majorHAnsi" w:hAnsiTheme="majorHAnsi"/>
                <w:bCs/>
                <w:sz w:val="19"/>
                <w:szCs w:val="19"/>
                <w:lang w:val="es-ES"/>
              </w:rPr>
              <w:t>20 de noviembre de 2012 y 18 de octubre de 2013</w:t>
            </w:r>
          </w:p>
        </w:tc>
      </w:tr>
    </w:tbl>
    <w:p w14:paraId="21DAA666" w14:textId="5065046E" w:rsidR="003239B8" w:rsidRPr="008505C2" w:rsidRDefault="003239B8" w:rsidP="007C402A">
      <w:pPr>
        <w:spacing w:before="120" w:after="120"/>
        <w:ind w:firstLine="720"/>
        <w:jc w:val="both"/>
        <w:rPr>
          <w:rFonts w:asciiTheme="majorHAnsi" w:hAnsiTheme="majorHAnsi"/>
          <w:b/>
          <w:bCs/>
          <w:sz w:val="20"/>
          <w:szCs w:val="20"/>
          <w:lang w:val="es-ES"/>
        </w:rPr>
      </w:pPr>
      <w:r w:rsidRPr="008505C2">
        <w:rPr>
          <w:rFonts w:asciiTheme="majorHAnsi" w:hAnsiTheme="majorHAnsi"/>
          <w:b/>
          <w:bCs/>
          <w:sz w:val="20"/>
          <w:szCs w:val="20"/>
          <w:lang w:val="es-ES"/>
        </w:rPr>
        <w:t xml:space="preserve">III. </w:t>
      </w:r>
      <w:r w:rsidRPr="008505C2">
        <w:rPr>
          <w:rFonts w:asciiTheme="majorHAnsi" w:hAnsiTheme="majorHAnsi"/>
          <w:b/>
          <w:bCs/>
          <w:sz w:val="20"/>
          <w:szCs w:val="20"/>
          <w:lang w:val="es-ES"/>
        </w:rPr>
        <w:tab/>
        <w:t>COMPETENCIA</w:t>
      </w:r>
      <w:r w:rsidR="00EE00E9" w:rsidRPr="008505C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2504A" w:rsidRPr="0064628A" w14:paraId="072532AD" w14:textId="77777777" w:rsidTr="009F665E">
        <w:trPr>
          <w:cantSplit/>
        </w:trPr>
        <w:tc>
          <w:tcPr>
            <w:tcW w:w="2790" w:type="dxa"/>
            <w:tcBorders>
              <w:top w:val="single" w:sz="4" w:space="0" w:color="auto"/>
              <w:bottom w:val="single" w:sz="6" w:space="0" w:color="auto"/>
            </w:tcBorders>
            <w:shd w:val="clear" w:color="auto" w:fill="386294"/>
            <w:vAlign w:val="center"/>
          </w:tcPr>
          <w:p w14:paraId="5C2E4B34" w14:textId="7281AAF8" w:rsidR="00E2504A" w:rsidRPr="008505C2" w:rsidRDefault="00E2504A" w:rsidP="008D2290">
            <w:pPr>
              <w:jc w:val="center"/>
              <w:rPr>
                <w:rFonts w:ascii="Cambria" w:hAnsi="Cambria"/>
                <w:bCs/>
                <w:i/>
                <w:color w:val="FFFFFF" w:themeColor="background1"/>
                <w:sz w:val="19"/>
                <w:szCs w:val="19"/>
                <w:lang w:val="es-ES"/>
              </w:rPr>
            </w:pPr>
            <w:r w:rsidRPr="008505C2">
              <w:rPr>
                <w:rFonts w:ascii="Cambria" w:hAnsi="Cambria"/>
                <w:bCs/>
                <w:i/>
                <w:color w:val="FFFFFF" w:themeColor="background1"/>
                <w:sz w:val="19"/>
                <w:szCs w:val="19"/>
                <w:lang w:val="es-ES"/>
              </w:rPr>
              <w:t>Ratione personae</w:t>
            </w:r>
          </w:p>
        </w:tc>
        <w:tc>
          <w:tcPr>
            <w:tcW w:w="6570" w:type="dxa"/>
          </w:tcPr>
          <w:p w14:paraId="7707F3E9" w14:textId="79F71E0D" w:rsidR="00E2504A" w:rsidRPr="008505C2" w:rsidRDefault="00E2504A" w:rsidP="008D2290">
            <w:pPr>
              <w:rPr>
                <w:rFonts w:ascii="Cambria" w:hAnsi="Cambria"/>
                <w:bCs/>
                <w:sz w:val="19"/>
                <w:szCs w:val="19"/>
                <w:lang w:val="es-ES"/>
              </w:rPr>
            </w:pPr>
            <w:r w:rsidRPr="008505C2">
              <w:rPr>
                <w:rFonts w:ascii="Cambria" w:hAnsi="Cambria"/>
                <w:sz w:val="19"/>
                <w:szCs w:val="19"/>
                <w:lang w:val="es-ES"/>
              </w:rPr>
              <w:t>No, en los términos de la sección V</w:t>
            </w:r>
          </w:p>
        </w:tc>
      </w:tr>
      <w:tr w:rsidR="00E2504A" w:rsidRPr="008505C2" w14:paraId="4B8802DA" w14:textId="77777777" w:rsidTr="009F665E">
        <w:trPr>
          <w:cantSplit/>
        </w:trPr>
        <w:tc>
          <w:tcPr>
            <w:tcW w:w="2790" w:type="dxa"/>
            <w:tcBorders>
              <w:top w:val="single" w:sz="6" w:space="0" w:color="auto"/>
              <w:bottom w:val="single" w:sz="6" w:space="0" w:color="auto"/>
            </w:tcBorders>
            <w:shd w:val="clear" w:color="auto" w:fill="386294"/>
            <w:vAlign w:val="center"/>
          </w:tcPr>
          <w:p w14:paraId="3915C23B" w14:textId="629F623D" w:rsidR="00E2504A" w:rsidRPr="008505C2" w:rsidRDefault="00E2504A" w:rsidP="00D77503">
            <w:pPr>
              <w:jc w:val="center"/>
              <w:rPr>
                <w:rFonts w:ascii="Cambria" w:hAnsi="Cambria"/>
                <w:bCs/>
                <w:color w:val="FFFFFF" w:themeColor="background1"/>
                <w:sz w:val="19"/>
                <w:szCs w:val="19"/>
                <w:lang w:val="es-ES"/>
              </w:rPr>
            </w:pPr>
            <w:proofErr w:type="spellStart"/>
            <w:r w:rsidRPr="008505C2">
              <w:rPr>
                <w:rFonts w:ascii="Cambria" w:hAnsi="Cambria"/>
                <w:bCs/>
                <w:i/>
                <w:color w:val="FFFFFF" w:themeColor="background1"/>
                <w:sz w:val="19"/>
                <w:szCs w:val="19"/>
                <w:lang w:val="es-ES"/>
              </w:rPr>
              <w:t>Ratione</w:t>
            </w:r>
            <w:proofErr w:type="spellEnd"/>
            <w:r w:rsidRPr="008505C2">
              <w:rPr>
                <w:rFonts w:ascii="Cambria" w:hAnsi="Cambria"/>
                <w:bCs/>
                <w:i/>
                <w:color w:val="FFFFFF" w:themeColor="background1"/>
                <w:sz w:val="19"/>
                <w:szCs w:val="19"/>
                <w:lang w:val="es-ES"/>
              </w:rPr>
              <w:t xml:space="preserve"> </w:t>
            </w:r>
            <w:proofErr w:type="spellStart"/>
            <w:r w:rsidRPr="008505C2">
              <w:rPr>
                <w:rFonts w:ascii="Cambria" w:hAnsi="Cambria"/>
                <w:bCs/>
                <w:i/>
                <w:color w:val="FFFFFF" w:themeColor="background1"/>
                <w:sz w:val="19"/>
                <w:szCs w:val="19"/>
                <w:lang w:val="es-ES"/>
              </w:rPr>
              <w:t>loci</w:t>
            </w:r>
            <w:proofErr w:type="spellEnd"/>
          </w:p>
        </w:tc>
        <w:tc>
          <w:tcPr>
            <w:tcW w:w="6570" w:type="dxa"/>
          </w:tcPr>
          <w:p w14:paraId="12C931CB" w14:textId="1848C96B" w:rsidR="00E2504A" w:rsidRPr="008505C2" w:rsidRDefault="00E2504A" w:rsidP="008D2290">
            <w:pPr>
              <w:rPr>
                <w:rFonts w:ascii="Cambria" w:hAnsi="Cambria"/>
                <w:bCs/>
                <w:sz w:val="19"/>
                <w:szCs w:val="19"/>
                <w:lang w:val="es-ES"/>
              </w:rPr>
            </w:pPr>
            <w:r w:rsidRPr="008505C2">
              <w:rPr>
                <w:rFonts w:ascii="Cambria" w:hAnsi="Cambria"/>
                <w:sz w:val="19"/>
                <w:szCs w:val="19"/>
                <w:lang w:val="es-ES"/>
              </w:rPr>
              <w:t>Sí</w:t>
            </w:r>
          </w:p>
        </w:tc>
      </w:tr>
      <w:tr w:rsidR="00E2504A" w:rsidRPr="008505C2" w14:paraId="4362FDF3" w14:textId="77777777" w:rsidTr="009F665E">
        <w:trPr>
          <w:cantSplit/>
        </w:trPr>
        <w:tc>
          <w:tcPr>
            <w:tcW w:w="2790" w:type="dxa"/>
            <w:tcBorders>
              <w:top w:val="single" w:sz="6" w:space="0" w:color="auto"/>
              <w:bottom w:val="single" w:sz="6" w:space="0" w:color="auto"/>
            </w:tcBorders>
            <w:shd w:val="clear" w:color="auto" w:fill="386294"/>
            <w:vAlign w:val="center"/>
          </w:tcPr>
          <w:p w14:paraId="3BE23153" w14:textId="1788B5D3" w:rsidR="00E2504A" w:rsidRPr="008505C2" w:rsidRDefault="00E2504A" w:rsidP="008D2290">
            <w:pPr>
              <w:jc w:val="center"/>
              <w:rPr>
                <w:rFonts w:ascii="Cambria" w:hAnsi="Cambria"/>
                <w:bCs/>
                <w:color w:val="FFFFFF" w:themeColor="background1"/>
                <w:sz w:val="19"/>
                <w:szCs w:val="19"/>
                <w:lang w:val="es-ES"/>
              </w:rPr>
            </w:pPr>
            <w:r w:rsidRPr="008505C2">
              <w:rPr>
                <w:rFonts w:ascii="Cambria" w:hAnsi="Cambria"/>
                <w:bCs/>
                <w:i/>
                <w:color w:val="FFFFFF" w:themeColor="background1"/>
                <w:sz w:val="19"/>
                <w:szCs w:val="19"/>
                <w:lang w:val="es-ES"/>
              </w:rPr>
              <w:t>Ratione temporis</w:t>
            </w:r>
          </w:p>
        </w:tc>
        <w:tc>
          <w:tcPr>
            <w:tcW w:w="6570" w:type="dxa"/>
          </w:tcPr>
          <w:p w14:paraId="6F8B059B" w14:textId="3B63C88A" w:rsidR="00E2504A" w:rsidRPr="008505C2" w:rsidRDefault="00E2504A" w:rsidP="008D2290">
            <w:pPr>
              <w:rPr>
                <w:rFonts w:ascii="Cambria" w:hAnsi="Cambria"/>
                <w:bCs/>
                <w:sz w:val="19"/>
                <w:szCs w:val="19"/>
                <w:lang w:val="es-ES"/>
              </w:rPr>
            </w:pPr>
            <w:r w:rsidRPr="008505C2">
              <w:rPr>
                <w:rFonts w:ascii="Cambria" w:hAnsi="Cambria"/>
                <w:sz w:val="19"/>
                <w:szCs w:val="19"/>
                <w:lang w:val="es-ES"/>
              </w:rPr>
              <w:t>Sí</w:t>
            </w:r>
          </w:p>
        </w:tc>
      </w:tr>
      <w:tr w:rsidR="00E2504A" w:rsidRPr="0064628A" w14:paraId="30ABEC3E" w14:textId="77777777" w:rsidTr="009F665E">
        <w:trPr>
          <w:cantSplit/>
        </w:trPr>
        <w:tc>
          <w:tcPr>
            <w:tcW w:w="2790" w:type="dxa"/>
            <w:tcBorders>
              <w:top w:val="single" w:sz="6" w:space="0" w:color="auto"/>
              <w:bottom w:val="single" w:sz="6" w:space="0" w:color="auto"/>
            </w:tcBorders>
            <w:shd w:val="clear" w:color="auto" w:fill="386294"/>
            <w:vAlign w:val="center"/>
          </w:tcPr>
          <w:p w14:paraId="47B529D2" w14:textId="72B41633" w:rsidR="00E2504A" w:rsidRPr="008505C2" w:rsidRDefault="00E2504A" w:rsidP="008D2290">
            <w:pPr>
              <w:jc w:val="center"/>
              <w:rPr>
                <w:rFonts w:ascii="Cambria" w:hAnsi="Cambria"/>
                <w:bCs/>
                <w:color w:val="FFFFFF" w:themeColor="background1"/>
                <w:sz w:val="19"/>
                <w:szCs w:val="19"/>
                <w:lang w:val="es-ES"/>
              </w:rPr>
            </w:pPr>
            <w:r w:rsidRPr="008505C2">
              <w:rPr>
                <w:rFonts w:ascii="Cambria" w:hAnsi="Cambria"/>
                <w:bCs/>
                <w:i/>
                <w:color w:val="FFFFFF" w:themeColor="background1"/>
                <w:sz w:val="19"/>
                <w:szCs w:val="19"/>
                <w:lang w:val="es-ES"/>
              </w:rPr>
              <w:t>Ratione materiae</w:t>
            </w:r>
          </w:p>
        </w:tc>
        <w:tc>
          <w:tcPr>
            <w:tcW w:w="6570" w:type="dxa"/>
          </w:tcPr>
          <w:p w14:paraId="0C122F44" w14:textId="7E113896" w:rsidR="00E2504A" w:rsidRPr="008505C2" w:rsidRDefault="00E2504A" w:rsidP="008D2290">
            <w:pPr>
              <w:jc w:val="both"/>
              <w:rPr>
                <w:rFonts w:ascii="Cambria" w:hAnsi="Cambria"/>
                <w:bCs/>
                <w:sz w:val="19"/>
                <w:szCs w:val="19"/>
                <w:lang w:val="es-ES"/>
              </w:rPr>
            </w:pPr>
            <w:r w:rsidRPr="008505C2">
              <w:rPr>
                <w:rFonts w:ascii="Cambria" w:hAnsi="Cambria"/>
                <w:sz w:val="19"/>
                <w:szCs w:val="19"/>
                <w:lang w:val="es-ES"/>
              </w:rPr>
              <w:t>Sí, Convención Americana (depósito de instrumento realizado el 31 de julio de 1973)</w:t>
            </w:r>
          </w:p>
        </w:tc>
      </w:tr>
    </w:tbl>
    <w:p w14:paraId="4E92C444" w14:textId="1DAF1B79" w:rsidR="003239B8" w:rsidRPr="008505C2" w:rsidRDefault="003239B8" w:rsidP="007C402A">
      <w:pPr>
        <w:spacing w:before="120" w:after="120"/>
        <w:ind w:firstLine="720"/>
        <w:jc w:val="both"/>
        <w:rPr>
          <w:rFonts w:asciiTheme="majorHAnsi" w:hAnsiTheme="majorHAnsi"/>
          <w:b/>
          <w:bCs/>
          <w:sz w:val="20"/>
          <w:szCs w:val="20"/>
          <w:lang w:val="es-ES"/>
        </w:rPr>
      </w:pPr>
      <w:r w:rsidRPr="008505C2">
        <w:rPr>
          <w:rFonts w:asciiTheme="majorHAnsi" w:hAnsiTheme="majorHAnsi"/>
          <w:b/>
          <w:bCs/>
          <w:sz w:val="20"/>
          <w:szCs w:val="20"/>
          <w:lang w:val="es-ES"/>
        </w:rPr>
        <w:t xml:space="preserve">IV. </w:t>
      </w:r>
      <w:r w:rsidRPr="008505C2">
        <w:rPr>
          <w:rFonts w:asciiTheme="majorHAnsi" w:hAnsiTheme="majorHAnsi"/>
          <w:b/>
          <w:bCs/>
          <w:sz w:val="20"/>
          <w:szCs w:val="20"/>
          <w:lang w:val="es-ES"/>
        </w:rPr>
        <w:tab/>
      </w:r>
      <w:r w:rsidR="00EE00E9" w:rsidRPr="008505C2">
        <w:rPr>
          <w:rFonts w:asciiTheme="majorHAnsi" w:hAnsiTheme="majorHAnsi"/>
          <w:b/>
          <w:bCs/>
          <w:sz w:val="20"/>
          <w:szCs w:val="20"/>
          <w:lang w:val="es-ES"/>
        </w:rPr>
        <w:t>DUPLICACIÓN</w:t>
      </w:r>
      <w:r w:rsidR="00EE00E9" w:rsidRPr="008505C2">
        <w:rPr>
          <w:rFonts w:asciiTheme="majorHAnsi" w:hAnsiTheme="majorHAnsi"/>
          <w:b/>
          <w:bCs/>
          <w:color w:val="FFFFFF" w:themeColor="background1"/>
          <w:sz w:val="20"/>
          <w:szCs w:val="20"/>
          <w:lang w:val="es-ES"/>
        </w:rPr>
        <w:t xml:space="preserve"> </w:t>
      </w:r>
      <w:r w:rsidR="00EE00E9" w:rsidRPr="008505C2">
        <w:rPr>
          <w:rFonts w:asciiTheme="majorHAnsi" w:hAnsiTheme="majorHAnsi"/>
          <w:b/>
          <w:bCs/>
          <w:sz w:val="20"/>
          <w:szCs w:val="20"/>
          <w:lang w:val="es-ES"/>
        </w:rPr>
        <w:t>DE PROCEDIMIENTOS Y COSA JUZGADA</w:t>
      </w:r>
      <w:r w:rsidR="00EE00E9" w:rsidRPr="008505C2">
        <w:rPr>
          <w:rFonts w:asciiTheme="majorHAnsi" w:hAnsiTheme="majorHAnsi"/>
          <w:b/>
          <w:bCs/>
          <w:i/>
          <w:sz w:val="20"/>
          <w:szCs w:val="20"/>
          <w:lang w:val="es-ES"/>
        </w:rPr>
        <w:t xml:space="preserve"> </w:t>
      </w:r>
      <w:r w:rsidR="00EE00E9" w:rsidRPr="008505C2">
        <w:rPr>
          <w:rFonts w:asciiTheme="majorHAnsi" w:hAnsiTheme="majorHAnsi"/>
          <w:b/>
          <w:bCs/>
          <w:sz w:val="20"/>
          <w:szCs w:val="20"/>
          <w:lang w:val="es-ES"/>
        </w:rPr>
        <w:t xml:space="preserve">INTERNACIONAL, </w:t>
      </w:r>
      <w:r w:rsidRPr="008505C2">
        <w:rPr>
          <w:rFonts w:asciiTheme="majorHAnsi" w:hAnsiTheme="majorHAnsi"/>
          <w:b/>
          <w:bCs/>
          <w:sz w:val="20"/>
          <w:szCs w:val="20"/>
          <w:lang w:val="es-ES"/>
        </w:rPr>
        <w:t xml:space="preserve"> CARACTERIZACIÓN, </w:t>
      </w:r>
      <w:r w:rsidRPr="008505C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2504A" w:rsidRPr="0064628A" w14:paraId="1231C988" w14:textId="77777777" w:rsidTr="0044282B">
        <w:trPr>
          <w:cantSplit/>
        </w:trPr>
        <w:tc>
          <w:tcPr>
            <w:tcW w:w="2790" w:type="dxa"/>
            <w:tcBorders>
              <w:top w:val="single" w:sz="4" w:space="0" w:color="auto"/>
              <w:bottom w:val="single" w:sz="6" w:space="0" w:color="auto"/>
            </w:tcBorders>
            <w:shd w:val="clear" w:color="auto" w:fill="386294"/>
            <w:vAlign w:val="center"/>
          </w:tcPr>
          <w:p w14:paraId="6F8031F4" w14:textId="03D8D2D1" w:rsidR="00E2504A" w:rsidRPr="008505C2" w:rsidRDefault="00E2504A" w:rsidP="00954B82">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Duplicación y cosa juzgada internacional</w:t>
            </w:r>
          </w:p>
        </w:tc>
        <w:tc>
          <w:tcPr>
            <w:tcW w:w="6570" w:type="dxa"/>
          </w:tcPr>
          <w:p w14:paraId="240941E6" w14:textId="2ABBE16D" w:rsidR="00E2504A" w:rsidRPr="008505C2" w:rsidRDefault="00E2504A" w:rsidP="008D2290">
            <w:pPr>
              <w:jc w:val="both"/>
              <w:rPr>
                <w:rFonts w:ascii="Cambria" w:hAnsi="Cambria"/>
                <w:bCs/>
                <w:sz w:val="19"/>
                <w:szCs w:val="19"/>
                <w:lang w:val="es-ES"/>
              </w:rPr>
            </w:pPr>
            <w:r w:rsidRPr="008505C2">
              <w:rPr>
                <w:rFonts w:ascii="Cambria" w:hAnsi="Cambria"/>
                <w:sz w:val="19"/>
                <w:szCs w:val="19"/>
                <w:lang w:val="es-ES"/>
              </w:rPr>
              <w:t>N/A, en los términos de la sección VI</w:t>
            </w:r>
          </w:p>
        </w:tc>
      </w:tr>
      <w:tr w:rsidR="00E2504A" w:rsidRPr="008505C2" w14:paraId="15FAA7D1" w14:textId="77777777" w:rsidTr="0044282B">
        <w:trPr>
          <w:cantSplit/>
        </w:trPr>
        <w:tc>
          <w:tcPr>
            <w:tcW w:w="2790" w:type="dxa"/>
            <w:tcBorders>
              <w:top w:val="single" w:sz="4" w:space="0" w:color="auto"/>
              <w:bottom w:val="single" w:sz="6" w:space="0" w:color="auto"/>
            </w:tcBorders>
            <w:shd w:val="clear" w:color="auto" w:fill="386294"/>
            <w:vAlign w:val="center"/>
          </w:tcPr>
          <w:p w14:paraId="1B0D29FF" w14:textId="4FE01870" w:rsidR="00E2504A" w:rsidRPr="008505C2" w:rsidRDefault="00E2504A" w:rsidP="00954B82">
            <w:pPr>
              <w:jc w:val="center"/>
              <w:rPr>
                <w:rFonts w:ascii="Cambria" w:hAnsi="Cambria"/>
                <w:bCs/>
                <w:i/>
                <w:color w:val="FFFFFF" w:themeColor="background1"/>
                <w:sz w:val="19"/>
                <w:szCs w:val="19"/>
                <w:lang w:val="es-ES"/>
              </w:rPr>
            </w:pPr>
            <w:r w:rsidRPr="008505C2">
              <w:rPr>
                <w:rFonts w:ascii="Cambria" w:hAnsi="Cambria"/>
                <w:bCs/>
                <w:color w:val="FFFFFF" w:themeColor="background1"/>
                <w:sz w:val="19"/>
                <w:szCs w:val="19"/>
                <w:lang w:val="es-ES"/>
              </w:rPr>
              <w:t>Derechos admitidos</w:t>
            </w:r>
          </w:p>
        </w:tc>
        <w:tc>
          <w:tcPr>
            <w:tcW w:w="6570" w:type="dxa"/>
          </w:tcPr>
          <w:p w14:paraId="6310C8F7" w14:textId="04C3E5C6" w:rsidR="00E2504A" w:rsidRPr="008505C2" w:rsidRDefault="00E2504A" w:rsidP="001479C0">
            <w:pPr>
              <w:jc w:val="both"/>
              <w:rPr>
                <w:rFonts w:ascii="Cambria" w:hAnsi="Cambria"/>
                <w:bCs/>
                <w:sz w:val="19"/>
                <w:szCs w:val="19"/>
                <w:lang w:val="es-ES"/>
              </w:rPr>
            </w:pPr>
            <w:r w:rsidRPr="008505C2">
              <w:rPr>
                <w:rFonts w:ascii="Cambria" w:hAnsi="Cambria"/>
                <w:sz w:val="19"/>
                <w:szCs w:val="19"/>
                <w:lang w:val="es-ES"/>
              </w:rPr>
              <w:t>Ninguno</w:t>
            </w:r>
          </w:p>
        </w:tc>
      </w:tr>
      <w:tr w:rsidR="00E2504A" w:rsidRPr="0064628A" w14:paraId="4EFD141E" w14:textId="77777777" w:rsidTr="0044282B">
        <w:trPr>
          <w:cantSplit/>
        </w:trPr>
        <w:tc>
          <w:tcPr>
            <w:tcW w:w="2790" w:type="dxa"/>
            <w:tcBorders>
              <w:top w:val="single" w:sz="6" w:space="0" w:color="auto"/>
              <w:bottom w:val="single" w:sz="6" w:space="0" w:color="auto"/>
            </w:tcBorders>
            <w:shd w:val="clear" w:color="auto" w:fill="386294"/>
            <w:vAlign w:val="center"/>
          </w:tcPr>
          <w:p w14:paraId="4C04A89C" w14:textId="058482B9" w:rsidR="00E2504A" w:rsidRPr="008505C2" w:rsidRDefault="00E2504A" w:rsidP="006775AB">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Agotamiento de recursos o procedencia de una excepción</w:t>
            </w:r>
          </w:p>
        </w:tc>
        <w:tc>
          <w:tcPr>
            <w:tcW w:w="6570" w:type="dxa"/>
          </w:tcPr>
          <w:p w14:paraId="69C53E8A" w14:textId="6A5281DE" w:rsidR="00E2504A" w:rsidRPr="008505C2" w:rsidRDefault="00E2504A" w:rsidP="00BB3FBD">
            <w:pPr>
              <w:rPr>
                <w:rFonts w:ascii="Cambria" w:hAnsi="Cambria"/>
                <w:bCs/>
                <w:sz w:val="19"/>
                <w:szCs w:val="19"/>
                <w:lang w:val="es-ES"/>
              </w:rPr>
            </w:pPr>
            <w:r w:rsidRPr="008505C2">
              <w:rPr>
                <w:rFonts w:ascii="Cambria" w:hAnsi="Cambria"/>
                <w:sz w:val="19"/>
                <w:szCs w:val="19"/>
                <w:lang w:val="es-ES"/>
              </w:rPr>
              <w:t>N/A, en los términos de la sección VI</w:t>
            </w:r>
          </w:p>
        </w:tc>
      </w:tr>
      <w:tr w:rsidR="00E2504A" w:rsidRPr="0064628A" w14:paraId="52B5BA17" w14:textId="77777777" w:rsidTr="0044282B">
        <w:trPr>
          <w:cantSplit/>
        </w:trPr>
        <w:tc>
          <w:tcPr>
            <w:tcW w:w="2790" w:type="dxa"/>
            <w:tcBorders>
              <w:top w:val="single" w:sz="6" w:space="0" w:color="auto"/>
              <w:bottom w:val="single" w:sz="6" w:space="0" w:color="auto"/>
            </w:tcBorders>
            <w:shd w:val="clear" w:color="auto" w:fill="386294"/>
            <w:vAlign w:val="center"/>
          </w:tcPr>
          <w:p w14:paraId="5DF99086" w14:textId="392A0ECF" w:rsidR="00E2504A" w:rsidRPr="008505C2" w:rsidRDefault="00E2504A" w:rsidP="008D2290">
            <w:pPr>
              <w:jc w:val="center"/>
              <w:rPr>
                <w:rFonts w:ascii="Cambria" w:hAnsi="Cambria"/>
                <w:bCs/>
                <w:color w:val="FFFFFF" w:themeColor="background1"/>
                <w:sz w:val="19"/>
                <w:szCs w:val="19"/>
                <w:lang w:val="es-ES"/>
              </w:rPr>
            </w:pPr>
            <w:r w:rsidRPr="008505C2">
              <w:rPr>
                <w:rFonts w:ascii="Cambria" w:hAnsi="Cambria"/>
                <w:bCs/>
                <w:color w:val="FFFFFF" w:themeColor="background1"/>
                <w:sz w:val="19"/>
                <w:szCs w:val="19"/>
                <w:lang w:val="es-ES"/>
              </w:rPr>
              <w:t>Presentación dentro de plazo</w:t>
            </w:r>
          </w:p>
        </w:tc>
        <w:tc>
          <w:tcPr>
            <w:tcW w:w="6570" w:type="dxa"/>
          </w:tcPr>
          <w:p w14:paraId="4A2A4569" w14:textId="7A4D108A" w:rsidR="00E2504A" w:rsidRPr="008505C2" w:rsidRDefault="00E2504A" w:rsidP="008D2290">
            <w:pPr>
              <w:rPr>
                <w:rFonts w:ascii="Cambria" w:hAnsi="Cambria"/>
                <w:bCs/>
                <w:sz w:val="19"/>
                <w:szCs w:val="19"/>
                <w:lang w:val="es-ES"/>
              </w:rPr>
            </w:pPr>
            <w:r w:rsidRPr="008505C2">
              <w:rPr>
                <w:rFonts w:ascii="Cambria" w:hAnsi="Cambria"/>
                <w:sz w:val="19"/>
                <w:szCs w:val="19"/>
                <w:lang w:val="es-ES"/>
              </w:rPr>
              <w:t>N/A, en los términos de la sección VI</w:t>
            </w:r>
          </w:p>
        </w:tc>
      </w:tr>
    </w:tbl>
    <w:p w14:paraId="18E6423B" w14:textId="5FDE25B0" w:rsidR="003239B8" w:rsidRPr="008505C2" w:rsidRDefault="00223A29" w:rsidP="00647756">
      <w:pPr>
        <w:spacing w:before="120" w:after="120"/>
        <w:ind w:firstLine="720"/>
        <w:jc w:val="both"/>
        <w:rPr>
          <w:rFonts w:asciiTheme="majorHAnsi" w:hAnsiTheme="majorHAnsi"/>
          <w:b/>
          <w:sz w:val="20"/>
          <w:szCs w:val="20"/>
          <w:lang w:val="es-ES"/>
        </w:rPr>
      </w:pPr>
      <w:r w:rsidRPr="008505C2">
        <w:rPr>
          <w:rFonts w:asciiTheme="majorHAnsi" w:hAnsiTheme="majorHAnsi"/>
          <w:b/>
          <w:sz w:val="20"/>
          <w:szCs w:val="20"/>
          <w:lang w:val="es-ES"/>
        </w:rPr>
        <w:t xml:space="preserve">V. </w:t>
      </w:r>
      <w:r w:rsidRPr="008505C2">
        <w:rPr>
          <w:rFonts w:asciiTheme="majorHAnsi" w:hAnsiTheme="majorHAnsi"/>
          <w:b/>
          <w:sz w:val="20"/>
          <w:szCs w:val="20"/>
          <w:lang w:val="es-ES"/>
        </w:rPr>
        <w:tab/>
      </w:r>
      <w:r w:rsidR="0034224A" w:rsidRPr="008505C2">
        <w:rPr>
          <w:rFonts w:asciiTheme="majorHAnsi" w:hAnsiTheme="majorHAnsi"/>
          <w:b/>
          <w:sz w:val="20"/>
          <w:szCs w:val="20"/>
          <w:lang w:val="es-ES"/>
        </w:rPr>
        <w:t>RESUMEN DE LOS HECHOS ALEGADOS</w:t>
      </w:r>
    </w:p>
    <w:p w14:paraId="45B48D1D" w14:textId="77777777" w:rsidR="00E2504A" w:rsidRPr="008505C2" w:rsidRDefault="00E2504A" w:rsidP="0064628A">
      <w:pPr>
        <w:pStyle w:val="List"/>
        <w:numPr>
          <w:ilvl w:val="0"/>
          <w:numId w:val="55"/>
        </w:numPr>
        <w:spacing w:before="120" w:after="240"/>
        <w:jc w:val="both"/>
        <w:rPr>
          <w:rFonts w:asciiTheme="majorHAnsi" w:hAnsiTheme="majorHAnsi"/>
          <w:sz w:val="20"/>
          <w:szCs w:val="20"/>
          <w:lang w:eastAsia="en-US"/>
        </w:rPr>
      </w:pPr>
      <w:r w:rsidRPr="008505C2">
        <w:rPr>
          <w:rFonts w:asciiTheme="majorHAnsi" w:hAnsiTheme="majorHAnsi"/>
          <w:sz w:val="20"/>
          <w:szCs w:val="20"/>
          <w:lang w:eastAsia="en-US"/>
        </w:rPr>
        <w:t xml:space="preserve">La parte peticionaria alega que las presuntas víctimas son accionistas o beneficiarias de la sociedad anónima Bermúdez y Valenzuela S.A Compañía de Financiamiento Comercial (en adelante “B&amp;V”) y sufrieron pérdidas económicas cuando la Superintendencia Bancaria tomó posesión de B&amp;V, el 30 de junio de 1999, con el objeto de liquidarla. Indica que se interpuso una demanda para resguardar los derechos de las presuntas víctimas, pero el Estado les ha denegado el acceso a la justicia y las garantías judiciales.   </w:t>
      </w:r>
    </w:p>
    <w:p w14:paraId="3A966DFF" w14:textId="77777777" w:rsidR="00E2504A" w:rsidRPr="008505C2" w:rsidRDefault="00E2504A" w:rsidP="0064628A">
      <w:pPr>
        <w:pStyle w:val="List"/>
        <w:numPr>
          <w:ilvl w:val="0"/>
          <w:numId w:val="55"/>
        </w:numPr>
        <w:spacing w:before="120" w:after="240"/>
        <w:jc w:val="both"/>
        <w:rPr>
          <w:rFonts w:asciiTheme="majorHAnsi" w:hAnsiTheme="majorHAnsi"/>
          <w:sz w:val="20"/>
          <w:szCs w:val="20"/>
          <w:lang w:eastAsia="en-US"/>
        </w:rPr>
      </w:pPr>
      <w:r w:rsidRPr="008505C2">
        <w:rPr>
          <w:rFonts w:asciiTheme="majorHAnsi" w:hAnsiTheme="majorHAnsi"/>
          <w:sz w:val="20"/>
          <w:szCs w:val="20"/>
          <w:lang w:eastAsia="en-US"/>
        </w:rPr>
        <w:t xml:space="preserve">Sostiene que el 29 de octubre de 1999 se interpuso una acción de nulidad y restablecimiento del derecho en nombre de las presuntas víctimas y de una empresa accionista de B&amp;V (en adelante “los demandantes”). La demanda fue conocida por el Tribunal Administrativo de Cundinamarca (en adelante “Tribunal Administrativo”), que negó sus pretensiones el 20 de febrero de 2003. Indica que el representante judicial de las presuntas víctimas se encontraba con incapacidad médica y que cuando se recuperó se enteró de la decisión y su notificación  de 27 de febrero de 2003. </w:t>
      </w:r>
    </w:p>
    <w:p w14:paraId="3806AF05" w14:textId="77777777" w:rsidR="00E2504A" w:rsidRPr="008505C2" w:rsidRDefault="00E2504A" w:rsidP="0064628A">
      <w:pPr>
        <w:pStyle w:val="List"/>
        <w:numPr>
          <w:ilvl w:val="0"/>
          <w:numId w:val="55"/>
        </w:numPr>
        <w:spacing w:before="120" w:after="240"/>
        <w:jc w:val="both"/>
        <w:rPr>
          <w:rFonts w:asciiTheme="majorHAnsi" w:hAnsiTheme="majorHAnsi"/>
          <w:sz w:val="20"/>
          <w:szCs w:val="20"/>
          <w:lang w:eastAsia="en-US"/>
        </w:rPr>
      </w:pPr>
      <w:r w:rsidRPr="008505C2">
        <w:rPr>
          <w:rFonts w:asciiTheme="majorHAnsi" w:hAnsiTheme="majorHAnsi"/>
          <w:sz w:val="20"/>
          <w:szCs w:val="20"/>
          <w:lang w:eastAsia="en-US"/>
        </w:rPr>
        <w:lastRenderedPageBreak/>
        <w:t xml:space="preserve">El 11 de marzo de 2003, cuando ya había vencido el plazo, el representante legal de los demandantes interpuso un incidente de nulidad a fin de que se permitiera la interposición del recurso de apelación.  Éste fue denegado el 5 de mayo de 2003, puesto que el Tribunal Administrativo consideró que la enfermedad del representante no era grave. El 23 de mayo de 2003 se apeló esta decisión y el recurso fue declarado improcedente el 5 de junio. </w:t>
      </w:r>
    </w:p>
    <w:p w14:paraId="7375356B" w14:textId="77777777" w:rsidR="00E2504A" w:rsidRPr="008505C2" w:rsidRDefault="00E2504A" w:rsidP="0064628A">
      <w:pPr>
        <w:pStyle w:val="List"/>
        <w:numPr>
          <w:ilvl w:val="0"/>
          <w:numId w:val="55"/>
        </w:numPr>
        <w:spacing w:before="120" w:after="240"/>
        <w:jc w:val="both"/>
        <w:rPr>
          <w:rFonts w:asciiTheme="majorHAnsi" w:hAnsiTheme="majorHAnsi"/>
          <w:sz w:val="20"/>
          <w:szCs w:val="20"/>
          <w:lang w:eastAsia="en-US"/>
        </w:rPr>
      </w:pPr>
      <w:r w:rsidRPr="008505C2">
        <w:rPr>
          <w:rFonts w:asciiTheme="majorHAnsi" w:hAnsiTheme="majorHAnsi"/>
          <w:sz w:val="20"/>
          <w:szCs w:val="20"/>
          <w:lang w:eastAsia="en-US"/>
        </w:rPr>
        <w:t xml:space="preserve">Posteriormente, el representante de los demandantes presentó una serie de recursos ante el Tribunal Administrativo, el Consejo de Estado y la Corte Constitucional para: i) revocar la decisión de 5 de junio de 2003 que declaró el recurso de apelación improcedente; ii) declarar que su enfermedad era grave; iii) decretar la nulidad de todo lo actuado con posterioridad a la sentencia de primera instancia; y iv) renovar el plazo para que se pudiera presentar el recurso de apelación contra la sentencia de primera instancia. </w:t>
      </w:r>
    </w:p>
    <w:p w14:paraId="728F4B92" w14:textId="77777777" w:rsidR="00E2504A" w:rsidRPr="008505C2" w:rsidRDefault="00E2504A" w:rsidP="0064628A">
      <w:pPr>
        <w:pStyle w:val="List"/>
        <w:numPr>
          <w:ilvl w:val="0"/>
          <w:numId w:val="55"/>
        </w:numPr>
        <w:spacing w:before="120" w:after="240"/>
        <w:jc w:val="both"/>
        <w:rPr>
          <w:rFonts w:asciiTheme="majorHAnsi" w:hAnsiTheme="majorHAnsi"/>
          <w:sz w:val="20"/>
          <w:szCs w:val="20"/>
          <w:lang w:eastAsia="en-US"/>
        </w:rPr>
      </w:pPr>
      <w:r w:rsidRPr="008505C2">
        <w:rPr>
          <w:rFonts w:asciiTheme="majorHAnsi" w:hAnsiTheme="majorHAnsi"/>
          <w:sz w:val="20"/>
          <w:szCs w:val="20"/>
          <w:lang w:eastAsia="en-US"/>
        </w:rPr>
        <w:t>El 25 de septiembre de 2003, el Consejo de Estado revocó el auto de 15 de junio de 2003 y consideró que se debía conceder el recurso de apelación interpuesto en el marco del incidente de nulidad. Por su parte, el 27 de mayo de 2004, el Consejo de Estado consideró que la prueba aportada por el representante de los demandantes no resultaba concluyente para demostrar la incapacidad médica por enfermedad grave.</w:t>
      </w:r>
    </w:p>
    <w:p w14:paraId="7E530A0F" w14:textId="77777777" w:rsidR="00E2504A" w:rsidRPr="008505C2" w:rsidRDefault="00E2504A" w:rsidP="0064628A">
      <w:pPr>
        <w:pStyle w:val="List"/>
        <w:numPr>
          <w:ilvl w:val="0"/>
          <w:numId w:val="55"/>
        </w:numPr>
        <w:spacing w:before="120" w:after="240"/>
        <w:jc w:val="both"/>
        <w:rPr>
          <w:rFonts w:asciiTheme="majorHAnsi" w:hAnsiTheme="majorHAnsi"/>
          <w:sz w:val="20"/>
          <w:szCs w:val="20"/>
          <w:lang w:eastAsia="en-US"/>
        </w:rPr>
      </w:pPr>
      <w:r w:rsidRPr="008505C2">
        <w:rPr>
          <w:rFonts w:asciiTheme="majorHAnsi" w:hAnsiTheme="majorHAnsi"/>
          <w:sz w:val="20"/>
          <w:szCs w:val="20"/>
          <w:lang w:eastAsia="en-US"/>
        </w:rPr>
        <w:t xml:space="preserve">Señala que el 8 de octubre de 2004 se interpuso una acción de tutela ante el Consejo de Estado en que se planteó una violación al debido proceso y al derecho al acceso a la justicia y se solicitó: i) la revocatoria del auto de 27 de mayo de 2004 del Consejo de Estado; ii)la interrupción del proceso y la nulidad de todo lo actuado en el proceso a partir de 3 de marzo de 2003; y iii) el restablecimiento del plazo para apelar la sentencia de primera instancia del Tribunal Administrativo.  El 19 de noviembre de 2004, el Consejo de Estado rechazó la acción, esta decisión fue impugnada el 30 de noviembre de 2004 y otra Sección del Consejo de Estado confirmó la decisión el 24 de febrero de 2005. </w:t>
      </w:r>
    </w:p>
    <w:p w14:paraId="52B5E28D" w14:textId="77777777" w:rsidR="00E2504A" w:rsidRPr="008505C2" w:rsidRDefault="00E2504A" w:rsidP="0064628A">
      <w:pPr>
        <w:pStyle w:val="List"/>
        <w:numPr>
          <w:ilvl w:val="0"/>
          <w:numId w:val="55"/>
        </w:numPr>
        <w:spacing w:before="120" w:after="240"/>
        <w:jc w:val="both"/>
        <w:rPr>
          <w:rFonts w:asciiTheme="majorHAnsi" w:hAnsiTheme="majorHAnsi"/>
          <w:sz w:val="20"/>
          <w:szCs w:val="20"/>
          <w:u w:val="single"/>
          <w:lang w:eastAsia="en-US"/>
        </w:rPr>
      </w:pPr>
      <w:r w:rsidRPr="008505C2">
        <w:rPr>
          <w:rFonts w:asciiTheme="majorHAnsi" w:hAnsiTheme="majorHAnsi"/>
          <w:sz w:val="20"/>
          <w:szCs w:val="20"/>
          <w:lang w:eastAsia="en-US"/>
        </w:rPr>
        <w:t xml:space="preserve">Indica que </w:t>
      </w:r>
      <w:r w:rsidRPr="008505C2">
        <w:rPr>
          <w:rFonts w:asciiTheme="majorHAnsi" w:hAnsiTheme="majorHAnsi"/>
          <w:sz w:val="20"/>
          <w:szCs w:val="20"/>
        </w:rPr>
        <w:t xml:space="preserve">el 11 de agosto de 2005 la Corte Constitucional accedió a la revisión del caso y profirió Sentencia T-824 de 2005, mediante la cual determinó que el Tribunal habría debido interrumpir el proceso cuando se produjo la incapacidad médica del apoderado. Por lo tanto, revocó los fallos del Consejo de Estado de noviembre de 2004 y febrero de 2005, declaró sin efecto el auto de 27 de mayo de 2004 y ordenó al Consejo de Estado que volviera a resolver la apelación interpuesta por los demandantes, en su carácter de accionistas de la empresa B&amp;V. </w:t>
      </w:r>
      <w:r w:rsidRPr="008505C2">
        <w:rPr>
          <w:rFonts w:asciiTheme="majorHAnsi" w:hAnsiTheme="majorHAnsi"/>
          <w:sz w:val="20"/>
          <w:szCs w:val="20"/>
          <w:lang w:eastAsia="en-US"/>
        </w:rPr>
        <w:t xml:space="preserve">Tras ser impugnada por una Consejera de Estado que había participado en la decisión de 27 de mayo de 2004, la decisión fue confirmada por la Corte Constitucional el 3 de mayo de 2006. </w:t>
      </w:r>
    </w:p>
    <w:p w14:paraId="26C113DD" w14:textId="77777777" w:rsidR="00E2504A" w:rsidRPr="008505C2" w:rsidRDefault="00E2504A" w:rsidP="0064628A">
      <w:pPr>
        <w:pStyle w:val="List"/>
        <w:numPr>
          <w:ilvl w:val="0"/>
          <w:numId w:val="55"/>
        </w:numPr>
        <w:spacing w:before="120" w:after="240"/>
        <w:jc w:val="both"/>
        <w:rPr>
          <w:rFonts w:asciiTheme="majorHAnsi" w:hAnsiTheme="majorHAnsi"/>
          <w:sz w:val="20"/>
          <w:szCs w:val="20"/>
          <w:u w:val="single"/>
          <w:lang w:eastAsia="en-US"/>
        </w:rPr>
      </w:pPr>
      <w:r w:rsidRPr="008505C2">
        <w:rPr>
          <w:rFonts w:asciiTheme="majorHAnsi" w:hAnsiTheme="majorHAnsi"/>
          <w:sz w:val="20"/>
          <w:szCs w:val="20"/>
          <w:lang w:eastAsia="en-US"/>
        </w:rPr>
        <w:t xml:space="preserve">Informa que transcurrieron cerca de dos meses sin que se diera cumplimiento, por lo que el 27 de junio de 2006 el representante de los demandantes solicitó que se impartiera orden de cumplimiento al Tribunal Administrativo y ésta fuera notificada de manera personal. Plantea que el 25 de octubre de 2006 el Consejo de Estado declaró que la Sentencia T-824 de 2005 de la Corte Constitucional era contraria a la Constitución, no producía efecto sobre el auto del 27 de mayo de 2004 y por tanto éste ya había hecho tránsito a cosa juzgada, por lo que ordenó el archivo del expediente. La decisión fue impugnada mediante recurso de reposición y confirmada por la Sección Cuarta del Consejo de Estado el 19 de diciembre de 2006. </w:t>
      </w:r>
    </w:p>
    <w:p w14:paraId="5823DA8D" w14:textId="77777777" w:rsidR="00E2504A" w:rsidRPr="008505C2" w:rsidRDefault="00E2504A" w:rsidP="0064628A">
      <w:pPr>
        <w:pStyle w:val="List"/>
        <w:numPr>
          <w:ilvl w:val="0"/>
          <w:numId w:val="55"/>
        </w:numPr>
        <w:spacing w:before="120" w:after="240"/>
        <w:jc w:val="both"/>
        <w:rPr>
          <w:rFonts w:asciiTheme="majorHAnsi" w:hAnsiTheme="majorHAnsi"/>
          <w:sz w:val="20"/>
          <w:szCs w:val="20"/>
          <w:lang w:eastAsia="en-US"/>
        </w:rPr>
      </w:pPr>
      <w:r w:rsidRPr="008505C2">
        <w:rPr>
          <w:rFonts w:asciiTheme="majorHAnsi" w:hAnsiTheme="majorHAnsi"/>
          <w:sz w:val="20"/>
          <w:szCs w:val="20"/>
          <w:lang w:eastAsia="en-US"/>
        </w:rPr>
        <w:t>Afirma que el 8 de marzo de 2007 el representante legal de los demandantes solicitó a la Corte Constitucional la ejecución de la Sentencia T-824 de 2005. Indica que la Corte Constitucional requirió a la Sección Quinta del Consejo de Estado en tres oportunidades información acerca de las medidas adoptadas para el cumplimiento de la Tutela, no obstante el Consejo de Estado no dio respuesta. Asimismo, señala que en el transcurso del estudio de la petición por la CIDH, la Corte Constitucional profirió el auto 071A de 2010 a fin de que el Consejo de Estado diera trámite al cumplimiento de las previsiones de Ley. No obstante, alega que aún no se ha dado cumplimiento a la Sentencia del Tribunal Constitucional.  Sostiene que dicha situación ha generado un limbo jurídico en contravía de los intereses de las presuntas víctimas, produciendo una obstrucción al derecho de acceso a la justicia y propiciando un clima de desprotección e inseguridad jurídica.</w:t>
      </w:r>
    </w:p>
    <w:p w14:paraId="7284482F" w14:textId="77777777" w:rsidR="00E2504A" w:rsidRPr="008505C2" w:rsidRDefault="00E2504A" w:rsidP="0064628A">
      <w:pPr>
        <w:pStyle w:val="List"/>
        <w:numPr>
          <w:ilvl w:val="0"/>
          <w:numId w:val="55"/>
        </w:numPr>
        <w:spacing w:before="120" w:after="240"/>
        <w:jc w:val="both"/>
        <w:rPr>
          <w:rFonts w:asciiTheme="majorHAnsi" w:hAnsiTheme="majorHAnsi"/>
          <w:sz w:val="20"/>
          <w:szCs w:val="20"/>
          <w:u w:val="single"/>
        </w:rPr>
      </w:pPr>
      <w:r w:rsidRPr="008505C2">
        <w:rPr>
          <w:rFonts w:asciiTheme="majorHAnsi" w:hAnsiTheme="majorHAnsi"/>
          <w:sz w:val="20"/>
          <w:szCs w:val="20"/>
          <w:lang w:eastAsia="en-US"/>
        </w:rPr>
        <w:t>Indica que no existe</w:t>
      </w:r>
      <w:r w:rsidRPr="008505C2">
        <w:rPr>
          <w:rFonts w:asciiTheme="majorHAnsi" w:hAnsiTheme="majorHAnsi"/>
          <w:sz w:val="20"/>
          <w:szCs w:val="20"/>
        </w:rPr>
        <w:t xml:space="preserve"> recurso propiamente dicho dentro del ordenamiento jurídico colombiano, pues el incidente de desacato, referido por el Estado, no es considerado un recurso y aunque lo fuera, era de imposible aplicación en Colombia, toda vez que hay una falta de adecuación normativa para poder tramitarlo ante el incumplimiento de una alta corte. </w:t>
      </w:r>
      <w:r w:rsidRPr="008505C2">
        <w:rPr>
          <w:rFonts w:asciiTheme="majorHAnsi" w:hAnsiTheme="majorHAnsi"/>
          <w:sz w:val="20"/>
          <w:szCs w:val="20"/>
          <w:lang w:eastAsia="en-US"/>
        </w:rPr>
        <w:t xml:space="preserve">En este sentido, señalan que el denominado </w:t>
      </w:r>
      <w:r w:rsidRPr="008505C2">
        <w:rPr>
          <w:rFonts w:asciiTheme="majorHAnsi" w:hAnsiTheme="majorHAnsi"/>
          <w:sz w:val="20"/>
          <w:szCs w:val="20"/>
          <w:lang w:eastAsia="en-US"/>
        </w:rPr>
        <w:lastRenderedPageBreak/>
        <w:t>“choque de trenes” evidencia que la legislación del Estado carece de medidas tendientes a subsanar este vacío e impedir que se presenten situaciones en donde los derechos queden en entredicho.</w:t>
      </w:r>
      <w:r w:rsidRPr="008505C2">
        <w:rPr>
          <w:rFonts w:asciiTheme="majorHAnsi" w:hAnsiTheme="majorHAnsi"/>
          <w:sz w:val="20"/>
          <w:szCs w:val="20"/>
        </w:rPr>
        <w:t xml:space="preserve"> </w:t>
      </w:r>
    </w:p>
    <w:p w14:paraId="57D221AB" w14:textId="77777777" w:rsidR="00E2504A" w:rsidRPr="008505C2" w:rsidRDefault="00E2504A" w:rsidP="006462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120" w:after="240"/>
        <w:jc w:val="both"/>
        <w:rPr>
          <w:rFonts w:asciiTheme="majorHAnsi" w:hAnsiTheme="majorHAnsi"/>
          <w:sz w:val="20"/>
          <w:szCs w:val="20"/>
          <w:lang w:val="es-ES"/>
        </w:rPr>
      </w:pPr>
      <w:r w:rsidRPr="008505C2">
        <w:rPr>
          <w:rFonts w:asciiTheme="majorHAnsi" w:hAnsiTheme="majorHAnsi"/>
          <w:sz w:val="20"/>
          <w:szCs w:val="20"/>
          <w:lang w:val="es-ES"/>
        </w:rPr>
        <w:t xml:space="preserve">El Estado sostiene que las presuntas víctimas tuvieron acceso a los recursos judiciales efectivos y adecuados, y que con ello, asegura que le fueron respetados sus derechos a las garantías judiciales y a la protección jurídica. Agrega que además de los recursos señalados por el peticionario, también se solicitó a la Corte Constitucional que profiriera una sentencia de reemplazo con el objeto de que el Consejo de Estado cumpliera con la decisión de la sentencia T-824-05; solicitud declarada improcedente el 21 de junio de 2010. Asimismo, señala que la Corte Constitucional en dicho auto consideró que correspondía al Juez constitucional de primera instancia conminar a las partes vinculadas, para que cumplan la decisión contenida en la respectiva sentencia de tutela, so pena de incurrir en desacato de las órdenes de amparo. </w:t>
      </w:r>
    </w:p>
    <w:p w14:paraId="0D32F936" w14:textId="7D68C4BC" w:rsidR="004C616A" w:rsidRPr="008505C2" w:rsidRDefault="00E2504A" w:rsidP="006462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sidRPr="008505C2">
        <w:rPr>
          <w:rFonts w:asciiTheme="majorHAnsi" w:hAnsiTheme="majorHAnsi"/>
          <w:sz w:val="20"/>
          <w:szCs w:val="20"/>
          <w:lang w:val="es-ES"/>
        </w:rPr>
        <w:t>Añade que las presuntas víctimas nunca interpusieron un incidente de desacato, que se debe promover ante el juez de tutela. Indica que éste procede a solicitud de una parte y se deriva del incumplimiento de una orden proferida por el juez de tutela en los términos de cosa juzgada. Sostiene por lo tanto que las presuntas víctimas no agotaron todos los recursos previstos en la jurisdicción interna para hacer valer la Sentencia 824-05, motivo por el cual la petición debe ser declarada inadmisible.  Por otra parte alega que las presuntas víctimas han tenido acceso a todos los recursos para garantizar sus derechos y que, como resultado de ellos, dos de las altas cortes del Estado se han pronunciado en el trascurso de este caso. Indica que el objetivo último del peticionario es utilizar a la Comisión como una instancia adicional de revisión de un tema que ha sido decidido por altos tribunales internos. Alega por tanto, que los hechos que dan origen a la petición no caracterizan violaciones a los derechos protegidos por la Convención Americana.</w:t>
      </w:r>
    </w:p>
    <w:p w14:paraId="3FE6F5AE" w14:textId="3FEA7610" w:rsidR="004C616A" w:rsidRPr="008505C2" w:rsidRDefault="004C616A" w:rsidP="00E2504A">
      <w:pPr>
        <w:pStyle w:val="ListParagraph"/>
        <w:spacing w:before="120" w:after="120"/>
        <w:jc w:val="both"/>
        <w:rPr>
          <w:rFonts w:asciiTheme="majorHAnsi" w:hAnsiTheme="majorHAnsi"/>
          <w:b/>
          <w:bCs/>
          <w:sz w:val="20"/>
          <w:szCs w:val="20"/>
          <w:lang w:val="es-ES"/>
        </w:rPr>
      </w:pPr>
      <w:r w:rsidRPr="008505C2">
        <w:rPr>
          <w:rFonts w:asciiTheme="majorHAnsi" w:hAnsiTheme="majorHAnsi"/>
          <w:b/>
          <w:bCs/>
          <w:sz w:val="20"/>
          <w:szCs w:val="20"/>
          <w:lang w:val="es-ES"/>
        </w:rPr>
        <w:t xml:space="preserve">VI. </w:t>
      </w:r>
      <w:r w:rsidRPr="008505C2">
        <w:rPr>
          <w:rFonts w:asciiTheme="majorHAnsi" w:hAnsiTheme="majorHAnsi"/>
          <w:b/>
          <w:bCs/>
          <w:sz w:val="20"/>
          <w:szCs w:val="20"/>
          <w:lang w:val="es-ES"/>
        </w:rPr>
        <w:tab/>
      </w:r>
      <w:r w:rsidR="00E2504A" w:rsidRPr="008505C2">
        <w:rPr>
          <w:rFonts w:asciiTheme="majorHAnsi" w:hAnsiTheme="majorHAnsi"/>
          <w:b/>
          <w:bCs/>
          <w:sz w:val="20"/>
          <w:szCs w:val="20"/>
          <w:lang w:val="es-ES"/>
        </w:rPr>
        <w:t>COMPETENCIA RATIONE PERSONAE  Y AGOTAMIENTO DE LOS RECURSOS INTERNOS</w:t>
      </w:r>
    </w:p>
    <w:p w14:paraId="4A130DAB" w14:textId="77777777" w:rsidR="00E2504A" w:rsidRPr="008505C2" w:rsidRDefault="00E2504A" w:rsidP="0064628A">
      <w:pPr>
        <w:pStyle w:val="List"/>
        <w:numPr>
          <w:ilvl w:val="0"/>
          <w:numId w:val="55"/>
        </w:numPr>
        <w:spacing w:before="120" w:after="240"/>
        <w:jc w:val="both"/>
        <w:rPr>
          <w:rFonts w:asciiTheme="majorHAnsi" w:hAnsiTheme="majorHAnsi"/>
          <w:sz w:val="20"/>
          <w:szCs w:val="20"/>
        </w:rPr>
      </w:pPr>
      <w:r w:rsidRPr="008505C2">
        <w:rPr>
          <w:rFonts w:asciiTheme="majorHAnsi" w:hAnsiTheme="majorHAnsi"/>
          <w:sz w:val="20"/>
          <w:szCs w:val="20"/>
        </w:rPr>
        <w:t xml:space="preserve">La Comisión recuerda los reclamos planteados ante la misma que hayan sido objeto de litigio ante los tribunales nacionales en nombre de personas jurídicas, y no de víctimas individuales, no son admisibles pues la Comisión carece de competencia </w:t>
      </w:r>
      <w:r w:rsidRPr="008505C2">
        <w:rPr>
          <w:rFonts w:asciiTheme="majorHAnsi" w:hAnsiTheme="majorHAnsi"/>
          <w:i/>
          <w:sz w:val="20"/>
          <w:szCs w:val="20"/>
        </w:rPr>
        <w:t>ratione personae</w:t>
      </w:r>
      <w:r w:rsidRPr="008505C2">
        <w:rPr>
          <w:rFonts w:asciiTheme="majorHAnsi" w:hAnsiTheme="majorHAnsi"/>
          <w:sz w:val="20"/>
          <w:szCs w:val="20"/>
        </w:rPr>
        <w:t xml:space="preserve"> para examinar denuncias referentes a los derechos de las primeras</w:t>
      </w:r>
      <w:r w:rsidRPr="008505C2">
        <w:rPr>
          <w:rStyle w:val="FootnoteReference"/>
          <w:rFonts w:asciiTheme="majorHAnsi" w:hAnsiTheme="majorHAnsi"/>
          <w:sz w:val="20"/>
          <w:szCs w:val="20"/>
        </w:rPr>
        <w:footnoteReference w:id="6"/>
      </w:r>
      <w:r w:rsidRPr="008505C2">
        <w:rPr>
          <w:rFonts w:asciiTheme="majorHAnsi" w:hAnsiTheme="majorHAnsi"/>
          <w:sz w:val="20"/>
          <w:szCs w:val="20"/>
        </w:rPr>
        <w:t>. La Comisión también ha establecido que los derechos de las personas como accionistas de una empresa no se encuentran excluidos de la protección de la Convención desde que las víctimas individuales agoten los recursos internos para reclamar sus derechos y no los derechos de la persona jurídica</w:t>
      </w:r>
      <w:r w:rsidRPr="008505C2">
        <w:rPr>
          <w:rStyle w:val="FootnoteReference"/>
          <w:rFonts w:asciiTheme="majorHAnsi" w:hAnsiTheme="majorHAnsi"/>
          <w:sz w:val="20"/>
          <w:szCs w:val="20"/>
        </w:rPr>
        <w:footnoteReference w:id="7"/>
      </w:r>
      <w:r w:rsidRPr="008505C2">
        <w:rPr>
          <w:rFonts w:asciiTheme="majorHAnsi" w:hAnsiTheme="majorHAnsi"/>
          <w:sz w:val="20"/>
          <w:szCs w:val="20"/>
        </w:rPr>
        <w:t xml:space="preserve">. </w:t>
      </w:r>
    </w:p>
    <w:p w14:paraId="580031E9" w14:textId="77777777" w:rsidR="00E2504A" w:rsidRPr="008505C2" w:rsidRDefault="00E2504A" w:rsidP="0064628A">
      <w:pPr>
        <w:pStyle w:val="List"/>
        <w:numPr>
          <w:ilvl w:val="0"/>
          <w:numId w:val="55"/>
        </w:numPr>
        <w:spacing w:before="120" w:after="240"/>
        <w:jc w:val="both"/>
        <w:rPr>
          <w:rFonts w:asciiTheme="majorHAnsi" w:hAnsiTheme="majorHAnsi"/>
          <w:sz w:val="20"/>
          <w:szCs w:val="20"/>
        </w:rPr>
      </w:pPr>
      <w:r w:rsidRPr="008505C2">
        <w:rPr>
          <w:rFonts w:asciiTheme="majorHAnsi" w:hAnsiTheme="majorHAnsi"/>
          <w:sz w:val="20"/>
          <w:szCs w:val="20"/>
        </w:rPr>
        <w:t>En el presente caso, la CIDH observa que los recursos presentados en el marco del mismo ante el Tribunal Administrativo, el Consejo de Estado y la Corte Constitucional fueron presentados en nombre de las presuntas víctimas en su carácter de accionistas de B&amp;V.  Asimismo, l</w:t>
      </w:r>
      <w:r w:rsidRPr="008505C2">
        <w:rPr>
          <w:rFonts w:asciiTheme="majorHAnsi" w:hAnsiTheme="majorHAnsi"/>
          <w:sz w:val="20"/>
          <w:szCs w:val="20"/>
          <w:lang w:eastAsia="en-US"/>
        </w:rPr>
        <w:t>a CIDH entiende que</w:t>
      </w:r>
      <w:r w:rsidRPr="008505C2">
        <w:rPr>
          <w:rFonts w:asciiTheme="majorHAnsi" w:hAnsiTheme="majorHAnsi"/>
          <w:sz w:val="20"/>
          <w:szCs w:val="20"/>
        </w:rPr>
        <w:t xml:space="preserve">el objetivo principal de la acción de nulidad fue solicitar la nulidad de un acto administrativo tomado contra la empresa </w:t>
      </w:r>
      <w:r w:rsidRPr="008505C2">
        <w:rPr>
          <w:rFonts w:asciiTheme="majorHAnsi" w:hAnsiTheme="majorHAnsi"/>
          <w:sz w:val="20"/>
          <w:szCs w:val="20"/>
          <w:lang w:eastAsia="en-US"/>
        </w:rPr>
        <w:t>B&amp;V y no contra las presuntas víctimas. Así, la reparación solicitada en la acción contemplaba daños ocasionados principalmente a la empresa como la pérdida de su valor social, la pérdida de oportunidad empresarial y el daño emergente.</w:t>
      </w:r>
    </w:p>
    <w:p w14:paraId="293146C5" w14:textId="6F8539EB" w:rsidR="000B0579" w:rsidRPr="008505C2" w:rsidRDefault="00E2504A" w:rsidP="006462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sidRPr="008505C2">
        <w:rPr>
          <w:rFonts w:asciiTheme="majorHAnsi" w:hAnsiTheme="majorHAnsi"/>
          <w:sz w:val="20"/>
          <w:szCs w:val="20"/>
          <w:lang w:val="es-ES"/>
        </w:rPr>
        <w:t>Ante lo anterior, la CIDH considera que la acción original y los recursos interpuestos en función de decisiones adoptadas en el marco de esta tuvieron como finalidad la protección de los derechos de B&amp;V y no de las presuntas víctimas. Por tanto, la CIDH considera que carece de competencia para examinar la presente petición y no considera necesario pronunciarse sobre los demás requisitos de admisibilidad.</w:t>
      </w:r>
    </w:p>
    <w:p w14:paraId="29BB41F5" w14:textId="650BED78" w:rsidR="003239B8" w:rsidRPr="008505C2" w:rsidRDefault="00EC72AB" w:rsidP="00E250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8505C2">
        <w:rPr>
          <w:rFonts w:asciiTheme="majorHAnsi" w:hAnsiTheme="majorHAnsi"/>
          <w:b/>
          <w:bCs/>
          <w:sz w:val="20"/>
          <w:szCs w:val="20"/>
          <w:lang w:val="es-ES"/>
        </w:rPr>
        <w:t>VI</w:t>
      </w:r>
      <w:r w:rsidR="00F04591" w:rsidRPr="008505C2">
        <w:rPr>
          <w:rFonts w:asciiTheme="majorHAnsi" w:hAnsiTheme="majorHAnsi"/>
          <w:b/>
          <w:bCs/>
          <w:sz w:val="20"/>
          <w:szCs w:val="20"/>
          <w:lang w:val="es-ES"/>
        </w:rPr>
        <w:t>I</w:t>
      </w:r>
      <w:r w:rsidR="003239B8" w:rsidRPr="008505C2">
        <w:rPr>
          <w:rFonts w:asciiTheme="majorHAnsi" w:hAnsiTheme="majorHAnsi"/>
          <w:b/>
          <w:bCs/>
          <w:sz w:val="20"/>
          <w:szCs w:val="20"/>
          <w:lang w:val="es-ES"/>
        </w:rPr>
        <w:t xml:space="preserve">. </w:t>
      </w:r>
      <w:r w:rsidR="003239B8" w:rsidRPr="008505C2">
        <w:rPr>
          <w:rFonts w:asciiTheme="majorHAnsi" w:hAnsiTheme="majorHAnsi"/>
          <w:b/>
          <w:bCs/>
          <w:sz w:val="20"/>
          <w:szCs w:val="20"/>
          <w:lang w:val="es-ES"/>
        </w:rPr>
        <w:tab/>
        <w:t>DECISIÓN</w:t>
      </w:r>
    </w:p>
    <w:p w14:paraId="20BD69B3" w14:textId="77777777" w:rsidR="00E2504A" w:rsidRPr="008505C2" w:rsidRDefault="00E2504A" w:rsidP="006462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val="es-ES"/>
        </w:rPr>
      </w:pPr>
      <w:r w:rsidRPr="008505C2">
        <w:rPr>
          <w:rFonts w:asciiTheme="majorHAnsi" w:hAnsiTheme="majorHAnsi"/>
          <w:sz w:val="20"/>
          <w:szCs w:val="20"/>
          <w:lang w:val="es-ES"/>
        </w:rPr>
        <w:t>Declarar la petición inadmisible; y</w:t>
      </w:r>
    </w:p>
    <w:p w14:paraId="4157390F" w14:textId="1D60974E" w:rsidR="00D93A90" w:rsidRDefault="00E2504A" w:rsidP="006462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val="es-ES"/>
        </w:rPr>
      </w:pPr>
      <w:r w:rsidRPr="008505C2">
        <w:rPr>
          <w:rFonts w:asciiTheme="majorHAnsi" w:hAnsiTheme="majorHAnsi"/>
          <w:sz w:val="20"/>
          <w:szCs w:val="20"/>
          <w:lang w:val="es-ES"/>
        </w:rPr>
        <w:t>Notificar a las partes la presente decisión, publicarla e incluirla en su Informe Anual a la Asamblea General de la Organización de los Estados Americanos</w:t>
      </w:r>
      <w:r w:rsidR="004A6A54" w:rsidRPr="008505C2">
        <w:rPr>
          <w:rFonts w:asciiTheme="majorHAnsi" w:hAnsiTheme="majorHAnsi"/>
          <w:sz w:val="20"/>
          <w:szCs w:val="20"/>
          <w:lang w:val="es-ES"/>
        </w:rPr>
        <w:t>.</w:t>
      </w:r>
    </w:p>
    <w:p w14:paraId="29BFCACB" w14:textId="477ED762" w:rsidR="00EF15B8" w:rsidRPr="0064628A" w:rsidRDefault="00EF15B8" w:rsidP="0064628A">
      <w:pPr>
        <w:spacing w:before="120" w:after="240"/>
        <w:ind w:firstLine="720"/>
        <w:jc w:val="both"/>
        <w:rPr>
          <w:rFonts w:ascii="Cambria" w:hAnsi="Cambria"/>
          <w:sz w:val="20"/>
          <w:szCs w:val="20"/>
          <w:lang w:val="es-ES"/>
        </w:rPr>
      </w:pPr>
      <w:r w:rsidRPr="0064628A">
        <w:rPr>
          <w:rFonts w:ascii="Cambria" w:hAnsi="Cambria"/>
          <w:sz w:val="20"/>
          <w:szCs w:val="20"/>
          <w:lang w:val="es-ES"/>
        </w:rPr>
        <w:lastRenderedPageBreak/>
        <w:t>Aprobado por la Comisión Interamericana de Derechos Humanos a los 7 días del mes de junio de 2019.  (Firmado): Esmeralda E. Arosemena Bernal de Troitiño, Presidenta; Joel Hernández García, Primer Vicepresidente; Antonia Urrejola Noguera, Segunda Vicepresidenta; Margarette May Macaulay, Francisco José Eguiguren Praeli y Flávia Piovesan, Miembros de la Co</w:t>
      </w:r>
      <w:bookmarkStart w:id="2" w:name="_GoBack"/>
      <w:bookmarkEnd w:id="2"/>
      <w:r w:rsidRPr="0064628A">
        <w:rPr>
          <w:rFonts w:ascii="Cambria" w:hAnsi="Cambria"/>
          <w:sz w:val="20"/>
          <w:szCs w:val="20"/>
          <w:lang w:val="es-ES"/>
        </w:rPr>
        <w:t>misión.</w:t>
      </w:r>
    </w:p>
    <w:sectPr w:rsidR="00EF15B8" w:rsidRPr="0064628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C09F7" w14:textId="77777777" w:rsidR="00EF130F" w:rsidRDefault="00EF130F">
      <w:r>
        <w:separator/>
      </w:r>
    </w:p>
  </w:endnote>
  <w:endnote w:type="continuationSeparator" w:id="0">
    <w:p w14:paraId="24577772" w14:textId="77777777" w:rsidR="00EF130F" w:rsidRDefault="00EF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6DDDB" w14:textId="77777777" w:rsidR="00F94C16" w:rsidRDefault="00F94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17AF1E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94C16">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9D19D" w14:textId="77777777" w:rsidR="00EF130F" w:rsidRPr="000F35ED" w:rsidRDefault="00EF13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C8DB96" w14:textId="77777777" w:rsidR="00EF130F" w:rsidRPr="000F35ED" w:rsidRDefault="00EF130F" w:rsidP="000F35ED">
      <w:pPr>
        <w:rPr>
          <w:rFonts w:asciiTheme="majorHAnsi" w:hAnsiTheme="majorHAnsi"/>
          <w:sz w:val="16"/>
          <w:szCs w:val="16"/>
        </w:rPr>
      </w:pPr>
      <w:r w:rsidRPr="000F35ED">
        <w:rPr>
          <w:rFonts w:asciiTheme="majorHAnsi" w:hAnsiTheme="majorHAnsi"/>
          <w:sz w:val="16"/>
          <w:szCs w:val="16"/>
        </w:rPr>
        <w:separator/>
      </w:r>
    </w:p>
    <w:p w14:paraId="239CE44F" w14:textId="77777777" w:rsidR="00EF130F" w:rsidRPr="000F35ED" w:rsidRDefault="00EF130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ED72C30" w14:textId="77777777" w:rsidR="00EF130F" w:rsidRPr="000F35ED" w:rsidRDefault="00EF130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772F57A" w14:textId="77777777" w:rsidR="008505C2" w:rsidRPr="002645B1" w:rsidRDefault="008505C2" w:rsidP="008505C2">
      <w:pPr>
        <w:pStyle w:val="FootnoteText"/>
        <w:jc w:val="both"/>
        <w:rPr>
          <w:rFonts w:asciiTheme="majorHAnsi" w:hAnsiTheme="majorHAnsi"/>
          <w:sz w:val="16"/>
          <w:szCs w:val="16"/>
          <w:lang w:val="es-CR"/>
        </w:rPr>
      </w:pPr>
      <w:r w:rsidRPr="002645B1">
        <w:rPr>
          <w:rStyle w:val="FootnoteReference"/>
          <w:rFonts w:asciiTheme="majorHAnsi" w:hAnsiTheme="majorHAnsi"/>
          <w:sz w:val="16"/>
          <w:szCs w:val="16"/>
        </w:rPr>
        <w:footnoteRef/>
      </w:r>
      <w:r w:rsidRPr="002645B1">
        <w:rPr>
          <w:rFonts w:asciiTheme="majorHAnsi" w:hAnsiTheme="majorHAnsi"/>
          <w:sz w:val="16"/>
          <w:szCs w:val="16"/>
          <w:lang w:val="es-CR"/>
        </w:rPr>
        <w:t xml:space="preserve"> E n la petición se identifica como presuntas víctimas a: </w:t>
      </w:r>
      <w:r w:rsidRPr="002645B1">
        <w:rPr>
          <w:rFonts w:asciiTheme="majorHAnsi" w:hAnsiTheme="majorHAnsi"/>
          <w:bCs/>
          <w:sz w:val="16"/>
          <w:szCs w:val="16"/>
          <w:lang w:val="es-CO"/>
        </w:rPr>
        <w:t xml:space="preserve">Alfonso López </w:t>
      </w:r>
      <w:proofErr w:type="spellStart"/>
      <w:r w:rsidRPr="002645B1">
        <w:rPr>
          <w:rFonts w:asciiTheme="majorHAnsi" w:hAnsiTheme="majorHAnsi"/>
          <w:bCs/>
          <w:sz w:val="16"/>
          <w:szCs w:val="16"/>
          <w:lang w:val="es-CO"/>
        </w:rPr>
        <w:t>Michelsen</w:t>
      </w:r>
      <w:proofErr w:type="spellEnd"/>
      <w:r w:rsidRPr="002645B1">
        <w:rPr>
          <w:rFonts w:asciiTheme="majorHAnsi" w:hAnsiTheme="majorHAnsi"/>
          <w:bCs/>
          <w:sz w:val="16"/>
          <w:szCs w:val="16"/>
          <w:lang w:val="es-CO"/>
        </w:rPr>
        <w:t xml:space="preserve">, Cecilia Caballero de López, Juan Manuel López Caballero y María </w:t>
      </w:r>
      <w:proofErr w:type="spellStart"/>
      <w:r w:rsidRPr="002645B1">
        <w:rPr>
          <w:rFonts w:asciiTheme="majorHAnsi" w:hAnsiTheme="majorHAnsi"/>
          <w:bCs/>
          <w:sz w:val="16"/>
          <w:szCs w:val="16"/>
          <w:lang w:val="es-CO"/>
        </w:rPr>
        <w:t>Carrizosa</w:t>
      </w:r>
      <w:proofErr w:type="spellEnd"/>
      <w:r w:rsidRPr="002645B1">
        <w:rPr>
          <w:rFonts w:asciiTheme="majorHAnsi" w:hAnsiTheme="majorHAnsi"/>
          <w:bCs/>
          <w:sz w:val="16"/>
          <w:szCs w:val="16"/>
          <w:lang w:val="es-CO"/>
        </w:rPr>
        <w:t xml:space="preserve"> de López.</w:t>
      </w:r>
    </w:p>
  </w:footnote>
  <w:footnote w:id="3">
    <w:p w14:paraId="716C36BB" w14:textId="77777777" w:rsidR="008505C2" w:rsidRPr="002770CD" w:rsidRDefault="008505C2" w:rsidP="008505C2">
      <w:pPr>
        <w:pStyle w:val="FootnoteText"/>
        <w:jc w:val="both"/>
        <w:rPr>
          <w:rFonts w:ascii="Cambria" w:hAnsi="Cambria"/>
          <w:color w:val="0070C0"/>
          <w:sz w:val="16"/>
          <w:szCs w:val="16"/>
          <w:lang w:val="es-MX"/>
        </w:rPr>
      </w:pPr>
      <w:r w:rsidRPr="002770CD">
        <w:rPr>
          <w:rStyle w:val="FootnoteReference"/>
          <w:rFonts w:ascii="Cambria" w:hAnsi="Cambria"/>
          <w:color w:val="auto"/>
          <w:sz w:val="16"/>
          <w:szCs w:val="16"/>
        </w:rPr>
        <w:footnoteRef/>
      </w:r>
      <w:r w:rsidRPr="002770CD">
        <w:rPr>
          <w:rFonts w:ascii="Cambria" w:hAnsi="Cambria"/>
          <w:color w:val="auto"/>
          <w:sz w:val="16"/>
          <w:szCs w:val="16"/>
          <w:lang w:val="es-MX"/>
        </w:rPr>
        <w:t xml:space="preserve"> Conforme </w:t>
      </w:r>
      <w:r w:rsidRPr="002770CD">
        <w:rPr>
          <w:rFonts w:ascii="Cambria" w:hAnsi="Cambria" w:cs="Arial"/>
          <w:color w:val="auto"/>
          <w:sz w:val="16"/>
          <w:szCs w:val="16"/>
          <w:lang w:val="es-ES"/>
        </w:rPr>
        <w:t xml:space="preserve">a lo dispuesto en el artículo 17.2.a del Reglamento de la Comisión, el Comisionado Luis Ernesto Vargas Silva, de nacionalidad colombiana, no participó en el debate ni en la decisión del presente asunto. </w:t>
      </w:r>
    </w:p>
  </w:footnote>
  <w:footnote w:id="4">
    <w:p w14:paraId="042C1450" w14:textId="77777777" w:rsidR="008505C2" w:rsidRPr="002770CD" w:rsidRDefault="008505C2" w:rsidP="008505C2">
      <w:pPr>
        <w:pStyle w:val="FootnoteText"/>
        <w:jc w:val="both"/>
        <w:rPr>
          <w:rFonts w:ascii="Cambria" w:hAnsi="Cambria"/>
          <w:sz w:val="16"/>
          <w:szCs w:val="16"/>
          <w:lang w:val="es-ES"/>
        </w:rPr>
      </w:pPr>
      <w:r w:rsidRPr="002770CD">
        <w:rPr>
          <w:rStyle w:val="FootnoteReference"/>
          <w:rFonts w:ascii="Cambria" w:hAnsi="Cambria"/>
          <w:sz w:val="16"/>
          <w:szCs w:val="16"/>
        </w:rPr>
        <w:footnoteRef/>
      </w:r>
      <w:r w:rsidRPr="002770CD">
        <w:rPr>
          <w:rFonts w:ascii="Cambria" w:hAnsi="Cambria"/>
          <w:sz w:val="16"/>
          <w:szCs w:val="16"/>
          <w:lang w:val="es-ES"/>
        </w:rPr>
        <w:t xml:space="preserve"> En adelante “</w:t>
      </w:r>
      <w:r>
        <w:rPr>
          <w:rFonts w:ascii="Cambria" w:hAnsi="Cambria"/>
          <w:sz w:val="16"/>
          <w:szCs w:val="16"/>
          <w:lang w:val="es-ES"/>
        </w:rPr>
        <w:t xml:space="preserve">la </w:t>
      </w:r>
      <w:r w:rsidRPr="002770CD">
        <w:rPr>
          <w:rFonts w:ascii="Cambria" w:hAnsi="Cambria"/>
          <w:sz w:val="16"/>
          <w:szCs w:val="16"/>
          <w:lang w:val="es-ES"/>
        </w:rPr>
        <w:t xml:space="preserve">Convención” o </w:t>
      </w:r>
      <w:r>
        <w:rPr>
          <w:rFonts w:ascii="Cambria" w:hAnsi="Cambria"/>
          <w:sz w:val="16"/>
          <w:szCs w:val="16"/>
          <w:lang w:val="es-ES"/>
        </w:rPr>
        <w:t xml:space="preserve">“la </w:t>
      </w:r>
      <w:r w:rsidRPr="002770CD">
        <w:rPr>
          <w:rFonts w:ascii="Cambria" w:hAnsi="Cambria"/>
          <w:sz w:val="16"/>
          <w:szCs w:val="16"/>
          <w:lang w:val="es-ES"/>
        </w:rPr>
        <w:t>Convención Americana”.</w:t>
      </w:r>
    </w:p>
  </w:footnote>
  <w:footnote w:id="5">
    <w:p w14:paraId="79F07139" w14:textId="77777777" w:rsidR="008E3BFE" w:rsidRPr="00DD061E" w:rsidRDefault="008E3BFE" w:rsidP="008505C2">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6">
    <w:p w14:paraId="5F4C638D" w14:textId="77777777" w:rsidR="00E2504A" w:rsidRPr="002770CD" w:rsidRDefault="00E2504A" w:rsidP="008505C2">
      <w:pPr>
        <w:pStyle w:val="FootnoteText"/>
        <w:jc w:val="both"/>
        <w:rPr>
          <w:rFonts w:ascii="Cambria" w:hAnsi="Cambria"/>
          <w:sz w:val="16"/>
          <w:szCs w:val="16"/>
          <w:lang w:val="es-ES"/>
        </w:rPr>
      </w:pPr>
      <w:r w:rsidRPr="002770CD">
        <w:rPr>
          <w:rStyle w:val="FootnoteReference"/>
          <w:rFonts w:ascii="Cambria" w:hAnsi="Cambria"/>
          <w:sz w:val="16"/>
          <w:szCs w:val="16"/>
        </w:rPr>
        <w:footnoteRef/>
      </w:r>
      <w:r w:rsidRPr="002770CD">
        <w:rPr>
          <w:rFonts w:ascii="Cambria" w:hAnsi="Cambria"/>
          <w:sz w:val="16"/>
          <w:szCs w:val="16"/>
          <w:lang w:val="es-ES"/>
        </w:rPr>
        <w:t xml:space="preserve"> CIDH. Informe No. </w:t>
      </w:r>
      <w:r>
        <w:rPr>
          <w:rFonts w:ascii="Cambria" w:hAnsi="Cambria"/>
          <w:sz w:val="16"/>
          <w:szCs w:val="16"/>
          <w:lang w:val="es-ES"/>
        </w:rPr>
        <w:t>67/07</w:t>
      </w:r>
      <w:r w:rsidRPr="002770CD">
        <w:rPr>
          <w:rFonts w:ascii="Cambria" w:hAnsi="Cambria"/>
          <w:sz w:val="16"/>
          <w:szCs w:val="16"/>
          <w:lang w:val="es-ES"/>
        </w:rPr>
        <w:t>. Caso 1</w:t>
      </w:r>
      <w:r>
        <w:rPr>
          <w:rFonts w:ascii="Cambria" w:hAnsi="Cambria"/>
          <w:sz w:val="16"/>
          <w:szCs w:val="16"/>
          <w:lang w:val="es-ES"/>
        </w:rPr>
        <w:t>1</w:t>
      </w:r>
      <w:r w:rsidRPr="002770CD">
        <w:rPr>
          <w:rFonts w:ascii="Cambria" w:hAnsi="Cambria"/>
          <w:sz w:val="16"/>
          <w:szCs w:val="16"/>
          <w:lang w:val="es-ES"/>
        </w:rPr>
        <w:t>.</w:t>
      </w:r>
      <w:r>
        <w:rPr>
          <w:rFonts w:ascii="Cambria" w:hAnsi="Cambria"/>
          <w:sz w:val="16"/>
          <w:szCs w:val="16"/>
          <w:lang w:val="es-ES"/>
        </w:rPr>
        <w:t>859. Admisibilidad. Tomás Enrique Carvallo Quintana. Argentina. 14 de junio de 2001. Párr. 55.</w:t>
      </w:r>
      <w:r w:rsidRPr="002770CD">
        <w:rPr>
          <w:rFonts w:ascii="Cambria" w:hAnsi="Cambria"/>
          <w:sz w:val="16"/>
          <w:szCs w:val="16"/>
          <w:lang w:val="es-ES"/>
        </w:rPr>
        <w:t xml:space="preserve"> </w:t>
      </w:r>
    </w:p>
  </w:footnote>
  <w:footnote w:id="7">
    <w:p w14:paraId="10940792" w14:textId="77777777" w:rsidR="00E2504A" w:rsidRPr="002770CD" w:rsidRDefault="00E2504A" w:rsidP="008505C2">
      <w:pPr>
        <w:pStyle w:val="FootnoteText"/>
        <w:jc w:val="both"/>
        <w:rPr>
          <w:rFonts w:ascii="Cambria" w:hAnsi="Cambria"/>
          <w:sz w:val="16"/>
          <w:szCs w:val="16"/>
          <w:lang w:val="es-ES"/>
        </w:rPr>
      </w:pPr>
      <w:r w:rsidRPr="002770CD">
        <w:rPr>
          <w:rStyle w:val="FootnoteReference"/>
          <w:rFonts w:ascii="Cambria" w:hAnsi="Cambria"/>
          <w:sz w:val="16"/>
          <w:szCs w:val="16"/>
        </w:rPr>
        <w:footnoteRef/>
      </w:r>
      <w:r w:rsidRPr="002770CD">
        <w:rPr>
          <w:rFonts w:ascii="Cambria" w:hAnsi="Cambria"/>
          <w:sz w:val="16"/>
          <w:szCs w:val="16"/>
          <w:lang w:val="es-ES"/>
        </w:rPr>
        <w:t xml:space="preserve"> CIDH. Informe No. </w:t>
      </w:r>
      <w:r>
        <w:rPr>
          <w:rFonts w:ascii="Cambria" w:hAnsi="Cambria"/>
          <w:sz w:val="16"/>
          <w:szCs w:val="16"/>
          <w:lang w:val="es-ES"/>
        </w:rPr>
        <w:t>67/07</w:t>
      </w:r>
      <w:r w:rsidRPr="002770CD">
        <w:rPr>
          <w:rFonts w:ascii="Cambria" w:hAnsi="Cambria"/>
          <w:sz w:val="16"/>
          <w:szCs w:val="16"/>
          <w:lang w:val="es-ES"/>
        </w:rPr>
        <w:t>. Caso 1</w:t>
      </w:r>
      <w:r>
        <w:rPr>
          <w:rFonts w:ascii="Cambria" w:hAnsi="Cambria"/>
          <w:sz w:val="16"/>
          <w:szCs w:val="16"/>
          <w:lang w:val="es-ES"/>
        </w:rPr>
        <w:t>1</w:t>
      </w:r>
      <w:r w:rsidRPr="002770CD">
        <w:rPr>
          <w:rFonts w:ascii="Cambria" w:hAnsi="Cambria"/>
          <w:sz w:val="16"/>
          <w:szCs w:val="16"/>
          <w:lang w:val="es-ES"/>
        </w:rPr>
        <w:t>.</w:t>
      </w:r>
      <w:r>
        <w:rPr>
          <w:rFonts w:ascii="Cambria" w:hAnsi="Cambria"/>
          <w:sz w:val="16"/>
          <w:szCs w:val="16"/>
          <w:lang w:val="es-ES"/>
        </w:rPr>
        <w:t xml:space="preserve">859. Admisibilidad. Tomás Enrique Carvallo Quintana. Argentina. 14 de junio de 2001. </w:t>
      </w:r>
      <w:proofErr w:type="spellStart"/>
      <w:r>
        <w:rPr>
          <w:rFonts w:ascii="Cambria" w:hAnsi="Cambria"/>
          <w:sz w:val="16"/>
          <w:szCs w:val="16"/>
          <w:lang w:val="es-ES"/>
        </w:rPr>
        <w:t>Párrs</w:t>
      </w:r>
      <w:proofErr w:type="spellEnd"/>
      <w:r>
        <w:rPr>
          <w:rFonts w:ascii="Cambria" w:hAnsi="Cambria"/>
          <w:sz w:val="16"/>
          <w:szCs w:val="16"/>
          <w:lang w:val="es-ES"/>
        </w:rPr>
        <w:t>. 50-61.</w:t>
      </w:r>
      <w:r w:rsidRPr="002770CD">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F130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4055" w14:textId="77777777" w:rsidR="00F94C16" w:rsidRDefault="00F94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7E3506"/>
    <w:multiLevelType w:val="hybridMultilevel"/>
    <w:tmpl w:val="3F3C5218"/>
    <w:lvl w:ilvl="0" w:tplc="D1C292D2">
      <w:start w:val="1"/>
      <w:numFmt w:val="decimal"/>
      <w:lvlText w:val="%1."/>
      <w:lvlJc w:val="left"/>
      <w:pPr>
        <w:tabs>
          <w:tab w:val="num" w:pos="720"/>
        </w:tabs>
        <w:ind w:left="0" w:firstLine="720"/>
      </w:pPr>
      <w:rPr>
        <w:rFonts w:hint="default"/>
        <w:strike w:val="0"/>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716C5"/>
    <w:rsid w:val="00075E23"/>
    <w:rsid w:val="0009006E"/>
    <w:rsid w:val="0009344A"/>
    <w:rsid w:val="000A19F8"/>
    <w:rsid w:val="000A3254"/>
    <w:rsid w:val="000A392E"/>
    <w:rsid w:val="000A575F"/>
    <w:rsid w:val="000A63D0"/>
    <w:rsid w:val="000B0579"/>
    <w:rsid w:val="000C1C69"/>
    <w:rsid w:val="000C3A31"/>
    <w:rsid w:val="000D10DB"/>
    <w:rsid w:val="000E2789"/>
    <w:rsid w:val="000E5EB5"/>
    <w:rsid w:val="000F35ED"/>
    <w:rsid w:val="00107131"/>
    <w:rsid w:val="0010736F"/>
    <w:rsid w:val="00111A8A"/>
    <w:rsid w:val="00113F73"/>
    <w:rsid w:val="00121CC2"/>
    <w:rsid w:val="00131D8B"/>
    <w:rsid w:val="00133EE5"/>
    <w:rsid w:val="00136E3D"/>
    <w:rsid w:val="00143EFE"/>
    <w:rsid w:val="001479C0"/>
    <w:rsid w:val="0015330B"/>
    <w:rsid w:val="00167A34"/>
    <w:rsid w:val="00176BB3"/>
    <w:rsid w:val="00177EEF"/>
    <w:rsid w:val="001A7870"/>
    <w:rsid w:val="001B3A00"/>
    <w:rsid w:val="001B4C00"/>
    <w:rsid w:val="001C1B41"/>
    <w:rsid w:val="001D65EF"/>
    <w:rsid w:val="001E49E7"/>
    <w:rsid w:val="001F271B"/>
    <w:rsid w:val="001F7201"/>
    <w:rsid w:val="00204931"/>
    <w:rsid w:val="00223A29"/>
    <w:rsid w:val="002250A3"/>
    <w:rsid w:val="00231294"/>
    <w:rsid w:val="00235217"/>
    <w:rsid w:val="002355A9"/>
    <w:rsid w:val="00246D1F"/>
    <w:rsid w:val="00247403"/>
    <w:rsid w:val="00247542"/>
    <w:rsid w:val="00266B61"/>
    <w:rsid w:val="0026712A"/>
    <w:rsid w:val="002704DB"/>
    <w:rsid w:val="00277BDA"/>
    <w:rsid w:val="0029575A"/>
    <w:rsid w:val="002A0AAE"/>
    <w:rsid w:val="002A5820"/>
    <w:rsid w:val="002C3350"/>
    <w:rsid w:val="002D2B26"/>
    <w:rsid w:val="002D7EA2"/>
    <w:rsid w:val="002E187C"/>
    <w:rsid w:val="002E7512"/>
    <w:rsid w:val="002F3724"/>
    <w:rsid w:val="00302733"/>
    <w:rsid w:val="003121D5"/>
    <w:rsid w:val="00314078"/>
    <w:rsid w:val="0031535D"/>
    <w:rsid w:val="003239B8"/>
    <w:rsid w:val="0033169F"/>
    <w:rsid w:val="0034224A"/>
    <w:rsid w:val="00343438"/>
    <w:rsid w:val="00344977"/>
    <w:rsid w:val="00346C95"/>
    <w:rsid w:val="00351155"/>
    <w:rsid w:val="00356185"/>
    <w:rsid w:val="00360380"/>
    <w:rsid w:val="0037519E"/>
    <w:rsid w:val="00386C6C"/>
    <w:rsid w:val="00386CF0"/>
    <w:rsid w:val="003942EC"/>
    <w:rsid w:val="003A6337"/>
    <w:rsid w:val="003B4FF6"/>
    <w:rsid w:val="003B70FB"/>
    <w:rsid w:val="003C6112"/>
    <w:rsid w:val="003C676B"/>
    <w:rsid w:val="003D0A55"/>
    <w:rsid w:val="003D3BC2"/>
    <w:rsid w:val="003E614F"/>
    <w:rsid w:val="003E6CA1"/>
    <w:rsid w:val="004065A8"/>
    <w:rsid w:val="004153F5"/>
    <w:rsid w:val="004165C2"/>
    <w:rsid w:val="004304AD"/>
    <w:rsid w:val="00441ECB"/>
    <w:rsid w:val="00445193"/>
    <w:rsid w:val="00447CCF"/>
    <w:rsid w:val="004565BA"/>
    <w:rsid w:val="00462C1B"/>
    <w:rsid w:val="00467B7E"/>
    <w:rsid w:val="0047080D"/>
    <w:rsid w:val="00473BB4"/>
    <w:rsid w:val="00476211"/>
    <w:rsid w:val="00477592"/>
    <w:rsid w:val="00486F1C"/>
    <w:rsid w:val="0049419D"/>
    <w:rsid w:val="004A59CC"/>
    <w:rsid w:val="004A6A54"/>
    <w:rsid w:val="004C20D2"/>
    <w:rsid w:val="004C2312"/>
    <w:rsid w:val="004C4B62"/>
    <w:rsid w:val="004C54C9"/>
    <w:rsid w:val="004C616A"/>
    <w:rsid w:val="004D4ABA"/>
    <w:rsid w:val="004D6025"/>
    <w:rsid w:val="004E19B1"/>
    <w:rsid w:val="004E2649"/>
    <w:rsid w:val="00501399"/>
    <w:rsid w:val="00501652"/>
    <w:rsid w:val="0050633D"/>
    <w:rsid w:val="00507BC4"/>
    <w:rsid w:val="005128E4"/>
    <w:rsid w:val="005133DB"/>
    <w:rsid w:val="00525560"/>
    <w:rsid w:val="005415E6"/>
    <w:rsid w:val="00544216"/>
    <w:rsid w:val="00544C49"/>
    <w:rsid w:val="005516A1"/>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F0DAD"/>
    <w:rsid w:val="005F0F33"/>
    <w:rsid w:val="00600DEB"/>
    <w:rsid w:val="006068B7"/>
    <w:rsid w:val="006277DE"/>
    <w:rsid w:val="00627C9F"/>
    <w:rsid w:val="006311E9"/>
    <w:rsid w:val="00632354"/>
    <w:rsid w:val="00642810"/>
    <w:rsid w:val="0064628A"/>
    <w:rsid w:val="00647756"/>
    <w:rsid w:val="006509DA"/>
    <w:rsid w:val="00652333"/>
    <w:rsid w:val="006775AB"/>
    <w:rsid w:val="0068009E"/>
    <w:rsid w:val="006819E9"/>
    <w:rsid w:val="00686471"/>
    <w:rsid w:val="0068794B"/>
    <w:rsid w:val="00691BBE"/>
    <w:rsid w:val="00692219"/>
    <w:rsid w:val="0069402E"/>
    <w:rsid w:val="006A17D2"/>
    <w:rsid w:val="006A73E6"/>
    <w:rsid w:val="006B2D5C"/>
    <w:rsid w:val="006B2EE8"/>
    <w:rsid w:val="006C4EB1"/>
    <w:rsid w:val="006E0166"/>
    <w:rsid w:val="006E772A"/>
    <w:rsid w:val="006E7B34"/>
    <w:rsid w:val="0070697F"/>
    <w:rsid w:val="0072199C"/>
    <w:rsid w:val="00722C9F"/>
    <w:rsid w:val="007253B8"/>
    <w:rsid w:val="00727B0E"/>
    <w:rsid w:val="0073598C"/>
    <w:rsid w:val="0073741F"/>
    <w:rsid w:val="0076643F"/>
    <w:rsid w:val="00777F63"/>
    <w:rsid w:val="007852B5"/>
    <w:rsid w:val="00796A37"/>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338A4"/>
    <w:rsid w:val="00834D49"/>
    <w:rsid w:val="00837C45"/>
    <w:rsid w:val="008411F0"/>
    <w:rsid w:val="008439BC"/>
    <w:rsid w:val="00844730"/>
    <w:rsid w:val="008457C2"/>
    <w:rsid w:val="008505C2"/>
    <w:rsid w:val="00857A82"/>
    <w:rsid w:val="00871526"/>
    <w:rsid w:val="00873836"/>
    <w:rsid w:val="00875668"/>
    <w:rsid w:val="00885737"/>
    <w:rsid w:val="00890650"/>
    <w:rsid w:val="00897E12"/>
    <w:rsid w:val="008A0F81"/>
    <w:rsid w:val="008A310C"/>
    <w:rsid w:val="008A7E0F"/>
    <w:rsid w:val="008B12F5"/>
    <w:rsid w:val="008B5932"/>
    <w:rsid w:val="008C5751"/>
    <w:rsid w:val="008D768D"/>
    <w:rsid w:val="008E0FD8"/>
    <w:rsid w:val="008E328A"/>
    <w:rsid w:val="008E3759"/>
    <w:rsid w:val="008E3BFE"/>
    <w:rsid w:val="008E7900"/>
    <w:rsid w:val="008F1912"/>
    <w:rsid w:val="0090270B"/>
    <w:rsid w:val="009041DC"/>
    <w:rsid w:val="00917B5A"/>
    <w:rsid w:val="00920A58"/>
    <w:rsid w:val="00920A8C"/>
    <w:rsid w:val="00934A2C"/>
    <w:rsid w:val="00935F06"/>
    <w:rsid w:val="00937B3A"/>
    <w:rsid w:val="00954B82"/>
    <w:rsid w:val="00957000"/>
    <w:rsid w:val="00962436"/>
    <w:rsid w:val="0096706E"/>
    <w:rsid w:val="00974491"/>
    <w:rsid w:val="00975C4E"/>
    <w:rsid w:val="00981FBA"/>
    <w:rsid w:val="00997BC5"/>
    <w:rsid w:val="009A4F41"/>
    <w:rsid w:val="009B381B"/>
    <w:rsid w:val="009C2FC5"/>
    <w:rsid w:val="009D1753"/>
    <w:rsid w:val="009D6502"/>
    <w:rsid w:val="009D7611"/>
    <w:rsid w:val="009D78A5"/>
    <w:rsid w:val="009E08DD"/>
    <w:rsid w:val="009E0B61"/>
    <w:rsid w:val="009E53DE"/>
    <w:rsid w:val="009E7C00"/>
    <w:rsid w:val="00A0691C"/>
    <w:rsid w:val="00A11E44"/>
    <w:rsid w:val="00A154C8"/>
    <w:rsid w:val="00A22397"/>
    <w:rsid w:val="00A32313"/>
    <w:rsid w:val="00A328B3"/>
    <w:rsid w:val="00A50FCF"/>
    <w:rsid w:val="00A528D1"/>
    <w:rsid w:val="00A610CD"/>
    <w:rsid w:val="00A625E0"/>
    <w:rsid w:val="00A74947"/>
    <w:rsid w:val="00A758AA"/>
    <w:rsid w:val="00A92093"/>
    <w:rsid w:val="00AA09A2"/>
    <w:rsid w:val="00AA7996"/>
    <w:rsid w:val="00AC19CB"/>
    <w:rsid w:val="00AD1886"/>
    <w:rsid w:val="00AE5488"/>
    <w:rsid w:val="00AE6F91"/>
    <w:rsid w:val="00AF5571"/>
    <w:rsid w:val="00B06B4E"/>
    <w:rsid w:val="00B07341"/>
    <w:rsid w:val="00B202B5"/>
    <w:rsid w:val="00B30539"/>
    <w:rsid w:val="00B314DB"/>
    <w:rsid w:val="00B361F2"/>
    <w:rsid w:val="00B3718B"/>
    <w:rsid w:val="00B4632A"/>
    <w:rsid w:val="00B5067D"/>
    <w:rsid w:val="00B530F1"/>
    <w:rsid w:val="00B57297"/>
    <w:rsid w:val="00B66DA8"/>
    <w:rsid w:val="00B736AF"/>
    <w:rsid w:val="00B742BE"/>
    <w:rsid w:val="00B87359"/>
    <w:rsid w:val="00B97946"/>
    <w:rsid w:val="00BA276C"/>
    <w:rsid w:val="00BA5544"/>
    <w:rsid w:val="00BB306F"/>
    <w:rsid w:val="00BB3FBD"/>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5A26"/>
    <w:rsid w:val="00C51515"/>
    <w:rsid w:val="00C53910"/>
    <w:rsid w:val="00C5660B"/>
    <w:rsid w:val="00C56854"/>
    <w:rsid w:val="00C5788A"/>
    <w:rsid w:val="00C66B72"/>
    <w:rsid w:val="00C87AC4"/>
    <w:rsid w:val="00C9567A"/>
    <w:rsid w:val="00CA48A3"/>
    <w:rsid w:val="00CB212D"/>
    <w:rsid w:val="00CB2660"/>
    <w:rsid w:val="00CC5E90"/>
    <w:rsid w:val="00CD046C"/>
    <w:rsid w:val="00CD186A"/>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A7B5F"/>
    <w:rsid w:val="00DC11E7"/>
    <w:rsid w:val="00DC7023"/>
    <w:rsid w:val="00DC769A"/>
    <w:rsid w:val="00DD061E"/>
    <w:rsid w:val="00DD3D86"/>
    <w:rsid w:val="00DE12F0"/>
    <w:rsid w:val="00DF1EC4"/>
    <w:rsid w:val="00DF51E9"/>
    <w:rsid w:val="00E01943"/>
    <w:rsid w:val="00E0340B"/>
    <w:rsid w:val="00E04A90"/>
    <w:rsid w:val="00E0551F"/>
    <w:rsid w:val="00E219C7"/>
    <w:rsid w:val="00E2504A"/>
    <w:rsid w:val="00E26CCA"/>
    <w:rsid w:val="00E27F56"/>
    <w:rsid w:val="00E4118C"/>
    <w:rsid w:val="00E43157"/>
    <w:rsid w:val="00E461CE"/>
    <w:rsid w:val="00E720CA"/>
    <w:rsid w:val="00E84EB5"/>
    <w:rsid w:val="00E85662"/>
    <w:rsid w:val="00E8789F"/>
    <w:rsid w:val="00E92747"/>
    <w:rsid w:val="00E97B71"/>
    <w:rsid w:val="00EA3D34"/>
    <w:rsid w:val="00EB454D"/>
    <w:rsid w:val="00EC26E9"/>
    <w:rsid w:val="00EC72AB"/>
    <w:rsid w:val="00ED2F03"/>
    <w:rsid w:val="00ED549D"/>
    <w:rsid w:val="00ED76BE"/>
    <w:rsid w:val="00ED7F05"/>
    <w:rsid w:val="00EE00E9"/>
    <w:rsid w:val="00EE014D"/>
    <w:rsid w:val="00EF130F"/>
    <w:rsid w:val="00EF15B8"/>
    <w:rsid w:val="00EF35AB"/>
    <w:rsid w:val="00EF4C44"/>
    <w:rsid w:val="00EF619B"/>
    <w:rsid w:val="00F00B55"/>
    <w:rsid w:val="00F02AD1"/>
    <w:rsid w:val="00F04591"/>
    <w:rsid w:val="00F06354"/>
    <w:rsid w:val="00F253CC"/>
    <w:rsid w:val="00F332EF"/>
    <w:rsid w:val="00F37106"/>
    <w:rsid w:val="00F519CF"/>
    <w:rsid w:val="00F53168"/>
    <w:rsid w:val="00F56BA5"/>
    <w:rsid w:val="00F60E22"/>
    <w:rsid w:val="00F63B39"/>
    <w:rsid w:val="00F81395"/>
    <w:rsid w:val="00F81887"/>
    <w:rsid w:val="00F81BB8"/>
    <w:rsid w:val="00F86AAE"/>
    <w:rsid w:val="00F917D1"/>
    <w:rsid w:val="00F9342C"/>
    <w:rsid w:val="00F94C16"/>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
    <w:name w:val="List"/>
    <w:basedOn w:val="Normal"/>
    <w:rsid w:val="00E250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DF63-2D3D-4000-8D93-8623FF75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10068</Characters>
  <Application>Microsoft Office Word</Application>
  <DocSecurity>0</DocSecurity>
  <Lines>209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211/19</dc:title>
  <dc:creator/>
  <cp:lastModifiedBy/>
  <cp:revision>1</cp:revision>
  <dcterms:created xsi:type="dcterms:W3CDTF">2020-03-27T13:34:00Z</dcterms:created>
  <dcterms:modified xsi:type="dcterms:W3CDTF">2020-03-27T13:34:00Z</dcterms:modified>
</cp:coreProperties>
</file>