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1A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724E">
                              <w:rPr>
                                <w:rFonts w:asciiTheme="majorHAnsi" w:hAnsiTheme="majorHAnsi" w:cs="Arial"/>
                                <w:b/>
                                <w:bCs/>
                                <w:color w:val="0D0D0D" w:themeColor="text1" w:themeTint="F2"/>
                                <w:sz w:val="36"/>
                                <w:szCs w:val="22"/>
                                <w:lang w:val="es-ES_tradnl"/>
                              </w:rPr>
                              <w:t>198</w:t>
                            </w:r>
                            <w:r w:rsidR="007B05C4">
                              <w:rPr>
                                <w:rFonts w:asciiTheme="majorHAnsi" w:hAnsiTheme="majorHAnsi" w:cs="Arial"/>
                                <w:b/>
                                <w:bCs/>
                                <w:color w:val="0D0D0D" w:themeColor="text1" w:themeTint="F2"/>
                                <w:sz w:val="36"/>
                                <w:szCs w:val="22"/>
                                <w:lang w:val="es-ES_tradnl"/>
                              </w:rPr>
                              <w:t>/</w:t>
                            </w:r>
                            <w:r w:rsidR="00351B24">
                              <w:rPr>
                                <w:rFonts w:asciiTheme="majorHAnsi" w:hAnsiTheme="majorHAnsi" w:cs="Arial"/>
                                <w:b/>
                                <w:bCs/>
                                <w:color w:val="0D0D0D" w:themeColor="text1" w:themeTint="F2"/>
                                <w:sz w:val="36"/>
                                <w:szCs w:val="22"/>
                                <w:lang w:val="es-ES_tradnl"/>
                              </w:rPr>
                              <w:t>1</w:t>
                            </w:r>
                            <w:r w:rsidR="003B4EC1">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2520">
                              <w:rPr>
                                <w:rFonts w:asciiTheme="majorHAnsi" w:hAnsiTheme="majorHAnsi" w:cs="Arial"/>
                                <w:b/>
                                <w:color w:val="0D0D0D" w:themeColor="text1" w:themeTint="F2"/>
                                <w:sz w:val="36"/>
                                <w:szCs w:val="22"/>
                                <w:lang w:val="es-ES_tradnl"/>
                              </w:rPr>
                              <w:t>716</w:t>
                            </w:r>
                            <w:r w:rsidR="00246D1F" w:rsidRPr="004E2649">
                              <w:rPr>
                                <w:rFonts w:asciiTheme="majorHAnsi" w:hAnsiTheme="majorHAnsi" w:cs="Arial"/>
                                <w:b/>
                                <w:color w:val="0D0D0D" w:themeColor="text1" w:themeTint="F2"/>
                                <w:sz w:val="36"/>
                                <w:szCs w:val="22"/>
                                <w:lang w:val="es-ES_tradnl"/>
                              </w:rPr>
                              <w:t>-</w:t>
                            </w:r>
                            <w:r w:rsidR="00662520">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724A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034247" w:rsidP="00997BC5">
                            <w:pPr>
                              <w:spacing w:line="276" w:lineRule="auto"/>
                              <w:rPr>
                                <w:rFonts w:asciiTheme="majorHAnsi" w:hAnsiTheme="majorHAnsi" w:cs="Arial"/>
                                <w:color w:val="0D0D0D" w:themeColor="text1" w:themeTint="F2"/>
                                <w:szCs w:val="22"/>
                                <w:lang w:val="es-ES_tradnl"/>
                              </w:rPr>
                            </w:pPr>
                            <w:r>
                              <w:rPr>
                                <w:rFonts w:ascii="Cambria" w:hAnsi="Cambria" w:cs="Arial"/>
                                <w:color w:val="0D0D0D"/>
                                <w:lang w:val="es-ES_tradnl"/>
                              </w:rPr>
                              <w:t>MIGUEL PIÑEROS REY Y OTROS</w:t>
                            </w:r>
                          </w:p>
                          <w:bookmarkEnd w:id="0"/>
                          <w:p w:rsidR="00034247" w:rsidRPr="00BA7ADF" w:rsidRDefault="00034247" w:rsidP="00034247">
                            <w:pPr>
                              <w:rPr>
                                <w:rFonts w:ascii="Cambria" w:hAnsi="Cambria" w:cs="Arial"/>
                                <w:color w:val="0D0D0D"/>
                                <w:lang w:val="es-ES"/>
                              </w:rPr>
                            </w:pPr>
                            <w:r>
                              <w:rPr>
                                <w:rFonts w:ascii="Cambria" w:hAnsi="Cambria" w:cs="Arial"/>
                                <w:color w:val="0D0D0D"/>
                                <w:lang w:val="es-ES_tradnl"/>
                              </w:rPr>
                              <w:t>COLOMBIA</w:t>
                            </w:r>
                          </w:p>
                          <w:p w:rsidR="005B52B0" w:rsidRPr="0010736F" w:rsidRDefault="005B52B0" w:rsidP="00997BC5">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724E">
                        <w:rPr>
                          <w:rFonts w:asciiTheme="majorHAnsi" w:hAnsiTheme="majorHAnsi" w:cs="Arial"/>
                          <w:b/>
                          <w:bCs/>
                          <w:color w:val="0D0D0D" w:themeColor="text1" w:themeTint="F2"/>
                          <w:sz w:val="36"/>
                          <w:szCs w:val="22"/>
                          <w:lang w:val="es-ES_tradnl"/>
                        </w:rPr>
                        <w:t>198</w:t>
                      </w:r>
                      <w:r w:rsidR="007B05C4">
                        <w:rPr>
                          <w:rFonts w:asciiTheme="majorHAnsi" w:hAnsiTheme="majorHAnsi" w:cs="Arial"/>
                          <w:b/>
                          <w:bCs/>
                          <w:color w:val="0D0D0D" w:themeColor="text1" w:themeTint="F2"/>
                          <w:sz w:val="36"/>
                          <w:szCs w:val="22"/>
                          <w:lang w:val="es-ES_tradnl"/>
                        </w:rPr>
                        <w:t>/</w:t>
                      </w:r>
                      <w:r w:rsidR="00351B24">
                        <w:rPr>
                          <w:rFonts w:asciiTheme="majorHAnsi" w:hAnsiTheme="majorHAnsi" w:cs="Arial"/>
                          <w:b/>
                          <w:bCs/>
                          <w:color w:val="0D0D0D" w:themeColor="text1" w:themeTint="F2"/>
                          <w:sz w:val="36"/>
                          <w:szCs w:val="22"/>
                          <w:lang w:val="es-ES_tradnl"/>
                        </w:rPr>
                        <w:t>1</w:t>
                      </w:r>
                      <w:r w:rsidR="003B4EC1">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2520">
                        <w:rPr>
                          <w:rFonts w:asciiTheme="majorHAnsi" w:hAnsiTheme="majorHAnsi" w:cs="Arial"/>
                          <w:b/>
                          <w:color w:val="0D0D0D" w:themeColor="text1" w:themeTint="F2"/>
                          <w:sz w:val="36"/>
                          <w:szCs w:val="22"/>
                          <w:lang w:val="es-ES_tradnl"/>
                        </w:rPr>
                        <w:t>716</w:t>
                      </w:r>
                      <w:r w:rsidR="00246D1F" w:rsidRPr="004E2649">
                        <w:rPr>
                          <w:rFonts w:asciiTheme="majorHAnsi" w:hAnsiTheme="majorHAnsi" w:cs="Arial"/>
                          <w:b/>
                          <w:color w:val="0D0D0D" w:themeColor="text1" w:themeTint="F2"/>
                          <w:sz w:val="36"/>
                          <w:szCs w:val="22"/>
                          <w:lang w:val="es-ES_tradnl"/>
                        </w:rPr>
                        <w:t>-</w:t>
                      </w:r>
                      <w:r w:rsidR="00662520">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724A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034247" w:rsidP="00997BC5">
                      <w:pPr>
                        <w:spacing w:line="276" w:lineRule="auto"/>
                        <w:rPr>
                          <w:rFonts w:asciiTheme="majorHAnsi" w:hAnsiTheme="majorHAnsi" w:cs="Arial"/>
                          <w:color w:val="0D0D0D" w:themeColor="text1" w:themeTint="F2"/>
                          <w:szCs w:val="22"/>
                          <w:lang w:val="es-ES_tradnl"/>
                        </w:rPr>
                      </w:pPr>
                      <w:r>
                        <w:rPr>
                          <w:rFonts w:ascii="Cambria" w:hAnsi="Cambria" w:cs="Arial"/>
                          <w:color w:val="0D0D0D"/>
                          <w:lang w:val="es-ES_tradnl"/>
                        </w:rPr>
                        <w:t>MIGUEL PIÑEROS REY Y OTROS</w:t>
                      </w:r>
                    </w:p>
                    <w:bookmarkEnd w:id="1"/>
                    <w:p w:rsidR="00034247" w:rsidRPr="00BA7ADF" w:rsidRDefault="00034247" w:rsidP="00034247">
                      <w:pPr>
                        <w:rPr>
                          <w:rFonts w:ascii="Cambria" w:hAnsi="Cambria" w:cs="Arial"/>
                          <w:color w:val="0D0D0D"/>
                          <w:lang w:val="es-ES"/>
                        </w:rPr>
                      </w:pPr>
                      <w:r>
                        <w:rPr>
                          <w:rFonts w:ascii="Cambria" w:hAnsi="Cambria" w:cs="Arial"/>
                          <w:color w:val="0D0D0D"/>
                          <w:lang w:val="es-ES_tradnl"/>
                        </w:rPr>
                        <w:t>COLOMBIA</w:t>
                      </w:r>
                    </w:p>
                    <w:p w:rsidR="005B52B0" w:rsidRPr="0010736F" w:rsidRDefault="005B52B0" w:rsidP="00997BC5">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B4C1C" w:rsidRDefault="00627C9F" w:rsidP="007A5817">
                            <w:pPr>
                              <w:spacing w:line="276" w:lineRule="auto"/>
                              <w:jc w:val="right"/>
                              <w:rPr>
                                <w:rFonts w:asciiTheme="minorHAnsi" w:hAnsiTheme="minorHAnsi"/>
                                <w:color w:val="FFFFFF" w:themeColor="background1"/>
                                <w:sz w:val="22"/>
                                <w:lang w:val="pt-BR"/>
                              </w:rPr>
                            </w:pPr>
                            <w:r w:rsidRPr="003B4C1C">
                              <w:rPr>
                                <w:rFonts w:asciiTheme="minorHAnsi" w:hAnsiTheme="minorHAnsi"/>
                                <w:color w:val="FFFFFF" w:themeColor="background1"/>
                                <w:sz w:val="22"/>
                                <w:lang w:val="pt-BR"/>
                              </w:rPr>
                              <w:t>OEA/Ser.L/V/II.</w:t>
                            </w:r>
                          </w:p>
                          <w:p w:rsidR="00627C9F" w:rsidRPr="003B4C1C" w:rsidRDefault="007F72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220</w:t>
                            </w:r>
                          </w:p>
                          <w:p w:rsidR="00627C9F" w:rsidRPr="0056111A" w:rsidRDefault="007F724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 2019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B4C1C" w:rsidRDefault="00627C9F" w:rsidP="007A5817">
                      <w:pPr>
                        <w:spacing w:line="276" w:lineRule="auto"/>
                        <w:jc w:val="right"/>
                        <w:rPr>
                          <w:rFonts w:asciiTheme="minorHAnsi" w:hAnsiTheme="minorHAnsi"/>
                          <w:color w:val="FFFFFF" w:themeColor="background1"/>
                          <w:sz w:val="22"/>
                          <w:lang w:val="pt-BR"/>
                        </w:rPr>
                      </w:pPr>
                      <w:r w:rsidRPr="003B4C1C">
                        <w:rPr>
                          <w:rFonts w:asciiTheme="minorHAnsi" w:hAnsiTheme="minorHAnsi"/>
                          <w:color w:val="FFFFFF" w:themeColor="background1"/>
                          <w:sz w:val="22"/>
                          <w:lang w:val="pt-BR"/>
                        </w:rPr>
                        <w:t>OEA/Ser.L/V/II.</w:t>
                      </w:r>
                    </w:p>
                    <w:p w:rsidR="00627C9F" w:rsidRPr="003B4C1C" w:rsidRDefault="007F72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220</w:t>
                      </w:r>
                    </w:p>
                    <w:p w:rsidR="00627C9F" w:rsidRPr="0056111A" w:rsidRDefault="007F724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 2019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24E" w:rsidRPr="007A5817" w:rsidRDefault="007F724E" w:rsidP="007F724E">
                            <w:pPr>
                              <w:tabs>
                                <w:tab w:val="center" w:pos="5400"/>
                              </w:tabs>
                              <w:suppressAutoHyphens/>
                              <w:spacing w:before="60"/>
                              <w:contextualSpacing/>
                              <w:rPr>
                                <w:rFonts w:asciiTheme="minorHAnsi" w:hAnsiTheme="minorHAnsi" w:cs="Univers"/>
                                <w:color w:val="0D0D0D" w:themeColor="text1" w:themeTint="F2"/>
                                <w:sz w:val="20"/>
                                <w:szCs w:val="20"/>
                                <w:lang w:val="es-ES"/>
                              </w:rPr>
                            </w:pPr>
                            <w:r w:rsidRPr="00D3210C">
                              <w:rPr>
                                <w:rFonts w:ascii="Cambria" w:hAnsi="Cambria"/>
                                <w:color w:val="0D0D0D"/>
                                <w:sz w:val="18"/>
                                <w:szCs w:val="20"/>
                                <w:lang w:val="es-ES"/>
                              </w:rPr>
                              <w:t xml:space="preserve">Aprobado por la Comisión el </w:t>
                            </w:r>
                            <w:r>
                              <w:rPr>
                                <w:rFonts w:ascii="Cambria" w:hAnsi="Cambria"/>
                                <w:color w:val="0D0D0D"/>
                                <w:sz w:val="18"/>
                                <w:szCs w:val="20"/>
                                <w:lang w:val="es-ES"/>
                              </w:rPr>
                              <w:t>6</w:t>
                            </w:r>
                            <w:r w:rsidRPr="00D3210C">
                              <w:rPr>
                                <w:rFonts w:ascii="Cambria" w:hAnsi="Cambria"/>
                                <w:color w:val="0D0D0D"/>
                                <w:sz w:val="18"/>
                                <w:szCs w:val="20"/>
                                <w:lang w:val="es-ES"/>
                              </w:rPr>
                              <w:t xml:space="preserve"> de diciembre de 2019 en San Salvador, El Salvador</w:t>
                            </w:r>
                            <w:r w:rsidR="00402E21">
                              <w:rPr>
                                <w:rFonts w:ascii="Cambria" w:hAnsi="Cambria"/>
                                <w:color w:val="0D0D0D"/>
                                <w:sz w:val="18"/>
                                <w:szCs w:val="20"/>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F724E" w:rsidRPr="007A5817" w:rsidRDefault="007F724E" w:rsidP="007F724E">
                      <w:pPr>
                        <w:tabs>
                          <w:tab w:val="center" w:pos="5400"/>
                        </w:tabs>
                        <w:suppressAutoHyphens/>
                        <w:spacing w:before="60"/>
                        <w:contextualSpacing/>
                        <w:rPr>
                          <w:rFonts w:asciiTheme="minorHAnsi" w:hAnsiTheme="minorHAnsi" w:cs="Univers"/>
                          <w:color w:val="0D0D0D" w:themeColor="text1" w:themeTint="F2"/>
                          <w:sz w:val="20"/>
                          <w:szCs w:val="20"/>
                          <w:lang w:val="es-ES"/>
                        </w:rPr>
                      </w:pPr>
                      <w:r w:rsidRPr="00D3210C">
                        <w:rPr>
                          <w:rFonts w:ascii="Cambria" w:hAnsi="Cambria"/>
                          <w:color w:val="0D0D0D"/>
                          <w:sz w:val="18"/>
                          <w:szCs w:val="20"/>
                          <w:lang w:val="es-ES"/>
                        </w:rPr>
                        <w:t xml:space="preserve">Aprobado por la Comisión el </w:t>
                      </w:r>
                      <w:r>
                        <w:rPr>
                          <w:rFonts w:ascii="Cambria" w:hAnsi="Cambria"/>
                          <w:color w:val="0D0D0D"/>
                          <w:sz w:val="18"/>
                          <w:szCs w:val="20"/>
                          <w:lang w:val="es-ES"/>
                        </w:rPr>
                        <w:t>6</w:t>
                      </w:r>
                      <w:r w:rsidRPr="00D3210C">
                        <w:rPr>
                          <w:rFonts w:ascii="Cambria" w:hAnsi="Cambria"/>
                          <w:color w:val="0D0D0D"/>
                          <w:sz w:val="18"/>
                          <w:szCs w:val="20"/>
                          <w:lang w:val="es-ES"/>
                        </w:rPr>
                        <w:t xml:space="preserve"> de diciembre de 2019 en San Salvador, El Salvador</w:t>
                      </w:r>
                      <w:r w:rsidR="00402E21">
                        <w:rPr>
                          <w:rFonts w:ascii="Cambria" w:hAnsi="Cambria"/>
                          <w:color w:val="0D0D0D"/>
                          <w:sz w:val="18"/>
                          <w:szCs w:val="20"/>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F724E" w:rsidRPr="007F724E">
                              <w:rPr>
                                <w:rFonts w:asciiTheme="majorHAnsi" w:hAnsiTheme="majorHAnsi"/>
                                <w:color w:val="595959" w:themeColor="text1" w:themeTint="A6"/>
                                <w:sz w:val="18"/>
                                <w:szCs w:val="18"/>
                                <w:lang w:val="pt-BR"/>
                              </w:rPr>
                              <w:t>194</w:t>
                            </w:r>
                            <w:r w:rsidR="007B05C4" w:rsidRPr="007F724E">
                              <w:rPr>
                                <w:rFonts w:asciiTheme="majorHAnsi" w:hAnsiTheme="majorHAnsi"/>
                                <w:color w:val="595959" w:themeColor="text1" w:themeTint="A6"/>
                                <w:sz w:val="18"/>
                                <w:szCs w:val="18"/>
                                <w:lang w:val="pt-BR"/>
                              </w:rPr>
                              <w:t>/</w:t>
                            </w:r>
                            <w:r w:rsidR="007F724E" w:rsidRPr="007F724E">
                              <w:rPr>
                                <w:rFonts w:asciiTheme="majorHAnsi" w:hAnsiTheme="majorHAnsi"/>
                                <w:color w:val="595959" w:themeColor="text1" w:themeTint="A6"/>
                                <w:sz w:val="18"/>
                                <w:szCs w:val="18"/>
                                <w:lang w:val="pt-BR"/>
                              </w:rPr>
                              <w:t>19</w:t>
                            </w:r>
                            <w:r w:rsidR="00303887" w:rsidRPr="007F724E">
                              <w:rPr>
                                <w:rFonts w:asciiTheme="majorHAnsi" w:hAnsiTheme="majorHAnsi"/>
                                <w:color w:val="595959" w:themeColor="text1" w:themeTint="A6"/>
                                <w:sz w:val="18"/>
                                <w:szCs w:val="18"/>
                                <w:lang w:val="pt-BR"/>
                              </w:rPr>
                              <w:t xml:space="preserve">. </w:t>
                            </w:r>
                            <w:r w:rsidR="00402E21">
                              <w:rPr>
                                <w:rFonts w:asciiTheme="majorHAnsi" w:hAnsiTheme="majorHAnsi"/>
                                <w:color w:val="595959" w:themeColor="text1" w:themeTint="A6"/>
                                <w:sz w:val="18"/>
                                <w:szCs w:val="18"/>
                                <w:lang w:val="pt-BR"/>
                              </w:rPr>
                              <w:t>Petición 716-18.</w:t>
                            </w:r>
                            <w:r w:rsidR="001724AE" w:rsidRPr="007F724E">
                              <w:rPr>
                                <w:rFonts w:asciiTheme="majorHAnsi" w:hAnsiTheme="majorHAnsi"/>
                                <w:color w:val="595959" w:themeColor="text1" w:themeTint="A6"/>
                                <w:sz w:val="18"/>
                                <w:szCs w:val="18"/>
                                <w:lang w:val="pt-BR"/>
                              </w:rPr>
                              <w:t xml:space="preserve"> </w:t>
                            </w:r>
                            <w:r w:rsidR="001724A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034247">
                              <w:rPr>
                                <w:rFonts w:asciiTheme="majorHAnsi" w:hAnsiTheme="majorHAnsi"/>
                                <w:color w:val="595959" w:themeColor="text1" w:themeTint="A6"/>
                                <w:sz w:val="18"/>
                                <w:szCs w:val="18"/>
                                <w:lang w:val="es-ES_tradnl"/>
                              </w:rPr>
                              <w:t>Miguel Piñeros Rey y otros</w:t>
                            </w:r>
                            <w:r w:rsidRPr="00890650">
                              <w:rPr>
                                <w:rFonts w:asciiTheme="majorHAnsi" w:hAnsiTheme="majorHAnsi"/>
                                <w:color w:val="595959" w:themeColor="text1" w:themeTint="A6"/>
                                <w:sz w:val="18"/>
                                <w:szCs w:val="18"/>
                                <w:lang w:val="es-ES_tradnl"/>
                              </w:rPr>
                              <w:t xml:space="preserve">. </w:t>
                            </w:r>
                            <w:r w:rsidR="0003424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F724E">
                              <w:rPr>
                                <w:rFonts w:asciiTheme="majorHAnsi" w:hAnsiTheme="majorHAnsi"/>
                                <w:color w:val="595959" w:themeColor="text1" w:themeTint="A6"/>
                                <w:sz w:val="18"/>
                                <w:szCs w:val="18"/>
                                <w:lang w:val="es-ES"/>
                              </w:rPr>
                              <w:t xml:space="preserve"> </w:t>
                            </w:r>
                            <w:r w:rsidR="00402E21">
                              <w:rPr>
                                <w:rFonts w:asciiTheme="majorHAnsi" w:hAnsiTheme="majorHAnsi"/>
                                <w:color w:val="595959" w:themeColor="text1" w:themeTint="A6"/>
                                <w:sz w:val="18"/>
                                <w:szCs w:val="18"/>
                                <w:lang w:val="es-ES"/>
                              </w:rPr>
                              <w:t xml:space="preserve"> </w:t>
                            </w:r>
                            <w:r w:rsidR="007F724E">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F724E" w:rsidRPr="007F724E">
                        <w:rPr>
                          <w:rFonts w:asciiTheme="majorHAnsi" w:hAnsiTheme="majorHAnsi"/>
                          <w:color w:val="595959" w:themeColor="text1" w:themeTint="A6"/>
                          <w:sz w:val="18"/>
                          <w:szCs w:val="18"/>
                          <w:lang w:val="pt-BR"/>
                        </w:rPr>
                        <w:t>194</w:t>
                      </w:r>
                      <w:r w:rsidR="007B05C4" w:rsidRPr="007F724E">
                        <w:rPr>
                          <w:rFonts w:asciiTheme="majorHAnsi" w:hAnsiTheme="majorHAnsi"/>
                          <w:color w:val="595959" w:themeColor="text1" w:themeTint="A6"/>
                          <w:sz w:val="18"/>
                          <w:szCs w:val="18"/>
                          <w:lang w:val="pt-BR"/>
                        </w:rPr>
                        <w:t>/</w:t>
                      </w:r>
                      <w:r w:rsidR="007F724E" w:rsidRPr="007F724E">
                        <w:rPr>
                          <w:rFonts w:asciiTheme="majorHAnsi" w:hAnsiTheme="majorHAnsi"/>
                          <w:color w:val="595959" w:themeColor="text1" w:themeTint="A6"/>
                          <w:sz w:val="18"/>
                          <w:szCs w:val="18"/>
                          <w:lang w:val="pt-BR"/>
                        </w:rPr>
                        <w:t>19</w:t>
                      </w:r>
                      <w:r w:rsidR="00303887" w:rsidRPr="007F724E">
                        <w:rPr>
                          <w:rFonts w:asciiTheme="majorHAnsi" w:hAnsiTheme="majorHAnsi"/>
                          <w:color w:val="595959" w:themeColor="text1" w:themeTint="A6"/>
                          <w:sz w:val="18"/>
                          <w:szCs w:val="18"/>
                          <w:lang w:val="pt-BR"/>
                        </w:rPr>
                        <w:t xml:space="preserve">. </w:t>
                      </w:r>
                      <w:r w:rsidR="00402E21">
                        <w:rPr>
                          <w:rFonts w:asciiTheme="majorHAnsi" w:hAnsiTheme="majorHAnsi"/>
                          <w:color w:val="595959" w:themeColor="text1" w:themeTint="A6"/>
                          <w:sz w:val="18"/>
                          <w:szCs w:val="18"/>
                          <w:lang w:val="pt-BR"/>
                        </w:rPr>
                        <w:t>Petición 716-18.</w:t>
                      </w:r>
                      <w:r w:rsidR="001724AE" w:rsidRPr="007F724E">
                        <w:rPr>
                          <w:rFonts w:asciiTheme="majorHAnsi" w:hAnsiTheme="majorHAnsi"/>
                          <w:color w:val="595959" w:themeColor="text1" w:themeTint="A6"/>
                          <w:sz w:val="18"/>
                          <w:szCs w:val="18"/>
                          <w:lang w:val="pt-BR"/>
                        </w:rPr>
                        <w:t xml:space="preserve"> </w:t>
                      </w:r>
                      <w:r w:rsidR="001724A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034247">
                        <w:rPr>
                          <w:rFonts w:asciiTheme="majorHAnsi" w:hAnsiTheme="majorHAnsi"/>
                          <w:color w:val="595959" w:themeColor="text1" w:themeTint="A6"/>
                          <w:sz w:val="18"/>
                          <w:szCs w:val="18"/>
                          <w:lang w:val="es-ES_tradnl"/>
                        </w:rPr>
                        <w:t>Miguel Piñeros Rey y otros</w:t>
                      </w:r>
                      <w:r w:rsidRPr="00890650">
                        <w:rPr>
                          <w:rFonts w:asciiTheme="majorHAnsi" w:hAnsiTheme="majorHAnsi"/>
                          <w:color w:val="595959" w:themeColor="text1" w:themeTint="A6"/>
                          <w:sz w:val="18"/>
                          <w:szCs w:val="18"/>
                          <w:lang w:val="es-ES_tradnl"/>
                        </w:rPr>
                        <w:t xml:space="preserve">. </w:t>
                      </w:r>
                      <w:r w:rsidR="0003424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F724E">
                        <w:rPr>
                          <w:rFonts w:asciiTheme="majorHAnsi" w:hAnsiTheme="majorHAnsi"/>
                          <w:color w:val="595959" w:themeColor="text1" w:themeTint="A6"/>
                          <w:sz w:val="18"/>
                          <w:szCs w:val="18"/>
                          <w:lang w:val="es-ES"/>
                        </w:rPr>
                        <w:t xml:space="preserve"> </w:t>
                      </w:r>
                      <w:r w:rsidR="00402E21">
                        <w:rPr>
                          <w:rFonts w:asciiTheme="majorHAnsi" w:hAnsiTheme="majorHAnsi"/>
                          <w:color w:val="595959" w:themeColor="text1" w:themeTint="A6"/>
                          <w:sz w:val="18"/>
                          <w:szCs w:val="18"/>
                          <w:lang w:val="es-ES"/>
                        </w:rPr>
                        <w:t xml:space="preserve"> </w:t>
                      </w:r>
                      <w:r w:rsidR="007F724E">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CA4800" w:rsidRDefault="003239B8" w:rsidP="003239B8">
      <w:pPr>
        <w:spacing w:after="240"/>
        <w:ind w:firstLine="720"/>
        <w:jc w:val="both"/>
        <w:rPr>
          <w:rFonts w:asciiTheme="majorHAnsi" w:hAnsiTheme="majorHAnsi"/>
          <w:b/>
          <w:bCs/>
          <w:sz w:val="19"/>
          <w:szCs w:val="19"/>
          <w:lang w:val="es-ES"/>
        </w:rPr>
      </w:pPr>
      <w:r w:rsidRPr="00CA4800">
        <w:rPr>
          <w:rFonts w:asciiTheme="majorHAnsi" w:hAnsiTheme="majorHAnsi"/>
          <w:b/>
          <w:bCs/>
          <w:sz w:val="19"/>
          <w:szCs w:val="19"/>
          <w:lang w:val="es-ES"/>
        </w:rPr>
        <w:lastRenderedPageBreak/>
        <w:t>I.</w:t>
      </w:r>
      <w:r w:rsidRPr="00CA4800">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A4800" w:rsidTr="00213A90">
        <w:tc>
          <w:tcPr>
            <w:tcW w:w="3600" w:type="dxa"/>
            <w:tcBorders>
              <w:top w:val="single" w:sz="4"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Parte peticionaria:</w:t>
            </w:r>
          </w:p>
        </w:tc>
        <w:tc>
          <w:tcPr>
            <w:tcW w:w="5760" w:type="dxa"/>
            <w:vAlign w:val="center"/>
          </w:tcPr>
          <w:p w:rsidR="003239B8" w:rsidRPr="00CA4800" w:rsidRDefault="00034247" w:rsidP="00552D91">
            <w:pPr>
              <w:jc w:val="both"/>
              <w:rPr>
                <w:rFonts w:asciiTheme="majorHAnsi" w:hAnsiTheme="majorHAnsi"/>
                <w:bCs/>
                <w:sz w:val="19"/>
                <w:szCs w:val="19"/>
                <w:lang w:val="es-BO"/>
              </w:rPr>
            </w:pPr>
            <w:r w:rsidRPr="00CA4800">
              <w:rPr>
                <w:rFonts w:asciiTheme="majorHAnsi" w:hAnsiTheme="majorHAnsi"/>
                <w:bCs/>
                <w:sz w:val="19"/>
                <w:szCs w:val="19"/>
                <w:lang w:val="es-AR"/>
              </w:rPr>
              <w:t>Miguel Piñeros Rey</w:t>
            </w:r>
          </w:p>
        </w:tc>
      </w:tr>
      <w:tr w:rsidR="003239B8" w:rsidRPr="00E7703B" w:rsidTr="00213A90">
        <w:tc>
          <w:tcPr>
            <w:tcW w:w="3600" w:type="dxa"/>
            <w:tcBorders>
              <w:top w:val="single" w:sz="6" w:space="0" w:color="auto"/>
              <w:bottom w:val="single" w:sz="6" w:space="0" w:color="auto"/>
            </w:tcBorders>
            <w:shd w:val="clear" w:color="auto" w:fill="386294"/>
            <w:vAlign w:val="center"/>
          </w:tcPr>
          <w:p w:rsidR="003239B8" w:rsidRPr="00CA4800" w:rsidRDefault="00197EB9" w:rsidP="00552D91">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1E6459" w:rsidRPr="00CA4800">
                  <w:rPr>
                    <w:rFonts w:asciiTheme="majorHAnsi" w:hAnsiTheme="majorHAnsi"/>
                    <w:b/>
                    <w:bCs/>
                    <w:color w:val="FFFFFF" w:themeColor="background1"/>
                    <w:sz w:val="19"/>
                    <w:szCs w:val="19"/>
                  </w:rPr>
                  <w:t>Presunta víctima</w:t>
                </w:r>
              </w:sdtContent>
            </w:sdt>
            <w:r w:rsidR="003239B8" w:rsidRPr="00CA4800">
              <w:rPr>
                <w:rFonts w:asciiTheme="majorHAnsi" w:hAnsiTheme="majorHAnsi"/>
                <w:b/>
                <w:bCs/>
                <w:color w:val="FFFFFF" w:themeColor="background1"/>
                <w:sz w:val="19"/>
                <w:szCs w:val="19"/>
              </w:rPr>
              <w:t>:</w:t>
            </w:r>
          </w:p>
        </w:tc>
        <w:tc>
          <w:tcPr>
            <w:tcW w:w="5760" w:type="dxa"/>
            <w:vAlign w:val="center"/>
          </w:tcPr>
          <w:p w:rsidR="003239B8" w:rsidRPr="00CA4800" w:rsidRDefault="00034247" w:rsidP="00B509AB">
            <w:pPr>
              <w:jc w:val="both"/>
              <w:rPr>
                <w:rFonts w:asciiTheme="majorHAnsi" w:hAnsiTheme="majorHAnsi"/>
                <w:bCs/>
                <w:sz w:val="19"/>
                <w:szCs w:val="19"/>
                <w:lang w:val="es-ES"/>
              </w:rPr>
            </w:pPr>
            <w:r w:rsidRPr="00CA4800">
              <w:rPr>
                <w:rFonts w:asciiTheme="majorHAnsi" w:hAnsiTheme="majorHAnsi"/>
                <w:bCs/>
                <w:sz w:val="19"/>
                <w:szCs w:val="19"/>
                <w:lang w:val="es-AR"/>
              </w:rPr>
              <w:t>Miguel Piñeros Rey</w:t>
            </w:r>
            <w:r w:rsidR="00B509AB" w:rsidRPr="00CA4800">
              <w:rPr>
                <w:rFonts w:asciiTheme="majorHAnsi" w:hAnsiTheme="majorHAnsi"/>
                <w:bCs/>
                <w:sz w:val="19"/>
                <w:szCs w:val="19"/>
                <w:lang w:val="es-AR"/>
              </w:rPr>
              <w:t xml:space="preserve"> y otros</w:t>
            </w:r>
            <w:r w:rsidR="00B509AB" w:rsidRPr="00CA4800">
              <w:rPr>
                <w:rStyle w:val="FootnoteReference"/>
                <w:rFonts w:asciiTheme="majorHAnsi" w:hAnsiTheme="majorHAnsi"/>
                <w:bCs/>
                <w:sz w:val="19"/>
                <w:szCs w:val="19"/>
                <w:lang w:val="es-AR"/>
              </w:rPr>
              <w:footnoteReference w:id="2"/>
            </w:r>
            <w:r w:rsidR="00FC52B2" w:rsidRPr="00CA4800">
              <w:rPr>
                <w:rFonts w:asciiTheme="majorHAnsi" w:hAnsiTheme="majorHAnsi"/>
                <w:bCs/>
                <w:sz w:val="19"/>
                <w:szCs w:val="19"/>
                <w:lang w:val="es-AR"/>
              </w:rPr>
              <w:t xml:space="preserve"> </w:t>
            </w:r>
          </w:p>
        </w:tc>
      </w:tr>
      <w:tr w:rsidR="003239B8" w:rsidRPr="00CA4800" w:rsidTr="00213A90">
        <w:tc>
          <w:tcPr>
            <w:tcW w:w="3600" w:type="dxa"/>
            <w:tcBorders>
              <w:top w:val="single" w:sz="6"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Estado denunciado:</w:t>
            </w:r>
          </w:p>
        </w:tc>
        <w:tc>
          <w:tcPr>
            <w:tcW w:w="5760" w:type="dxa"/>
            <w:vAlign w:val="center"/>
          </w:tcPr>
          <w:p w:rsidR="003239B8" w:rsidRPr="00CA4800" w:rsidRDefault="00FC52B2" w:rsidP="00552D91">
            <w:pPr>
              <w:jc w:val="both"/>
              <w:rPr>
                <w:rFonts w:asciiTheme="majorHAnsi" w:hAnsiTheme="majorHAnsi"/>
                <w:bCs/>
                <w:sz w:val="19"/>
                <w:szCs w:val="19"/>
              </w:rPr>
            </w:pPr>
            <w:r w:rsidRPr="00CA4800">
              <w:rPr>
                <w:rFonts w:asciiTheme="majorHAnsi" w:hAnsiTheme="majorHAnsi"/>
                <w:bCs/>
                <w:sz w:val="19"/>
                <w:szCs w:val="19"/>
              </w:rPr>
              <w:t>Colombia</w:t>
            </w:r>
            <w:r w:rsidR="00351B24" w:rsidRPr="00CA4800">
              <w:rPr>
                <w:rStyle w:val="FootnoteReference"/>
                <w:rFonts w:asciiTheme="majorHAnsi" w:hAnsiTheme="majorHAnsi"/>
                <w:sz w:val="19"/>
                <w:szCs w:val="19"/>
                <w:lang w:val="es-ES_tradnl"/>
              </w:rPr>
              <w:footnoteReference w:id="3"/>
            </w:r>
          </w:p>
        </w:tc>
      </w:tr>
      <w:tr w:rsidR="00223A29" w:rsidRPr="00E7703B" w:rsidTr="00213A90">
        <w:tc>
          <w:tcPr>
            <w:tcW w:w="3600" w:type="dxa"/>
            <w:tcBorders>
              <w:top w:val="single" w:sz="6" w:space="0" w:color="auto"/>
              <w:bottom w:val="single" w:sz="6" w:space="0" w:color="auto"/>
            </w:tcBorders>
            <w:shd w:val="clear" w:color="auto" w:fill="386294"/>
            <w:vAlign w:val="center"/>
          </w:tcPr>
          <w:p w:rsidR="00223A29" w:rsidRPr="00CA4800" w:rsidRDefault="001B3A00" w:rsidP="00E4118C">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 xml:space="preserve">Derechos </w:t>
            </w:r>
            <w:r w:rsidR="00E4118C" w:rsidRPr="00CA4800">
              <w:rPr>
                <w:rFonts w:asciiTheme="majorHAnsi" w:hAnsiTheme="majorHAnsi"/>
                <w:b/>
                <w:bCs/>
                <w:color w:val="FFFFFF" w:themeColor="background1"/>
                <w:sz w:val="19"/>
                <w:szCs w:val="19"/>
              </w:rPr>
              <w:t>invocados</w:t>
            </w:r>
            <w:r w:rsidRPr="00CA4800">
              <w:rPr>
                <w:rFonts w:asciiTheme="majorHAnsi" w:hAnsiTheme="majorHAnsi"/>
                <w:b/>
                <w:bCs/>
                <w:color w:val="FFFFFF" w:themeColor="background1"/>
                <w:sz w:val="19"/>
                <w:szCs w:val="19"/>
              </w:rPr>
              <w:t>:</w:t>
            </w:r>
          </w:p>
        </w:tc>
        <w:tc>
          <w:tcPr>
            <w:tcW w:w="5760" w:type="dxa"/>
            <w:vAlign w:val="center"/>
          </w:tcPr>
          <w:p w:rsidR="00223A29" w:rsidRPr="00CA4800" w:rsidRDefault="00FC52B2" w:rsidP="00DB1655">
            <w:pPr>
              <w:jc w:val="both"/>
              <w:rPr>
                <w:rFonts w:asciiTheme="majorHAnsi" w:hAnsiTheme="majorHAnsi"/>
                <w:bCs/>
                <w:sz w:val="19"/>
                <w:szCs w:val="19"/>
                <w:lang w:val="es-BO"/>
              </w:rPr>
            </w:pPr>
            <w:r w:rsidRPr="00CA4800">
              <w:rPr>
                <w:rFonts w:asciiTheme="majorHAnsi" w:hAnsiTheme="majorHAnsi"/>
                <w:bCs/>
                <w:sz w:val="19"/>
                <w:szCs w:val="19"/>
                <w:lang w:val="es-BO"/>
              </w:rPr>
              <w:t xml:space="preserve">Artículos 1 (obligación de respetar los derechos), 8 (garantías judiciales), 21 (propiedad privada), </w:t>
            </w:r>
            <w:r w:rsidR="0064766D" w:rsidRPr="00CA4800">
              <w:rPr>
                <w:rFonts w:asciiTheme="majorHAnsi" w:hAnsiTheme="majorHAnsi"/>
                <w:bCs/>
                <w:sz w:val="19"/>
                <w:szCs w:val="19"/>
                <w:lang w:val="es-BO"/>
              </w:rPr>
              <w:t xml:space="preserve">22 (circulación y residencia), </w:t>
            </w:r>
            <w:r w:rsidRPr="00CA4800">
              <w:rPr>
                <w:rFonts w:asciiTheme="majorHAnsi" w:hAnsiTheme="majorHAnsi"/>
                <w:bCs/>
                <w:sz w:val="19"/>
                <w:szCs w:val="19"/>
                <w:lang w:val="es-BO"/>
              </w:rPr>
              <w:t>24 (igualdad ante la ley), 25 (protección judicial) y 32 (otros derechos) de la Convención Americana sobre Derechos Humanos</w:t>
            </w:r>
            <w:r w:rsidRPr="00CA4800">
              <w:rPr>
                <w:rStyle w:val="FootnoteReference"/>
                <w:rFonts w:asciiTheme="majorHAnsi" w:hAnsiTheme="majorHAnsi"/>
                <w:bCs/>
                <w:sz w:val="19"/>
                <w:szCs w:val="19"/>
                <w:lang w:val="es-BO"/>
              </w:rPr>
              <w:footnoteReference w:id="4"/>
            </w:r>
            <w:r w:rsidR="00351B24" w:rsidRPr="00CA4800">
              <w:rPr>
                <w:rFonts w:asciiTheme="majorHAnsi" w:hAnsiTheme="majorHAnsi"/>
                <w:bCs/>
                <w:sz w:val="19"/>
                <w:szCs w:val="19"/>
                <w:lang w:val="es-BO"/>
              </w:rPr>
              <w:t>; y a</w:t>
            </w:r>
            <w:r w:rsidRPr="00CA4800">
              <w:rPr>
                <w:rFonts w:asciiTheme="majorHAnsi" w:hAnsiTheme="majorHAnsi"/>
                <w:bCs/>
                <w:sz w:val="19"/>
                <w:szCs w:val="19"/>
                <w:lang w:val="es-BO"/>
              </w:rPr>
              <w:t xml:space="preserve">rtículos </w:t>
            </w:r>
            <w:r w:rsidR="00B95CFA" w:rsidRPr="00CA4800">
              <w:rPr>
                <w:rFonts w:asciiTheme="majorHAnsi" w:hAnsiTheme="majorHAnsi"/>
                <w:bCs/>
                <w:sz w:val="19"/>
                <w:szCs w:val="19"/>
                <w:lang w:val="es-BO"/>
              </w:rPr>
              <w:t>VIII</w:t>
            </w:r>
            <w:r w:rsidRPr="00CA4800">
              <w:rPr>
                <w:rFonts w:asciiTheme="majorHAnsi" w:hAnsiTheme="majorHAnsi"/>
                <w:bCs/>
                <w:sz w:val="19"/>
                <w:szCs w:val="19"/>
                <w:lang w:val="es-BO"/>
              </w:rPr>
              <w:t xml:space="preserve"> (residencia y tránsito), </w:t>
            </w:r>
            <w:r w:rsidR="00B95CFA" w:rsidRPr="00CA4800">
              <w:rPr>
                <w:rFonts w:asciiTheme="majorHAnsi" w:hAnsiTheme="majorHAnsi"/>
                <w:bCs/>
                <w:sz w:val="19"/>
                <w:szCs w:val="19"/>
                <w:lang w:val="es-BO"/>
              </w:rPr>
              <w:t>XI</w:t>
            </w:r>
            <w:r w:rsidRPr="00CA4800">
              <w:rPr>
                <w:rFonts w:asciiTheme="majorHAnsi" w:hAnsiTheme="majorHAnsi"/>
                <w:bCs/>
                <w:sz w:val="19"/>
                <w:szCs w:val="19"/>
                <w:lang w:val="es-BO"/>
              </w:rPr>
              <w:t xml:space="preserve"> (preservación de la salud y bienestar) y </w:t>
            </w:r>
            <w:r w:rsidR="00B95CFA" w:rsidRPr="00CA4800">
              <w:rPr>
                <w:rFonts w:asciiTheme="majorHAnsi" w:hAnsiTheme="majorHAnsi"/>
                <w:bCs/>
                <w:sz w:val="19"/>
                <w:szCs w:val="19"/>
                <w:lang w:val="es-BO"/>
              </w:rPr>
              <w:t>XVIII</w:t>
            </w:r>
            <w:r w:rsidRPr="00CA4800">
              <w:rPr>
                <w:rFonts w:asciiTheme="majorHAnsi" w:hAnsiTheme="majorHAnsi"/>
                <w:bCs/>
                <w:sz w:val="19"/>
                <w:szCs w:val="19"/>
                <w:lang w:val="es-BO"/>
              </w:rPr>
              <w:t xml:space="preserve"> (justicia) de la Declaración Americana de los Derechos y Deberes del Hombre</w:t>
            </w:r>
            <w:r w:rsidRPr="00CA4800">
              <w:rPr>
                <w:rStyle w:val="FootnoteReference"/>
                <w:rFonts w:asciiTheme="majorHAnsi" w:hAnsiTheme="majorHAnsi"/>
                <w:bCs/>
                <w:sz w:val="19"/>
                <w:szCs w:val="19"/>
                <w:lang w:val="es-BO"/>
              </w:rPr>
              <w:footnoteReference w:id="5"/>
            </w:r>
          </w:p>
        </w:tc>
      </w:tr>
    </w:tbl>
    <w:p w:rsidR="003239B8" w:rsidRPr="00CA4800" w:rsidRDefault="003239B8" w:rsidP="003239B8">
      <w:pPr>
        <w:spacing w:before="240" w:after="240"/>
        <w:ind w:firstLine="720"/>
        <w:jc w:val="both"/>
        <w:rPr>
          <w:rFonts w:asciiTheme="majorHAnsi" w:hAnsiTheme="majorHAnsi"/>
          <w:b/>
          <w:bCs/>
          <w:sz w:val="19"/>
          <w:szCs w:val="19"/>
          <w:lang w:val="es-ES"/>
        </w:rPr>
      </w:pPr>
      <w:r w:rsidRPr="00CA4800">
        <w:rPr>
          <w:rFonts w:asciiTheme="majorHAnsi" w:hAnsiTheme="majorHAnsi"/>
          <w:b/>
          <w:bCs/>
          <w:sz w:val="19"/>
          <w:szCs w:val="19"/>
          <w:lang w:val="es-ES"/>
        </w:rPr>
        <w:t>II.</w:t>
      </w:r>
      <w:r w:rsidRPr="00CA4800">
        <w:rPr>
          <w:rFonts w:asciiTheme="majorHAnsi" w:hAnsiTheme="majorHAnsi"/>
          <w:b/>
          <w:bCs/>
          <w:sz w:val="19"/>
          <w:szCs w:val="19"/>
          <w:lang w:val="es-ES"/>
        </w:rPr>
        <w:tab/>
        <w:t>TRÁMITE ANTE LA CIDH</w:t>
      </w:r>
      <w:r w:rsidR="008E3BFE" w:rsidRPr="00CA4800">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A4800" w:rsidTr="00213A90">
        <w:tc>
          <w:tcPr>
            <w:tcW w:w="3600" w:type="dxa"/>
            <w:tcBorders>
              <w:top w:val="single" w:sz="6" w:space="0" w:color="auto"/>
              <w:bottom w:val="single" w:sz="6" w:space="0" w:color="auto"/>
            </w:tcBorders>
            <w:shd w:val="clear" w:color="auto" w:fill="386294"/>
            <w:vAlign w:val="center"/>
          </w:tcPr>
          <w:p w:rsidR="004C2312" w:rsidRPr="00CA4800" w:rsidRDefault="00351B24" w:rsidP="00713909">
            <w:pPr>
              <w:jc w:val="center"/>
              <w:rPr>
                <w:rFonts w:asciiTheme="majorHAnsi" w:hAnsiTheme="majorHAnsi"/>
                <w:b/>
                <w:bCs/>
                <w:color w:val="FFFFFF" w:themeColor="background1"/>
                <w:sz w:val="19"/>
                <w:szCs w:val="19"/>
                <w:lang w:val="es-ES"/>
              </w:rPr>
            </w:pPr>
            <w:r w:rsidRPr="00CA4800">
              <w:rPr>
                <w:rFonts w:asciiTheme="majorHAnsi" w:hAnsiTheme="majorHAnsi"/>
                <w:b/>
                <w:bCs/>
                <w:color w:val="FFFFFF" w:themeColor="background1"/>
                <w:sz w:val="19"/>
                <w:szCs w:val="19"/>
                <w:lang w:val="es-ES"/>
              </w:rPr>
              <w:t>P</w:t>
            </w:r>
            <w:r w:rsidR="004C2312" w:rsidRPr="00CA4800">
              <w:rPr>
                <w:rFonts w:asciiTheme="majorHAnsi" w:hAnsiTheme="majorHAnsi"/>
                <w:b/>
                <w:bCs/>
                <w:color w:val="FFFFFF" w:themeColor="background1"/>
                <w:sz w:val="19"/>
                <w:szCs w:val="19"/>
                <w:lang w:val="es-ES"/>
              </w:rPr>
              <w:t>resentación de la petición:</w:t>
            </w:r>
          </w:p>
        </w:tc>
        <w:tc>
          <w:tcPr>
            <w:tcW w:w="5760" w:type="dxa"/>
            <w:vAlign w:val="center"/>
          </w:tcPr>
          <w:p w:rsidR="004C2312" w:rsidRPr="00CA4800" w:rsidRDefault="00FC52B2" w:rsidP="00552D91">
            <w:pPr>
              <w:jc w:val="both"/>
              <w:rPr>
                <w:rFonts w:asciiTheme="majorHAnsi" w:hAnsiTheme="majorHAnsi"/>
                <w:bCs/>
                <w:sz w:val="19"/>
                <w:szCs w:val="19"/>
                <w:lang w:val="es-ES"/>
              </w:rPr>
            </w:pPr>
            <w:r w:rsidRPr="00CA4800">
              <w:rPr>
                <w:rFonts w:asciiTheme="majorHAnsi" w:hAnsiTheme="majorHAnsi"/>
                <w:bCs/>
                <w:sz w:val="19"/>
                <w:szCs w:val="19"/>
                <w:lang w:val="es-ES"/>
              </w:rPr>
              <w:t>18 de junio de 2008</w:t>
            </w:r>
          </w:p>
        </w:tc>
      </w:tr>
      <w:tr w:rsidR="001E49E7" w:rsidRPr="00E7703B" w:rsidTr="00213A90">
        <w:tc>
          <w:tcPr>
            <w:tcW w:w="3600" w:type="dxa"/>
            <w:tcBorders>
              <w:top w:val="single" w:sz="6" w:space="0" w:color="auto"/>
              <w:bottom w:val="single" w:sz="6" w:space="0" w:color="auto"/>
            </w:tcBorders>
            <w:shd w:val="clear" w:color="auto" w:fill="386294"/>
            <w:vAlign w:val="center"/>
          </w:tcPr>
          <w:p w:rsidR="001E49E7" w:rsidRPr="00CA4800" w:rsidRDefault="001E49E7" w:rsidP="001E49E7">
            <w:pPr>
              <w:jc w:val="center"/>
              <w:rPr>
                <w:rFonts w:asciiTheme="majorHAnsi" w:hAnsiTheme="majorHAnsi"/>
                <w:b/>
                <w:bCs/>
                <w:color w:val="FFFFFF" w:themeColor="background1"/>
                <w:sz w:val="19"/>
                <w:szCs w:val="19"/>
                <w:lang w:val="es-ES"/>
              </w:rPr>
            </w:pPr>
            <w:r w:rsidRPr="00CA4800">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CA4800" w:rsidRDefault="001724AE" w:rsidP="00247319">
            <w:pPr>
              <w:rPr>
                <w:rFonts w:asciiTheme="majorHAnsi" w:hAnsiTheme="majorHAnsi"/>
                <w:bCs/>
                <w:sz w:val="19"/>
                <w:szCs w:val="19"/>
                <w:lang w:val="es-AR"/>
              </w:rPr>
            </w:pPr>
            <w:r w:rsidRPr="00CA4800">
              <w:rPr>
                <w:rFonts w:asciiTheme="majorHAnsi" w:hAnsiTheme="majorHAnsi"/>
                <w:bCs/>
                <w:sz w:val="19"/>
                <w:szCs w:val="19"/>
                <w:lang w:val="es-AR"/>
              </w:rPr>
              <w:t>18 de julio de 2008</w:t>
            </w:r>
            <w:r w:rsidR="00351B24" w:rsidRPr="00CA4800">
              <w:rPr>
                <w:rFonts w:asciiTheme="majorHAnsi" w:hAnsiTheme="majorHAnsi"/>
                <w:bCs/>
                <w:sz w:val="19"/>
                <w:szCs w:val="19"/>
                <w:lang w:val="es-AR"/>
              </w:rPr>
              <w:t xml:space="preserve"> y</w:t>
            </w:r>
            <w:r w:rsidRPr="00CA4800">
              <w:rPr>
                <w:rFonts w:asciiTheme="majorHAnsi" w:hAnsiTheme="majorHAnsi"/>
                <w:bCs/>
                <w:sz w:val="19"/>
                <w:szCs w:val="19"/>
                <w:lang w:val="es-AR"/>
              </w:rPr>
              <w:t xml:space="preserve"> </w:t>
            </w:r>
            <w:r w:rsidR="004F5C85" w:rsidRPr="00CA4800">
              <w:rPr>
                <w:rFonts w:asciiTheme="majorHAnsi" w:hAnsiTheme="majorHAnsi"/>
                <w:bCs/>
                <w:sz w:val="19"/>
                <w:szCs w:val="19"/>
                <w:lang w:val="es-AR"/>
              </w:rPr>
              <w:t xml:space="preserve">15 de mayo de 2009 </w:t>
            </w:r>
          </w:p>
        </w:tc>
      </w:tr>
      <w:tr w:rsidR="004C2312" w:rsidRPr="00CA4800" w:rsidTr="00213A90">
        <w:tc>
          <w:tcPr>
            <w:tcW w:w="3600" w:type="dxa"/>
            <w:tcBorders>
              <w:top w:val="single" w:sz="6" w:space="0" w:color="auto"/>
              <w:bottom w:val="single" w:sz="6" w:space="0" w:color="auto"/>
            </w:tcBorders>
            <w:shd w:val="clear" w:color="auto" w:fill="386294"/>
            <w:vAlign w:val="center"/>
          </w:tcPr>
          <w:p w:rsidR="004C2312" w:rsidRPr="00CA4800" w:rsidRDefault="00351B24" w:rsidP="00552D91">
            <w:pPr>
              <w:jc w:val="center"/>
              <w:rPr>
                <w:rFonts w:asciiTheme="majorHAnsi" w:hAnsiTheme="majorHAnsi"/>
                <w:b/>
                <w:bCs/>
                <w:color w:val="FFFFFF" w:themeColor="background1"/>
                <w:sz w:val="19"/>
                <w:szCs w:val="19"/>
                <w:lang w:val="es-ES"/>
              </w:rPr>
            </w:pPr>
            <w:r w:rsidRPr="00CA4800">
              <w:rPr>
                <w:rFonts w:asciiTheme="majorHAnsi" w:hAnsiTheme="majorHAnsi"/>
                <w:b/>
                <w:color w:val="FFFFFF" w:themeColor="background1"/>
                <w:sz w:val="19"/>
                <w:szCs w:val="19"/>
                <w:lang w:val="es-ES"/>
              </w:rPr>
              <w:t>N</w:t>
            </w:r>
            <w:r w:rsidR="004C2312" w:rsidRPr="00CA4800">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CA4800" w:rsidRDefault="00FC52B2" w:rsidP="00552D91">
            <w:pPr>
              <w:jc w:val="both"/>
              <w:rPr>
                <w:rFonts w:asciiTheme="majorHAnsi" w:hAnsiTheme="majorHAnsi"/>
                <w:bCs/>
                <w:sz w:val="19"/>
                <w:szCs w:val="19"/>
                <w:lang w:val="es-ES"/>
              </w:rPr>
            </w:pPr>
            <w:r w:rsidRPr="00CA4800">
              <w:rPr>
                <w:rFonts w:asciiTheme="majorHAnsi" w:hAnsiTheme="majorHAnsi"/>
                <w:bCs/>
                <w:sz w:val="19"/>
                <w:szCs w:val="19"/>
                <w:lang w:val="es-ES"/>
              </w:rPr>
              <w:t>17 de enero de 2014</w:t>
            </w:r>
          </w:p>
        </w:tc>
      </w:tr>
      <w:tr w:rsidR="004C2312" w:rsidRPr="00CA4800" w:rsidTr="00213A90">
        <w:tc>
          <w:tcPr>
            <w:tcW w:w="3600" w:type="dxa"/>
            <w:tcBorders>
              <w:top w:val="single" w:sz="6" w:space="0" w:color="auto"/>
              <w:bottom w:val="single" w:sz="6" w:space="0" w:color="auto"/>
            </w:tcBorders>
            <w:shd w:val="clear" w:color="auto" w:fill="386294"/>
            <w:vAlign w:val="center"/>
          </w:tcPr>
          <w:p w:rsidR="004C2312" w:rsidRPr="00CA4800" w:rsidRDefault="00351B24" w:rsidP="00552D91">
            <w:pPr>
              <w:jc w:val="center"/>
              <w:rPr>
                <w:rFonts w:asciiTheme="majorHAnsi" w:hAnsiTheme="majorHAnsi"/>
                <w:b/>
                <w:bCs/>
                <w:color w:val="FFFFFF" w:themeColor="background1"/>
                <w:sz w:val="19"/>
                <w:szCs w:val="19"/>
                <w:lang w:val="es-ES"/>
              </w:rPr>
            </w:pPr>
            <w:r w:rsidRPr="00CA4800">
              <w:rPr>
                <w:rFonts w:asciiTheme="majorHAnsi" w:hAnsiTheme="majorHAnsi"/>
                <w:b/>
                <w:color w:val="FFFFFF" w:themeColor="background1"/>
                <w:sz w:val="19"/>
                <w:szCs w:val="19"/>
                <w:lang w:val="es-ES"/>
              </w:rPr>
              <w:t>P</w:t>
            </w:r>
            <w:r w:rsidR="004C2312" w:rsidRPr="00CA4800">
              <w:rPr>
                <w:rFonts w:asciiTheme="majorHAnsi" w:hAnsiTheme="majorHAnsi"/>
                <w:b/>
                <w:color w:val="FFFFFF" w:themeColor="background1"/>
                <w:sz w:val="19"/>
                <w:szCs w:val="19"/>
                <w:lang w:val="es-ES"/>
              </w:rPr>
              <w:t>rimera respuesta del Estado:</w:t>
            </w:r>
          </w:p>
        </w:tc>
        <w:tc>
          <w:tcPr>
            <w:tcW w:w="5760" w:type="dxa"/>
            <w:vAlign w:val="center"/>
          </w:tcPr>
          <w:p w:rsidR="004C2312" w:rsidRPr="00CA4800" w:rsidRDefault="00FC52B2" w:rsidP="00552D91">
            <w:pPr>
              <w:jc w:val="both"/>
              <w:rPr>
                <w:rFonts w:asciiTheme="majorHAnsi" w:hAnsiTheme="majorHAnsi"/>
                <w:bCs/>
                <w:sz w:val="19"/>
                <w:szCs w:val="19"/>
                <w:lang w:val="es-ES"/>
              </w:rPr>
            </w:pPr>
            <w:r w:rsidRPr="00CA4800">
              <w:rPr>
                <w:rFonts w:asciiTheme="majorHAnsi" w:hAnsiTheme="majorHAnsi"/>
                <w:bCs/>
                <w:sz w:val="19"/>
                <w:szCs w:val="19"/>
                <w:lang w:val="es-ES"/>
              </w:rPr>
              <w:t>21 de mayo de 2014</w:t>
            </w:r>
          </w:p>
        </w:tc>
      </w:tr>
      <w:tr w:rsidR="004C2312" w:rsidRPr="00E7703B" w:rsidTr="00213A90">
        <w:tc>
          <w:tcPr>
            <w:tcW w:w="3600" w:type="dxa"/>
            <w:tcBorders>
              <w:top w:val="single" w:sz="6" w:space="0" w:color="auto"/>
              <w:bottom w:val="single" w:sz="6" w:space="0" w:color="auto"/>
            </w:tcBorders>
            <w:shd w:val="clear" w:color="auto" w:fill="386294"/>
            <w:vAlign w:val="center"/>
          </w:tcPr>
          <w:p w:rsidR="004C2312" w:rsidRPr="00CA4800" w:rsidRDefault="008E3BFE" w:rsidP="008E3BFE">
            <w:pPr>
              <w:jc w:val="center"/>
              <w:rPr>
                <w:rFonts w:asciiTheme="majorHAnsi" w:hAnsiTheme="majorHAnsi"/>
                <w:b/>
                <w:bCs/>
                <w:color w:val="FFFFFF" w:themeColor="background1"/>
                <w:sz w:val="19"/>
                <w:szCs w:val="19"/>
                <w:lang w:val="es-ES"/>
              </w:rPr>
            </w:pPr>
            <w:r w:rsidRPr="00CA4800">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CA4800" w:rsidRDefault="00B506CB" w:rsidP="00351B24">
            <w:pPr>
              <w:jc w:val="both"/>
              <w:rPr>
                <w:rFonts w:asciiTheme="majorHAnsi" w:hAnsiTheme="majorHAnsi"/>
                <w:bCs/>
                <w:sz w:val="19"/>
                <w:szCs w:val="19"/>
                <w:lang w:val="es-BO"/>
              </w:rPr>
            </w:pPr>
            <w:r w:rsidRPr="00CA4800">
              <w:rPr>
                <w:rFonts w:asciiTheme="majorHAnsi" w:hAnsiTheme="majorHAnsi"/>
                <w:bCs/>
                <w:sz w:val="19"/>
                <w:szCs w:val="19"/>
                <w:lang w:val="es-BO"/>
              </w:rPr>
              <w:t xml:space="preserve">2 de julio </w:t>
            </w:r>
            <w:r w:rsidR="00351B24" w:rsidRPr="00CA4800">
              <w:rPr>
                <w:rFonts w:asciiTheme="majorHAnsi" w:hAnsiTheme="majorHAnsi"/>
                <w:bCs/>
                <w:sz w:val="19"/>
                <w:szCs w:val="19"/>
                <w:lang w:val="es-BO"/>
              </w:rPr>
              <w:t>y</w:t>
            </w:r>
            <w:r w:rsidRPr="00CA4800">
              <w:rPr>
                <w:rFonts w:asciiTheme="majorHAnsi" w:hAnsiTheme="majorHAnsi"/>
                <w:bCs/>
                <w:sz w:val="19"/>
                <w:szCs w:val="19"/>
                <w:lang w:val="es-BO"/>
              </w:rPr>
              <w:t xml:space="preserve"> 20 de octubre de 2014</w:t>
            </w:r>
            <w:r w:rsidR="00351B24" w:rsidRPr="00CA4800">
              <w:rPr>
                <w:rFonts w:asciiTheme="majorHAnsi" w:hAnsiTheme="majorHAnsi"/>
                <w:bCs/>
                <w:sz w:val="19"/>
                <w:szCs w:val="19"/>
                <w:lang w:val="es-BO"/>
              </w:rPr>
              <w:t>;</w:t>
            </w:r>
            <w:r w:rsidRPr="00CA4800">
              <w:rPr>
                <w:rFonts w:asciiTheme="majorHAnsi" w:hAnsiTheme="majorHAnsi"/>
                <w:bCs/>
                <w:sz w:val="19"/>
                <w:szCs w:val="19"/>
                <w:lang w:val="es-BO"/>
              </w:rPr>
              <w:t xml:space="preserve"> 23 de febrero de 2015 y </w:t>
            </w:r>
            <w:r w:rsidR="00FC52B2" w:rsidRPr="00CA4800">
              <w:rPr>
                <w:rFonts w:asciiTheme="majorHAnsi" w:hAnsiTheme="majorHAnsi"/>
                <w:bCs/>
                <w:sz w:val="19"/>
                <w:szCs w:val="19"/>
                <w:lang w:val="es-BO"/>
              </w:rPr>
              <w:t>28 de marzo de 2017</w:t>
            </w:r>
          </w:p>
        </w:tc>
      </w:tr>
      <w:tr w:rsidR="004C2312" w:rsidRPr="00CA4800" w:rsidTr="00213A90">
        <w:tc>
          <w:tcPr>
            <w:tcW w:w="3600" w:type="dxa"/>
            <w:tcBorders>
              <w:top w:val="single" w:sz="6" w:space="0" w:color="auto"/>
              <w:bottom w:val="single" w:sz="6" w:space="0" w:color="auto"/>
            </w:tcBorders>
            <w:shd w:val="clear" w:color="auto" w:fill="386294"/>
            <w:vAlign w:val="center"/>
          </w:tcPr>
          <w:p w:rsidR="004C2312" w:rsidRPr="00CA4800" w:rsidRDefault="004C2312" w:rsidP="008E3BFE">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Observaciones adicionales del Estado:</w:t>
            </w:r>
          </w:p>
        </w:tc>
        <w:tc>
          <w:tcPr>
            <w:tcW w:w="5760" w:type="dxa"/>
            <w:vAlign w:val="center"/>
          </w:tcPr>
          <w:p w:rsidR="004C2312" w:rsidRPr="00CA4800" w:rsidRDefault="00FC52B2" w:rsidP="00552D91">
            <w:pPr>
              <w:jc w:val="both"/>
              <w:rPr>
                <w:rFonts w:asciiTheme="majorHAnsi" w:hAnsiTheme="majorHAnsi"/>
                <w:bCs/>
                <w:sz w:val="19"/>
                <w:szCs w:val="19"/>
                <w:lang w:val="es-BO"/>
              </w:rPr>
            </w:pPr>
            <w:r w:rsidRPr="00CA4800">
              <w:rPr>
                <w:rFonts w:asciiTheme="majorHAnsi" w:hAnsiTheme="majorHAnsi"/>
                <w:bCs/>
                <w:sz w:val="19"/>
                <w:szCs w:val="19"/>
                <w:lang w:val="es-EC"/>
              </w:rPr>
              <w:t>30 de diciembre de 2014</w:t>
            </w:r>
          </w:p>
        </w:tc>
      </w:tr>
    </w:tbl>
    <w:p w:rsidR="003239B8" w:rsidRPr="00CA4800" w:rsidRDefault="003239B8" w:rsidP="003239B8">
      <w:pPr>
        <w:spacing w:before="240" w:after="240"/>
        <w:ind w:firstLine="720"/>
        <w:jc w:val="both"/>
        <w:rPr>
          <w:rFonts w:asciiTheme="majorHAnsi" w:hAnsiTheme="majorHAnsi"/>
          <w:b/>
          <w:bCs/>
          <w:sz w:val="19"/>
          <w:szCs w:val="19"/>
          <w:lang w:val="es-ES"/>
        </w:rPr>
      </w:pPr>
      <w:r w:rsidRPr="00CA4800">
        <w:rPr>
          <w:rFonts w:asciiTheme="majorHAnsi" w:hAnsiTheme="majorHAnsi"/>
          <w:b/>
          <w:bCs/>
          <w:sz w:val="19"/>
          <w:szCs w:val="19"/>
          <w:lang w:val="es-ES"/>
        </w:rPr>
        <w:t xml:space="preserve">III. </w:t>
      </w:r>
      <w:r w:rsidRPr="00CA4800">
        <w:rPr>
          <w:rFonts w:asciiTheme="majorHAnsi" w:hAnsiTheme="majorHAnsi"/>
          <w:b/>
          <w:bCs/>
          <w:sz w:val="19"/>
          <w:szCs w:val="19"/>
          <w:lang w:val="es-ES"/>
        </w:rPr>
        <w:tab/>
        <w:t>COMPETENCIA</w:t>
      </w:r>
      <w:r w:rsidR="00EE00E9" w:rsidRPr="00CA4800">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7703B" w:rsidTr="00213A90">
        <w:trPr>
          <w:cantSplit/>
        </w:trPr>
        <w:tc>
          <w:tcPr>
            <w:tcW w:w="3600" w:type="dxa"/>
            <w:tcBorders>
              <w:top w:val="single" w:sz="4"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i/>
                <w:color w:val="FFFFFF" w:themeColor="background1"/>
                <w:sz w:val="19"/>
                <w:szCs w:val="19"/>
              </w:rPr>
            </w:pPr>
            <w:r w:rsidRPr="00CA4800">
              <w:rPr>
                <w:rFonts w:asciiTheme="majorHAnsi" w:hAnsiTheme="majorHAnsi"/>
                <w:b/>
                <w:bCs/>
                <w:color w:val="FFFFFF" w:themeColor="background1"/>
                <w:sz w:val="19"/>
                <w:szCs w:val="19"/>
              </w:rPr>
              <w:t>Competencia</w:t>
            </w:r>
            <w:r w:rsidRPr="00CA4800">
              <w:rPr>
                <w:rFonts w:asciiTheme="majorHAnsi" w:hAnsiTheme="majorHAnsi"/>
                <w:b/>
                <w:bCs/>
                <w:i/>
                <w:color w:val="FFFFFF" w:themeColor="background1"/>
                <w:sz w:val="19"/>
                <w:szCs w:val="19"/>
              </w:rPr>
              <w:t xml:space="preserve"> Ratione personae:</w:t>
            </w:r>
          </w:p>
        </w:tc>
        <w:tc>
          <w:tcPr>
            <w:tcW w:w="5760" w:type="dxa"/>
            <w:vAlign w:val="center"/>
          </w:tcPr>
          <w:p w:rsidR="003239B8" w:rsidRPr="00CA4800" w:rsidRDefault="00B506CB" w:rsidP="00552D91">
            <w:pPr>
              <w:rPr>
                <w:rFonts w:asciiTheme="majorHAnsi" w:hAnsiTheme="majorHAnsi"/>
                <w:bCs/>
                <w:sz w:val="19"/>
                <w:szCs w:val="19"/>
                <w:lang w:val="es-BO"/>
              </w:rPr>
            </w:pPr>
            <w:r w:rsidRPr="00CA4800">
              <w:rPr>
                <w:rFonts w:asciiTheme="majorHAnsi" w:hAnsiTheme="majorHAnsi"/>
                <w:bCs/>
                <w:sz w:val="19"/>
                <w:szCs w:val="19"/>
                <w:lang w:val="es-AR"/>
              </w:rPr>
              <w:t xml:space="preserve">Sí, en los términos de la </w:t>
            </w:r>
            <w:r w:rsidR="00351B24" w:rsidRPr="00CA4800">
              <w:rPr>
                <w:rFonts w:asciiTheme="majorHAnsi" w:hAnsiTheme="majorHAnsi"/>
                <w:bCs/>
                <w:sz w:val="19"/>
                <w:szCs w:val="19"/>
                <w:lang w:val="es-AR"/>
              </w:rPr>
              <w:t>s</w:t>
            </w:r>
            <w:r w:rsidRPr="00CA4800">
              <w:rPr>
                <w:rFonts w:asciiTheme="majorHAnsi" w:hAnsiTheme="majorHAnsi"/>
                <w:bCs/>
                <w:sz w:val="19"/>
                <w:szCs w:val="19"/>
                <w:lang w:val="es-AR"/>
              </w:rPr>
              <w:t>ección VI</w:t>
            </w:r>
          </w:p>
        </w:tc>
      </w:tr>
      <w:tr w:rsidR="003239B8" w:rsidRPr="00CA4800" w:rsidTr="00213A90">
        <w:trPr>
          <w:cantSplit/>
        </w:trPr>
        <w:tc>
          <w:tcPr>
            <w:tcW w:w="3600" w:type="dxa"/>
            <w:tcBorders>
              <w:top w:val="single" w:sz="6"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Competencia</w:t>
            </w:r>
            <w:r w:rsidRPr="00CA4800">
              <w:rPr>
                <w:rFonts w:asciiTheme="majorHAnsi" w:hAnsiTheme="majorHAnsi"/>
                <w:b/>
                <w:bCs/>
                <w:i/>
                <w:color w:val="FFFFFF" w:themeColor="background1"/>
                <w:sz w:val="19"/>
                <w:szCs w:val="19"/>
              </w:rPr>
              <w:t xml:space="preserve"> Ratione loci</w:t>
            </w:r>
            <w:r w:rsidRPr="00CA4800">
              <w:rPr>
                <w:rFonts w:asciiTheme="majorHAnsi" w:hAnsiTheme="majorHAnsi"/>
                <w:b/>
                <w:bCs/>
                <w:color w:val="FFFFFF" w:themeColor="background1"/>
                <w:sz w:val="19"/>
                <w:szCs w:val="19"/>
              </w:rPr>
              <w:t>:</w:t>
            </w:r>
          </w:p>
        </w:tc>
        <w:tc>
          <w:tcPr>
            <w:tcW w:w="5760" w:type="dxa"/>
            <w:vAlign w:val="center"/>
          </w:tcPr>
          <w:p w:rsidR="003239B8" w:rsidRPr="00CA4800" w:rsidRDefault="00B506CB" w:rsidP="00552D91">
            <w:pPr>
              <w:rPr>
                <w:rFonts w:asciiTheme="majorHAnsi" w:hAnsiTheme="majorHAnsi"/>
                <w:bCs/>
                <w:sz w:val="19"/>
                <w:szCs w:val="19"/>
              </w:rPr>
            </w:pPr>
            <w:r w:rsidRPr="00CA4800">
              <w:rPr>
                <w:rFonts w:asciiTheme="majorHAnsi" w:hAnsiTheme="majorHAnsi"/>
                <w:bCs/>
                <w:sz w:val="19"/>
                <w:szCs w:val="19"/>
              </w:rPr>
              <w:t>Sí</w:t>
            </w:r>
          </w:p>
        </w:tc>
      </w:tr>
      <w:tr w:rsidR="003239B8" w:rsidRPr="00CA4800" w:rsidTr="00213A90">
        <w:trPr>
          <w:cantSplit/>
        </w:trPr>
        <w:tc>
          <w:tcPr>
            <w:tcW w:w="3600" w:type="dxa"/>
            <w:tcBorders>
              <w:top w:val="single" w:sz="6"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Competencia</w:t>
            </w:r>
            <w:r w:rsidRPr="00CA4800">
              <w:rPr>
                <w:rFonts w:asciiTheme="majorHAnsi" w:hAnsiTheme="majorHAnsi"/>
                <w:b/>
                <w:bCs/>
                <w:i/>
                <w:color w:val="FFFFFF" w:themeColor="background1"/>
                <w:sz w:val="19"/>
                <w:szCs w:val="19"/>
              </w:rPr>
              <w:t xml:space="preserve"> Ratione temporis</w:t>
            </w:r>
            <w:r w:rsidRPr="00CA4800">
              <w:rPr>
                <w:rFonts w:asciiTheme="majorHAnsi" w:hAnsiTheme="majorHAnsi"/>
                <w:b/>
                <w:bCs/>
                <w:color w:val="FFFFFF" w:themeColor="background1"/>
                <w:sz w:val="19"/>
                <w:szCs w:val="19"/>
              </w:rPr>
              <w:t>:</w:t>
            </w:r>
          </w:p>
        </w:tc>
        <w:tc>
          <w:tcPr>
            <w:tcW w:w="5760" w:type="dxa"/>
            <w:vAlign w:val="center"/>
          </w:tcPr>
          <w:p w:rsidR="003239B8" w:rsidRPr="00CA4800" w:rsidRDefault="00713909" w:rsidP="00552D91">
            <w:pPr>
              <w:rPr>
                <w:rFonts w:asciiTheme="majorHAnsi" w:hAnsiTheme="majorHAnsi"/>
                <w:bCs/>
                <w:sz w:val="19"/>
                <w:szCs w:val="19"/>
              </w:rPr>
            </w:pPr>
            <w:r w:rsidRPr="00CA4800">
              <w:rPr>
                <w:rFonts w:asciiTheme="majorHAnsi" w:hAnsiTheme="majorHAnsi"/>
                <w:bCs/>
                <w:sz w:val="19"/>
                <w:szCs w:val="19"/>
              </w:rPr>
              <w:t>Sí</w:t>
            </w:r>
          </w:p>
        </w:tc>
      </w:tr>
      <w:tr w:rsidR="003239B8" w:rsidRPr="00E7703B" w:rsidTr="00213A90">
        <w:trPr>
          <w:cantSplit/>
        </w:trPr>
        <w:tc>
          <w:tcPr>
            <w:tcW w:w="3600" w:type="dxa"/>
            <w:tcBorders>
              <w:top w:val="single" w:sz="6"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Competencia</w:t>
            </w:r>
            <w:r w:rsidRPr="00CA4800">
              <w:rPr>
                <w:rFonts w:asciiTheme="majorHAnsi" w:hAnsiTheme="majorHAnsi"/>
                <w:b/>
                <w:bCs/>
                <w:i/>
                <w:color w:val="FFFFFF" w:themeColor="background1"/>
                <w:sz w:val="19"/>
                <w:szCs w:val="19"/>
              </w:rPr>
              <w:t xml:space="preserve"> Ratione materia</w:t>
            </w:r>
            <w:r w:rsidR="00EE00E9" w:rsidRPr="00CA4800">
              <w:rPr>
                <w:rFonts w:asciiTheme="majorHAnsi" w:hAnsiTheme="majorHAnsi"/>
                <w:b/>
                <w:bCs/>
                <w:i/>
                <w:color w:val="FFFFFF" w:themeColor="background1"/>
                <w:sz w:val="19"/>
                <w:szCs w:val="19"/>
              </w:rPr>
              <w:t>e</w:t>
            </w:r>
            <w:r w:rsidRPr="00CA4800">
              <w:rPr>
                <w:rFonts w:asciiTheme="majorHAnsi" w:hAnsiTheme="majorHAnsi"/>
                <w:b/>
                <w:bCs/>
                <w:color w:val="FFFFFF" w:themeColor="background1"/>
                <w:sz w:val="19"/>
                <w:szCs w:val="19"/>
              </w:rPr>
              <w:t>:</w:t>
            </w:r>
          </w:p>
        </w:tc>
        <w:tc>
          <w:tcPr>
            <w:tcW w:w="5760" w:type="dxa"/>
            <w:vAlign w:val="center"/>
          </w:tcPr>
          <w:p w:rsidR="003239B8" w:rsidRPr="00CA4800" w:rsidRDefault="00713909" w:rsidP="00351B24">
            <w:pPr>
              <w:jc w:val="both"/>
              <w:rPr>
                <w:rFonts w:asciiTheme="majorHAnsi" w:hAnsiTheme="majorHAnsi"/>
                <w:bCs/>
                <w:sz w:val="19"/>
                <w:szCs w:val="19"/>
                <w:lang w:val="es-BO"/>
              </w:rPr>
            </w:pPr>
            <w:r w:rsidRPr="00CA4800">
              <w:rPr>
                <w:rFonts w:asciiTheme="majorHAnsi" w:hAnsiTheme="majorHAnsi"/>
                <w:bCs/>
                <w:sz w:val="19"/>
                <w:szCs w:val="19"/>
                <w:lang w:val="es-ES"/>
              </w:rPr>
              <w:t>Sí, Convención Americana (depósito de instrumento realizado el 31 de julio de 1973)</w:t>
            </w:r>
          </w:p>
        </w:tc>
      </w:tr>
    </w:tbl>
    <w:p w:rsidR="003239B8" w:rsidRPr="00CA4800" w:rsidRDefault="003239B8" w:rsidP="003239B8">
      <w:pPr>
        <w:spacing w:before="240" w:after="240"/>
        <w:ind w:firstLine="720"/>
        <w:jc w:val="both"/>
        <w:rPr>
          <w:rFonts w:asciiTheme="majorHAnsi" w:hAnsiTheme="majorHAnsi"/>
          <w:b/>
          <w:bCs/>
          <w:sz w:val="19"/>
          <w:szCs w:val="19"/>
          <w:lang w:val="es-ES"/>
        </w:rPr>
      </w:pPr>
      <w:r w:rsidRPr="00CA4800">
        <w:rPr>
          <w:rFonts w:asciiTheme="majorHAnsi" w:hAnsiTheme="majorHAnsi"/>
          <w:b/>
          <w:bCs/>
          <w:sz w:val="19"/>
          <w:szCs w:val="19"/>
          <w:lang w:val="es-ES"/>
        </w:rPr>
        <w:t xml:space="preserve">IV. </w:t>
      </w:r>
      <w:r w:rsidRPr="00CA4800">
        <w:rPr>
          <w:rFonts w:asciiTheme="majorHAnsi" w:hAnsiTheme="majorHAnsi"/>
          <w:b/>
          <w:bCs/>
          <w:sz w:val="19"/>
          <w:szCs w:val="19"/>
          <w:lang w:val="es-ES"/>
        </w:rPr>
        <w:tab/>
      </w:r>
      <w:r w:rsidR="00EE00E9" w:rsidRPr="00CA4800">
        <w:rPr>
          <w:rFonts w:asciiTheme="majorHAnsi" w:hAnsiTheme="majorHAnsi"/>
          <w:b/>
          <w:bCs/>
          <w:sz w:val="19"/>
          <w:szCs w:val="19"/>
          <w:lang w:val="es-ES"/>
        </w:rPr>
        <w:t>DUPLICACIÓN</w:t>
      </w:r>
      <w:r w:rsidR="00EE00E9" w:rsidRPr="00CA4800">
        <w:rPr>
          <w:rFonts w:asciiTheme="majorHAnsi" w:hAnsiTheme="majorHAnsi"/>
          <w:b/>
          <w:bCs/>
          <w:color w:val="FFFFFF" w:themeColor="background1"/>
          <w:sz w:val="19"/>
          <w:szCs w:val="19"/>
          <w:lang w:val="es-ES"/>
        </w:rPr>
        <w:t xml:space="preserve"> </w:t>
      </w:r>
      <w:r w:rsidR="00EE00E9" w:rsidRPr="00CA4800">
        <w:rPr>
          <w:rFonts w:asciiTheme="majorHAnsi" w:hAnsiTheme="majorHAnsi"/>
          <w:b/>
          <w:bCs/>
          <w:sz w:val="19"/>
          <w:szCs w:val="19"/>
          <w:lang w:val="es-ES"/>
        </w:rPr>
        <w:t>DE PROCEDIMIENTOS Y COSA JUZGADA</w:t>
      </w:r>
      <w:r w:rsidR="00EE00E9" w:rsidRPr="00CA4800">
        <w:rPr>
          <w:rFonts w:asciiTheme="majorHAnsi" w:hAnsiTheme="majorHAnsi"/>
          <w:b/>
          <w:bCs/>
          <w:i/>
          <w:sz w:val="19"/>
          <w:szCs w:val="19"/>
          <w:lang w:val="es-ES"/>
        </w:rPr>
        <w:t xml:space="preserve"> </w:t>
      </w:r>
      <w:r w:rsidR="00EE00E9" w:rsidRPr="00CA4800">
        <w:rPr>
          <w:rFonts w:asciiTheme="majorHAnsi" w:hAnsiTheme="majorHAnsi"/>
          <w:b/>
          <w:bCs/>
          <w:sz w:val="19"/>
          <w:szCs w:val="19"/>
          <w:lang w:val="es-ES"/>
        </w:rPr>
        <w:t xml:space="preserve">INTERNACIONAL, </w:t>
      </w:r>
      <w:r w:rsidRPr="00CA4800">
        <w:rPr>
          <w:rFonts w:asciiTheme="majorHAnsi" w:hAnsiTheme="majorHAnsi"/>
          <w:b/>
          <w:bCs/>
          <w:sz w:val="19"/>
          <w:szCs w:val="19"/>
          <w:lang w:val="es-ES"/>
        </w:rPr>
        <w:t xml:space="preserve"> CARACTERIZACIÓN, </w:t>
      </w:r>
      <w:r w:rsidRPr="00CA4800">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A4800" w:rsidTr="00213A90">
        <w:trPr>
          <w:cantSplit/>
        </w:trPr>
        <w:tc>
          <w:tcPr>
            <w:tcW w:w="3600" w:type="dxa"/>
            <w:tcBorders>
              <w:top w:val="single" w:sz="4" w:space="0" w:color="auto"/>
              <w:bottom w:val="single" w:sz="6" w:space="0" w:color="auto"/>
            </w:tcBorders>
            <w:shd w:val="clear" w:color="auto" w:fill="386294"/>
            <w:vAlign w:val="center"/>
          </w:tcPr>
          <w:p w:rsidR="00EE00E9" w:rsidRPr="00CA4800" w:rsidRDefault="00EE00E9" w:rsidP="00552D91">
            <w:pPr>
              <w:jc w:val="center"/>
              <w:rPr>
                <w:rFonts w:asciiTheme="majorHAnsi" w:hAnsiTheme="majorHAnsi"/>
                <w:b/>
                <w:bCs/>
                <w:color w:val="FFFFFF" w:themeColor="background1"/>
                <w:sz w:val="19"/>
                <w:szCs w:val="19"/>
                <w:lang w:val="es-ES"/>
              </w:rPr>
            </w:pPr>
            <w:r w:rsidRPr="00CA4800">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CA4800" w:rsidRDefault="00713909" w:rsidP="00552D91">
            <w:pPr>
              <w:jc w:val="both"/>
              <w:rPr>
                <w:rFonts w:asciiTheme="majorHAnsi" w:hAnsiTheme="majorHAnsi"/>
                <w:bCs/>
                <w:sz w:val="19"/>
                <w:szCs w:val="19"/>
                <w:lang w:val="es-ES"/>
              </w:rPr>
            </w:pPr>
            <w:r w:rsidRPr="00CA4800">
              <w:rPr>
                <w:rFonts w:asciiTheme="majorHAnsi" w:hAnsiTheme="majorHAnsi"/>
                <w:bCs/>
                <w:sz w:val="19"/>
                <w:szCs w:val="19"/>
                <w:lang w:val="es-ES"/>
              </w:rPr>
              <w:t>No</w:t>
            </w:r>
          </w:p>
        </w:tc>
      </w:tr>
      <w:tr w:rsidR="003239B8" w:rsidRPr="00CA4800" w:rsidTr="00213A90">
        <w:trPr>
          <w:cantSplit/>
        </w:trPr>
        <w:tc>
          <w:tcPr>
            <w:tcW w:w="3600" w:type="dxa"/>
            <w:tcBorders>
              <w:top w:val="single" w:sz="4"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i/>
                <w:color w:val="FFFFFF" w:themeColor="background1"/>
                <w:sz w:val="19"/>
                <w:szCs w:val="19"/>
              </w:rPr>
            </w:pPr>
            <w:r w:rsidRPr="00CA4800">
              <w:rPr>
                <w:rFonts w:asciiTheme="majorHAnsi" w:hAnsiTheme="majorHAnsi"/>
                <w:b/>
                <w:bCs/>
                <w:color w:val="FFFFFF" w:themeColor="background1"/>
                <w:sz w:val="19"/>
                <w:szCs w:val="19"/>
              </w:rPr>
              <w:t>Derechos declarados admisibles</w:t>
            </w:r>
            <w:r w:rsidRPr="00CA4800">
              <w:rPr>
                <w:rFonts w:asciiTheme="majorHAnsi" w:hAnsiTheme="majorHAnsi"/>
                <w:b/>
                <w:bCs/>
                <w:i/>
                <w:color w:val="FFFFFF" w:themeColor="background1"/>
                <w:sz w:val="19"/>
                <w:szCs w:val="19"/>
              </w:rPr>
              <w:t>:</w:t>
            </w:r>
          </w:p>
        </w:tc>
        <w:tc>
          <w:tcPr>
            <w:tcW w:w="5760" w:type="dxa"/>
            <w:vAlign w:val="center"/>
          </w:tcPr>
          <w:p w:rsidR="003239B8" w:rsidRPr="00CA4800" w:rsidRDefault="009B6212" w:rsidP="00632C9F">
            <w:pPr>
              <w:jc w:val="both"/>
              <w:rPr>
                <w:rFonts w:asciiTheme="majorHAnsi" w:hAnsiTheme="majorHAnsi"/>
                <w:bCs/>
                <w:sz w:val="19"/>
                <w:szCs w:val="19"/>
                <w:lang w:val="es-BO"/>
              </w:rPr>
            </w:pPr>
            <w:r w:rsidRPr="00CA4800">
              <w:rPr>
                <w:rFonts w:asciiTheme="majorHAnsi" w:hAnsiTheme="majorHAnsi"/>
                <w:bCs/>
                <w:sz w:val="19"/>
                <w:szCs w:val="19"/>
                <w:lang w:val="es-BO"/>
              </w:rPr>
              <w:t>Ninguno</w:t>
            </w:r>
          </w:p>
        </w:tc>
      </w:tr>
      <w:tr w:rsidR="003239B8" w:rsidRPr="00E7703B" w:rsidTr="00213A90">
        <w:trPr>
          <w:cantSplit/>
        </w:trPr>
        <w:tc>
          <w:tcPr>
            <w:tcW w:w="3600" w:type="dxa"/>
            <w:tcBorders>
              <w:top w:val="single" w:sz="6"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lang w:val="es-ES"/>
              </w:rPr>
            </w:pPr>
            <w:r w:rsidRPr="00CA4800">
              <w:rPr>
                <w:rFonts w:asciiTheme="majorHAnsi" w:hAnsiTheme="majorHAnsi"/>
                <w:b/>
                <w:bCs/>
                <w:color w:val="FFFFFF" w:themeColor="background1"/>
                <w:sz w:val="19"/>
                <w:szCs w:val="19"/>
                <w:lang w:val="es-ES"/>
              </w:rPr>
              <w:t>Agotamiento de recursos internos</w:t>
            </w:r>
            <w:r w:rsidR="00EE00E9" w:rsidRPr="00CA4800">
              <w:rPr>
                <w:rFonts w:asciiTheme="majorHAnsi" w:hAnsiTheme="majorHAnsi"/>
                <w:b/>
                <w:bCs/>
                <w:color w:val="FFFFFF" w:themeColor="background1"/>
                <w:sz w:val="19"/>
                <w:szCs w:val="19"/>
                <w:lang w:val="es-ES"/>
              </w:rPr>
              <w:t xml:space="preserve"> o procedencia de una excepción</w:t>
            </w:r>
            <w:r w:rsidRPr="00CA4800">
              <w:rPr>
                <w:rFonts w:asciiTheme="majorHAnsi" w:hAnsiTheme="majorHAnsi"/>
                <w:b/>
                <w:bCs/>
                <w:color w:val="FFFFFF" w:themeColor="background1"/>
                <w:sz w:val="19"/>
                <w:szCs w:val="19"/>
                <w:lang w:val="es-ES"/>
              </w:rPr>
              <w:t>:</w:t>
            </w:r>
          </w:p>
        </w:tc>
        <w:tc>
          <w:tcPr>
            <w:tcW w:w="5760" w:type="dxa"/>
            <w:vAlign w:val="center"/>
          </w:tcPr>
          <w:p w:rsidR="003239B8" w:rsidRPr="00CA4800" w:rsidRDefault="009B6212" w:rsidP="00353E54">
            <w:pPr>
              <w:rPr>
                <w:rFonts w:asciiTheme="majorHAnsi" w:hAnsiTheme="majorHAnsi"/>
                <w:bCs/>
                <w:sz w:val="19"/>
                <w:szCs w:val="19"/>
                <w:lang w:val="es-BO"/>
              </w:rPr>
            </w:pPr>
            <w:r w:rsidRPr="00CA4800">
              <w:rPr>
                <w:rFonts w:asciiTheme="majorHAnsi" w:hAnsiTheme="majorHAnsi"/>
                <w:bCs/>
                <w:sz w:val="19"/>
                <w:szCs w:val="19"/>
                <w:lang w:val="es-BO"/>
              </w:rPr>
              <w:t>S</w:t>
            </w:r>
            <w:r w:rsidR="009B7E79" w:rsidRPr="00CA4800">
              <w:rPr>
                <w:rFonts w:asciiTheme="majorHAnsi" w:hAnsiTheme="majorHAnsi"/>
                <w:bCs/>
                <w:sz w:val="19"/>
                <w:szCs w:val="19"/>
                <w:lang w:val="es-BO"/>
              </w:rPr>
              <w:t>í</w:t>
            </w:r>
            <w:r w:rsidRPr="00CA4800">
              <w:rPr>
                <w:rFonts w:asciiTheme="majorHAnsi" w:hAnsiTheme="majorHAnsi"/>
                <w:bCs/>
                <w:sz w:val="19"/>
                <w:szCs w:val="19"/>
                <w:lang w:val="es-BO"/>
              </w:rPr>
              <w:t>, en los términos de la sección VII</w:t>
            </w:r>
          </w:p>
        </w:tc>
      </w:tr>
      <w:tr w:rsidR="003239B8" w:rsidRPr="00E7703B" w:rsidTr="00213A90">
        <w:trPr>
          <w:cantSplit/>
        </w:trPr>
        <w:tc>
          <w:tcPr>
            <w:tcW w:w="3600" w:type="dxa"/>
            <w:tcBorders>
              <w:top w:val="single" w:sz="6" w:space="0" w:color="auto"/>
              <w:bottom w:val="single" w:sz="6" w:space="0" w:color="auto"/>
            </w:tcBorders>
            <w:shd w:val="clear" w:color="auto" w:fill="386294"/>
            <w:vAlign w:val="center"/>
          </w:tcPr>
          <w:p w:rsidR="003239B8" w:rsidRPr="00CA4800" w:rsidRDefault="003239B8" w:rsidP="00552D91">
            <w:pPr>
              <w:jc w:val="center"/>
              <w:rPr>
                <w:rFonts w:asciiTheme="majorHAnsi" w:hAnsiTheme="majorHAnsi"/>
                <w:b/>
                <w:bCs/>
                <w:color w:val="FFFFFF" w:themeColor="background1"/>
                <w:sz w:val="19"/>
                <w:szCs w:val="19"/>
              </w:rPr>
            </w:pPr>
            <w:r w:rsidRPr="00CA4800">
              <w:rPr>
                <w:rFonts w:asciiTheme="majorHAnsi" w:hAnsiTheme="majorHAnsi"/>
                <w:b/>
                <w:bCs/>
                <w:color w:val="FFFFFF" w:themeColor="background1"/>
                <w:sz w:val="19"/>
                <w:szCs w:val="19"/>
              </w:rPr>
              <w:t>Presentación dentro de plazo:</w:t>
            </w:r>
          </w:p>
        </w:tc>
        <w:tc>
          <w:tcPr>
            <w:tcW w:w="5760" w:type="dxa"/>
            <w:vAlign w:val="center"/>
          </w:tcPr>
          <w:p w:rsidR="003239B8" w:rsidRPr="00CA4800" w:rsidRDefault="009B6212" w:rsidP="00353E54">
            <w:pPr>
              <w:rPr>
                <w:rFonts w:asciiTheme="majorHAnsi" w:hAnsiTheme="majorHAnsi"/>
                <w:bCs/>
                <w:sz w:val="19"/>
                <w:szCs w:val="19"/>
                <w:lang w:val="es-BO"/>
              </w:rPr>
            </w:pPr>
            <w:r w:rsidRPr="00CA4800">
              <w:rPr>
                <w:rFonts w:asciiTheme="majorHAnsi" w:hAnsiTheme="majorHAnsi"/>
                <w:bCs/>
                <w:sz w:val="19"/>
                <w:szCs w:val="19"/>
                <w:lang w:val="es-BO"/>
              </w:rPr>
              <w:t>S</w:t>
            </w:r>
            <w:r w:rsidR="009B7E79" w:rsidRPr="00CA4800">
              <w:rPr>
                <w:rFonts w:asciiTheme="majorHAnsi" w:hAnsiTheme="majorHAnsi"/>
                <w:bCs/>
                <w:sz w:val="19"/>
                <w:szCs w:val="19"/>
                <w:lang w:val="es-BO"/>
              </w:rPr>
              <w:t>í</w:t>
            </w:r>
            <w:r w:rsidRPr="00CA4800">
              <w:rPr>
                <w:rFonts w:asciiTheme="majorHAnsi" w:hAnsiTheme="majorHAnsi"/>
                <w:bCs/>
                <w:sz w:val="19"/>
                <w:szCs w:val="19"/>
                <w:lang w:val="es-BO"/>
              </w:rPr>
              <w:t>, en los términos de la sección VII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E04E88" w:rsidRPr="00DB59AD" w:rsidRDefault="00E04E88" w:rsidP="00DB59A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peticionario señala que e</w:t>
      </w:r>
      <w:r w:rsidRPr="00CD1E5D">
        <w:rPr>
          <w:rFonts w:ascii="Cambria" w:hAnsi="Cambria"/>
          <w:sz w:val="20"/>
          <w:szCs w:val="20"/>
          <w:lang w:val="es-AR"/>
        </w:rPr>
        <w:t xml:space="preserve">l 13 de junio de 1996 creó la Sociedad </w:t>
      </w:r>
      <w:r w:rsidR="00FB45C3">
        <w:rPr>
          <w:rFonts w:ascii="Cambria" w:hAnsi="Cambria"/>
          <w:sz w:val="20"/>
          <w:szCs w:val="20"/>
          <w:lang w:val="es-AR"/>
        </w:rPr>
        <w:t>“</w:t>
      </w:r>
      <w:r w:rsidRPr="00CD1E5D">
        <w:rPr>
          <w:rFonts w:ascii="Cambria" w:hAnsi="Cambria"/>
          <w:sz w:val="20"/>
          <w:szCs w:val="20"/>
          <w:lang w:val="es-AR"/>
        </w:rPr>
        <w:t>Piñeros Inversiones y Proyectos &amp; CIA</w:t>
      </w:r>
      <w:r w:rsidR="00FB45C3">
        <w:rPr>
          <w:rFonts w:ascii="Cambria" w:hAnsi="Cambria"/>
          <w:sz w:val="20"/>
          <w:szCs w:val="20"/>
          <w:lang w:val="es-AR"/>
        </w:rPr>
        <w:t>”</w:t>
      </w:r>
      <w:r w:rsidRPr="00CD1E5D">
        <w:rPr>
          <w:rFonts w:ascii="Cambria" w:hAnsi="Cambria"/>
          <w:sz w:val="20"/>
          <w:szCs w:val="20"/>
          <w:lang w:val="es-AR"/>
        </w:rPr>
        <w:t xml:space="preserve"> (en adelante "la Sociedad").  </w:t>
      </w:r>
      <w:r>
        <w:rPr>
          <w:rFonts w:ascii="Cambria" w:hAnsi="Cambria"/>
          <w:sz w:val="20"/>
          <w:szCs w:val="20"/>
          <w:lang w:val="es-AR"/>
        </w:rPr>
        <w:t xml:space="preserve">Indica que </w:t>
      </w:r>
      <w:r w:rsidRPr="00CD1E5D">
        <w:rPr>
          <w:rFonts w:ascii="Cambria" w:hAnsi="Cambria"/>
          <w:sz w:val="20"/>
          <w:szCs w:val="20"/>
          <w:lang w:val="es-AR"/>
        </w:rPr>
        <w:t>Piñeros Rey y Gledma Romero Sandoval ostentaban la condición de socios gestores, mientras que</w:t>
      </w:r>
      <w:r w:rsidR="005A2C40">
        <w:rPr>
          <w:rFonts w:ascii="Cambria" w:hAnsi="Cambria"/>
          <w:sz w:val="20"/>
          <w:szCs w:val="20"/>
          <w:lang w:val="es-AR"/>
        </w:rPr>
        <w:t xml:space="preserve"> su</w:t>
      </w:r>
      <w:r>
        <w:rPr>
          <w:rFonts w:ascii="Cambria" w:hAnsi="Cambria"/>
          <w:sz w:val="20"/>
          <w:szCs w:val="20"/>
          <w:lang w:val="es-AR"/>
        </w:rPr>
        <w:t>s hijos,</w:t>
      </w:r>
      <w:r w:rsidRPr="00CD1E5D">
        <w:rPr>
          <w:rFonts w:ascii="Cambria" w:hAnsi="Cambria"/>
          <w:sz w:val="20"/>
          <w:szCs w:val="20"/>
          <w:lang w:val="es-AR"/>
        </w:rPr>
        <w:t xml:space="preserve"> Andrés y Mónica Piñeros Sandoval</w:t>
      </w:r>
      <w:r>
        <w:rPr>
          <w:rFonts w:ascii="Cambria" w:hAnsi="Cambria"/>
          <w:sz w:val="20"/>
          <w:szCs w:val="20"/>
          <w:lang w:val="es-AR"/>
        </w:rPr>
        <w:t>,</w:t>
      </w:r>
      <w:r w:rsidRPr="00CD1E5D">
        <w:rPr>
          <w:rFonts w:ascii="Cambria" w:hAnsi="Cambria"/>
          <w:sz w:val="20"/>
          <w:szCs w:val="20"/>
          <w:lang w:val="es-AR"/>
        </w:rPr>
        <w:t xml:space="preserve"> </w:t>
      </w:r>
      <w:r>
        <w:rPr>
          <w:rFonts w:ascii="Cambria" w:hAnsi="Cambria"/>
          <w:sz w:val="20"/>
          <w:szCs w:val="20"/>
          <w:lang w:val="es-AR"/>
        </w:rPr>
        <w:t>eran</w:t>
      </w:r>
      <w:r w:rsidRPr="00CD1E5D">
        <w:rPr>
          <w:rFonts w:ascii="Cambria" w:hAnsi="Cambria"/>
          <w:sz w:val="20"/>
          <w:szCs w:val="20"/>
          <w:lang w:val="es-AR"/>
        </w:rPr>
        <w:t xml:space="preserve"> socios comanditarios. </w:t>
      </w:r>
      <w:r w:rsidR="005A2C40">
        <w:rPr>
          <w:rFonts w:ascii="Cambria" w:hAnsi="Cambria"/>
          <w:sz w:val="20"/>
          <w:szCs w:val="20"/>
          <w:lang w:val="es-AR"/>
        </w:rPr>
        <w:t>E</w:t>
      </w:r>
      <w:r w:rsidRPr="00CD1E5D">
        <w:rPr>
          <w:rFonts w:ascii="Cambria" w:hAnsi="Cambria"/>
          <w:sz w:val="20"/>
          <w:szCs w:val="20"/>
          <w:lang w:val="es-AR"/>
        </w:rPr>
        <w:t xml:space="preserve">l 22 de noviembre de 2000, Miguel Piñeros Rey, Gledma Romero Sandoval y la Sociedad </w:t>
      </w:r>
      <w:r w:rsidRPr="00CD1E5D">
        <w:rPr>
          <w:rFonts w:ascii="Cambria" w:hAnsi="Cambria"/>
          <w:sz w:val="20"/>
          <w:szCs w:val="20"/>
          <w:lang w:val="es-AR"/>
        </w:rPr>
        <w:lastRenderedPageBreak/>
        <w:t>adquirieron el terreno “El Morichal”, en el Municipio de</w:t>
      </w:r>
      <w:r w:rsidR="001724AE">
        <w:rPr>
          <w:rFonts w:ascii="Cambria" w:hAnsi="Cambria"/>
          <w:sz w:val="20"/>
          <w:szCs w:val="20"/>
          <w:lang w:val="es-AR"/>
        </w:rPr>
        <w:t xml:space="preserve"> Tame, Arauca. É</w:t>
      </w:r>
      <w:r w:rsidRPr="00CD1E5D">
        <w:rPr>
          <w:rFonts w:ascii="Cambria" w:hAnsi="Cambria"/>
          <w:sz w:val="20"/>
          <w:szCs w:val="20"/>
          <w:lang w:val="es-AR"/>
        </w:rPr>
        <w:t>ste fue fragmentado</w:t>
      </w:r>
      <w:r w:rsidR="00FB45C3">
        <w:rPr>
          <w:rFonts w:ascii="Cambria" w:hAnsi="Cambria"/>
          <w:sz w:val="20"/>
          <w:szCs w:val="20"/>
          <w:lang w:val="es-AR"/>
        </w:rPr>
        <w:t xml:space="preserve"> en tres</w:t>
      </w:r>
      <w:r w:rsidRPr="00CD1E5D">
        <w:rPr>
          <w:rFonts w:ascii="Cambria" w:hAnsi="Cambria"/>
          <w:sz w:val="20"/>
          <w:szCs w:val="20"/>
          <w:lang w:val="es-AR"/>
        </w:rPr>
        <w:t>, quedando como propietarios de los terrenos Morichal 1</w:t>
      </w:r>
      <w:r w:rsidR="00DB59AD">
        <w:rPr>
          <w:rFonts w:ascii="Cambria" w:hAnsi="Cambria"/>
          <w:sz w:val="20"/>
          <w:szCs w:val="20"/>
          <w:lang w:val="es-AR"/>
        </w:rPr>
        <w:t xml:space="preserve"> y</w:t>
      </w:r>
      <w:r w:rsidRPr="00DB59AD">
        <w:rPr>
          <w:rFonts w:ascii="Cambria" w:hAnsi="Cambria"/>
          <w:sz w:val="20"/>
          <w:szCs w:val="20"/>
          <w:lang w:val="es-AR"/>
        </w:rPr>
        <w:t xml:space="preserve"> 3 las personas físicas y de Morichal 2</w:t>
      </w:r>
      <w:r w:rsidR="003B4EC1">
        <w:rPr>
          <w:rFonts w:ascii="Cambria" w:hAnsi="Cambria"/>
          <w:sz w:val="20"/>
          <w:szCs w:val="20"/>
          <w:lang w:val="es-AR"/>
        </w:rPr>
        <w:t>,</w:t>
      </w:r>
      <w:r w:rsidRPr="00DB59AD">
        <w:rPr>
          <w:rFonts w:ascii="Cambria" w:hAnsi="Cambria"/>
          <w:sz w:val="20"/>
          <w:szCs w:val="20"/>
          <w:lang w:val="es-AR"/>
        </w:rPr>
        <w:t xml:space="preserve"> la Sociedad.</w:t>
      </w:r>
    </w:p>
    <w:p w:rsidR="00E04E88" w:rsidRPr="00E04E88" w:rsidRDefault="009C7028" w:rsidP="00E04E88">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Señala</w:t>
      </w:r>
      <w:r w:rsidR="00E04E88" w:rsidRPr="00E04E88">
        <w:rPr>
          <w:rFonts w:ascii="Cambria" w:hAnsi="Cambria"/>
          <w:sz w:val="20"/>
          <w:szCs w:val="20"/>
          <w:lang w:val="es-AR"/>
        </w:rPr>
        <w:t xml:space="preserve"> que </w:t>
      </w:r>
      <w:r w:rsidR="00454826">
        <w:rPr>
          <w:rFonts w:ascii="Cambria" w:hAnsi="Cambria"/>
          <w:sz w:val="20"/>
          <w:szCs w:val="20"/>
          <w:lang w:val="es-AR"/>
        </w:rPr>
        <w:t>durante el año 2001</w:t>
      </w:r>
      <w:r w:rsidR="00E04E88" w:rsidRPr="00E04E88">
        <w:rPr>
          <w:rFonts w:ascii="Cambria" w:hAnsi="Cambria"/>
          <w:sz w:val="20"/>
          <w:szCs w:val="20"/>
          <w:lang w:val="es-AR"/>
        </w:rPr>
        <w:t xml:space="preserve"> grupos </w:t>
      </w:r>
      <w:r w:rsidR="00454826">
        <w:rPr>
          <w:rFonts w:ascii="Cambria" w:hAnsi="Cambria"/>
          <w:sz w:val="20"/>
          <w:szCs w:val="20"/>
          <w:lang w:val="es-AR"/>
        </w:rPr>
        <w:t>paramilitares</w:t>
      </w:r>
      <w:r w:rsidR="00E04E88" w:rsidRPr="00E04E88">
        <w:rPr>
          <w:rFonts w:ascii="Cambria" w:hAnsi="Cambria"/>
          <w:sz w:val="20"/>
          <w:szCs w:val="20"/>
          <w:lang w:val="es-AR"/>
        </w:rPr>
        <w:t xml:space="preserve"> habían penetrado el Municipio de Tame. </w:t>
      </w:r>
      <w:r w:rsidR="00AD52B1">
        <w:rPr>
          <w:rFonts w:ascii="Cambria" w:hAnsi="Cambria"/>
          <w:sz w:val="20"/>
          <w:szCs w:val="20"/>
          <w:lang w:val="es-AR"/>
        </w:rPr>
        <w:t xml:space="preserve"> </w:t>
      </w:r>
      <w:r w:rsidR="009B7E79">
        <w:rPr>
          <w:rFonts w:ascii="Cambria" w:hAnsi="Cambria"/>
          <w:sz w:val="20"/>
          <w:szCs w:val="20"/>
          <w:lang w:val="es-AR"/>
        </w:rPr>
        <w:t>Alega que e</w:t>
      </w:r>
      <w:r w:rsidR="00454826">
        <w:rPr>
          <w:rFonts w:ascii="Cambria" w:hAnsi="Cambria"/>
          <w:sz w:val="20"/>
          <w:szCs w:val="20"/>
          <w:lang w:val="es-AR"/>
        </w:rPr>
        <w:t xml:space="preserve">l conflicto armado </w:t>
      </w:r>
      <w:r w:rsidR="009B7E79">
        <w:rPr>
          <w:rFonts w:ascii="Cambria" w:hAnsi="Cambria"/>
          <w:sz w:val="20"/>
          <w:szCs w:val="20"/>
          <w:lang w:val="es-AR"/>
        </w:rPr>
        <w:t>había escalado</w:t>
      </w:r>
      <w:r w:rsidR="00E04E88" w:rsidRPr="00E04E88">
        <w:rPr>
          <w:rFonts w:ascii="Cambria" w:hAnsi="Cambria"/>
          <w:sz w:val="20"/>
          <w:szCs w:val="20"/>
          <w:lang w:val="es-AR"/>
        </w:rPr>
        <w:t xml:space="preserve"> en la zona por lo que los habitantes estaban expuestos a constantes asesinatos, robos y destrucción de </w:t>
      </w:r>
      <w:r w:rsidR="00420E06">
        <w:rPr>
          <w:rFonts w:ascii="Cambria" w:hAnsi="Cambria"/>
          <w:sz w:val="20"/>
          <w:szCs w:val="20"/>
          <w:lang w:val="es-AR"/>
        </w:rPr>
        <w:t>su</w:t>
      </w:r>
      <w:r w:rsidR="00E04E88" w:rsidRPr="00E04E88">
        <w:rPr>
          <w:rFonts w:ascii="Cambria" w:hAnsi="Cambria"/>
          <w:sz w:val="20"/>
          <w:szCs w:val="20"/>
          <w:lang w:val="es-AR"/>
        </w:rPr>
        <w:t xml:space="preserve"> propiedad privada. Por esta razón, el 23 de noviembre de 2001, Miguel Piñeros Rey, Gledma Romero Sandoval y la Sociedad solicitaron protección urgente </w:t>
      </w:r>
      <w:r w:rsidR="00974E98">
        <w:rPr>
          <w:rFonts w:ascii="Cambria" w:hAnsi="Cambria"/>
          <w:sz w:val="20"/>
          <w:szCs w:val="20"/>
          <w:lang w:val="es-AR"/>
        </w:rPr>
        <w:t xml:space="preserve">de sus </w:t>
      </w:r>
      <w:r w:rsidR="00AD52B1">
        <w:rPr>
          <w:rFonts w:ascii="Cambria" w:hAnsi="Cambria"/>
          <w:sz w:val="20"/>
          <w:szCs w:val="20"/>
          <w:lang w:val="es-AR"/>
        </w:rPr>
        <w:t>bienes</w:t>
      </w:r>
      <w:r w:rsidR="00974E98">
        <w:rPr>
          <w:rFonts w:ascii="Cambria" w:hAnsi="Cambria"/>
          <w:sz w:val="20"/>
          <w:szCs w:val="20"/>
          <w:lang w:val="es-AR"/>
        </w:rPr>
        <w:t xml:space="preserve"> </w:t>
      </w:r>
      <w:r w:rsidR="00E04E88" w:rsidRPr="00E04E88">
        <w:rPr>
          <w:rFonts w:ascii="Cambria" w:hAnsi="Cambria"/>
          <w:sz w:val="20"/>
          <w:szCs w:val="20"/>
          <w:lang w:val="es-AR"/>
        </w:rPr>
        <w:t>al Ministerio de Defensa y el 3 de diciembre</w:t>
      </w:r>
      <w:r w:rsidR="008E4694">
        <w:rPr>
          <w:rFonts w:ascii="Cambria" w:hAnsi="Cambria"/>
          <w:sz w:val="20"/>
          <w:szCs w:val="20"/>
          <w:lang w:val="es-AR"/>
        </w:rPr>
        <w:t xml:space="preserve"> de 2001</w:t>
      </w:r>
      <w:r w:rsidR="00E04E88" w:rsidRPr="00E04E88">
        <w:rPr>
          <w:rFonts w:ascii="Cambria" w:hAnsi="Cambria"/>
          <w:sz w:val="20"/>
          <w:szCs w:val="20"/>
          <w:lang w:val="es-AR"/>
        </w:rPr>
        <w:t xml:space="preserve"> a la Policía Nacional. </w:t>
      </w:r>
    </w:p>
    <w:p w:rsidR="00E04E88" w:rsidRPr="00E04E88" w:rsidRDefault="009C7028" w:rsidP="00E04E88">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Manifiesta</w:t>
      </w:r>
      <w:r w:rsidR="00E04E88" w:rsidRPr="00E04E88">
        <w:rPr>
          <w:rFonts w:ascii="Cambria" w:hAnsi="Cambria"/>
          <w:sz w:val="20"/>
          <w:szCs w:val="20"/>
          <w:lang w:val="es-AR"/>
        </w:rPr>
        <w:t xml:space="preserve"> que el 6 y 7 de diciembre de 2001 los tres terrenos fueron invadidos por grupos armados </w:t>
      </w:r>
      <w:r w:rsidR="00407FDD">
        <w:rPr>
          <w:rFonts w:ascii="Cambria" w:hAnsi="Cambria"/>
          <w:sz w:val="20"/>
          <w:szCs w:val="20"/>
          <w:lang w:val="es-AR"/>
        </w:rPr>
        <w:t>ilegales</w:t>
      </w:r>
      <w:r w:rsidR="00E04E88" w:rsidRPr="00E04E88">
        <w:rPr>
          <w:rFonts w:ascii="Cambria" w:hAnsi="Cambria"/>
          <w:sz w:val="20"/>
          <w:szCs w:val="20"/>
          <w:lang w:val="es-AR"/>
        </w:rPr>
        <w:t xml:space="preserve">, los cuales hurtaron parte del ganado vacuno, caballos, aves, cerdos y cabras, destruyeron partes de la propiedad, robaron maquinaria y desalojaron y amenazaron a los obreros y encargados. </w:t>
      </w:r>
      <w:r w:rsidR="005B6240">
        <w:rPr>
          <w:rFonts w:ascii="Cambria" w:hAnsi="Cambria"/>
          <w:sz w:val="20"/>
          <w:szCs w:val="20"/>
          <w:lang w:val="es-AR"/>
        </w:rPr>
        <w:t>E</w:t>
      </w:r>
      <w:r w:rsidR="00E04E88" w:rsidRPr="00E04E88">
        <w:rPr>
          <w:rFonts w:ascii="Cambria" w:hAnsi="Cambria"/>
          <w:sz w:val="20"/>
          <w:szCs w:val="20"/>
          <w:lang w:val="es-AR"/>
        </w:rPr>
        <w:t>l 10 de diciembre de 2001 el peticionario presentó una denuncia ante la Fiscalía de Arauca a nombre de Miguel Piñeros Rey, Gledma Romero Sandoval y de la Sociedad. Indica que el 30 de abril de 2003, la Fiscalía de Tame resolvi</w:t>
      </w:r>
      <w:r>
        <w:rPr>
          <w:rFonts w:ascii="Cambria" w:hAnsi="Cambria"/>
          <w:sz w:val="20"/>
          <w:szCs w:val="20"/>
          <w:lang w:val="es-AR"/>
        </w:rPr>
        <w:t>ó</w:t>
      </w:r>
      <w:r w:rsidR="00E04E88" w:rsidRPr="00E04E88">
        <w:rPr>
          <w:rFonts w:ascii="Cambria" w:hAnsi="Cambria"/>
          <w:sz w:val="20"/>
          <w:szCs w:val="20"/>
          <w:lang w:val="es-AR"/>
        </w:rPr>
        <w:t xml:space="preserve"> abstenerse de iniciar la instrucción debido a que no se pudieron identificar a los autores del delito y por lo tanto</w:t>
      </w:r>
      <w:r w:rsidR="00FB45C3">
        <w:rPr>
          <w:rFonts w:ascii="Cambria" w:hAnsi="Cambria"/>
          <w:sz w:val="20"/>
          <w:szCs w:val="20"/>
          <w:lang w:val="es-AR"/>
        </w:rPr>
        <w:t>,</w:t>
      </w:r>
      <w:r w:rsidR="00E04E88" w:rsidRPr="00E04E88">
        <w:rPr>
          <w:rFonts w:ascii="Cambria" w:hAnsi="Cambria"/>
          <w:sz w:val="20"/>
          <w:szCs w:val="20"/>
          <w:lang w:val="es-AR"/>
        </w:rPr>
        <w:t xml:space="preserve"> la investigación quedó archivada provisionalmente.</w:t>
      </w:r>
      <w:r w:rsidR="00FC0E14">
        <w:rPr>
          <w:rFonts w:ascii="Cambria" w:hAnsi="Cambria"/>
          <w:sz w:val="20"/>
          <w:szCs w:val="20"/>
          <w:lang w:val="es-AR"/>
        </w:rPr>
        <w:t xml:space="preserve"> </w:t>
      </w:r>
    </w:p>
    <w:p w:rsidR="00E04E88" w:rsidRPr="004F3B1D" w:rsidRDefault="005B6240" w:rsidP="00E04E88">
      <w:pPr>
        <w:numPr>
          <w:ilvl w:val="0"/>
          <w:numId w:val="103"/>
        </w:numPr>
        <w:suppressAutoHyphens/>
        <w:spacing w:after="240"/>
        <w:jc w:val="both"/>
        <w:rPr>
          <w:rFonts w:ascii="Cambria" w:hAnsi="Cambria"/>
          <w:sz w:val="20"/>
          <w:szCs w:val="20"/>
          <w:lang w:val="es-AR"/>
        </w:rPr>
      </w:pPr>
      <w:r w:rsidRPr="004F3B1D">
        <w:rPr>
          <w:rFonts w:ascii="Cambria" w:hAnsi="Cambria"/>
          <w:sz w:val="20"/>
          <w:szCs w:val="20"/>
          <w:lang w:val="es-AR"/>
        </w:rPr>
        <w:t>S</w:t>
      </w:r>
      <w:r w:rsidR="00E04E88" w:rsidRPr="004F3B1D">
        <w:rPr>
          <w:rFonts w:ascii="Cambria" w:hAnsi="Cambria"/>
          <w:sz w:val="20"/>
          <w:szCs w:val="20"/>
          <w:lang w:val="es-AR"/>
        </w:rPr>
        <w:t xml:space="preserve">eñala que </w:t>
      </w:r>
      <w:r w:rsidRPr="004F3B1D">
        <w:rPr>
          <w:rFonts w:ascii="Cambria" w:hAnsi="Cambria"/>
          <w:sz w:val="20"/>
          <w:szCs w:val="20"/>
          <w:lang w:val="es-AR"/>
        </w:rPr>
        <w:t xml:space="preserve">paralelamente </w:t>
      </w:r>
      <w:r w:rsidR="00E04E88" w:rsidRPr="004F3B1D">
        <w:rPr>
          <w:rFonts w:ascii="Cambria" w:hAnsi="Cambria"/>
          <w:sz w:val="20"/>
          <w:szCs w:val="20"/>
          <w:lang w:val="es-AR"/>
        </w:rPr>
        <w:t xml:space="preserve">el 6 de septiembre de 2002 </w:t>
      </w:r>
      <w:r w:rsidR="00E23EF5" w:rsidRPr="004F3B1D">
        <w:rPr>
          <w:rFonts w:ascii="Cambria" w:hAnsi="Cambria"/>
          <w:sz w:val="20"/>
          <w:szCs w:val="20"/>
          <w:lang w:val="es-AR"/>
        </w:rPr>
        <w:t xml:space="preserve">presentó una demanda </w:t>
      </w:r>
      <w:r w:rsidR="00093529" w:rsidRPr="004F3B1D">
        <w:rPr>
          <w:rFonts w:ascii="Cambria" w:hAnsi="Cambria"/>
          <w:sz w:val="20"/>
          <w:szCs w:val="20"/>
          <w:lang w:val="es-AR"/>
        </w:rPr>
        <w:t xml:space="preserve">de </w:t>
      </w:r>
      <w:r w:rsidR="00E04E88" w:rsidRPr="004F3B1D">
        <w:rPr>
          <w:rFonts w:ascii="Cambria" w:hAnsi="Cambria"/>
          <w:sz w:val="20"/>
          <w:szCs w:val="20"/>
          <w:lang w:val="es-AR"/>
        </w:rPr>
        <w:t xml:space="preserve">reparación directa contra el Ministerio de Defensa y la Policía Nacional </w:t>
      </w:r>
      <w:r w:rsidR="00E23EF5" w:rsidRPr="004F3B1D">
        <w:rPr>
          <w:rFonts w:ascii="Cambria" w:hAnsi="Cambria"/>
          <w:sz w:val="20"/>
          <w:szCs w:val="20"/>
          <w:lang w:val="es-AR"/>
        </w:rPr>
        <w:t xml:space="preserve">en nombre suyo, de </w:t>
      </w:r>
      <w:r w:rsidR="00FB45C3" w:rsidRPr="004F3B1D">
        <w:rPr>
          <w:rFonts w:ascii="Cambria" w:hAnsi="Cambria"/>
          <w:sz w:val="20"/>
          <w:szCs w:val="20"/>
          <w:lang w:val="es-AR"/>
        </w:rPr>
        <w:t xml:space="preserve">su esposa y </w:t>
      </w:r>
      <w:r w:rsidR="00E23EF5" w:rsidRPr="004F3B1D">
        <w:rPr>
          <w:rFonts w:ascii="Cambria" w:hAnsi="Cambria"/>
          <w:sz w:val="20"/>
          <w:szCs w:val="20"/>
          <w:lang w:val="es-AR"/>
        </w:rPr>
        <w:t>la Sociedad</w:t>
      </w:r>
      <w:r w:rsidR="00E04E88" w:rsidRPr="004F3B1D">
        <w:rPr>
          <w:rFonts w:ascii="Cambria" w:hAnsi="Cambria"/>
          <w:sz w:val="20"/>
          <w:szCs w:val="20"/>
          <w:lang w:val="es-AR"/>
        </w:rPr>
        <w:t>. El 24 de marzo de 2006 el Tribunal Administrativo resolvió denegar</w:t>
      </w:r>
      <w:r w:rsidR="00093529" w:rsidRPr="004F3B1D">
        <w:rPr>
          <w:rFonts w:ascii="Cambria" w:hAnsi="Cambria"/>
          <w:sz w:val="20"/>
          <w:szCs w:val="20"/>
          <w:lang w:val="es-AR"/>
        </w:rPr>
        <w:t>la</w:t>
      </w:r>
      <w:r w:rsidR="00E04E88" w:rsidRPr="004F3B1D">
        <w:rPr>
          <w:rFonts w:ascii="Cambria" w:hAnsi="Cambria"/>
          <w:sz w:val="20"/>
          <w:szCs w:val="20"/>
          <w:lang w:val="es-AR"/>
        </w:rPr>
        <w:t xml:space="preserve"> aseverando que no se le podía imputar al Estado una falla en el servicio debido a que </w:t>
      </w:r>
      <w:r w:rsidR="00BB75E7" w:rsidRPr="004F3B1D">
        <w:rPr>
          <w:rFonts w:ascii="Cambria" w:hAnsi="Cambria"/>
          <w:sz w:val="20"/>
          <w:szCs w:val="20"/>
          <w:lang w:val="es-AR"/>
        </w:rPr>
        <w:t>é</w:t>
      </w:r>
      <w:r w:rsidR="00E04E88" w:rsidRPr="004F3B1D">
        <w:rPr>
          <w:rFonts w:ascii="Cambria" w:hAnsi="Cambria"/>
          <w:sz w:val="20"/>
          <w:szCs w:val="20"/>
          <w:lang w:val="es-AR"/>
        </w:rPr>
        <w:t xml:space="preserve">ste no contaba con los recursos para hacer controles específicos en zonas rurales. El 24 de marzo de 2006 </w:t>
      </w:r>
      <w:r w:rsidR="00E23EF5" w:rsidRPr="004F3B1D">
        <w:rPr>
          <w:rFonts w:ascii="Cambria" w:hAnsi="Cambria"/>
          <w:sz w:val="20"/>
          <w:szCs w:val="20"/>
          <w:lang w:val="es-AR"/>
        </w:rPr>
        <w:t xml:space="preserve">el peticionario </w:t>
      </w:r>
      <w:r w:rsidR="00003D32" w:rsidRPr="004F3B1D">
        <w:rPr>
          <w:rFonts w:ascii="Cambria" w:hAnsi="Cambria"/>
          <w:sz w:val="20"/>
          <w:szCs w:val="20"/>
          <w:lang w:val="es-AR"/>
        </w:rPr>
        <w:t>interpuso un</w:t>
      </w:r>
      <w:r w:rsidR="00E04E88" w:rsidRPr="004F3B1D">
        <w:rPr>
          <w:rFonts w:ascii="Cambria" w:hAnsi="Cambria"/>
          <w:sz w:val="20"/>
          <w:szCs w:val="20"/>
          <w:lang w:val="es-AR"/>
        </w:rPr>
        <w:t xml:space="preserve"> recurso de apelación</w:t>
      </w:r>
      <w:r w:rsidR="00DB1655" w:rsidRPr="004F3B1D">
        <w:rPr>
          <w:rFonts w:ascii="Cambria" w:hAnsi="Cambria"/>
          <w:sz w:val="20"/>
          <w:szCs w:val="20"/>
          <w:lang w:val="es-AR"/>
        </w:rPr>
        <w:t>.</w:t>
      </w:r>
      <w:r w:rsidR="005A33C2" w:rsidRPr="004F3B1D">
        <w:rPr>
          <w:rFonts w:ascii="Cambria" w:hAnsi="Cambria"/>
          <w:color w:val="FF0000"/>
          <w:sz w:val="20"/>
          <w:szCs w:val="20"/>
          <w:lang w:val="es-AR"/>
        </w:rPr>
        <w:t xml:space="preserve"> </w:t>
      </w:r>
      <w:r w:rsidR="00093529" w:rsidRPr="004F3B1D">
        <w:rPr>
          <w:rFonts w:ascii="Cambria" w:hAnsi="Cambria"/>
          <w:sz w:val="20"/>
          <w:szCs w:val="20"/>
          <w:lang w:val="es-AR"/>
        </w:rPr>
        <w:t>E</w:t>
      </w:r>
      <w:r w:rsidR="00E04E88" w:rsidRPr="004F3B1D">
        <w:rPr>
          <w:rFonts w:ascii="Cambria" w:hAnsi="Cambria"/>
          <w:sz w:val="20"/>
          <w:szCs w:val="20"/>
          <w:lang w:val="es-AR"/>
        </w:rPr>
        <w:t xml:space="preserve">l 10 de septiembre de 2014 el Consejo de Estado concedió la reparación declarando la responsabilidad </w:t>
      </w:r>
      <w:r w:rsidRPr="004F3B1D">
        <w:rPr>
          <w:rFonts w:ascii="Cambria" w:hAnsi="Cambria"/>
          <w:sz w:val="20"/>
          <w:szCs w:val="20"/>
          <w:lang w:val="es-AR"/>
        </w:rPr>
        <w:t>e</w:t>
      </w:r>
      <w:r w:rsidR="00E04E88" w:rsidRPr="004F3B1D">
        <w:rPr>
          <w:rFonts w:ascii="Cambria" w:hAnsi="Cambria"/>
          <w:sz w:val="20"/>
          <w:szCs w:val="20"/>
          <w:lang w:val="es-AR"/>
        </w:rPr>
        <w:t>statal por el hurto y destrucción de bienes</w:t>
      </w:r>
      <w:r w:rsidR="00B77295" w:rsidRPr="004F3B1D">
        <w:rPr>
          <w:rFonts w:ascii="Cambria" w:hAnsi="Cambria"/>
          <w:sz w:val="20"/>
          <w:szCs w:val="20"/>
          <w:lang w:val="es-AR"/>
        </w:rPr>
        <w:t>,</w:t>
      </w:r>
      <w:r w:rsidR="00E04E88" w:rsidRPr="004F3B1D">
        <w:rPr>
          <w:rFonts w:ascii="Cambria" w:hAnsi="Cambria"/>
          <w:sz w:val="20"/>
          <w:szCs w:val="20"/>
          <w:lang w:val="es-AR"/>
        </w:rPr>
        <w:t xml:space="preserve"> y por la pasividad y abandono del Ministerio de Defensa y de la Policía.</w:t>
      </w:r>
      <w:r>
        <w:rPr>
          <w:rStyle w:val="FootnoteReference"/>
          <w:rFonts w:ascii="Cambria" w:hAnsi="Cambria"/>
          <w:sz w:val="20"/>
          <w:szCs w:val="20"/>
          <w:lang w:val="es-AR"/>
        </w:rPr>
        <w:footnoteReference w:id="7"/>
      </w:r>
    </w:p>
    <w:p w:rsidR="00E04E88" w:rsidRPr="00E04E88" w:rsidRDefault="00E04E88" w:rsidP="00E04E88">
      <w:pPr>
        <w:numPr>
          <w:ilvl w:val="0"/>
          <w:numId w:val="103"/>
        </w:numPr>
        <w:suppressAutoHyphens/>
        <w:spacing w:after="240"/>
        <w:jc w:val="both"/>
        <w:rPr>
          <w:rFonts w:ascii="Cambria" w:hAnsi="Cambria"/>
          <w:sz w:val="20"/>
          <w:szCs w:val="20"/>
          <w:lang w:val="es-AR"/>
        </w:rPr>
      </w:pPr>
      <w:r w:rsidRPr="00E04E88">
        <w:rPr>
          <w:rFonts w:ascii="Cambria" w:hAnsi="Cambria"/>
          <w:sz w:val="20"/>
          <w:szCs w:val="20"/>
          <w:lang w:val="es-AR"/>
        </w:rPr>
        <w:t>El peticionario manifiesta que las presuntas víctimas son Miguel Piñeros Rey, Gledma Romero Sandoval, Mónica Piñeros Sandoval y Andrés Piñeros Sandoval</w:t>
      </w:r>
      <w:r w:rsidR="009B120A">
        <w:rPr>
          <w:rFonts w:ascii="Cambria" w:hAnsi="Cambria"/>
          <w:sz w:val="20"/>
          <w:szCs w:val="20"/>
          <w:lang w:val="es-AR"/>
        </w:rPr>
        <w:t xml:space="preserve"> y no </w:t>
      </w:r>
      <w:r w:rsidRPr="00E04E88">
        <w:rPr>
          <w:rFonts w:ascii="Cambria" w:hAnsi="Cambria"/>
          <w:sz w:val="20"/>
          <w:szCs w:val="20"/>
          <w:lang w:val="es-AR"/>
        </w:rPr>
        <w:t xml:space="preserve">la Sociedad. Afirma que el Estado conocía la situación de peligro que estaba atravesando la zona y pese a su conocimiento no tomó las medidas pertinentes para garantizar la protección de </w:t>
      </w:r>
      <w:r w:rsidR="004F3B1D">
        <w:rPr>
          <w:rFonts w:ascii="Cambria" w:hAnsi="Cambria"/>
          <w:sz w:val="20"/>
          <w:szCs w:val="20"/>
          <w:lang w:val="es-AR"/>
        </w:rPr>
        <w:t>sus bienes</w:t>
      </w:r>
      <w:r w:rsidRPr="00E04E88">
        <w:rPr>
          <w:rFonts w:ascii="Cambria" w:hAnsi="Cambria"/>
          <w:sz w:val="20"/>
          <w:szCs w:val="20"/>
          <w:lang w:val="es-AR"/>
        </w:rPr>
        <w:t xml:space="preserve">. Asegura que el Estado contaba con los medios militares para cumplir de forma oportuna con la solicitud de protección urgente que se le </w:t>
      </w:r>
      <w:r w:rsidR="004F3B1D">
        <w:rPr>
          <w:rFonts w:ascii="Cambria" w:hAnsi="Cambria"/>
          <w:sz w:val="20"/>
          <w:szCs w:val="20"/>
          <w:lang w:val="es-AR"/>
        </w:rPr>
        <w:t>requiri</w:t>
      </w:r>
      <w:r w:rsidRPr="00E04E88">
        <w:rPr>
          <w:rFonts w:ascii="Cambria" w:hAnsi="Cambria"/>
          <w:sz w:val="20"/>
          <w:szCs w:val="20"/>
          <w:lang w:val="es-AR"/>
        </w:rPr>
        <w:t xml:space="preserve">ó. </w:t>
      </w:r>
    </w:p>
    <w:p w:rsidR="00B516BB" w:rsidRPr="00E04E88" w:rsidRDefault="005B6240" w:rsidP="00B516BB">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peticionario</w:t>
      </w:r>
      <w:r w:rsidR="004507AF">
        <w:rPr>
          <w:rFonts w:ascii="Cambria" w:hAnsi="Cambria"/>
          <w:sz w:val="20"/>
          <w:szCs w:val="20"/>
          <w:lang w:val="es-AR"/>
        </w:rPr>
        <w:t xml:space="preserve"> señala</w:t>
      </w:r>
      <w:r w:rsidR="00E04E88" w:rsidRPr="00E04E88">
        <w:rPr>
          <w:rFonts w:ascii="Cambria" w:hAnsi="Cambria"/>
          <w:sz w:val="20"/>
          <w:szCs w:val="20"/>
          <w:lang w:val="es-AR"/>
        </w:rPr>
        <w:t xml:space="preserve"> que se les ha generado un daño moral debido a los perjuicios ocasionados por la incursión de grupos armados al margen de la le</w:t>
      </w:r>
      <w:r w:rsidR="004507AF">
        <w:rPr>
          <w:rFonts w:ascii="Cambria" w:hAnsi="Cambria"/>
          <w:sz w:val="20"/>
          <w:szCs w:val="20"/>
          <w:lang w:val="es-AR"/>
        </w:rPr>
        <w:t xml:space="preserve">y en sus territorios.  </w:t>
      </w:r>
      <w:r w:rsidR="005545B4">
        <w:rPr>
          <w:rFonts w:ascii="Cambria" w:hAnsi="Cambria"/>
          <w:sz w:val="20"/>
          <w:szCs w:val="20"/>
          <w:lang w:val="es-AR"/>
        </w:rPr>
        <w:t>I</w:t>
      </w:r>
      <w:r w:rsidR="00E04E88" w:rsidRPr="00E04E88">
        <w:rPr>
          <w:rFonts w:ascii="Cambria" w:hAnsi="Cambria"/>
          <w:sz w:val="20"/>
          <w:szCs w:val="20"/>
          <w:lang w:val="es-AR"/>
        </w:rPr>
        <w:t>ndica que se  configur</w:t>
      </w:r>
      <w:r w:rsidR="0022599B">
        <w:rPr>
          <w:rFonts w:ascii="Cambria" w:hAnsi="Cambria"/>
          <w:sz w:val="20"/>
          <w:szCs w:val="20"/>
          <w:lang w:val="es-AR"/>
        </w:rPr>
        <w:t>aron vulneraciones</w:t>
      </w:r>
      <w:r w:rsidR="00E04E88" w:rsidRPr="00E04E88">
        <w:rPr>
          <w:rFonts w:ascii="Cambria" w:hAnsi="Cambria"/>
          <w:sz w:val="20"/>
          <w:szCs w:val="20"/>
          <w:lang w:val="es-AR"/>
        </w:rPr>
        <w:t xml:space="preserve"> a las garantías judiciales, el derecho a justicia y el derecho a recibir una indemnización. </w:t>
      </w:r>
      <w:r w:rsidR="00B516BB">
        <w:rPr>
          <w:rFonts w:ascii="Cambria" w:hAnsi="Cambria"/>
          <w:sz w:val="20"/>
          <w:szCs w:val="20"/>
          <w:lang w:val="es-AR"/>
        </w:rPr>
        <w:t xml:space="preserve">Asimismo, </w:t>
      </w:r>
      <w:r w:rsidR="00B516BB" w:rsidRPr="00E04E88">
        <w:rPr>
          <w:rFonts w:ascii="Cambria" w:hAnsi="Cambria"/>
          <w:sz w:val="20"/>
          <w:szCs w:val="20"/>
          <w:lang w:val="es-AR"/>
        </w:rPr>
        <w:t>asevera que la sentencia del 10 de septiembre de 2014 no puede considerarse como superación o remedio de los daños causados</w:t>
      </w:r>
      <w:r w:rsidR="00B516BB">
        <w:rPr>
          <w:rFonts w:ascii="Cambria" w:hAnsi="Cambria"/>
          <w:sz w:val="20"/>
          <w:szCs w:val="20"/>
          <w:lang w:val="es-AR"/>
        </w:rPr>
        <w:t>. Finalmente, sostiene que los hechos se mantienen en la impunidad</w:t>
      </w:r>
      <w:r w:rsidR="00B516BB" w:rsidRPr="00E04E88">
        <w:rPr>
          <w:rFonts w:ascii="Cambria" w:hAnsi="Cambria"/>
          <w:sz w:val="20"/>
          <w:szCs w:val="20"/>
          <w:lang w:val="es-AR"/>
        </w:rPr>
        <w:t xml:space="preserve"> ya que</w:t>
      </w:r>
      <w:r w:rsidR="00BD7A4F">
        <w:rPr>
          <w:rFonts w:ascii="Cambria" w:hAnsi="Cambria"/>
          <w:sz w:val="20"/>
          <w:szCs w:val="20"/>
          <w:lang w:val="es-AR"/>
        </w:rPr>
        <w:t xml:space="preserve"> las investigaciones</w:t>
      </w:r>
      <w:r w:rsidR="00B516BB" w:rsidRPr="00E04E88">
        <w:rPr>
          <w:rFonts w:ascii="Cambria" w:hAnsi="Cambria"/>
          <w:sz w:val="20"/>
          <w:szCs w:val="20"/>
          <w:lang w:val="es-AR"/>
        </w:rPr>
        <w:t xml:space="preserve"> no</w:t>
      </w:r>
      <w:r w:rsidR="00BD7A4F">
        <w:rPr>
          <w:rFonts w:ascii="Cambria" w:hAnsi="Cambria"/>
          <w:sz w:val="20"/>
          <w:szCs w:val="20"/>
          <w:lang w:val="es-AR"/>
        </w:rPr>
        <w:t xml:space="preserve"> permitieron identificar y sancionar a los autores del delito</w:t>
      </w:r>
      <w:r w:rsidR="00B516BB" w:rsidRPr="00E04E88">
        <w:rPr>
          <w:rFonts w:ascii="Cambria" w:hAnsi="Cambria"/>
          <w:sz w:val="20"/>
          <w:szCs w:val="20"/>
          <w:lang w:val="es-AR"/>
        </w:rPr>
        <w:t>.</w:t>
      </w:r>
    </w:p>
    <w:p w:rsidR="00E04E88" w:rsidRPr="00886E20" w:rsidRDefault="004F3B1D" w:rsidP="007B0FB8">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w:t>
      </w:r>
      <w:r w:rsidR="009B6212" w:rsidRPr="00886E20">
        <w:rPr>
          <w:rFonts w:ascii="Cambria" w:hAnsi="Cambria"/>
          <w:sz w:val="20"/>
          <w:szCs w:val="20"/>
          <w:lang w:val="es-AR"/>
        </w:rPr>
        <w:t>l Estado a</w:t>
      </w:r>
      <w:r w:rsidR="00E04E88" w:rsidRPr="00886E20">
        <w:rPr>
          <w:rFonts w:ascii="Cambria" w:hAnsi="Cambria"/>
          <w:sz w:val="20"/>
          <w:szCs w:val="20"/>
          <w:lang w:val="es-AR"/>
        </w:rPr>
        <w:t xml:space="preserve">firma que la Comisión </w:t>
      </w:r>
      <w:r w:rsidR="009B6212" w:rsidRPr="00886E20">
        <w:rPr>
          <w:rFonts w:ascii="Cambria" w:hAnsi="Cambria"/>
          <w:sz w:val="20"/>
          <w:szCs w:val="20"/>
          <w:lang w:val="es-AR"/>
        </w:rPr>
        <w:t>carece de competencia</w:t>
      </w:r>
      <w:r w:rsidR="00E04E88" w:rsidRPr="00886E20">
        <w:rPr>
          <w:rFonts w:ascii="Cambria" w:hAnsi="Cambria"/>
          <w:sz w:val="20"/>
          <w:szCs w:val="20"/>
          <w:lang w:val="es-AR"/>
        </w:rPr>
        <w:t xml:space="preserve"> </w:t>
      </w:r>
      <w:r w:rsidR="00E04E88" w:rsidRPr="00886E20">
        <w:rPr>
          <w:rFonts w:ascii="Cambria" w:hAnsi="Cambria"/>
          <w:i/>
          <w:sz w:val="20"/>
          <w:szCs w:val="20"/>
          <w:lang w:val="es-AR"/>
        </w:rPr>
        <w:t>ratione personae</w:t>
      </w:r>
      <w:r w:rsidR="00E04E88" w:rsidRPr="00886E20">
        <w:rPr>
          <w:rFonts w:ascii="Cambria" w:hAnsi="Cambria"/>
          <w:sz w:val="20"/>
          <w:szCs w:val="20"/>
          <w:lang w:val="es-AR"/>
        </w:rPr>
        <w:t xml:space="preserve"> debido a que la</w:t>
      </w:r>
      <w:r w:rsidR="009B6212" w:rsidRPr="00886E20">
        <w:rPr>
          <w:rFonts w:ascii="Cambria" w:hAnsi="Cambria"/>
          <w:sz w:val="20"/>
          <w:szCs w:val="20"/>
          <w:lang w:val="es-AR"/>
        </w:rPr>
        <w:t xml:space="preserve"> Sociedad </w:t>
      </w:r>
      <w:r w:rsidR="00347125">
        <w:rPr>
          <w:rFonts w:ascii="Cambria" w:hAnsi="Cambria"/>
          <w:sz w:val="20"/>
          <w:szCs w:val="20"/>
          <w:lang w:val="es-AR"/>
        </w:rPr>
        <w:t>es</w:t>
      </w:r>
      <w:r w:rsidR="00E04E88" w:rsidRPr="00886E20">
        <w:rPr>
          <w:rFonts w:ascii="Cambria" w:hAnsi="Cambria"/>
          <w:sz w:val="20"/>
          <w:szCs w:val="20"/>
          <w:lang w:val="es-AR"/>
        </w:rPr>
        <w:t xml:space="preserve"> una persona jurídica</w:t>
      </w:r>
      <w:r w:rsidR="007B0FB8" w:rsidRPr="00886E20">
        <w:rPr>
          <w:rFonts w:ascii="Cambria" w:hAnsi="Cambria"/>
          <w:sz w:val="20"/>
          <w:szCs w:val="20"/>
          <w:lang w:val="es-AR"/>
        </w:rPr>
        <w:t>,</w:t>
      </w:r>
      <w:r w:rsidR="009B6212" w:rsidRPr="00886E20">
        <w:rPr>
          <w:rFonts w:ascii="Cambria" w:hAnsi="Cambria"/>
          <w:sz w:val="20"/>
          <w:szCs w:val="20"/>
          <w:lang w:val="es-AR"/>
        </w:rPr>
        <w:t xml:space="preserve"> y como tal no puede ser considerada </w:t>
      </w:r>
      <w:r w:rsidR="00347125">
        <w:rPr>
          <w:rFonts w:ascii="Cambria" w:hAnsi="Cambria"/>
          <w:sz w:val="20"/>
          <w:szCs w:val="20"/>
          <w:lang w:val="es-AR"/>
        </w:rPr>
        <w:t>como</w:t>
      </w:r>
      <w:r w:rsidR="009B6212" w:rsidRPr="00886E20">
        <w:rPr>
          <w:rFonts w:ascii="Cambria" w:hAnsi="Cambria"/>
          <w:sz w:val="20"/>
          <w:szCs w:val="20"/>
          <w:lang w:val="es-AR"/>
        </w:rPr>
        <w:t xml:space="preserve"> presunta víctima</w:t>
      </w:r>
      <w:r w:rsidR="00E04E88" w:rsidRPr="00886E20">
        <w:rPr>
          <w:rFonts w:ascii="Cambria" w:hAnsi="Cambria"/>
          <w:sz w:val="20"/>
          <w:szCs w:val="20"/>
          <w:lang w:val="es-AR"/>
        </w:rPr>
        <w:t xml:space="preserve">. </w:t>
      </w:r>
      <w:r w:rsidR="00AF7AA6" w:rsidRPr="00886E20">
        <w:rPr>
          <w:rFonts w:ascii="Cambria" w:hAnsi="Cambria"/>
          <w:sz w:val="20"/>
          <w:szCs w:val="20"/>
          <w:lang w:val="es-AR"/>
        </w:rPr>
        <w:t>A</w:t>
      </w:r>
      <w:r w:rsidR="00E04E88" w:rsidRPr="00886E20">
        <w:rPr>
          <w:rFonts w:ascii="Cambria" w:hAnsi="Cambria"/>
          <w:sz w:val="20"/>
          <w:szCs w:val="20"/>
          <w:lang w:val="es-AR"/>
        </w:rPr>
        <w:t xml:space="preserve">severa que los hechos expuestos no caracterizan una vulneración a derechos humanos debido </w:t>
      </w:r>
      <w:r w:rsidR="00A64E47" w:rsidRPr="00886E20">
        <w:rPr>
          <w:rFonts w:ascii="Cambria" w:hAnsi="Cambria"/>
          <w:sz w:val="20"/>
          <w:szCs w:val="20"/>
          <w:lang w:val="es-AR"/>
        </w:rPr>
        <w:t xml:space="preserve">a que </w:t>
      </w:r>
      <w:r w:rsidR="00E04E88" w:rsidRPr="00886E20">
        <w:rPr>
          <w:rFonts w:ascii="Cambria" w:hAnsi="Cambria"/>
          <w:sz w:val="20"/>
          <w:szCs w:val="20"/>
          <w:lang w:val="es-AR"/>
        </w:rPr>
        <w:t xml:space="preserve">no </w:t>
      </w:r>
      <w:r w:rsidR="00886E20">
        <w:rPr>
          <w:rFonts w:ascii="Cambria" w:hAnsi="Cambria"/>
          <w:sz w:val="20"/>
          <w:szCs w:val="20"/>
          <w:lang w:val="es-AR"/>
        </w:rPr>
        <w:t>son</w:t>
      </w:r>
      <w:r w:rsidR="00E04E88" w:rsidRPr="00886E20">
        <w:rPr>
          <w:rFonts w:ascii="Cambria" w:hAnsi="Cambria"/>
          <w:sz w:val="20"/>
          <w:szCs w:val="20"/>
          <w:lang w:val="es-AR"/>
        </w:rPr>
        <w:t xml:space="preserve"> atribuibles al Estado</w:t>
      </w:r>
      <w:r w:rsidR="000010D4" w:rsidRPr="00886E20">
        <w:rPr>
          <w:rFonts w:ascii="Cambria" w:hAnsi="Cambria"/>
          <w:sz w:val="20"/>
          <w:szCs w:val="20"/>
          <w:lang w:val="es-AR"/>
        </w:rPr>
        <w:t xml:space="preserve">. </w:t>
      </w:r>
      <w:r w:rsidR="00886E20">
        <w:rPr>
          <w:rFonts w:ascii="Cambria" w:hAnsi="Cambria"/>
          <w:sz w:val="20"/>
          <w:szCs w:val="20"/>
          <w:lang w:val="es-AR"/>
        </w:rPr>
        <w:t>A</w:t>
      </w:r>
      <w:r w:rsidR="000010D4" w:rsidRPr="00886E20">
        <w:rPr>
          <w:rFonts w:ascii="Cambria" w:hAnsi="Cambria"/>
          <w:sz w:val="20"/>
          <w:szCs w:val="20"/>
          <w:lang w:val="es-AR"/>
        </w:rPr>
        <w:t xml:space="preserve">demás </w:t>
      </w:r>
      <w:r w:rsidR="00E04E88" w:rsidRPr="00886E20">
        <w:rPr>
          <w:rFonts w:ascii="Cambria" w:hAnsi="Cambria"/>
          <w:sz w:val="20"/>
          <w:szCs w:val="20"/>
          <w:lang w:val="es-AR"/>
        </w:rPr>
        <w:t>expone que en los hechos no se evidencia que el Estado no haya actuado con debida diligencia puesto que</w:t>
      </w:r>
      <w:r w:rsidR="000010D4" w:rsidRPr="00886E20">
        <w:rPr>
          <w:rFonts w:ascii="Cambria" w:hAnsi="Cambria"/>
          <w:sz w:val="20"/>
          <w:szCs w:val="20"/>
          <w:lang w:val="es-AR"/>
        </w:rPr>
        <w:t xml:space="preserve"> realizó constantes operaciones de control en la región del Municipio de Tame. </w:t>
      </w:r>
    </w:p>
    <w:p w:rsidR="00E04E88" w:rsidRPr="00AF7AA6" w:rsidRDefault="005563D6" w:rsidP="00AF7AA6">
      <w:pPr>
        <w:numPr>
          <w:ilvl w:val="0"/>
          <w:numId w:val="103"/>
        </w:numPr>
        <w:suppressAutoHyphens/>
        <w:spacing w:after="240"/>
        <w:jc w:val="both"/>
        <w:rPr>
          <w:rFonts w:ascii="Cambria" w:hAnsi="Cambria"/>
          <w:sz w:val="20"/>
          <w:szCs w:val="20"/>
          <w:lang w:val="es-AR"/>
        </w:rPr>
      </w:pPr>
      <w:r w:rsidRPr="005563D6">
        <w:rPr>
          <w:rFonts w:ascii="Cambria" w:hAnsi="Cambria"/>
          <w:sz w:val="20"/>
          <w:szCs w:val="20"/>
          <w:lang w:val="es-AR"/>
        </w:rPr>
        <w:t>No ob</w:t>
      </w:r>
      <w:r w:rsidR="002C44F8">
        <w:rPr>
          <w:rFonts w:ascii="Cambria" w:hAnsi="Cambria"/>
          <w:sz w:val="20"/>
          <w:szCs w:val="20"/>
          <w:lang w:val="es-AR"/>
        </w:rPr>
        <w:t>s</w:t>
      </w:r>
      <w:r w:rsidRPr="005563D6">
        <w:rPr>
          <w:rFonts w:ascii="Cambria" w:hAnsi="Cambria"/>
          <w:sz w:val="20"/>
          <w:szCs w:val="20"/>
          <w:lang w:val="es-AR"/>
        </w:rPr>
        <w:t>tante lo anterior, a</w:t>
      </w:r>
      <w:r w:rsidR="000010D4" w:rsidRPr="005563D6">
        <w:rPr>
          <w:rFonts w:ascii="Cambria" w:hAnsi="Cambria"/>
          <w:sz w:val="20"/>
          <w:szCs w:val="20"/>
          <w:lang w:val="es-AR"/>
        </w:rPr>
        <w:t>firma que</w:t>
      </w:r>
      <w:r w:rsidRPr="005563D6">
        <w:rPr>
          <w:rFonts w:ascii="Cambria" w:hAnsi="Cambria"/>
          <w:sz w:val="20"/>
          <w:szCs w:val="20"/>
          <w:lang w:val="es-AR"/>
        </w:rPr>
        <w:t xml:space="preserve"> el Consejo de Estado, en una extensa y bien fundamentada sentencia emitida el 10 de septiembre de 2014, reconoció el daño generado a Miguel Piñeros Rey, Gledma Romero Sandoval y a la Sociedad, por los hechos ocurridos el 6 y 7 de noviembre de 2001; y en consecuencia</w:t>
      </w:r>
      <w:r w:rsidR="00347125">
        <w:rPr>
          <w:rFonts w:ascii="Cambria" w:hAnsi="Cambria"/>
          <w:sz w:val="20"/>
          <w:szCs w:val="20"/>
          <w:lang w:val="es-AR"/>
        </w:rPr>
        <w:t>,</w:t>
      </w:r>
      <w:r w:rsidRPr="005563D6">
        <w:rPr>
          <w:rFonts w:ascii="Cambria" w:hAnsi="Cambria"/>
          <w:sz w:val="20"/>
          <w:szCs w:val="20"/>
          <w:lang w:val="es-AR"/>
        </w:rPr>
        <w:t xml:space="preserve"> condenó</w:t>
      </w:r>
      <w:r w:rsidR="000010D4" w:rsidRPr="005563D6">
        <w:rPr>
          <w:rFonts w:ascii="Cambria" w:hAnsi="Cambria"/>
          <w:sz w:val="20"/>
          <w:szCs w:val="20"/>
          <w:lang w:val="es-AR"/>
        </w:rPr>
        <w:t xml:space="preserve"> al Estado </w:t>
      </w:r>
      <w:r>
        <w:rPr>
          <w:rFonts w:ascii="Cambria" w:hAnsi="Cambria"/>
          <w:sz w:val="20"/>
          <w:szCs w:val="20"/>
          <w:lang w:val="es-AR"/>
        </w:rPr>
        <w:t xml:space="preserve">al pago de una indemnización. Refiere que dicha decisión judicial </w:t>
      </w:r>
      <w:r w:rsidR="000010D4" w:rsidRPr="005563D6">
        <w:rPr>
          <w:rFonts w:ascii="Cambria" w:hAnsi="Cambria"/>
          <w:sz w:val="20"/>
          <w:szCs w:val="20"/>
          <w:lang w:val="es-AR"/>
        </w:rPr>
        <w:t xml:space="preserve">es la prueba de que los </w:t>
      </w:r>
      <w:r>
        <w:rPr>
          <w:rFonts w:ascii="Cambria" w:hAnsi="Cambria"/>
          <w:sz w:val="20"/>
          <w:szCs w:val="20"/>
          <w:lang w:val="es-AR"/>
        </w:rPr>
        <w:t>reclamos del peticionario</w:t>
      </w:r>
      <w:r w:rsidR="000010D4" w:rsidRPr="005563D6">
        <w:rPr>
          <w:rFonts w:ascii="Cambria" w:hAnsi="Cambria"/>
          <w:sz w:val="20"/>
          <w:szCs w:val="20"/>
          <w:lang w:val="es-AR"/>
        </w:rPr>
        <w:t xml:space="preserve"> han sido conocidos y </w:t>
      </w:r>
      <w:r>
        <w:rPr>
          <w:rFonts w:ascii="Cambria" w:hAnsi="Cambria"/>
          <w:sz w:val="20"/>
          <w:szCs w:val="20"/>
          <w:lang w:val="es-AR"/>
        </w:rPr>
        <w:t>atendidos</w:t>
      </w:r>
      <w:r w:rsidR="004B4546">
        <w:rPr>
          <w:rFonts w:ascii="Cambria" w:hAnsi="Cambria"/>
          <w:sz w:val="20"/>
          <w:szCs w:val="20"/>
          <w:lang w:val="es-AR"/>
        </w:rPr>
        <w:t xml:space="preserve"> a nivel interno. Por ello, señala </w:t>
      </w:r>
      <w:r w:rsidR="009B7E79">
        <w:rPr>
          <w:rFonts w:ascii="Cambria" w:hAnsi="Cambria"/>
          <w:sz w:val="20"/>
          <w:szCs w:val="20"/>
          <w:lang w:val="es-AR"/>
        </w:rPr>
        <w:lastRenderedPageBreak/>
        <w:t xml:space="preserve">que </w:t>
      </w:r>
      <w:r w:rsidR="000010D4" w:rsidRPr="002C44F8">
        <w:rPr>
          <w:rFonts w:ascii="Cambria" w:hAnsi="Cambria"/>
          <w:sz w:val="20"/>
          <w:szCs w:val="20"/>
          <w:lang w:val="es-AR"/>
        </w:rPr>
        <w:t xml:space="preserve">la continuidad del trámite </w:t>
      </w:r>
      <w:r w:rsidR="002C44F8">
        <w:rPr>
          <w:rFonts w:ascii="Cambria" w:hAnsi="Cambria"/>
          <w:sz w:val="20"/>
          <w:szCs w:val="20"/>
          <w:lang w:val="es-AR"/>
        </w:rPr>
        <w:t xml:space="preserve">en la Comisión </w:t>
      </w:r>
      <w:r w:rsidR="000010D4" w:rsidRPr="002C44F8">
        <w:rPr>
          <w:rFonts w:ascii="Cambria" w:hAnsi="Cambria"/>
          <w:sz w:val="20"/>
          <w:szCs w:val="20"/>
          <w:lang w:val="es-AR"/>
        </w:rPr>
        <w:t xml:space="preserve">representaría </w:t>
      </w:r>
      <w:r w:rsidR="002C44F8">
        <w:rPr>
          <w:rFonts w:ascii="Cambria" w:hAnsi="Cambria"/>
          <w:sz w:val="20"/>
          <w:szCs w:val="20"/>
          <w:lang w:val="es-AR"/>
        </w:rPr>
        <w:t xml:space="preserve">que ésta realice la </w:t>
      </w:r>
      <w:r w:rsidR="000010D4" w:rsidRPr="002C44F8">
        <w:rPr>
          <w:rFonts w:ascii="Cambria" w:hAnsi="Cambria"/>
          <w:sz w:val="20"/>
          <w:szCs w:val="20"/>
          <w:lang w:val="es-AR"/>
        </w:rPr>
        <w:t xml:space="preserve"> revisión de una decisión interna, dictada conforme a der</w:t>
      </w:r>
      <w:r w:rsidR="002C44F8">
        <w:rPr>
          <w:rFonts w:ascii="Cambria" w:hAnsi="Cambria"/>
          <w:sz w:val="20"/>
          <w:szCs w:val="20"/>
          <w:lang w:val="es-AR"/>
        </w:rPr>
        <w:t xml:space="preserve">echo y por autoridad competente, </w:t>
      </w:r>
      <w:r w:rsidR="000010D4" w:rsidRPr="002C44F8">
        <w:rPr>
          <w:rFonts w:ascii="Cambria" w:hAnsi="Cambria"/>
          <w:sz w:val="20"/>
          <w:szCs w:val="20"/>
          <w:lang w:val="es-AR"/>
        </w:rPr>
        <w:t xml:space="preserve">y </w:t>
      </w:r>
      <w:r w:rsidR="002C44F8">
        <w:rPr>
          <w:rFonts w:ascii="Cambria" w:hAnsi="Cambria"/>
          <w:sz w:val="20"/>
          <w:szCs w:val="20"/>
          <w:lang w:val="es-AR"/>
        </w:rPr>
        <w:t>actúe como</w:t>
      </w:r>
      <w:r w:rsidR="000010D4" w:rsidRPr="002C44F8">
        <w:rPr>
          <w:rFonts w:ascii="Cambria" w:hAnsi="Cambria"/>
          <w:sz w:val="20"/>
          <w:szCs w:val="20"/>
          <w:lang w:val="es-AR"/>
        </w:rPr>
        <w:t xml:space="preserve"> una cuarta instancia. </w:t>
      </w:r>
    </w:p>
    <w:p w:rsidR="00020DB8" w:rsidRDefault="003239B8" w:rsidP="00020DB8">
      <w:pPr>
        <w:spacing w:before="240" w:after="24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317A7E">
        <w:rPr>
          <w:rFonts w:asciiTheme="majorHAnsi" w:eastAsia="Cambria" w:hAnsiTheme="majorHAnsi" w:cs="Cambria"/>
          <w:b/>
          <w:bCs/>
          <w:color w:val="000000"/>
          <w:sz w:val="20"/>
          <w:szCs w:val="20"/>
          <w:u w:color="000000"/>
          <w:lang w:val="es-ES" w:eastAsia="es-ES"/>
        </w:rPr>
        <w:t xml:space="preserve">ANÁLISIS DE </w:t>
      </w:r>
      <w:r w:rsidR="00E04E88">
        <w:rPr>
          <w:rFonts w:asciiTheme="majorHAnsi" w:eastAsia="Cambria" w:hAnsiTheme="majorHAnsi" w:cs="Cambria"/>
          <w:b/>
          <w:bCs/>
          <w:color w:val="000000"/>
          <w:sz w:val="20"/>
          <w:szCs w:val="20"/>
          <w:u w:color="000000"/>
          <w:lang w:val="es-ES" w:eastAsia="es-ES"/>
        </w:rPr>
        <w:t>COMPETENCIA</w:t>
      </w:r>
    </w:p>
    <w:p w:rsidR="00020DB8" w:rsidRPr="00347125" w:rsidRDefault="00E04E88" w:rsidP="00020DB8">
      <w:pPr>
        <w:pStyle w:val="ListParagraph"/>
        <w:numPr>
          <w:ilvl w:val="0"/>
          <w:numId w:val="103"/>
        </w:numPr>
        <w:spacing w:before="240" w:after="240"/>
        <w:jc w:val="both"/>
        <w:rPr>
          <w:sz w:val="20"/>
          <w:szCs w:val="20"/>
          <w:lang w:val="es-ES"/>
        </w:rPr>
      </w:pPr>
      <w:r w:rsidRPr="00347125">
        <w:rPr>
          <w:sz w:val="20"/>
          <w:szCs w:val="20"/>
          <w:lang w:val="es-ES"/>
        </w:rPr>
        <w:t xml:space="preserve">En relación con la competencia </w:t>
      </w:r>
      <w:r w:rsidRPr="00347125">
        <w:rPr>
          <w:i/>
          <w:sz w:val="20"/>
          <w:szCs w:val="20"/>
          <w:lang w:val="es-ES"/>
        </w:rPr>
        <w:t>ratione personae</w:t>
      </w:r>
      <w:r w:rsidRPr="00347125">
        <w:rPr>
          <w:sz w:val="20"/>
          <w:szCs w:val="20"/>
          <w:lang w:val="es-ES"/>
        </w:rPr>
        <w:t>, la Comisión observa que los recursos internos fueron interpuestos y agotados por la Sociedad en Comandita Simple Piñeros Inversiones y Proyectos &amp; CIA en s</w:t>
      </w:r>
      <w:r w:rsidR="00FE33FD" w:rsidRPr="00347125">
        <w:rPr>
          <w:sz w:val="20"/>
          <w:szCs w:val="20"/>
          <w:lang w:val="es-ES"/>
        </w:rPr>
        <w:t xml:space="preserve">u carácter de persona jurídica </w:t>
      </w:r>
      <w:r w:rsidRPr="00347125">
        <w:rPr>
          <w:sz w:val="20"/>
          <w:szCs w:val="20"/>
          <w:lang w:val="es-ES"/>
        </w:rPr>
        <w:t xml:space="preserve">y por Miguel Piñeros Rey y Gledma Romero Sandoval como personas naturales. Por lo tanto, </w:t>
      </w:r>
      <w:r w:rsidR="00347125" w:rsidRPr="00347125">
        <w:rPr>
          <w:sz w:val="20"/>
          <w:szCs w:val="20"/>
          <w:lang w:val="es-ES"/>
        </w:rPr>
        <w:t xml:space="preserve">considera </w:t>
      </w:r>
      <w:r w:rsidR="00353E54" w:rsidRPr="00347125">
        <w:rPr>
          <w:sz w:val="20"/>
          <w:szCs w:val="20"/>
          <w:lang w:val="es-ES"/>
        </w:rPr>
        <w:t xml:space="preserve">con base en el artículo 1.2 de la Convención, </w:t>
      </w:r>
      <w:r w:rsidR="00347125">
        <w:rPr>
          <w:sz w:val="20"/>
          <w:szCs w:val="20"/>
          <w:lang w:val="es-ES"/>
        </w:rPr>
        <w:t>que</w:t>
      </w:r>
      <w:r w:rsidRPr="00347125">
        <w:rPr>
          <w:sz w:val="20"/>
          <w:szCs w:val="20"/>
          <w:lang w:val="es-ES"/>
        </w:rPr>
        <w:t xml:space="preserve"> </w:t>
      </w:r>
      <w:r w:rsidR="00677D2E" w:rsidRPr="00347125">
        <w:rPr>
          <w:sz w:val="20"/>
          <w:szCs w:val="20"/>
          <w:lang w:val="es-ES"/>
        </w:rPr>
        <w:t>tiene</w:t>
      </w:r>
      <w:r w:rsidRPr="00347125">
        <w:rPr>
          <w:sz w:val="20"/>
          <w:szCs w:val="20"/>
          <w:lang w:val="es-ES"/>
        </w:rPr>
        <w:t xml:space="preserve"> competencia </w:t>
      </w:r>
      <w:r w:rsidRPr="00347125">
        <w:rPr>
          <w:i/>
          <w:sz w:val="20"/>
          <w:szCs w:val="20"/>
          <w:lang w:val="es-ES"/>
        </w:rPr>
        <w:t>ratione personae</w:t>
      </w:r>
      <w:r w:rsidRPr="00347125">
        <w:rPr>
          <w:sz w:val="20"/>
          <w:szCs w:val="20"/>
          <w:lang w:val="es-ES"/>
        </w:rPr>
        <w:t xml:space="preserve"> para pronunciarse sobre </w:t>
      </w:r>
      <w:r w:rsidR="00020DB8" w:rsidRPr="00347125">
        <w:rPr>
          <w:sz w:val="20"/>
          <w:szCs w:val="20"/>
          <w:lang w:val="es-ES"/>
        </w:rPr>
        <w:t xml:space="preserve">las alegadas </w:t>
      </w:r>
      <w:r w:rsidRPr="00347125">
        <w:rPr>
          <w:sz w:val="20"/>
          <w:szCs w:val="20"/>
          <w:lang w:val="es-ES"/>
        </w:rPr>
        <w:t>violaciones</w:t>
      </w:r>
      <w:r w:rsidR="00677D2E" w:rsidRPr="00347125">
        <w:rPr>
          <w:sz w:val="20"/>
          <w:szCs w:val="20"/>
          <w:lang w:val="es-ES"/>
        </w:rPr>
        <w:t xml:space="preserve"> cometidas</w:t>
      </w:r>
      <w:r w:rsidRPr="00347125">
        <w:rPr>
          <w:sz w:val="20"/>
          <w:szCs w:val="20"/>
          <w:lang w:val="es-ES"/>
        </w:rPr>
        <w:t xml:space="preserve"> contra </w:t>
      </w:r>
      <w:r w:rsidR="00FE33FD" w:rsidRPr="00347125">
        <w:rPr>
          <w:sz w:val="20"/>
          <w:szCs w:val="20"/>
          <w:lang w:val="es-ES"/>
        </w:rPr>
        <w:t xml:space="preserve">Miguel Piñeros Rey y Gledma Romero Sandoval y no respecto de la </w:t>
      </w:r>
      <w:r w:rsidR="00020DB8" w:rsidRPr="00347125">
        <w:rPr>
          <w:sz w:val="20"/>
          <w:szCs w:val="20"/>
          <w:lang w:val="es-ES"/>
        </w:rPr>
        <w:t>Socie</w:t>
      </w:r>
      <w:r w:rsidR="00677D2E" w:rsidRPr="00347125">
        <w:rPr>
          <w:sz w:val="20"/>
          <w:szCs w:val="20"/>
          <w:lang w:val="es-ES"/>
        </w:rPr>
        <w:t>dad</w:t>
      </w:r>
      <w:r w:rsidR="00B84E03" w:rsidRPr="00347125">
        <w:rPr>
          <w:sz w:val="20"/>
          <w:szCs w:val="20"/>
          <w:lang w:val="es-ES"/>
        </w:rPr>
        <w:t xml:space="preserve">, ni de los señores </w:t>
      </w:r>
      <w:r w:rsidR="00B84E03" w:rsidRPr="00347125">
        <w:rPr>
          <w:sz w:val="20"/>
          <w:szCs w:val="20"/>
          <w:lang w:val="es-AR"/>
        </w:rPr>
        <w:t xml:space="preserve">Mónica Piñeros Sandoval y Andrés Piñeros Sandoval, quienes siendo personas naturales actuaron y agotaron los recursos internos </w:t>
      </w:r>
      <w:r w:rsidR="00683F36" w:rsidRPr="00347125">
        <w:rPr>
          <w:sz w:val="20"/>
          <w:szCs w:val="20"/>
          <w:lang w:val="es-AR"/>
        </w:rPr>
        <w:t>en</w:t>
      </w:r>
      <w:r w:rsidR="00B84E03" w:rsidRPr="00347125">
        <w:rPr>
          <w:sz w:val="20"/>
          <w:szCs w:val="20"/>
          <w:lang w:val="es-AR"/>
        </w:rPr>
        <w:t xml:space="preserve"> nombre de la Sociedad</w:t>
      </w:r>
      <w:r w:rsidR="00677D2E" w:rsidRPr="00347125">
        <w:rPr>
          <w:sz w:val="20"/>
          <w:szCs w:val="20"/>
          <w:lang w:val="es-ES"/>
        </w:rPr>
        <w:t>.</w:t>
      </w:r>
      <w:r w:rsidRPr="00347125">
        <w:rPr>
          <w:sz w:val="20"/>
          <w:szCs w:val="20"/>
          <w:lang w:val="es-ES"/>
        </w:rPr>
        <w:t xml:space="preserve"> </w:t>
      </w:r>
      <w:r w:rsidR="001A375C" w:rsidRPr="00347125">
        <w:rPr>
          <w:sz w:val="20"/>
          <w:szCs w:val="20"/>
          <w:lang w:val="es-ES"/>
        </w:rPr>
        <w:t xml:space="preserve">En consecuencia, el análisis de la presente petición se realizará respecto de los señores </w:t>
      </w:r>
      <w:r w:rsidRPr="00347125">
        <w:rPr>
          <w:sz w:val="20"/>
          <w:szCs w:val="20"/>
          <w:lang w:val="es-ES"/>
        </w:rPr>
        <w:t xml:space="preserve"> </w:t>
      </w:r>
      <w:r w:rsidR="001A375C" w:rsidRPr="00347125">
        <w:rPr>
          <w:sz w:val="20"/>
          <w:szCs w:val="20"/>
          <w:lang w:val="es-ES"/>
        </w:rPr>
        <w:t xml:space="preserve">Miguel Piñeros Rey y Gledma Romero Sandoval como presuntas víctimas. </w:t>
      </w:r>
    </w:p>
    <w:p w:rsidR="00020DB8" w:rsidRPr="008F79B5" w:rsidRDefault="00020DB8" w:rsidP="00020DB8">
      <w:pPr>
        <w:pStyle w:val="ListParagraph"/>
        <w:spacing w:before="240" w:after="240"/>
        <w:jc w:val="both"/>
        <w:rPr>
          <w:sz w:val="20"/>
          <w:szCs w:val="20"/>
          <w:lang w:val="es-UY"/>
        </w:rPr>
      </w:pPr>
      <w:r>
        <w:rPr>
          <w:rFonts w:asciiTheme="majorHAnsi" w:hAnsiTheme="majorHAnsi"/>
          <w:b/>
          <w:bCs/>
          <w:sz w:val="20"/>
          <w:szCs w:val="20"/>
          <w:lang w:val="es-ES"/>
        </w:rPr>
        <w:t xml:space="preserve">VII. </w:t>
      </w:r>
      <w:r w:rsidRPr="00020DB8">
        <w:rPr>
          <w:rFonts w:asciiTheme="majorHAnsi" w:hAnsiTheme="majorHAnsi"/>
          <w:b/>
          <w:bCs/>
          <w:sz w:val="20"/>
          <w:szCs w:val="20"/>
          <w:lang w:val="es-ES"/>
        </w:rPr>
        <w:t xml:space="preserve"> </w:t>
      </w:r>
      <w:r>
        <w:rPr>
          <w:rFonts w:asciiTheme="majorHAnsi" w:hAnsiTheme="majorHAnsi"/>
          <w:b/>
          <w:bCs/>
          <w:sz w:val="20"/>
          <w:szCs w:val="20"/>
          <w:lang w:val="es-ES"/>
        </w:rPr>
        <w:t xml:space="preserve">      </w:t>
      </w:r>
      <w:r w:rsidR="00317A7E" w:rsidRPr="00AD31C3">
        <w:rPr>
          <w:rFonts w:asciiTheme="majorHAnsi" w:hAnsiTheme="majorHAnsi"/>
          <w:b/>
          <w:bCs/>
          <w:sz w:val="20"/>
          <w:szCs w:val="20"/>
          <w:lang w:val="es-ES"/>
        </w:rPr>
        <w:t xml:space="preserve">ANÁLISIS DE </w:t>
      </w:r>
      <w:r w:rsidRPr="00AD31C3">
        <w:rPr>
          <w:rFonts w:asciiTheme="majorHAnsi" w:hAnsiTheme="majorHAnsi"/>
          <w:b/>
          <w:sz w:val="20"/>
          <w:szCs w:val="20"/>
          <w:lang w:val="es-ES"/>
        </w:rPr>
        <w:t>AGOTAMIENTO DE LOS RECURSOS INTERNOS Y PLAZO DE PRESENTACIÓN</w:t>
      </w:r>
      <w:r w:rsidRPr="008F79B5">
        <w:rPr>
          <w:rFonts w:asciiTheme="majorHAnsi" w:hAnsiTheme="majorHAnsi"/>
          <w:b/>
          <w:bCs/>
          <w:sz w:val="20"/>
          <w:szCs w:val="20"/>
          <w:lang w:val="es-ES"/>
        </w:rPr>
        <w:t xml:space="preserve"> </w:t>
      </w:r>
    </w:p>
    <w:p w:rsidR="008F15A3" w:rsidRPr="008F79B5" w:rsidRDefault="00693B04" w:rsidP="00E04E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F79B5">
        <w:rPr>
          <w:rFonts w:ascii="Cambria" w:hAnsi="Cambria"/>
          <w:sz w:val="20"/>
          <w:szCs w:val="20"/>
          <w:lang w:val="es-AR"/>
        </w:rPr>
        <w:t>En relación con la alegada falta de protecci</w:t>
      </w:r>
      <w:r w:rsidR="00372A4F" w:rsidRPr="008F79B5">
        <w:rPr>
          <w:rFonts w:ascii="Cambria" w:hAnsi="Cambria"/>
          <w:sz w:val="20"/>
          <w:szCs w:val="20"/>
          <w:lang w:val="es-AR"/>
        </w:rPr>
        <w:t>ón estatal,</w:t>
      </w:r>
      <w:r w:rsidRPr="008F79B5">
        <w:rPr>
          <w:rFonts w:ascii="Cambria" w:hAnsi="Cambria"/>
          <w:sz w:val="20"/>
          <w:szCs w:val="20"/>
          <w:lang w:val="es-AR"/>
        </w:rPr>
        <w:t xml:space="preserve"> la Comisión toma en cuenta que el peticionario agotó el recurso adecuado </w:t>
      </w:r>
      <w:r w:rsidR="00AD31C3" w:rsidRPr="008F79B5">
        <w:rPr>
          <w:rFonts w:ascii="Cambria" w:hAnsi="Cambria"/>
          <w:sz w:val="20"/>
          <w:szCs w:val="20"/>
          <w:lang w:val="es-AR"/>
        </w:rPr>
        <w:t xml:space="preserve">para proteger su propiedad de las alegadas invasiones </w:t>
      </w:r>
      <w:r w:rsidRPr="00AD31C3">
        <w:rPr>
          <w:rFonts w:ascii="Cambria" w:hAnsi="Cambria"/>
          <w:sz w:val="20"/>
          <w:szCs w:val="20"/>
          <w:lang w:val="es-AR"/>
        </w:rPr>
        <w:t>a través del derecho de petición ante las Fuerzas Armadas y la Policía Nacional</w:t>
      </w:r>
      <w:r w:rsidR="00AD31C3" w:rsidRPr="008F79B5">
        <w:rPr>
          <w:rFonts w:ascii="Cambria" w:hAnsi="Cambria"/>
          <w:sz w:val="20"/>
          <w:szCs w:val="20"/>
          <w:lang w:val="es-AR"/>
        </w:rPr>
        <w:t>. Sin embargo</w:t>
      </w:r>
      <w:r w:rsidRPr="00AD31C3">
        <w:rPr>
          <w:rFonts w:ascii="Cambria" w:hAnsi="Cambria"/>
          <w:sz w:val="20"/>
          <w:szCs w:val="20"/>
          <w:lang w:val="es-AR"/>
        </w:rPr>
        <w:t xml:space="preserve">, </w:t>
      </w:r>
      <w:r w:rsidR="00AD31C3" w:rsidRPr="008F79B5">
        <w:rPr>
          <w:rFonts w:ascii="Cambria" w:hAnsi="Cambria"/>
          <w:sz w:val="20"/>
          <w:szCs w:val="20"/>
          <w:lang w:val="es-AR"/>
        </w:rPr>
        <w:t xml:space="preserve">observa que </w:t>
      </w:r>
      <w:r w:rsidRPr="00AD31C3">
        <w:rPr>
          <w:rFonts w:ascii="Cambria" w:hAnsi="Cambria"/>
          <w:sz w:val="20"/>
          <w:szCs w:val="20"/>
          <w:lang w:val="es-AR"/>
        </w:rPr>
        <w:t>la última decisi</w:t>
      </w:r>
      <w:r w:rsidRPr="008F79B5">
        <w:rPr>
          <w:rFonts w:ascii="Cambria" w:hAnsi="Cambria"/>
          <w:sz w:val="20"/>
          <w:szCs w:val="20"/>
          <w:lang w:val="es-AR"/>
        </w:rPr>
        <w:t>ón fue notificada el 13 de marzo de 2002 y la petición fue presentada ante la CIDH el 18 de junio de 200</w:t>
      </w:r>
      <w:r w:rsidR="009C4773" w:rsidRPr="008F79B5">
        <w:rPr>
          <w:rFonts w:ascii="Cambria" w:hAnsi="Cambria"/>
          <w:sz w:val="20"/>
          <w:szCs w:val="20"/>
          <w:lang w:val="es-AR"/>
        </w:rPr>
        <w:t>8, es decir seis años después</w:t>
      </w:r>
      <w:r w:rsidRPr="008F79B5">
        <w:rPr>
          <w:rFonts w:ascii="Cambria" w:hAnsi="Cambria"/>
          <w:sz w:val="20"/>
          <w:szCs w:val="20"/>
          <w:lang w:val="es-AR"/>
        </w:rPr>
        <w:t xml:space="preserve">. En consecuencia, la Comisión </w:t>
      </w:r>
      <w:r w:rsidR="00347125">
        <w:rPr>
          <w:rFonts w:ascii="Cambria" w:hAnsi="Cambria"/>
          <w:sz w:val="20"/>
          <w:szCs w:val="20"/>
          <w:lang w:val="es-AR"/>
        </w:rPr>
        <w:t>considera</w:t>
      </w:r>
      <w:r w:rsidR="00380778" w:rsidRPr="008F79B5">
        <w:rPr>
          <w:rFonts w:ascii="Cambria" w:hAnsi="Cambria"/>
          <w:sz w:val="20"/>
          <w:szCs w:val="20"/>
          <w:lang w:val="es-AR"/>
        </w:rPr>
        <w:t xml:space="preserve"> que respecto a este punto no se cumple con el requisito previsto en el artículo 46.1.b) de la Convención.</w:t>
      </w:r>
      <w:r w:rsidRPr="008F79B5">
        <w:rPr>
          <w:rFonts w:ascii="Cambria" w:hAnsi="Cambria"/>
          <w:sz w:val="20"/>
          <w:szCs w:val="20"/>
          <w:lang w:val="es-AR"/>
        </w:rPr>
        <w:t xml:space="preserve">  </w:t>
      </w:r>
    </w:p>
    <w:p w:rsidR="002D5A31" w:rsidRDefault="00380778" w:rsidP="00AF09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7125">
        <w:rPr>
          <w:rFonts w:ascii="Cambria" w:hAnsi="Cambria"/>
          <w:sz w:val="20"/>
          <w:szCs w:val="20"/>
          <w:lang w:val="es-ES"/>
        </w:rPr>
        <w:t xml:space="preserve">Adicionalmente, </w:t>
      </w:r>
      <w:r w:rsidR="00347125" w:rsidRPr="00347125">
        <w:rPr>
          <w:rFonts w:ascii="Cambria" w:hAnsi="Cambria"/>
          <w:sz w:val="20"/>
          <w:szCs w:val="20"/>
          <w:lang w:val="es-ES"/>
        </w:rPr>
        <w:t>l</w:t>
      </w:r>
      <w:r w:rsidR="00004C4D" w:rsidRPr="00347125">
        <w:rPr>
          <w:rFonts w:ascii="Cambria" w:hAnsi="Cambria"/>
          <w:sz w:val="20"/>
          <w:szCs w:val="20"/>
          <w:lang w:val="es-ES"/>
        </w:rPr>
        <w:t xml:space="preserve">a Comisión </w:t>
      </w:r>
      <w:r w:rsidR="00DF059D" w:rsidRPr="00347125">
        <w:rPr>
          <w:rFonts w:ascii="Cambria" w:hAnsi="Cambria"/>
          <w:sz w:val="20"/>
          <w:szCs w:val="20"/>
          <w:lang w:val="es-ES"/>
        </w:rPr>
        <w:t>observa</w:t>
      </w:r>
      <w:r w:rsidR="00004C4D" w:rsidRPr="00347125">
        <w:rPr>
          <w:rFonts w:ascii="Cambria" w:hAnsi="Cambria"/>
          <w:sz w:val="20"/>
          <w:szCs w:val="20"/>
          <w:lang w:val="es-ES"/>
        </w:rPr>
        <w:t xml:space="preserve"> que en situaciones relacionadas a posibles </w:t>
      </w:r>
      <w:r w:rsidR="005F0628" w:rsidRPr="00347125">
        <w:rPr>
          <w:rFonts w:ascii="Cambria" w:hAnsi="Cambria"/>
          <w:sz w:val="20"/>
          <w:szCs w:val="20"/>
          <w:lang w:val="es-ES"/>
        </w:rPr>
        <w:t>invasiones ilegales, despojos forzados</w:t>
      </w:r>
      <w:r w:rsidR="001A375C" w:rsidRPr="00347125">
        <w:rPr>
          <w:rFonts w:ascii="Cambria" w:hAnsi="Cambria"/>
          <w:sz w:val="20"/>
          <w:szCs w:val="20"/>
          <w:lang w:val="es-ES"/>
        </w:rPr>
        <w:t>, hurto de ganado y maquinarias de trabajo, así como otras</w:t>
      </w:r>
      <w:r w:rsidR="005F0628" w:rsidRPr="00347125">
        <w:rPr>
          <w:rFonts w:ascii="Cambria" w:hAnsi="Cambria"/>
          <w:sz w:val="20"/>
          <w:szCs w:val="20"/>
          <w:lang w:val="es-ES"/>
        </w:rPr>
        <w:t xml:space="preserve"> afectaciones</w:t>
      </w:r>
      <w:r w:rsidR="00004C4D" w:rsidRPr="00347125">
        <w:rPr>
          <w:rFonts w:ascii="Cambria" w:hAnsi="Cambria"/>
          <w:sz w:val="20"/>
          <w:szCs w:val="20"/>
          <w:lang w:val="es-ES"/>
        </w:rPr>
        <w:t xml:space="preserve"> al derecho a la </w:t>
      </w:r>
      <w:r w:rsidR="005F0628" w:rsidRPr="00347125">
        <w:rPr>
          <w:rFonts w:ascii="Cambria" w:hAnsi="Cambria"/>
          <w:sz w:val="20"/>
          <w:szCs w:val="20"/>
          <w:lang w:val="es-ES"/>
        </w:rPr>
        <w:t>propiedad</w:t>
      </w:r>
      <w:r w:rsidR="00004C4D" w:rsidRPr="00347125">
        <w:rPr>
          <w:rFonts w:ascii="Cambria" w:hAnsi="Cambria"/>
          <w:sz w:val="20"/>
          <w:szCs w:val="20"/>
          <w:lang w:val="es-ES"/>
        </w:rPr>
        <w:t>, los recursos internos que deben tomarse en cuenta a los efectos de la admisibilidad de la petición son los relacionados con la investigació</w:t>
      </w:r>
      <w:r w:rsidR="00590476" w:rsidRPr="00347125">
        <w:rPr>
          <w:rFonts w:ascii="Cambria" w:hAnsi="Cambria"/>
          <w:sz w:val="20"/>
          <w:szCs w:val="20"/>
          <w:lang w:val="es-ES"/>
        </w:rPr>
        <w:t xml:space="preserve">n y sanción </w:t>
      </w:r>
      <w:r w:rsidR="003E0671" w:rsidRPr="00347125">
        <w:rPr>
          <w:rFonts w:ascii="Cambria" w:hAnsi="Cambria"/>
          <w:sz w:val="20"/>
          <w:szCs w:val="20"/>
          <w:lang w:val="es-ES"/>
        </w:rPr>
        <w:t xml:space="preserve">penal </w:t>
      </w:r>
      <w:r w:rsidR="00590476" w:rsidRPr="00347125">
        <w:rPr>
          <w:rFonts w:ascii="Cambria" w:hAnsi="Cambria"/>
          <w:sz w:val="20"/>
          <w:szCs w:val="20"/>
          <w:lang w:val="es-ES"/>
        </w:rPr>
        <w:t>de los responsables</w:t>
      </w:r>
      <w:r w:rsidR="00004C4D" w:rsidRPr="00347125">
        <w:rPr>
          <w:rFonts w:ascii="Cambria" w:hAnsi="Cambria"/>
          <w:sz w:val="20"/>
          <w:szCs w:val="20"/>
          <w:lang w:val="es-ES"/>
        </w:rPr>
        <w:t xml:space="preserve">. En el presente caso, </w:t>
      </w:r>
      <w:r w:rsidR="00DF059D" w:rsidRPr="00347125">
        <w:rPr>
          <w:rFonts w:ascii="Cambria" w:hAnsi="Cambria"/>
          <w:sz w:val="20"/>
          <w:szCs w:val="20"/>
          <w:lang w:val="es-ES"/>
        </w:rPr>
        <w:t>el peticionario interpuso una denuncia por delitos contra la propiedad el 10 de diciembre de 2001</w:t>
      </w:r>
      <w:r w:rsidR="00347125">
        <w:rPr>
          <w:rFonts w:ascii="Cambria" w:hAnsi="Cambria"/>
          <w:sz w:val="20"/>
          <w:szCs w:val="20"/>
          <w:lang w:val="es-ES"/>
        </w:rPr>
        <w:t xml:space="preserve"> y l</w:t>
      </w:r>
      <w:r w:rsidR="00595FCC" w:rsidRPr="00347125">
        <w:rPr>
          <w:rFonts w:ascii="Cambria" w:hAnsi="Cambria"/>
          <w:sz w:val="20"/>
          <w:szCs w:val="20"/>
          <w:lang w:val="es-ES"/>
        </w:rPr>
        <w:t xml:space="preserve">a </w:t>
      </w:r>
      <w:r w:rsidR="00F85DE4" w:rsidRPr="00347125">
        <w:rPr>
          <w:rFonts w:ascii="Cambria" w:hAnsi="Cambria"/>
          <w:sz w:val="20"/>
          <w:szCs w:val="20"/>
          <w:lang w:val="es-ES"/>
        </w:rPr>
        <w:t>Fiscalía determinó el archivo provis</w:t>
      </w:r>
      <w:r w:rsidR="00FE588E" w:rsidRPr="00347125">
        <w:rPr>
          <w:rFonts w:ascii="Cambria" w:hAnsi="Cambria"/>
          <w:sz w:val="20"/>
          <w:szCs w:val="20"/>
          <w:lang w:val="es-ES"/>
        </w:rPr>
        <w:t>ional</w:t>
      </w:r>
      <w:r w:rsidR="00F85DE4" w:rsidRPr="00347125">
        <w:rPr>
          <w:rFonts w:ascii="Cambria" w:hAnsi="Cambria"/>
          <w:sz w:val="20"/>
          <w:szCs w:val="20"/>
          <w:lang w:val="es-ES"/>
        </w:rPr>
        <w:t xml:space="preserve"> del caso el 20 de abril de 2003. </w:t>
      </w:r>
    </w:p>
    <w:p w:rsidR="00AF0961" w:rsidRPr="00347125" w:rsidRDefault="00F85DE4" w:rsidP="00AF09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7125">
        <w:rPr>
          <w:rFonts w:ascii="Cambria" w:hAnsi="Cambria"/>
          <w:sz w:val="20"/>
          <w:szCs w:val="20"/>
          <w:lang w:val="es-ES"/>
        </w:rPr>
        <w:t xml:space="preserve">La Comisión nota que los delitos contra la propiedad, en la legislación interna son delitos </w:t>
      </w:r>
      <w:r w:rsidR="00590476" w:rsidRPr="00347125">
        <w:rPr>
          <w:rFonts w:ascii="Cambria" w:hAnsi="Cambria"/>
          <w:sz w:val="20"/>
          <w:szCs w:val="20"/>
          <w:lang w:val="es-ES"/>
        </w:rPr>
        <w:t>de</w:t>
      </w:r>
      <w:r w:rsidRPr="00347125">
        <w:rPr>
          <w:rFonts w:ascii="Cambria" w:hAnsi="Cambria"/>
          <w:sz w:val="20"/>
          <w:szCs w:val="20"/>
          <w:lang w:val="es-ES"/>
        </w:rPr>
        <w:t xml:space="preserve"> instancia </w:t>
      </w:r>
      <w:r w:rsidR="00590476" w:rsidRPr="00347125">
        <w:rPr>
          <w:rFonts w:ascii="Cambria" w:hAnsi="Cambria"/>
          <w:sz w:val="20"/>
          <w:szCs w:val="20"/>
          <w:lang w:val="es-ES"/>
        </w:rPr>
        <w:t>privada</w:t>
      </w:r>
      <w:r w:rsidRPr="00347125">
        <w:rPr>
          <w:rFonts w:ascii="Cambria" w:hAnsi="Cambria"/>
          <w:sz w:val="20"/>
          <w:szCs w:val="20"/>
          <w:lang w:val="es-ES"/>
        </w:rPr>
        <w:t>, en los que se re</w:t>
      </w:r>
      <w:r w:rsidR="00590476" w:rsidRPr="00347125">
        <w:rPr>
          <w:rFonts w:ascii="Cambria" w:hAnsi="Cambria"/>
          <w:sz w:val="20"/>
          <w:szCs w:val="20"/>
          <w:lang w:val="es-ES"/>
        </w:rPr>
        <w:t>quiere actuaciones e intervención activa de la parte denunciante</w:t>
      </w:r>
      <w:r w:rsidR="00222CD5" w:rsidRPr="00347125">
        <w:rPr>
          <w:rFonts w:ascii="Cambria" w:hAnsi="Cambria"/>
          <w:sz w:val="20"/>
          <w:szCs w:val="20"/>
          <w:lang w:val="es-ES"/>
        </w:rPr>
        <w:t>,</w:t>
      </w:r>
      <w:r w:rsidR="00954CBE" w:rsidRPr="00347125">
        <w:rPr>
          <w:rFonts w:ascii="Cambria" w:hAnsi="Cambria"/>
          <w:sz w:val="20"/>
          <w:szCs w:val="20"/>
          <w:lang w:val="es-ES"/>
        </w:rPr>
        <w:t xml:space="preserve"> y </w:t>
      </w:r>
      <w:r w:rsidR="00590476" w:rsidRPr="00347125">
        <w:rPr>
          <w:rFonts w:ascii="Cambria" w:hAnsi="Cambria"/>
          <w:sz w:val="20"/>
          <w:szCs w:val="20"/>
          <w:lang w:val="es-ES"/>
        </w:rPr>
        <w:t xml:space="preserve">que el archivo </w:t>
      </w:r>
      <w:r w:rsidR="00954CBE" w:rsidRPr="00347125">
        <w:rPr>
          <w:rFonts w:ascii="Cambria" w:hAnsi="Cambria"/>
          <w:sz w:val="20"/>
          <w:szCs w:val="20"/>
          <w:lang w:val="es-ES"/>
        </w:rPr>
        <w:t xml:space="preserve">fue de carácter </w:t>
      </w:r>
      <w:r w:rsidR="00590476" w:rsidRPr="00347125">
        <w:rPr>
          <w:rFonts w:ascii="Cambria" w:hAnsi="Cambria"/>
          <w:sz w:val="20"/>
          <w:szCs w:val="20"/>
          <w:lang w:val="es-ES"/>
        </w:rPr>
        <w:t xml:space="preserve">provisional </w:t>
      </w:r>
      <w:r w:rsidR="00954CBE" w:rsidRPr="00347125">
        <w:rPr>
          <w:rFonts w:ascii="Cambria" w:hAnsi="Cambria"/>
          <w:sz w:val="20"/>
          <w:szCs w:val="20"/>
          <w:lang w:val="es-ES"/>
        </w:rPr>
        <w:t>y no definitivo</w:t>
      </w:r>
      <w:r w:rsidR="00590476" w:rsidRPr="00347125">
        <w:rPr>
          <w:rFonts w:ascii="Cambria" w:hAnsi="Cambria"/>
          <w:sz w:val="20"/>
          <w:szCs w:val="20"/>
          <w:lang w:val="es-ES"/>
        </w:rPr>
        <w:t xml:space="preserve">. En ese sentido, de la información </w:t>
      </w:r>
      <w:r w:rsidR="00222CD5" w:rsidRPr="00347125">
        <w:rPr>
          <w:rFonts w:ascii="Cambria" w:hAnsi="Cambria"/>
          <w:sz w:val="20"/>
          <w:szCs w:val="20"/>
          <w:lang w:val="es-ES"/>
        </w:rPr>
        <w:t>disponible,</w:t>
      </w:r>
      <w:r w:rsidR="00590476" w:rsidRPr="00347125">
        <w:rPr>
          <w:rFonts w:ascii="Cambria" w:hAnsi="Cambria"/>
          <w:sz w:val="20"/>
          <w:szCs w:val="20"/>
          <w:lang w:val="es-ES"/>
        </w:rPr>
        <w:t xml:space="preserve"> no se identifica que el peticionario h</w:t>
      </w:r>
      <w:r w:rsidR="00222CD5" w:rsidRPr="00347125">
        <w:rPr>
          <w:rFonts w:ascii="Cambria" w:hAnsi="Cambria"/>
          <w:sz w:val="20"/>
          <w:szCs w:val="20"/>
          <w:lang w:val="es-ES"/>
        </w:rPr>
        <w:t>ubiera</w:t>
      </w:r>
      <w:r w:rsidR="00590476" w:rsidRPr="00347125">
        <w:rPr>
          <w:rFonts w:ascii="Cambria" w:hAnsi="Cambria"/>
          <w:sz w:val="20"/>
          <w:szCs w:val="20"/>
          <w:lang w:val="es-ES"/>
        </w:rPr>
        <w:t xml:space="preserve"> impulsado el proceso o presentado recursos posteriores a la decisi</w:t>
      </w:r>
      <w:r w:rsidR="007F75A8" w:rsidRPr="00347125">
        <w:rPr>
          <w:rFonts w:ascii="Cambria" w:hAnsi="Cambria"/>
          <w:sz w:val="20"/>
          <w:szCs w:val="20"/>
          <w:lang w:val="es-ES"/>
        </w:rPr>
        <w:t xml:space="preserve">ón de archivo provisorio desde el año 2003. </w:t>
      </w:r>
      <w:r w:rsidR="00E8118F" w:rsidRPr="00347125">
        <w:rPr>
          <w:rFonts w:ascii="Cambria" w:hAnsi="Cambria"/>
          <w:sz w:val="20"/>
          <w:szCs w:val="20"/>
          <w:lang w:val="es-ES"/>
        </w:rPr>
        <w:t>En consecuencia, la Comisión observa que</w:t>
      </w:r>
      <w:r w:rsidR="007F75A8" w:rsidRPr="00347125">
        <w:rPr>
          <w:rFonts w:ascii="Cambria" w:hAnsi="Cambria"/>
          <w:sz w:val="20"/>
          <w:szCs w:val="20"/>
          <w:lang w:val="es-ES"/>
        </w:rPr>
        <w:t xml:space="preserve"> los recursos internos </w:t>
      </w:r>
      <w:r w:rsidR="00E8118F" w:rsidRPr="00347125">
        <w:rPr>
          <w:rFonts w:ascii="Cambria" w:hAnsi="Cambria"/>
          <w:sz w:val="20"/>
          <w:szCs w:val="20"/>
          <w:lang w:val="es-ES"/>
        </w:rPr>
        <w:t xml:space="preserve">no </w:t>
      </w:r>
      <w:r w:rsidR="007F75A8" w:rsidRPr="00347125">
        <w:rPr>
          <w:rFonts w:ascii="Cambria" w:hAnsi="Cambria"/>
          <w:sz w:val="20"/>
          <w:szCs w:val="20"/>
          <w:lang w:val="es-ES"/>
        </w:rPr>
        <w:t>fueron agotados</w:t>
      </w:r>
      <w:r w:rsidR="00AF0961" w:rsidRPr="00347125">
        <w:rPr>
          <w:rFonts w:ascii="Cambria" w:hAnsi="Cambria"/>
          <w:sz w:val="20"/>
          <w:szCs w:val="20"/>
          <w:lang w:val="es-ES"/>
        </w:rPr>
        <w:t>, respecto a las alegadas violaciones cometidas en el proceso de investigación penal</w:t>
      </w:r>
      <w:r w:rsidR="00E8118F" w:rsidRPr="00347125">
        <w:rPr>
          <w:rFonts w:ascii="Cambria" w:hAnsi="Cambria"/>
          <w:sz w:val="20"/>
          <w:szCs w:val="20"/>
          <w:lang w:val="es-ES"/>
        </w:rPr>
        <w:t xml:space="preserve"> y que</w:t>
      </w:r>
      <w:r w:rsidR="00AD389A" w:rsidRPr="00347125">
        <w:rPr>
          <w:rFonts w:ascii="Cambria" w:hAnsi="Cambria"/>
          <w:sz w:val="20"/>
          <w:szCs w:val="20"/>
          <w:lang w:val="es-ES"/>
        </w:rPr>
        <w:t>,</w:t>
      </w:r>
      <w:r w:rsidR="00E8118F" w:rsidRPr="00347125">
        <w:rPr>
          <w:rFonts w:ascii="Cambria" w:hAnsi="Cambria"/>
          <w:sz w:val="20"/>
          <w:szCs w:val="20"/>
          <w:lang w:val="es-ES"/>
        </w:rPr>
        <w:t xml:space="preserve"> por lo tanto</w:t>
      </w:r>
      <w:r w:rsidR="00AD389A" w:rsidRPr="00347125">
        <w:rPr>
          <w:rFonts w:ascii="Cambria" w:hAnsi="Cambria"/>
          <w:sz w:val="20"/>
          <w:szCs w:val="20"/>
          <w:lang w:val="es-ES"/>
        </w:rPr>
        <w:t>,</w:t>
      </w:r>
      <w:r w:rsidR="00AF0961" w:rsidRPr="00347125">
        <w:rPr>
          <w:rFonts w:ascii="Cambria" w:hAnsi="Cambria"/>
          <w:sz w:val="20"/>
          <w:szCs w:val="20"/>
          <w:lang w:val="es-ES"/>
        </w:rPr>
        <w:t xml:space="preserve"> no se cumple con el requisito estipulado en el artículo 46.1.</w:t>
      </w:r>
      <w:r w:rsidR="00E8118F" w:rsidRPr="00347125">
        <w:rPr>
          <w:rFonts w:ascii="Cambria" w:hAnsi="Cambria"/>
          <w:sz w:val="20"/>
          <w:szCs w:val="20"/>
          <w:lang w:val="es-ES"/>
        </w:rPr>
        <w:t>a</w:t>
      </w:r>
      <w:r w:rsidR="00AF0961" w:rsidRPr="00347125">
        <w:rPr>
          <w:rFonts w:ascii="Cambria" w:hAnsi="Cambria"/>
          <w:sz w:val="20"/>
          <w:szCs w:val="20"/>
          <w:lang w:val="es-ES"/>
        </w:rPr>
        <w:t>) de la Convención Americana.</w:t>
      </w:r>
    </w:p>
    <w:p w:rsidR="00E04E88" w:rsidRPr="0004591A" w:rsidRDefault="00E8118F" w:rsidP="000459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3A38">
        <w:rPr>
          <w:rFonts w:ascii="Cambria" w:hAnsi="Cambria"/>
          <w:sz w:val="20"/>
          <w:szCs w:val="20"/>
          <w:lang w:val="es-ES"/>
        </w:rPr>
        <w:t>F</w:t>
      </w:r>
      <w:r w:rsidRPr="0004591A">
        <w:rPr>
          <w:rFonts w:ascii="Cambria" w:hAnsi="Cambria"/>
          <w:sz w:val="20"/>
          <w:szCs w:val="20"/>
          <w:lang w:val="es-ES"/>
        </w:rPr>
        <w:t xml:space="preserve">inalmente, </w:t>
      </w:r>
      <w:r w:rsidR="002D5A31">
        <w:rPr>
          <w:rFonts w:ascii="Cambria" w:hAnsi="Cambria"/>
          <w:sz w:val="20"/>
          <w:szCs w:val="20"/>
          <w:lang w:val="es-ES"/>
        </w:rPr>
        <w:t xml:space="preserve">en cuanto a la reparación directa, la CIDH nota que ésta </w:t>
      </w:r>
      <w:r w:rsidR="00380778" w:rsidRPr="0004591A">
        <w:rPr>
          <w:rFonts w:ascii="Cambria" w:hAnsi="Cambria"/>
          <w:sz w:val="20"/>
          <w:szCs w:val="20"/>
          <w:lang w:val="es-ES"/>
        </w:rPr>
        <w:t>fue resu</w:t>
      </w:r>
      <w:r w:rsidR="00380778" w:rsidRPr="00C83A38">
        <w:rPr>
          <w:rFonts w:ascii="Cambria" w:hAnsi="Cambria"/>
          <w:sz w:val="20"/>
          <w:szCs w:val="20"/>
          <w:lang w:val="es-ES"/>
        </w:rPr>
        <w:t>elta el 10 de septiembre de 2014</w:t>
      </w:r>
      <w:r w:rsidR="002D5A31">
        <w:rPr>
          <w:rFonts w:ascii="Cambria" w:hAnsi="Cambria"/>
          <w:sz w:val="20"/>
          <w:szCs w:val="20"/>
          <w:lang w:val="es-ES"/>
        </w:rPr>
        <w:t>,</w:t>
      </w:r>
      <w:r w:rsidR="00C83A38" w:rsidRPr="008F79B5">
        <w:rPr>
          <w:rFonts w:ascii="Cambria" w:hAnsi="Cambria"/>
          <w:sz w:val="20"/>
          <w:szCs w:val="20"/>
          <w:lang w:val="es-ES"/>
        </w:rPr>
        <w:t xml:space="preserve"> que </w:t>
      </w:r>
      <w:r w:rsidR="00AF0961" w:rsidRPr="008F79B5">
        <w:rPr>
          <w:rFonts w:ascii="Cambria" w:hAnsi="Cambria"/>
          <w:sz w:val="20"/>
          <w:szCs w:val="20"/>
          <w:lang w:val="es-ES"/>
        </w:rPr>
        <w:t xml:space="preserve">la </w:t>
      </w:r>
      <w:r w:rsidR="008F79B5" w:rsidRPr="008F79B5">
        <w:rPr>
          <w:rFonts w:ascii="Cambria" w:hAnsi="Cambria"/>
          <w:sz w:val="20"/>
          <w:szCs w:val="20"/>
          <w:lang w:val="es-ES"/>
        </w:rPr>
        <w:t xml:space="preserve">citada </w:t>
      </w:r>
      <w:r w:rsidR="00AF0961" w:rsidRPr="008F79B5">
        <w:rPr>
          <w:rFonts w:ascii="Cambria" w:hAnsi="Cambria"/>
          <w:sz w:val="20"/>
          <w:szCs w:val="20"/>
          <w:lang w:val="es-ES"/>
        </w:rPr>
        <w:t xml:space="preserve">sentencia </w:t>
      </w:r>
      <w:r w:rsidR="0004591A" w:rsidRPr="008F79B5">
        <w:rPr>
          <w:rFonts w:ascii="Cambria" w:hAnsi="Cambria"/>
          <w:sz w:val="20"/>
          <w:szCs w:val="20"/>
          <w:lang w:val="es-ES"/>
        </w:rPr>
        <w:t xml:space="preserve">fue la última decisión </w:t>
      </w:r>
      <w:r w:rsidR="008F79B5" w:rsidRPr="008F79B5">
        <w:rPr>
          <w:rFonts w:ascii="Cambria" w:hAnsi="Cambria"/>
          <w:sz w:val="20"/>
          <w:szCs w:val="20"/>
          <w:lang w:val="es-ES"/>
        </w:rPr>
        <w:t>emitida</w:t>
      </w:r>
      <w:r w:rsidR="0004591A" w:rsidRPr="008F79B5">
        <w:rPr>
          <w:rFonts w:ascii="Cambria" w:hAnsi="Cambria"/>
          <w:sz w:val="20"/>
          <w:szCs w:val="20"/>
          <w:lang w:val="es-ES"/>
        </w:rPr>
        <w:t xml:space="preserve"> en dicha</w:t>
      </w:r>
      <w:r w:rsidR="0004527A" w:rsidRPr="008F79B5">
        <w:rPr>
          <w:rFonts w:ascii="Cambria" w:hAnsi="Cambria"/>
          <w:sz w:val="20"/>
          <w:szCs w:val="20"/>
          <w:lang w:val="es-ES"/>
        </w:rPr>
        <w:t xml:space="preserve"> </w:t>
      </w:r>
      <w:r w:rsidR="008F79B5" w:rsidRPr="008F79B5">
        <w:rPr>
          <w:rFonts w:ascii="Cambria" w:hAnsi="Cambria"/>
          <w:sz w:val="20"/>
          <w:szCs w:val="20"/>
          <w:lang w:val="es-ES"/>
        </w:rPr>
        <w:t>jurisdicción</w:t>
      </w:r>
      <w:r w:rsidR="00B86A6C" w:rsidRPr="008F79B5">
        <w:rPr>
          <w:rFonts w:ascii="Cambria" w:hAnsi="Cambria"/>
          <w:sz w:val="20"/>
          <w:szCs w:val="20"/>
          <w:lang w:val="es-ES"/>
        </w:rPr>
        <w:t>, y</w:t>
      </w:r>
      <w:r w:rsidR="00222CD5" w:rsidRPr="008F79B5">
        <w:rPr>
          <w:rFonts w:ascii="Cambria" w:hAnsi="Cambria"/>
          <w:sz w:val="20"/>
          <w:szCs w:val="20"/>
          <w:lang w:val="es-ES"/>
        </w:rPr>
        <w:t xml:space="preserve"> que</w:t>
      </w:r>
      <w:r w:rsidR="00B86A6C" w:rsidRPr="008F79B5">
        <w:rPr>
          <w:rFonts w:ascii="Cambria" w:hAnsi="Cambria"/>
          <w:sz w:val="20"/>
          <w:szCs w:val="20"/>
          <w:lang w:val="es-ES"/>
        </w:rPr>
        <w:t xml:space="preserve"> la petición </w:t>
      </w:r>
      <w:r w:rsidR="00FC0220" w:rsidRPr="008F79B5">
        <w:rPr>
          <w:rFonts w:ascii="Cambria" w:hAnsi="Cambria"/>
          <w:sz w:val="20"/>
          <w:szCs w:val="20"/>
          <w:lang w:val="es-ES"/>
        </w:rPr>
        <w:t xml:space="preserve">fue </w:t>
      </w:r>
      <w:r w:rsidR="00B86A6C" w:rsidRPr="008F79B5">
        <w:rPr>
          <w:rFonts w:ascii="Cambria" w:hAnsi="Cambria"/>
          <w:sz w:val="20"/>
          <w:szCs w:val="20"/>
          <w:lang w:val="es-ES"/>
        </w:rPr>
        <w:t>presentada el 18 de junio de 2008</w:t>
      </w:r>
      <w:r w:rsidR="0004591A" w:rsidRPr="008F79B5">
        <w:rPr>
          <w:rFonts w:ascii="Cambria" w:hAnsi="Cambria"/>
          <w:sz w:val="20"/>
          <w:szCs w:val="20"/>
          <w:lang w:val="es-ES"/>
        </w:rPr>
        <w:t>.</w:t>
      </w:r>
      <w:r w:rsidR="0004527A" w:rsidRPr="008F79B5">
        <w:rPr>
          <w:rFonts w:ascii="Cambria" w:hAnsi="Cambria"/>
          <w:sz w:val="20"/>
          <w:szCs w:val="20"/>
          <w:lang w:val="es-ES"/>
        </w:rPr>
        <w:t xml:space="preserve"> </w:t>
      </w:r>
      <w:r w:rsidR="00E04E88" w:rsidRPr="008F79B5">
        <w:rPr>
          <w:rFonts w:ascii="Cambria" w:hAnsi="Cambria"/>
          <w:sz w:val="20"/>
          <w:szCs w:val="20"/>
          <w:lang w:val="es-ES"/>
        </w:rPr>
        <w:t>Por lo tanto, el agotamiento de los recursos internos se dio</w:t>
      </w:r>
      <w:r w:rsidR="00E04E88" w:rsidRPr="0004591A">
        <w:rPr>
          <w:rFonts w:ascii="Cambria" w:hAnsi="Cambria"/>
          <w:sz w:val="20"/>
          <w:szCs w:val="20"/>
          <w:lang w:val="es-ES"/>
        </w:rPr>
        <w:t xml:space="preserve"> mientras la petición se hall</w:t>
      </w:r>
      <w:r w:rsidR="0004527A" w:rsidRPr="0004591A">
        <w:rPr>
          <w:rFonts w:ascii="Cambria" w:hAnsi="Cambria"/>
          <w:sz w:val="20"/>
          <w:szCs w:val="20"/>
          <w:lang w:val="es-ES"/>
        </w:rPr>
        <w:t>aba en trámite ante la Comisión</w:t>
      </w:r>
      <w:r w:rsidR="00E04E88" w:rsidRPr="0004591A">
        <w:rPr>
          <w:rFonts w:ascii="Cambria" w:hAnsi="Cambria"/>
          <w:sz w:val="20"/>
          <w:szCs w:val="20"/>
          <w:lang w:val="es-ES"/>
        </w:rPr>
        <w:t>.</w:t>
      </w:r>
      <w:r w:rsidR="0067158A" w:rsidRPr="0004591A">
        <w:rPr>
          <w:rFonts w:ascii="Cambria" w:hAnsi="Cambria"/>
          <w:sz w:val="20"/>
          <w:szCs w:val="20"/>
          <w:lang w:val="es-ES"/>
        </w:rPr>
        <w:t xml:space="preserve"> De acuerdo a la doctrina de la CIDH, el análisis sobre los requisitos previstos en el artículo 46.1.b de la Convención debe hacerse a la luz de la situación vigente al momento en que se pronuncia sobre la admisibilidad o inadmisibilidad del reclamo</w:t>
      </w:r>
      <w:r w:rsidR="0067158A">
        <w:rPr>
          <w:rStyle w:val="FootnoteReference"/>
          <w:rFonts w:ascii="Cambria" w:hAnsi="Cambria"/>
          <w:sz w:val="20"/>
          <w:szCs w:val="20"/>
          <w:lang w:val="es-ES"/>
        </w:rPr>
        <w:footnoteReference w:id="8"/>
      </w:r>
      <w:r w:rsidR="0067158A" w:rsidRPr="0004591A">
        <w:rPr>
          <w:rFonts w:ascii="Cambria" w:hAnsi="Cambria"/>
          <w:sz w:val="20"/>
          <w:szCs w:val="20"/>
          <w:lang w:val="es-ES"/>
        </w:rPr>
        <w:t>.</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w:t>
      </w:r>
      <w:r w:rsidR="00020DB8">
        <w:rPr>
          <w:rFonts w:asciiTheme="majorHAnsi" w:hAnsiTheme="majorHAnsi"/>
          <w:b/>
          <w:bCs/>
          <w:sz w:val="20"/>
          <w:szCs w:val="20"/>
          <w:lang w:val="es-ES"/>
        </w:rPr>
        <w:t>I</w:t>
      </w:r>
      <w:r>
        <w:rPr>
          <w:rFonts w:asciiTheme="majorHAnsi" w:hAnsiTheme="majorHAnsi"/>
          <w:b/>
          <w:bCs/>
          <w:sz w:val="20"/>
          <w:szCs w:val="20"/>
          <w:lang w:val="es-ES"/>
        </w:rPr>
        <w:t>I.</w:t>
      </w:r>
      <w:r>
        <w:rPr>
          <w:rFonts w:asciiTheme="majorHAnsi" w:hAnsiTheme="majorHAnsi"/>
          <w:b/>
          <w:bCs/>
          <w:sz w:val="20"/>
          <w:szCs w:val="20"/>
          <w:lang w:val="es-ES"/>
        </w:rPr>
        <w:tab/>
      </w:r>
      <w:r w:rsidR="00616FB7">
        <w:rPr>
          <w:rFonts w:asciiTheme="majorHAnsi" w:hAnsiTheme="majorHAnsi"/>
          <w:b/>
          <w:bCs/>
          <w:sz w:val="20"/>
          <w:szCs w:val="20"/>
          <w:lang w:val="es-ES"/>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9D32F5" w:rsidRPr="009D32F5" w:rsidRDefault="00B86A6C" w:rsidP="00E04E88">
      <w:pPr>
        <w:numPr>
          <w:ilvl w:val="0"/>
          <w:numId w:val="103"/>
        </w:numPr>
        <w:suppressAutoHyphens/>
        <w:spacing w:after="240"/>
        <w:jc w:val="both"/>
        <w:rPr>
          <w:rFonts w:ascii="Cambria" w:eastAsia="Cambria" w:hAnsi="Cambria" w:cs="Cambria"/>
          <w:color w:val="000000"/>
          <w:sz w:val="20"/>
          <w:szCs w:val="20"/>
          <w:u w:color="000000"/>
          <w:lang w:val="es-ES_tradnl" w:eastAsia="es-ES"/>
        </w:rPr>
      </w:pPr>
      <w:r>
        <w:rPr>
          <w:rFonts w:ascii="Cambria" w:eastAsia="Cambria" w:hAnsi="Cambria" w:cs="Cambria"/>
          <w:color w:val="000000"/>
          <w:sz w:val="20"/>
          <w:szCs w:val="20"/>
          <w:u w:color="000000"/>
          <w:lang w:val="es-ES_tradnl" w:eastAsia="es-ES"/>
        </w:rPr>
        <w:t xml:space="preserve">La Comisión ha determinado que tanto los alegatos </w:t>
      </w:r>
      <w:r w:rsidR="00C7453F">
        <w:rPr>
          <w:rFonts w:ascii="Cambria" w:eastAsia="Cambria" w:hAnsi="Cambria" w:cs="Cambria"/>
          <w:color w:val="000000"/>
          <w:sz w:val="20"/>
          <w:szCs w:val="20"/>
          <w:u w:color="000000"/>
          <w:lang w:val="es-ES_tradnl" w:eastAsia="es-ES"/>
        </w:rPr>
        <w:t>de falta de protección estatal</w:t>
      </w:r>
      <w:r w:rsidR="00BF5422">
        <w:rPr>
          <w:rFonts w:ascii="Cambria" w:eastAsia="Cambria" w:hAnsi="Cambria" w:cs="Cambria"/>
          <w:color w:val="000000"/>
          <w:sz w:val="20"/>
          <w:szCs w:val="20"/>
          <w:u w:color="000000"/>
          <w:lang w:val="es-ES_tradnl" w:eastAsia="es-ES"/>
        </w:rPr>
        <w:t>,</w:t>
      </w:r>
      <w:r w:rsidR="00C7453F">
        <w:rPr>
          <w:rFonts w:ascii="Cambria" w:eastAsia="Cambria" w:hAnsi="Cambria" w:cs="Cambria"/>
          <w:color w:val="000000"/>
          <w:sz w:val="20"/>
          <w:szCs w:val="20"/>
          <w:u w:color="000000"/>
          <w:lang w:val="es-ES_tradnl" w:eastAsia="es-ES"/>
        </w:rPr>
        <w:t xml:space="preserve"> como</w:t>
      </w:r>
      <w:r>
        <w:rPr>
          <w:rFonts w:ascii="Cambria" w:eastAsia="Cambria" w:hAnsi="Cambria" w:cs="Cambria"/>
          <w:color w:val="000000"/>
          <w:sz w:val="20"/>
          <w:szCs w:val="20"/>
          <w:u w:color="000000"/>
          <w:lang w:val="es-ES_tradnl" w:eastAsia="es-ES"/>
        </w:rPr>
        <w:t xml:space="preserve"> </w:t>
      </w:r>
      <w:r w:rsidR="00D54877">
        <w:rPr>
          <w:rFonts w:ascii="Cambria" w:eastAsia="Cambria" w:hAnsi="Cambria" w:cs="Cambria"/>
          <w:color w:val="000000"/>
          <w:sz w:val="20"/>
          <w:szCs w:val="20"/>
          <w:u w:color="000000"/>
          <w:lang w:val="es-ES_tradnl" w:eastAsia="es-ES"/>
        </w:rPr>
        <w:t>l</w:t>
      </w:r>
      <w:r w:rsidR="00653A4B">
        <w:rPr>
          <w:rFonts w:ascii="Cambria" w:eastAsia="Cambria" w:hAnsi="Cambria" w:cs="Cambria"/>
          <w:color w:val="000000"/>
          <w:sz w:val="20"/>
          <w:szCs w:val="20"/>
          <w:u w:color="000000"/>
          <w:lang w:val="es-ES_tradnl" w:eastAsia="es-ES"/>
        </w:rPr>
        <w:t>a</w:t>
      </w:r>
      <w:r w:rsidR="00357DD9">
        <w:rPr>
          <w:rFonts w:ascii="Cambria" w:eastAsia="Cambria" w:hAnsi="Cambria" w:cs="Cambria"/>
          <w:color w:val="000000"/>
          <w:sz w:val="20"/>
          <w:szCs w:val="20"/>
          <w:u w:color="000000"/>
          <w:lang w:val="es-ES_tradnl" w:eastAsia="es-ES"/>
        </w:rPr>
        <w:t>s acciones de</w:t>
      </w:r>
      <w:r w:rsidR="00653A4B">
        <w:rPr>
          <w:rFonts w:ascii="Cambria" w:eastAsia="Cambria" w:hAnsi="Cambria" w:cs="Cambria"/>
          <w:color w:val="000000"/>
          <w:sz w:val="20"/>
          <w:szCs w:val="20"/>
          <w:u w:color="000000"/>
          <w:lang w:val="es-ES_tradnl" w:eastAsia="es-ES"/>
        </w:rPr>
        <w:t xml:space="preserve"> </w:t>
      </w:r>
      <w:r w:rsidR="00BF5422">
        <w:rPr>
          <w:rFonts w:ascii="Cambria" w:eastAsia="Cambria" w:hAnsi="Cambria" w:cs="Cambria"/>
          <w:color w:val="000000"/>
          <w:sz w:val="20"/>
          <w:szCs w:val="20"/>
          <w:u w:color="000000"/>
          <w:lang w:val="es-ES_tradnl" w:eastAsia="es-ES"/>
        </w:rPr>
        <w:t xml:space="preserve">hurto de bienes e </w:t>
      </w:r>
      <w:r w:rsidR="00653A4B">
        <w:rPr>
          <w:rFonts w:ascii="Cambria" w:eastAsia="Cambria" w:hAnsi="Cambria" w:cs="Cambria"/>
          <w:color w:val="000000"/>
          <w:sz w:val="20"/>
          <w:szCs w:val="20"/>
          <w:u w:color="000000"/>
          <w:lang w:val="es-ES_tradnl" w:eastAsia="es-ES"/>
        </w:rPr>
        <w:t>invasión ilegal de la propiedad denominada el Morichal</w:t>
      </w:r>
      <w:r w:rsidR="00BF5422">
        <w:rPr>
          <w:rFonts w:ascii="Cambria" w:eastAsia="Cambria" w:hAnsi="Cambria" w:cs="Cambria"/>
          <w:color w:val="000000"/>
          <w:sz w:val="20"/>
          <w:szCs w:val="20"/>
          <w:u w:color="000000"/>
          <w:lang w:val="es-ES_tradnl" w:eastAsia="es-ES"/>
        </w:rPr>
        <w:t>,</w:t>
      </w:r>
      <w:r w:rsidR="00222CD5">
        <w:rPr>
          <w:rFonts w:ascii="Cambria" w:eastAsia="Cambria" w:hAnsi="Cambria" w:cs="Cambria"/>
          <w:color w:val="000000"/>
          <w:sz w:val="20"/>
          <w:szCs w:val="20"/>
          <w:u w:color="000000"/>
          <w:lang w:val="es-ES_tradnl" w:eastAsia="es-ES"/>
        </w:rPr>
        <w:t xml:space="preserve"> </w:t>
      </w:r>
      <w:r w:rsidR="00FC0220">
        <w:rPr>
          <w:rFonts w:ascii="Cambria" w:eastAsia="Cambria" w:hAnsi="Cambria" w:cs="Cambria"/>
          <w:color w:val="000000"/>
          <w:sz w:val="20"/>
          <w:szCs w:val="20"/>
          <w:u w:color="000000"/>
          <w:lang w:val="es-ES_tradnl" w:eastAsia="es-ES"/>
        </w:rPr>
        <w:t xml:space="preserve">presuntamente </w:t>
      </w:r>
      <w:r w:rsidR="00653A4B">
        <w:rPr>
          <w:rFonts w:ascii="Cambria" w:eastAsia="Cambria" w:hAnsi="Cambria" w:cs="Cambria"/>
          <w:color w:val="000000"/>
          <w:sz w:val="20"/>
          <w:szCs w:val="20"/>
          <w:u w:color="000000"/>
          <w:lang w:val="es-ES_tradnl" w:eastAsia="es-ES"/>
        </w:rPr>
        <w:t>realizada</w:t>
      </w:r>
      <w:r w:rsidR="00357DD9">
        <w:rPr>
          <w:rFonts w:ascii="Cambria" w:eastAsia="Cambria" w:hAnsi="Cambria" w:cs="Cambria"/>
          <w:color w:val="000000"/>
          <w:sz w:val="20"/>
          <w:szCs w:val="20"/>
          <w:u w:color="000000"/>
          <w:lang w:val="es-ES_tradnl" w:eastAsia="es-ES"/>
        </w:rPr>
        <w:t>s</w:t>
      </w:r>
      <w:r w:rsidR="00653A4B">
        <w:rPr>
          <w:rFonts w:ascii="Cambria" w:eastAsia="Cambria" w:hAnsi="Cambria" w:cs="Cambria"/>
          <w:color w:val="000000"/>
          <w:sz w:val="20"/>
          <w:szCs w:val="20"/>
          <w:u w:color="000000"/>
          <w:lang w:val="es-ES_tradnl" w:eastAsia="es-ES"/>
        </w:rPr>
        <w:t xml:space="preserve"> por grupos paramilitares</w:t>
      </w:r>
      <w:r>
        <w:rPr>
          <w:rFonts w:ascii="Cambria" w:eastAsia="Cambria" w:hAnsi="Cambria" w:cs="Cambria"/>
          <w:color w:val="000000"/>
          <w:sz w:val="20"/>
          <w:szCs w:val="20"/>
          <w:u w:color="000000"/>
          <w:lang w:val="es-ES_tradnl" w:eastAsia="es-ES"/>
        </w:rPr>
        <w:t xml:space="preserve">, no cumplieron con los requisitos de presentación dentro del plazo establecido en la Convención y de agotamiento de recursos internos, respectivamente. Por ello, a </w:t>
      </w:r>
      <w:r>
        <w:rPr>
          <w:rFonts w:ascii="Cambria" w:eastAsia="Cambria" w:hAnsi="Cambria" w:cs="Cambria"/>
          <w:color w:val="000000"/>
          <w:sz w:val="20"/>
          <w:szCs w:val="20"/>
          <w:u w:color="000000"/>
          <w:lang w:val="es-ES_tradnl" w:eastAsia="es-ES"/>
        </w:rPr>
        <w:lastRenderedPageBreak/>
        <w:t>continuación se analizarán las alegadas violaciones cometidas en el marco de</w:t>
      </w:r>
      <w:r w:rsidR="00974E98">
        <w:rPr>
          <w:rFonts w:ascii="Cambria" w:eastAsia="Cambria" w:hAnsi="Cambria" w:cs="Cambria"/>
          <w:color w:val="000000"/>
          <w:sz w:val="20"/>
          <w:szCs w:val="20"/>
          <w:u w:color="000000"/>
          <w:lang w:val="es-ES_tradnl" w:eastAsia="es-ES"/>
        </w:rPr>
        <w:t>l</w:t>
      </w:r>
      <w:r>
        <w:rPr>
          <w:rFonts w:ascii="Cambria" w:eastAsia="Cambria" w:hAnsi="Cambria" w:cs="Cambria"/>
          <w:color w:val="000000"/>
          <w:sz w:val="20"/>
          <w:szCs w:val="20"/>
          <w:u w:color="000000"/>
          <w:lang w:val="es-ES_tradnl" w:eastAsia="es-ES"/>
        </w:rPr>
        <w:t xml:space="preserve"> proceso de reparación en la jurisdicción contencioso administrativa</w:t>
      </w:r>
      <w:r w:rsidR="00D54877">
        <w:rPr>
          <w:rFonts w:ascii="Cambria" w:eastAsia="Cambria" w:hAnsi="Cambria" w:cs="Cambria"/>
          <w:color w:val="000000"/>
          <w:sz w:val="20"/>
          <w:szCs w:val="20"/>
          <w:u w:color="000000"/>
          <w:lang w:val="es-ES_tradnl" w:eastAsia="es-ES"/>
        </w:rPr>
        <w:t xml:space="preserve">. Al respecto,  el peticionario argumenta que por la toma ilegal de tierras por parte de grupos </w:t>
      </w:r>
      <w:r w:rsidR="00BF5422">
        <w:rPr>
          <w:rFonts w:ascii="Cambria" w:eastAsia="Cambria" w:hAnsi="Cambria" w:cs="Cambria"/>
          <w:color w:val="000000"/>
          <w:sz w:val="20"/>
          <w:szCs w:val="20"/>
          <w:u w:color="000000"/>
          <w:lang w:val="es-ES_tradnl" w:eastAsia="es-ES"/>
        </w:rPr>
        <w:t xml:space="preserve">armados </w:t>
      </w:r>
      <w:r w:rsidR="00E21EDF">
        <w:rPr>
          <w:rFonts w:ascii="Cambria" w:eastAsia="Cambria" w:hAnsi="Cambria" w:cs="Cambria"/>
          <w:color w:val="000000"/>
          <w:sz w:val="20"/>
          <w:szCs w:val="20"/>
          <w:u w:color="000000"/>
          <w:lang w:val="es-ES_tradnl" w:eastAsia="es-ES"/>
        </w:rPr>
        <w:t>el Consejo de Estado</w:t>
      </w:r>
      <w:r w:rsidR="002A391F">
        <w:rPr>
          <w:rFonts w:ascii="Cambria" w:eastAsia="Cambria" w:hAnsi="Cambria" w:cs="Cambria"/>
          <w:color w:val="000000"/>
          <w:sz w:val="20"/>
          <w:szCs w:val="20"/>
          <w:u w:color="000000"/>
          <w:lang w:val="es-ES_tradnl" w:eastAsia="es-ES"/>
        </w:rPr>
        <w:t xml:space="preserve"> </w:t>
      </w:r>
      <w:r w:rsidR="00FC0220">
        <w:rPr>
          <w:rFonts w:ascii="Cambria" w:eastAsia="Cambria" w:hAnsi="Cambria" w:cs="Cambria"/>
          <w:color w:val="000000"/>
          <w:sz w:val="20"/>
          <w:szCs w:val="20"/>
          <w:u w:color="000000"/>
          <w:lang w:val="es-ES_tradnl" w:eastAsia="es-ES"/>
        </w:rPr>
        <w:t xml:space="preserve">en </w:t>
      </w:r>
      <w:r w:rsidR="002A391F">
        <w:rPr>
          <w:rFonts w:ascii="Cambria" w:eastAsia="Cambria" w:hAnsi="Cambria" w:cs="Cambria"/>
          <w:color w:val="000000"/>
          <w:sz w:val="20"/>
          <w:szCs w:val="20"/>
          <w:u w:color="000000"/>
          <w:lang w:val="es-ES_tradnl" w:eastAsia="es-ES"/>
        </w:rPr>
        <w:t>el año 2014</w:t>
      </w:r>
      <w:r w:rsidR="00E21EDF">
        <w:rPr>
          <w:rFonts w:ascii="Cambria" w:eastAsia="Cambria" w:hAnsi="Cambria" w:cs="Cambria"/>
          <w:color w:val="000000"/>
          <w:sz w:val="20"/>
          <w:szCs w:val="20"/>
          <w:u w:color="000000"/>
          <w:lang w:val="es-ES_tradnl" w:eastAsia="es-ES"/>
        </w:rPr>
        <w:t xml:space="preserve"> reconoció los daños y perjuicios causados al señor Miguel Piñeros Rey, a la señora </w:t>
      </w:r>
      <w:r w:rsidR="00E21EDF" w:rsidRPr="00CD1E5D">
        <w:rPr>
          <w:rFonts w:ascii="Cambria" w:hAnsi="Cambria"/>
          <w:sz w:val="20"/>
          <w:szCs w:val="20"/>
          <w:lang w:val="es-AR"/>
        </w:rPr>
        <w:t xml:space="preserve">Gledma Romero Sandoval y </w:t>
      </w:r>
      <w:r w:rsidR="00E21EDF">
        <w:rPr>
          <w:rFonts w:ascii="Cambria" w:hAnsi="Cambria"/>
          <w:sz w:val="20"/>
          <w:szCs w:val="20"/>
          <w:lang w:val="es-AR"/>
        </w:rPr>
        <w:t xml:space="preserve">a </w:t>
      </w:r>
      <w:r w:rsidR="00E21EDF" w:rsidRPr="00CD1E5D">
        <w:rPr>
          <w:rFonts w:ascii="Cambria" w:hAnsi="Cambria"/>
          <w:sz w:val="20"/>
          <w:szCs w:val="20"/>
          <w:lang w:val="es-AR"/>
        </w:rPr>
        <w:t>la Sociedad</w:t>
      </w:r>
      <w:r w:rsidR="00FC0220">
        <w:rPr>
          <w:rFonts w:ascii="Cambria" w:hAnsi="Cambria"/>
          <w:sz w:val="20"/>
          <w:szCs w:val="20"/>
          <w:lang w:val="es-AR"/>
        </w:rPr>
        <w:t>,</w:t>
      </w:r>
      <w:r w:rsidR="002A391F">
        <w:rPr>
          <w:rFonts w:ascii="Cambria" w:hAnsi="Cambria"/>
          <w:sz w:val="20"/>
          <w:szCs w:val="20"/>
          <w:lang w:val="es-AR"/>
        </w:rPr>
        <w:t xml:space="preserve"> y dispuso el pago de un monto indemnizatorio que alcanzó la suma de </w:t>
      </w:r>
      <w:r w:rsidR="00E21EDF">
        <w:rPr>
          <w:rFonts w:ascii="Cambria" w:hAnsi="Cambria"/>
          <w:sz w:val="20"/>
          <w:szCs w:val="20"/>
          <w:lang w:val="es-AR"/>
        </w:rPr>
        <w:t xml:space="preserve"> </w:t>
      </w:r>
      <w:r w:rsidR="002A391F" w:rsidRPr="00E04E88">
        <w:rPr>
          <w:rFonts w:ascii="Cambria" w:hAnsi="Cambria"/>
          <w:sz w:val="20"/>
          <w:szCs w:val="20"/>
          <w:lang w:val="es-AR"/>
        </w:rPr>
        <w:t>$1.357.298.108 pesos colombianos (aproximadamente USD 678.537)</w:t>
      </w:r>
      <w:r w:rsidR="002A391F">
        <w:rPr>
          <w:rFonts w:ascii="Cambria" w:hAnsi="Cambria"/>
          <w:sz w:val="20"/>
          <w:szCs w:val="20"/>
          <w:lang w:val="es-AR"/>
        </w:rPr>
        <w:t xml:space="preserve">. No obstante, refieren que dicha indemnización </w:t>
      </w:r>
      <w:r w:rsidR="00055089">
        <w:rPr>
          <w:rFonts w:ascii="Cambria" w:hAnsi="Cambria"/>
          <w:sz w:val="20"/>
          <w:szCs w:val="20"/>
          <w:lang w:val="es-AR"/>
        </w:rPr>
        <w:t xml:space="preserve">no es integral, pues no reconoce todos los perjuicios ocasionados y es inferior a lo solicitado por el peticionario. </w:t>
      </w:r>
      <w:r w:rsidR="00085FE6">
        <w:rPr>
          <w:rFonts w:ascii="Cambria" w:hAnsi="Cambria"/>
          <w:sz w:val="20"/>
          <w:szCs w:val="20"/>
          <w:lang w:val="es-AR"/>
        </w:rPr>
        <w:t xml:space="preserve">Al respecto, alega que no se reconoció el lucro cesante de los inmuebles (pasto y producción), fue limitada e ilógica la liquidación del lucro cesante de los semovientes, se desconoció el pago de otros bienes, entre otros. Además expresa que no se consideraron debidamente los peritajes de avalúo de daños presentado por el peticionario en el proceso contencioso administrativo. </w:t>
      </w:r>
    </w:p>
    <w:p w:rsidR="005C7F20" w:rsidRPr="006339C6" w:rsidRDefault="009D32F5" w:rsidP="00E04E88">
      <w:pPr>
        <w:numPr>
          <w:ilvl w:val="0"/>
          <w:numId w:val="103"/>
        </w:numPr>
        <w:suppressAutoHyphens/>
        <w:spacing w:after="240"/>
        <w:jc w:val="both"/>
        <w:rPr>
          <w:rFonts w:ascii="Cambria" w:eastAsia="Cambria" w:hAnsi="Cambria" w:cs="Cambria"/>
          <w:color w:val="000000"/>
          <w:sz w:val="20"/>
          <w:szCs w:val="20"/>
          <w:u w:color="000000"/>
          <w:lang w:val="es-ES_tradnl" w:eastAsia="es-ES"/>
        </w:rPr>
      </w:pPr>
      <w:r>
        <w:rPr>
          <w:rFonts w:ascii="Cambria" w:hAnsi="Cambria"/>
          <w:sz w:val="20"/>
          <w:szCs w:val="20"/>
          <w:lang w:val="es-AR"/>
        </w:rPr>
        <w:t xml:space="preserve">Por su parte, el Estado sostiene que los perjuicios alegados en la presente petición ya fueron objeto de una decisión judicial por parte de las autoridades colombianas, quienes se encargaron de analizar la situación  con apego a las normas sustantivas y procesales de la jurisdicción contencioso administrativa. </w:t>
      </w:r>
      <w:r w:rsidR="00C83FCC">
        <w:rPr>
          <w:rFonts w:ascii="Cambria" w:hAnsi="Cambria"/>
          <w:sz w:val="20"/>
          <w:szCs w:val="20"/>
          <w:lang w:val="es-AR"/>
        </w:rPr>
        <w:t xml:space="preserve"> Señala que la sentencia del Consejo de Estado, reconoció el daño generado a las presuntas víctimas el 6 y 7 de noviembre de 2001 a manos de grupos armados al margen de la ley y en consecuencia condenó al Estado al pago de una indemnización. </w:t>
      </w:r>
      <w:r>
        <w:rPr>
          <w:rFonts w:ascii="Cambria" w:hAnsi="Cambria"/>
          <w:sz w:val="20"/>
          <w:szCs w:val="20"/>
          <w:lang w:val="es-AR"/>
        </w:rPr>
        <w:t xml:space="preserve">Manifiesta que </w:t>
      </w:r>
      <w:r w:rsidR="00C83FCC">
        <w:rPr>
          <w:rFonts w:ascii="Cambria" w:hAnsi="Cambria"/>
          <w:sz w:val="20"/>
          <w:szCs w:val="20"/>
          <w:lang w:val="es-AR"/>
        </w:rPr>
        <w:t>dicha</w:t>
      </w:r>
      <w:r>
        <w:rPr>
          <w:rFonts w:ascii="Cambria" w:hAnsi="Cambria"/>
          <w:sz w:val="20"/>
          <w:szCs w:val="20"/>
          <w:lang w:val="es-AR"/>
        </w:rPr>
        <w:t xml:space="preserve"> decisi</w:t>
      </w:r>
      <w:r w:rsidR="00C83FCC">
        <w:rPr>
          <w:rFonts w:ascii="Cambria" w:hAnsi="Cambria"/>
          <w:sz w:val="20"/>
          <w:szCs w:val="20"/>
          <w:lang w:val="es-AR"/>
        </w:rPr>
        <w:t xml:space="preserve">ón resolvió la situación denunciada por el peticionario, </w:t>
      </w:r>
      <w:r w:rsidR="00C83FCC" w:rsidRPr="006339C6">
        <w:rPr>
          <w:rFonts w:ascii="Cambria" w:hAnsi="Cambria"/>
          <w:sz w:val="20"/>
          <w:szCs w:val="20"/>
          <w:lang w:val="es-AR"/>
        </w:rPr>
        <w:t>por lo que no subsisten los motivos que originaron el trámite.</w:t>
      </w:r>
    </w:p>
    <w:p w:rsidR="00C23FB2" w:rsidRPr="006339C6" w:rsidRDefault="0002170B" w:rsidP="009F58E4">
      <w:pPr>
        <w:numPr>
          <w:ilvl w:val="0"/>
          <w:numId w:val="103"/>
        </w:numPr>
        <w:suppressAutoHyphens/>
        <w:spacing w:after="240"/>
        <w:jc w:val="both"/>
        <w:rPr>
          <w:rFonts w:ascii="Cambria" w:eastAsia="Cambria" w:hAnsi="Cambria" w:cs="Cambria"/>
          <w:color w:val="000000"/>
          <w:sz w:val="20"/>
          <w:szCs w:val="20"/>
          <w:u w:color="000000"/>
          <w:lang w:val="es-ES_tradnl" w:eastAsia="es-ES"/>
        </w:rPr>
      </w:pPr>
      <w:r w:rsidRPr="006339C6">
        <w:rPr>
          <w:rFonts w:ascii="Cambria" w:eastAsia="Cambria" w:hAnsi="Cambria" w:cs="Cambria"/>
          <w:color w:val="000000"/>
          <w:sz w:val="20"/>
          <w:szCs w:val="20"/>
          <w:u w:color="000000"/>
          <w:lang w:val="es-ES_tradnl" w:eastAsia="es-ES"/>
        </w:rPr>
        <w:t xml:space="preserve">La Comisión observa que el posible ilícito internacional </w:t>
      </w:r>
      <w:r w:rsidR="0093096A" w:rsidRPr="006339C6">
        <w:rPr>
          <w:rFonts w:ascii="Cambria" w:eastAsia="Cambria" w:hAnsi="Cambria" w:cs="Cambria"/>
          <w:color w:val="000000"/>
          <w:sz w:val="20"/>
          <w:szCs w:val="20"/>
          <w:u w:color="000000"/>
          <w:lang w:val="es-ES_tradnl" w:eastAsia="es-ES"/>
        </w:rPr>
        <w:t>habría sido</w:t>
      </w:r>
      <w:r w:rsidRPr="006339C6">
        <w:rPr>
          <w:rFonts w:ascii="Cambria" w:eastAsia="Cambria" w:hAnsi="Cambria" w:cs="Cambria"/>
          <w:color w:val="000000"/>
          <w:sz w:val="20"/>
          <w:szCs w:val="20"/>
          <w:u w:color="000000"/>
          <w:lang w:val="es-ES_tradnl" w:eastAsia="es-ES"/>
        </w:rPr>
        <w:t xml:space="preserve"> subsanado por el Estado, por medio de las reparaciones otorgadas a las presuntas víctimas, </w:t>
      </w:r>
      <w:r w:rsidR="00ED7FEE" w:rsidRPr="006339C6">
        <w:rPr>
          <w:rFonts w:ascii="Cambria" w:eastAsia="Cambria" w:hAnsi="Cambria" w:cs="Cambria"/>
          <w:color w:val="000000"/>
          <w:sz w:val="20"/>
          <w:szCs w:val="20"/>
          <w:u w:color="000000"/>
          <w:lang w:val="es-ES_tradnl" w:eastAsia="es-ES"/>
        </w:rPr>
        <w:t>que de manera preliminar no son incompatibles con los criterios de reparación establecidos por la jurisprudencia del sistema interamericano.  En ese sentido, l</w:t>
      </w:r>
      <w:r w:rsidR="00C23FB2" w:rsidRPr="006339C6">
        <w:rPr>
          <w:rFonts w:ascii="Cambria" w:eastAsia="Cambria" w:hAnsi="Cambria" w:cs="Cambria"/>
          <w:color w:val="000000"/>
          <w:sz w:val="20"/>
          <w:szCs w:val="20"/>
          <w:u w:color="000000"/>
          <w:lang w:val="es-ES_tradnl" w:eastAsia="es-ES"/>
        </w:rPr>
        <w:t xml:space="preserve">a Comisión observa que </w:t>
      </w:r>
      <w:r w:rsidR="00B132A2" w:rsidRPr="006339C6">
        <w:rPr>
          <w:rFonts w:ascii="Cambria" w:eastAsia="Cambria" w:hAnsi="Cambria" w:cs="Cambria"/>
          <w:color w:val="000000"/>
          <w:sz w:val="20"/>
          <w:szCs w:val="20"/>
          <w:u w:color="000000"/>
          <w:lang w:val="es-ES_tradnl" w:eastAsia="es-ES"/>
        </w:rPr>
        <w:t xml:space="preserve">el peticionario muestra su insatisfacción con el monto establecido como </w:t>
      </w:r>
      <w:r w:rsidR="006971A5" w:rsidRPr="006339C6">
        <w:rPr>
          <w:rFonts w:ascii="Cambria" w:eastAsia="Cambria" w:hAnsi="Cambria" w:cs="Cambria"/>
          <w:color w:val="000000"/>
          <w:sz w:val="20"/>
          <w:szCs w:val="20"/>
          <w:u w:color="000000"/>
          <w:lang w:val="es-ES_tradnl" w:eastAsia="es-ES"/>
        </w:rPr>
        <w:t>reparación</w:t>
      </w:r>
      <w:r w:rsidR="00FD276A" w:rsidRPr="006339C6">
        <w:rPr>
          <w:rFonts w:ascii="Cambria" w:eastAsia="Cambria" w:hAnsi="Cambria" w:cs="Cambria"/>
          <w:color w:val="000000"/>
          <w:sz w:val="20"/>
          <w:szCs w:val="20"/>
          <w:u w:color="000000"/>
          <w:lang w:val="es-ES_tradnl" w:eastAsia="es-ES"/>
        </w:rPr>
        <w:t xml:space="preserve"> que fue</w:t>
      </w:r>
      <w:r w:rsidR="006971A5" w:rsidRPr="006339C6">
        <w:rPr>
          <w:rFonts w:ascii="Cambria" w:eastAsia="Cambria" w:hAnsi="Cambria" w:cs="Cambria"/>
          <w:color w:val="000000"/>
          <w:sz w:val="20"/>
          <w:szCs w:val="20"/>
          <w:u w:color="000000"/>
          <w:lang w:val="es-ES_tradnl" w:eastAsia="es-ES"/>
        </w:rPr>
        <w:t xml:space="preserve"> dispuest</w:t>
      </w:r>
      <w:r w:rsidR="009F58E4" w:rsidRPr="006339C6">
        <w:rPr>
          <w:rFonts w:ascii="Cambria" w:eastAsia="Cambria" w:hAnsi="Cambria" w:cs="Cambria"/>
          <w:color w:val="000000"/>
          <w:sz w:val="20"/>
          <w:szCs w:val="20"/>
          <w:u w:color="000000"/>
          <w:lang w:val="es-ES_tradnl" w:eastAsia="es-ES"/>
        </w:rPr>
        <w:t>o</w:t>
      </w:r>
      <w:r w:rsidR="006971A5" w:rsidRPr="006339C6">
        <w:rPr>
          <w:rFonts w:ascii="Cambria" w:eastAsia="Cambria" w:hAnsi="Cambria" w:cs="Cambria"/>
          <w:color w:val="000000"/>
          <w:sz w:val="20"/>
          <w:szCs w:val="20"/>
          <w:u w:color="000000"/>
          <w:lang w:val="es-ES_tradnl" w:eastAsia="es-ES"/>
        </w:rPr>
        <w:t xml:space="preserve"> en e</w:t>
      </w:r>
      <w:r w:rsidR="00FB1263" w:rsidRPr="006339C6">
        <w:rPr>
          <w:rFonts w:ascii="Cambria" w:eastAsia="Cambria" w:hAnsi="Cambria" w:cs="Cambria"/>
          <w:color w:val="000000"/>
          <w:sz w:val="20"/>
          <w:szCs w:val="20"/>
          <w:u w:color="000000"/>
          <w:lang w:val="es-ES_tradnl" w:eastAsia="es-ES"/>
        </w:rPr>
        <w:t>l marco del proceso seguido en la jurisdicci</w:t>
      </w:r>
      <w:r w:rsidR="00B132A2" w:rsidRPr="006339C6">
        <w:rPr>
          <w:rFonts w:ascii="Cambria" w:eastAsia="Cambria" w:hAnsi="Cambria" w:cs="Cambria"/>
          <w:color w:val="000000"/>
          <w:sz w:val="20"/>
          <w:szCs w:val="20"/>
          <w:u w:color="000000"/>
          <w:lang w:val="es-ES_tradnl" w:eastAsia="es-ES"/>
        </w:rPr>
        <w:t>ón contencioso administrativa</w:t>
      </w:r>
      <w:r w:rsidR="009F58E4" w:rsidRPr="006339C6">
        <w:rPr>
          <w:rFonts w:ascii="Cambria" w:eastAsia="Cambria" w:hAnsi="Cambria" w:cs="Cambria"/>
          <w:color w:val="000000"/>
          <w:sz w:val="20"/>
          <w:szCs w:val="20"/>
          <w:u w:color="000000"/>
          <w:lang w:val="es-ES_tradnl" w:eastAsia="es-ES"/>
        </w:rPr>
        <w:t>;</w:t>
      </w:r>
      <w:r w:rsidR="00B132A2" w:rsidRPr="006339C6">
        <w:rPr>
          <w:rFonts w:ascii="Cambria" w:eastAsia="Cambria" w:hAnsi="Cambria" w:cs="Cambria"/>
          <w:color w:val="000000"/>
          <w:sz w:val="20"/>
          <w:szCs w:val="20"/>
          <w:u w:color="000000"/>
          <w:lang w:val="es-ES_tradnl" w:eastAsia="es-ES"/>
        </w:rPr>
        <w:t xml:space="preserve"> pues además de considerarla parcial, resalta que fue menor de lo que había solicitado</w:t>
      </w:r>
      <w:r w:rsidR="00FD276A" w:rsidRPr="006339C6">
        <w:rPr>
          <w:rFonts w:ascii="Cambria" w:eastAsia="Cambria" w:hAnsi="Cambria" w:cs="Cambria"/>
          <w:color w:val="000000"/>
          <w:sz w:val="20"/>
          <w:szCs w:val="20"/>
          <w:u w:color="000000"/>
          <w:lang w:val="es-ES_tradnl" w:eastAsia="es-ES"/>
        </w:rPr>
        <w:t xml:space="preserve">. </w:t>
      </w:r>
      <w:r w:rsidR="00C23FB2" w:rsidRPr="006339C6">
        <w:rPr>
          <w:rFonts w:ascii="Cambria" w:eastAsia="Cambria" w:hAnsi="Cambria" w:cs="Cambria"/>
          <w:color w:val="000000"/>
          <w:sz w:val="20"/>
          <w:szCs w:val="20"/>
          <w:u w:color="000000"/>
          <w:lang w:val="es-ES_tradnl" w:eastAsia="es-ES"/>
        </w:rPr>
        <w:t xml:space="preserve">La Comisión toma nota que dichos aspectos fueron analizados y resueltos por </w:t>
      </w:r>
      <w:r w:rsidR="00734F75" w:rsidRPr="006339C6">
        <w:rPr>
          <w:rFonts w:ascii="Cambria" w:eastAsia="Cambria" w:hAnsi="Cambria" w:cs="Cambria"/>
          <w:color w:val="000000"/>
          <w:sz w:val="20"/>
          <w:szCs w:val="20"/>
          <w:u w:color="000000"/>
          <w:lang w:val="es-ES_tradnl" w:eastAsia="es-ES"/>
        </w:rPr>
        <w:t xml:space="preserve">la Sala de lo Contencioso Administrativo del Consejo de Estado </w:t>
      </w:r>
      <w:r w:rsidR="00C23FB2" w:rsidRPr="006339C6">
        <w:rPr>
          <w:rFonts w:ascii="Cambria" w:eastAsia="Cambria" w:hAnsi="Cambria" w:cs="Cambria"/>
          <w:color w:val="000000"/>
          <w:sz w:val="20"/>
          <w:szCs w:val="20"/>
          <w:u w:color="000000"/>
          <w:lang w:val="es-ES_tradnl" w:eastAsia="es-ES"/>
        </w:rPr>
        <w:t>que conoci</w:t>
      </w:r>
      <w:r w:rsidR="00734F75" w:rsidRPr="006339C6">
        <w:rPr>
          <w:rFonts w:ascii="Cambria" w:eastAsia="Cambria" w:hAnsi="Cambria" w:cs="Cambria"/>
          <w:color w:val="000000"/>
          <w:sz w:val="20"/>
          <w:szCs w:val="20"/>
          <w:u w:color="000000"/>
          <w:lang w:val="es-ES_tradnl" w:eastAsia="es-ES"/>
        </w:rPr>
        <w:t>ó</w:t>
      </w:r>
      <w:r w:rsidR="00C23FB2" w:rsidRPr="006339C6">
        <w:rPr>
          <w:rFonts w:ascii="Cambria" w:eastAsia="Cambria" w:hAnsi="Cambria" w:cs="Cambria"/>
          <w:color w:val="000000"/>
          <w:sz w:val="20"/>
          <w:szCs w:val="20"/>
          <w:u w:color="000000"/>
          <w:lang w:val="es-ES_tradnl" w:eastAsia="es-ES"/>
        </w:rPr>
        <w:t xml:space="preserve"> </w:t>
      </w:r>
      <w:r w:rsidR="00734F75" w:rsidRPr="006339C6">
        <w:rPr>
          <w:rFonts w:ascii="Cambria" w:eastAsia="Cambria" w:hAnsi="Cambria" w:cs="Cambria"/>
          <w:color w:val="000000"/>
          <w:sz w:val="20"/>
          <w:szCs w:val="20"/>
          <w:u w:color="000000"/>
          <w:lang w:val="es-ES_tradnl" w:eastAsia="es-ES"/>
        </w:rPr>
        <w:t xml:space="preserve">y resolvió </w:t>
      </w:r>
      <w:r w:rsidR="00C23FB2" w:rsidRPr="006339C6">
        <w:rPr>
          <w:rFonts w:ascii="Cambria" w:eastAsia="Cambria" w:hAnsi="Cambria" w:cs="Cambria"/>
          <w:color w:val="000000"/>
          <w:sz w:val="20"/>
          <w:szCs w:val="20"/>
          <w:u w:color="000000"/>
          <w:lang w:val="es-ES_tradnl" w:eastAsia="es-ES"/>
        </w:rPr>
        <w:t>el asunto</w:t>
      </w:r>
      <w:r w:rsidR="00952FAF" w:rsidRPr="006339C6">
        <w:rPr>
          <w:rFonts w:ascii="Cambria" w:eastAsia="Cambria" w:hAnsi="Cambria" w:cs="Cambria"/>
          <w:color w:val="000000"/>
          <w:sz w:val="20"/>
          <w:szCs w:val="20"/>
          <w:u w:color="000000"/>
          <w:lang w:val="es-ES_tradnl" w:eastAsia="es-ES"/>
        </w:rPr>
        <w:t xml:space="preserve"> en el fondo</w:t>
      </w:r>
      <w:r w:rsidR="00723C81" w:rsidRPr="006339C6">
        <w:rPr>
          <w:rFonts w:ascii="Cambria" w:eastAsia="Cambria" w:hAnsi="Cambria" w:cs="Cambria"/>
          <w:color w:val="000000"/>
          <w:sz w:val="20"/>
          <w:szCs w:val="20"/>
          <w:u w:color="000000"/>
          <w:lang w:val="es-ES_tradnl" w:eastAsia="es-ES"/>
        </w:rPr>
        <w:t>. Asimismo, considera que una validación de los peritajes presentados por el peticionario</w:t>
      </w:r>
      <w:r w:rsidR="00734F75" w:rsidRPr="006339C6">
        <w:rPr>
          <w:rFonts w:ascii="Cambria" w:eastAsia="Cambria" w:hAnsi="Cambria" w:cs="Cambria"/>
          <w:color w:val="000000"/>
          <w:sz w:val="20"/>
          <w:szCs w:val="20"/>
          <w:u w:color="000000"/>
          <w:lang w:val="es-ES_tradnl" w:eastAsia="es-ES"/>
        </w:rPr>
        <w:t xml:space="preserve"> en el proceso interno</w:t>
      </w:r>
      <w:r w:rsidR="00723C81" w:rsidRPr="006339C6">
        <w:rPr>
          <w:rFonts w:ascii="Cambria" w:eastAsia="Cambria" w:hAnsi="Cambria" w:cs="Cambria"/>
          <w:color w:val="000000"/>
          <w:sz w:val="20"/>
          <w:szCs w:val="20"/>
          <w:u w:color="000000"/>
          <w:lang w:val="es-ES_tradnl" w:eastAsia="es-ES"/>
        </w:rPr>
        <w:t>, implicaría u</w:t>
      </w:r>
      <w:r w:rsidR="009F58E4" w:rsidRPr="006339C6">
        <w:rPr>
          <w:rFonts w:ascii="Cambria" w:eastAsia="Cambria" w:hAnsi="Cambria" w:cs="Cambria"/>
          <w:color w:val="000000"/>
          <w:sz w:val="20"/>
          <w:szCs w:val="20"/>
          <w:u w:color="000000"/>
          <w:lang w:val="es-ES_tradnl" w:eastAsia="es-ES"/>
        </w:rPr>
        <w:t xml:space="preserve">na valoración de elementos probatorios </w:t>
      </w:r>
      <w:r w:rsidR="00734F75" w:rsidRPr="006339C6">
        <w:rPr>
          <w:rFonts w:ascii="Cambria" w:eastAsia="Cambria" w:hAnsi="Cambria" w:cs="Cambria"/>
          <w:color w:val="000000"/>
          <w:sz w:val="20"/>
          <w:szCs w:val="20"/>
          <w:u w:color="000000"/>
          <w:lang w:val="es-ES_tradnl" w:eastAsia="es-ES"/>
        </w:rPr>
        <w:t>y en consecuencia una actuación</w:t>
      </w:r>
      <w:r w:rsidR="00C23FB2" w:rsidRPr="006339C6">
        <w:rPr>
          <w:rFonts w:ascii="Cambria" w:eastAsia="Cambria" w:hAnsi="Cambria" w:cs="Cambria"/>
          <w:color w:val="000000"/>
          <w:sz w:val="20"/>
          <w:szCs w:val="20"/>
          <w:u w:color="000000"/>
          <w:lang w:val="es-ES_tradnl" w:eastAsia="es-ES"/>
        </w:rPr>
        <w:t xml:space="preserve"> como tribunal de apelación</w:t>
      </w:r>
      <w:r w:rsidR="00734F75" w:rsidRPr="006339C6">
        <w:rPr>
          <w:rFonts w:ascii="Cambria" w:eastAsia="Cambria" w:hAnsi="Cambria" w:cs="Cambria"/>
          <w:color w:val="000000"/>
          <w:sz w:val="20"/>
          <w:szCs w:val="20"/>
          <w:u w:color="000000"/>
          <w:lang w:val="es-ES_tradnl" w:eastAsia="es-ES"/>
        </w:rPr>
        <w:t xml:space="preserve"> o revisión</w:t>
      </w:r>
      <w:r w:rsidR="00127782" w:rsidRPr="006339C6">
        <w:rPr>
          <w:rFonts w:ascii="Cambria" w:eastAsia="Cambria" w:hAnsi="Cambria" w:cs="Cambria"/>
          <w:color w:val="000000"/>
          <w:sz w:val="20"/>
          <w:szCs w:val="20"/>
          <w:u w:color="000000"/>
          <w:lang w:val="es-ES_tradnl" w:eastAsia="es-ES"/>
        </w:rPr>
        <w:t>, en un asunto en el que no surge pr</w:t>
      </w:r>
      <w:r w:rsidR="006339C6" w:rsidRPr="006339C6">
        <w:rPr>
          <w:rFonts w:ascii="Cambria" w:eastAsia="Cambria" w:hAnsi="Cambria" w:cs="Cambria"/>
          <w:color w:val="000000"/>
          <w:sz w:val="20"/>
          <w:szCs w:val="20"/>
          <w:u w:color="000000"/>
          <w:lang w:val="es-ES_tradnl" w:eastAsia="es-ES"/>
        </w:rPr>
        <w:t xml:space="preserve">ima facie </w:t>
      </w:r>
      <w:r w:rsidR="00127782" w:rsidRPr="006339C6">
        <w:rPr>
          <w:rFonts w:ascii="Cambria" w:eastAsia="Cambria" w:hAnsi="Cambria" w:cs="Cambria"/>
          <w:color w:val="000000"/>
          <w:sz w:val="20"/>
          <w:szCs w:val="20"/>
          <w:u w:color="000000"/>
          <w:lang w:val="es-ES_tradnl" w:eastAsia="es-ES"/>
        </w:rPr>
        <w:t>que a nivel interno hubieran sido analizados o examinados en violación de la Convención Americana.</w:t>
      </w:r>
      <w:r w:rsidR="00723C81" w:rsidRPr="006339C6">
        <w:rPr>
          <w:rFonts w:ascii="Cambria" w:eastAsia="Cambria" w:hAnsi="Cambria" w:cs="Cambria"/>
          <w:color w:val="000000"/>
          <w:sz w:val="20"/>
          <w:szCs w:val="20"/>
          <w:u w:color="000000"/>
          <w:lang w:val="es-ES_tradnl" w:eastAsia="es-ES"/>
        </w:rPr>
        <w:t xml:space="preserve"> </w:t>
      </w:r>
      <w:r w:rsidR="009F58E4" w:rsidRPr="006339C6">
        <w:rPr>
          <w:rFonts w:ascii="Cambria" w:eastAsia="Cambria" w:hAnsi="Cambria" w:cs="Cambria"/>
          <w:color w:val="000000"/>
          <w:sz w:val="20"/>
          <w:szCs w:val="20"/>
          <w:u w:color="000000"/>
          <w:lang w:val="es-ES_tradnl" w:eastAsia="es-ES"/>
        </w:rPr>
        <w:t xml:space="preserve"> </w:t>
      </w:r>
    </w:p>
    <w:p w:rsidR="009F58E4" w:rsidRPr="009F58E4" w:rsidRDefault="009F58E4" w:rsidP="009F58E4">
      <w:pPr>
        <w:numPr>
          <w:ilvl w:val="0"/>
          <w:numId w:val="103"/>
        </w:numPr>
        <w:suppressAutoHyphens/>
        <w:spacing w:after="240"/>
        <w:jc w:val="both"/>
        <w:rPr>
          <w:rFonts w:ascii="Cambria" w:eastAsia="Cambria" w:hAnsi="Cambria" w:cs="Cambria"/>
          <w:color w:val="000000"/>
          <w:sz w:val="20"/>
          <w:szCs w:val="20"/>
          <w:u w:color="000000"/>
          <w:lang w:val="es-ES_tradnl" w:eastAsia="es-ES"/>
        </w:rPr>
      </w:pPr>
      <w:r w:rsidRPr="009F58E4">
        <w:rPr>
          <w:rFonts w:ascii="Cambria" w:eastAsia="Cambria" w:hAnsi="Cambria" w:cs="Cambria"/>
          <w:color w:val="000000"/>
          <w:sz w:val="20"/>
          <w:szCs w:val="20"/>
          <w:u w:color="000000"/>
          <w:lang w:val="es-ES_tradnl" w:eastAsia="es-ES"/>
        </w:rPr>
        <w:t>Así, en virtud del carácter complementario de la protección internacional ofrecida por el</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Sistema Interamericano, “la Comisión no puede hacer las veces de un tribunal de alzada para examinar</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supuestos errores de hecho o de derecho que puedan haber cometido los tribunales nacionales que hayan</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actuado dentro de los límites de su competencia, salvo que existiera evidencia inequívoca de vulneración de</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las garantías del debido proceso consagradas en la Convención Americana”</w:t>
      </w:r>
      <w:r w:rsidR="00734F75" w:rsidRPr="00734F75">
        <w:rPr>
          <w:rStyle w:val="FootnoteReference"/>
          <w:rFonts w:ascii="Cambria" w:eastAsia="Cambria" w:hAnsi="Cambria" w:cs="Cambria"/>
          <w:color w:val="000000"/>
          <w:sz w:val="20"/>
          <w:szCs w:val="20"/>
          <w:u w:color="000000"/>
          <w:lang w:val="es-ES_tradnl" w:eastAsia="es-ES"/>
        </w:rPr>
        <w:t xml:space="preserve"> </w:t>
      </w:r>
      <w:r w:rsidR="00734F75">
        <w:rPr>
          <w:rStyle w:val="FootnoteReference"/>
          <w:rFonts w:ascii="Cambria" w:eastAsia="Cambria" w:hAnsi="Cambria" w:cs="Cambria"/>
          <w:color w:val="000000"/>
          <w:sz w:val="20"/>
          <w:szCs w:val="20"/>
          <w:u w:color="000000"/>
          <w:lang w:val="es-ES_tradnl" w:eastAsia="es-ES"/>
        </w:rPr>
        <w:footnoteReference w:id="9"/>
      </w:r>
      <w:r w:rsidRPr="009F58E4">
        <w:rPr>
          <w:rFonts w:ascii="Cambria" w:eastAsia="Cambria" w:hAnsi="Cambria" w:cs="Cambria"/>
          <w:color w:val="000000"/>
          <w:sz w:val="20"/>
          <w:szCs w:val="20"/>
          <w:u w:color="000000"/>
          <w:lang w:val="es-ES_tradnl" w:eastAsia="es-ES"/>
        </w:rPr>
        <w:t>. En esta línea, la Comisión estima</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que el peticionario no ha presentado información suficiente para determinar un estándar de denegación de</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justicia o violación del debido proceso que sustantivamente permita afirmar que los tribunales internos</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vulneraron derechos protegidos por la Convención Americana. Por lo anterior, la Comisión no identifica, con base en los elementos aportados por las partes, que los mismos</w:t>
      </w:r>
      <w:r>
        <w:rPr>
          <w:rFonts w:ascii="Cambria" w:eastAsia="Cambria" w:hAnsi="Cambria" w:cs="Cambria"/>
          <w:color w:val="000000"/>
          <w:sz w:val="20"/>
          <w:szCs w:val="20"/>
          <w:u w:color="000000"/>
          <w:lang w:val="es-ES_tradnl" w:eastAsia="es-ES"/>
        </w:rPr>
        <w:t xml:space="preserve"> </w:t>
      </w:r>
      <w:r w:rsidRPr="009F58E4">
        <w:rPr>
          <w:rFonts w:ascii="Cambria" w:eastAsia="Cambria" w:hAnsi="Cambria" w:cs="Cambria"/>
          <w:color w:val="000000"/>
          <w:sz w:val="20"/>
          <w:szCs w:val="20"/>
          <w:u w:color="000000"/>
          <w:lang w:val="es-ES_tradnl" w:eastAsia="es-ES"/>
        </w:rPr>
        <w:t>caractericen una posible violación de un derecho garantizado por la Convención Americana.</w:t>
      </w:r>
    </w:p>
    <w:p w:rsidR="00A11E44" w:rsidRPr="009F58E4" w:rsidRDefault="009F58E4" w:rsidP="00213A90">
      <w:pPr>
        <w:pStyle w:val="CommentText"/>
        <w:numPr>
          <w:ilvl w:val="0"/>
          <w:numId w:val="103"/>
        </w:numPr>
        <w:spacing w:line="240" w:lineRule="auto"/>
        <w:jc w:val="both"/>
        <w:rPr>
          <w:rFonts w:ascii="Cambria" w:eastAsia="Cambria" w:hAnsi="Cambria" w:cs="Cambria"/>
          <w:color w:val="000000"/>
          <w:u w:color="000000"/>
          <w:bdr w:val="nil"/>
          <w:lang w:val="es-ES_tradnl" w:eastAsia="es-ES"/>
        </w:rPr>
      </w:pPr>
      <w:r w:rsidRPr="009F58E4">
        <w:rPr>
          <w:rFonts w:ascii="Cambria" w:hAnsi="Cambria"/>
          <w:lang w:val="es-AR"/>
        </w:rPr>
        <w:t>Por lo anterior, sobre la presunta violación de los artículos 1, 8, 21,</w:t>
      </w:r>
      <w:r w:rsidR="00734F75">
        <w:rPr>
          <w:rFonts w:ascii="Cambria" w:hAnsi="Cambria"/>
          <w:lang w:val="es-AR"/>
        </w:rPr>
        <w:t xml:space="preserve"> 22,</w:t>
      </w:r>
      <w:r w:rsidRPr="009F58E4">
        <w:rPr>
          <w:rFonts w:ascii="Cambria" w:hAnsi="Cambria"/>
          <w:lang w:val="es-AR"/>
        </w:rPr>
        <w:t xml:space="preserve"> 24, 25</w:t>
      </w:r>
      <w:r w:rsidR="00734F75">
        <w:rPr>
          <w:rFonts w:ascii="Cambria" w:hAnsi="Cambria"/>
          <w:lang w:val="es-AR"/>
        </w:rPr>
        <w:t xml:space="preserve"> y 32</w:t>
      </w:r>
      <w:r w:rsidR="009B6212">
        <w:rPr>
          <w:rFonts w:ascii="Cambria" w:hAnsi="Cambria"/>
          <w:lang w:val="es-AR"/>
        </w:rPr>
        <w:t xml:space="preserve"> de la Convención Americana</w:t>
      </w:r>
      <w:r w:rsidR="001724AE">
        <w:rPr>
          <w:rFonts w:ascii="Cambria" w:hAnsi="Cambria"/>
          <w:lang w:val="es-AR"/>
        </w:rPr>
        <w:t xml:space="preserve"> y de los artículos </w:t>
      </w:r>
      <w:r w:rsidR="001724AE">
        <w:rPr>
          <w:rFonts w:ascii="Cambria" w:hAnsi="Cambria"/>
          <w:bCs/>
          <w:lang w:val="es-BO"/>
        </w:rPr>
        <w:t>VIII</w:t>
      </w:r>
      <w:r w:rsidR="001724AE" w:rsidRPr="00FC52B2">
        <w:rPr>
          <w:rFonts w:ascii="Cambria" w:hAnsi="Cambria"/>
          <w:bCs/>
          <w:lang w:val="es-BO"/>
        </w:rPr>
        <w:t xml:space="preserve">, </w:t>
      </w:r>
      <w:r w:rsidR="001724AE">
        <w:rPr>
          <w:rFonts w:ascii="Cambria" w:hAnsi="Cambria"/>
          <w:bCs/>
          <w:lang w:val="es-BO"/>
        </w:rPr>
        <w:t xml:space="preserve">XI </w:t>
      </w:r>
      <w:r w:rsidR="001724AE" w:rsidRPr="00FC52B2">
        <w:rPr>
          <w:rFonts w:ascii="Cambria" w:hAnsi="Cambria"/>
          <w:bCs/>
          <w:lang w:val="es-BO"/>
        </w:rPr>
        <w:t xml:space="preserve">y </w:t>
      </w:r>
      <w:r w:rsidR="001724AE">
        <w:rPr>
          <w:rFonts w:ascii="Cambria" w:hAnsi="Cambria"/>
          <w:bCs/>
          <w:lang w:val="es-BO"/>
        </w:rPr>
        <w:t>XVIII de la Declaración Americana</w:t>
      </w:r>
      <w:r w:rsidRPr="009F58E4">
        <w:rPr>
          <w:rFonts w:ascii="Cambria" w:hAnsi="Cambria"/>
          <w:lang w:val="es-AR"/>
        </w:rPr>
        <w:t>, la Comisión observa que el peticionario no ofrece alegatos o sustento para su presunta violación por lo que no corresponde declarar dicha</w:t>
      </w:r>
      <w:r w:rsidR="001724AE">
        <w:rPr>
          <w:rFonts w:ascii="Cambria" w:hAnsi="Cambria"/>
          <w:lang w:val="es-AR"/>
        </w:rPr>
        <w:t>s</w:t>
      </w:r>
      <w:r w:rsidRPr="009F58E4">
        <w:rPr>
          <w:rFonts w:ascii="Cambria" w:hAnsi="Cambria"/>
          <w:lang w:val="es-AR"/>
        </w:rPr>
        <w:t xml:space="preserve"> pretensi</w:t>
      </w:r>
      <w:r w:rsidR="001724AE">
        <w:rPr>
          <w:rFonts w:ascii="Cambria" w:hAnsi="Cambria"/>
          <w:lang w:val="es-AR"/>
        </w:rPr>
        <w:t>o</w:t>
      </w:r>
      <w:r w:rsidRPr="009F58E4">
        <w:rPr>
          <w:rFonts w:ascii="Cambria" w:hAnsi="Cambria"/>
          <w:lang w:val="es-AR"/>
        </w:rPr>
        <w:t>n</w:t>
      </w:r>
      <w:r w:rsidR="001724AE">
        <w:rPr>
          <w:rFonts w:ascii="Cambria" w:hAnsi="Cambria"/>
          <w:lang w:val="es-AR"/>
        </w:rPr>
        <w:t>es</w:t>
      </w:r>
      <w:r>
        <w:rPr>
          <w:rFonts w:ascii="Cambria" w:hAnsi="Cambria"/>
          <w:lang w:val="es-AR"/>
        </w:rPr>
        <w:t xml:space="preserve"> </w:t>
      </w:r>
      <w:r w:rsidRPr="009F58E4">
        <w:rPr>
          <w:rFonts w:ascii="Cambria" w:hAnsi="Cambria"/>
          <w:lang w:val="es-AR"/>
        </w:rPr>
        <w:t>admisible</w:t>
      </w:r>
      <w:r w:rsidR="001724AE">
        <w:rPr>
          <w:rFonts w:ascii="Cambria" w:hAnsi="Cambria"/>
          <w:lang w:val="es-AR"/>
        </w:rPr>
        <w:t>s</w:t>
      </w:r>
      <w:r w:rsidRPr="009F58E4">
        <w:rPr>
          <w:rFonts w:ascii="Cambria" w:hAnsi="Cambria"/>
          <w:lang w:val="es-AR"/>
        </w:rPr>
        <w:t>.</w:t>
      </w:r>
    </w:p>
    <w:p w:rsidR="007F724E" w:rsidRDefault="007F724E" w:rsidP="003239B8">
      <w:pPr>
        <w:pStyle w:val="ListParagraph"/>
        <w:spacing w:before="240" w:after="240"/>
        <w:jc w:val="both"/>
        <w:rPr>
          <w:rFonts w:asciiTheme="majorHAnsi" w:hAnsiTheme="majorHAnsi"/>
          <w:b/>
          <w:bCs/>
          <w:sz w:val="20"/>
          <w:szCs w:val="20"/>
          <w:lang w:val="es-ES"/>
        </w:rPr>
      </w:pP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I</w:t>
      </w:r>
      <w:r w:rsidR="00020DB8">
        <w:rPr>
          <w:rFonts w:asciiTheme="majorHAnsi" w:hAnsiTheme="majorHAnsi"/>
          <w:b/>
          <w:bCs/>
          <w:sz w:val="20"/>
          <w:szCs w:val="20"/>
          <w:lang w:val="es-ES"/>
        </w:rPr>
        <w:t>X</w:t>
      </w:r>
      <w:r w:rsidRPr="0078770A">
        <w:rPr>
          <w:rFonts w:asciiTheme="majorHAnsi" w:hAnsiTheme="majorHAnsi"/>
          <w:b/>
          <w:bCs/>
          <w:sz w:val="20"/>
          <w:szCs w:val="20"/>
          <w:lang w:val="es-ES"/>
        </w:rPr>
        <w:t xml:space="preserve">.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7C7895" w:rsidRPr="00BE7410" w:rsidRDefault="007C7895"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w:t>
      </w:r>
      <w:r w:rsidR="006971A5">
        <w:rPr>
          <w:rFonts w:asciiTheme="majorHAnsi" w:hAnsiTheme="majorHAnsi"/>
          <w:sz w:val="20"/>
          <w:szCs w:val="20"/>
          <w:lang w:val="es-ES"/>
        </w:rPr>
        <w:t>nadmisible la presente petición;</w:t>
      </w:r>
      <w:r w:rsidR="009B7E79">
        <w:rPr>
          <w:rFonts w:asciiTheme="majorHAnsi" w:hAnsiTheme="majorHAnsi"/>
          <w:sz w:val="20"/>
          <w:szCs w:val="20"/>
          <w:lang w:val="es-ES"/>
        </w:rPr>
        <w:t xml:space="preserve"> y</w:t>
      </w:r>
    </w:p>
    <w:p w:rsidR="00722C9F" w:rsidRPr="007F724E"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Cambria" w:hAnsi="Cambria" w:cs="Calibri"/>
          <w:sz w:val="20"/>
          <w:szCs w:val="20"/>
          <w:lang w:val="es-ES"/>
        </w:rPr>
      </w:pPr>
      <w:r w:rsidRPr="008F79B5">
        <w:rPr>
          <w:rFonts w:asciiTheme="majorHAnsi" w:hAnsiTheme="majorHAnsi"/>
          <w:sz w:val="20"/>
          <w:szCs w:val="20"/>
          <w:lang w:val="es-ES"/>
        </w:rPr>
        <w:t>Notificar a las partes la presente decisión;</w:t>
      </w:r>
      <w:r w:rsidR="009B7E79" w:rsidRPr="008F79B5">
        <w:rPr>
          <w:rFonts w:asciiTheme="majorHAnsi" w:hAnsiTheme="majorHAnsi"/>
          <w:sz w:val="20"/>
          <w:szCs w:val="20"/>
          <w:lang w:val="es-ES"/>
        </w:rPr>
        <w:t xml:space="preserve"> p</w:t>
      </w:r>
      <w:r w:rsidRPr="008F79B5">
        <w:rPr>
          <w:rFonts w:asciiTheme="majorHAnsi" w:hAnsiTheme="majorHAnsi"/>
          <w:sz w:val="20"/>
          <w:szCs w:val="20"/>
          <w:lang w:val="es-ES"/>
        </w:rPr>
        <w:t>ublicar esta decisión e incluirla en su Informe Anual a la Asamblea General de la</w:t>
      </w:r>
      <w:bookmarkStart w:id="2" w:name="_GoBack"/>
      <w:bookmarkEnd w:id="2"/>
      <w:r w:rsidRPr="008F79B5">
        <w:rPr>
          <w:rFonts w:asciiTheme="majorHAnsi" w:hAnsiTheme="majorHAnsi"/>
          <w:sz w:val="20"/>
          <w:szCs w:val="20"/>
          <w:lang w:val="es-ES"/>
        </w:rPr>
        <w:t xml:space="preserve"> Organización de los Estados Americanos.</w:t>
      </w:r>
    </w:p>
    <w:p w:rsidR="007F724E" w:rsidRPr="00402E21" w:rsidRDefault="007F724E" w:rsidP="007F724E">
      <w:pPr>
        <w:spacing w:after="240"/>
        <w:ind w:firstLine="720"/>
        <w:jc w:val="both"/>
        <w:rPr>
          <w:rFonts w:asciiTheme="majorHAnsi" w:hAnsiTheme="majorHAnsi"/>
          <w:sz w:val="20"/>
          <w:szCs w:val="20"/>
          <w:lang w:val="es-ES"/>
        </w:rPr>
      </w:pPr>
      <w:r w:rsidRPr="00402E21">
        <w:rPr>
          <w:rFonts w:asciiTheme="majorHAnsi" w:hAnsiTheme="majorHAnsi"/>
          <w:sz w:val="20"/>
          <w:szCs w:val="20"/>
          <w:lang w:val="es-ES"/>
        </w:rPr>
        <w:t>Aprobado por la Comisión Interamericana de Derechos Humanos a los 6 días del mes de diciembre de 2019.  (Firmado): Esmeralda E. Arosemena Bernal de Troitiño, Presidenta; Joel Hernández García, Primer Vicepresidente; Antonia Urrejola Noguera, Segunda Vicepresidenta; Margarette May Macaulay, Francisco José Eguiguren Praeli</w:t>
      </w:r>
      <w:r w:rsidR="00371823" w:rsidRPr="00402E21">
        <w:rPr>
          <w:rFonts w:asciiTheme="majorHAnsi" w:hAnsiTheme="majorHAnsi"/>
          <w:sz w:val="20"/>
          <w:szCs w:val="20"/>
          <w:lang w:val="es-ES"/>
        </w:rPr>
        <w:t xml:space="preserve"> </w:t>
      </w:r>
      <w:r w:rsidRPr="00402E21">
        <w:rPr>
          <w:rFonts w:asciiTheme="majorHAnsi" w:hAnsiTheme="majorHAnsi"/>
          <w:sz w:val="20"/>
          <w:szCs w:val="20"/>
          <w:lang w:val="es-ES"/>
        </w:rPr>
        <w:t>y Flávia Piovesan, Miembros de la Comisión.</w:t>
      </w:r>
    </w:p>
    <w:p w:rsidR="007F724E" w:rsidRPr="000E7164" w:rsidRDefault="007F724E" w:rsidP="00402E21">
      <w:pPr>
        <w:suppressAutoHyphens/>
        <w:jc w:val="both"/>
        <w:rPr>
          <w:sz w:val="20"/>
          <w:szCs w:val="20"/>
          <w:lang w:val="es-ES"/>
        </w:rPr>
      </w:pPr>
      <w:r w:rsidRPr="000E7164">
        <w:rPr>
          <w:sz w:val="20"/>
          <w:szCs w:val="20"/>
          <w:lang w:val="es-ES"/>
        </w:rPr>
        <w:tab/>
      </w:r>
    </w:p>
    <w:p w:rsidR="007F724E" w:rsidRPr="008F79B5" w:rsidRDefault="007F724E" w:rsidP="007F72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Cambria" w:hAnsi="Cambria" w:cs="Calibri"/>
          <w:sz w:val="20"/>
          <w:szCs w:val="20"/>
          <w:lang w:val="es-ES"/>
        </w:rPr>
      </w:pPr>
    </w:p>
    <w:sectPr w:rsidR="007F724E" w:rsidRPr="008F79B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B9" w:rsidRDefault="00197EB9">
      <w:r>
        <w:separator/>
      </w:r>
    </w:p>
  </w:endnote>
  <w:endnote w:type="continuationSeparator" w:id="0">
    <w:p w:rsidR="00197EB9" w:rsidRDefault="0019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3B" w:rsidRDefault="00E77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7703B">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B9" w:rsidRPr="000F35ED" w:rsidRDefault="00197EB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97EB9" w:rsidRPr="000F35ED" w:rsidRDefault="00197EB9" w:rsidP="000F35ED">
      <w:pPr>
        <w:rPr>
          <w:rFonts w:asciiTheme="majorHAnsi" w:hAnsiTheme="majorHAnsi"/>
          <w:sz w:val="16"/>
          <w:szCs w:val="16"/>
        </w:rPr>
      </w:pPr>
      <w:r w:rsidRPr="000F35ED">
        <w:rPr>
          <w:rFonts w:asciiTheme="majorHAnsi" w:hAnsiTheme="majorHAnsi"/>
          <w:sz w:val="16"/>
          <w:szCs w:val="16"/>
        </w:rPr>
        <w:separator/>
      </w:r>
    </w:p>
    <w:p w:rsidR="00197EB9" w:rsidRPr="000F35ED" w:rsidRDefault="00197EB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97EB9" w:rsidRPr="000F35ED" w:rsidRDefault="00197EB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509AB" w:rsidRPr="00D84C1E" w:rsidRDefault="00B509AB" w:rsidP="00CA4800">
      <w:pPr>
        <w:pStyle w:val="FootnoteText"/>
        <w:ind w:firstLine="720"/>
        <w:jc w:val="both"/>
        <w:rPr>
          <w:rFonts w:ascii="Cambria" w:hAnsi="Cambria"/>
          <w:sz w:val="16"/>
          <w:szCs w:val="16"/>
          <w:lang w:val="es-ES"/>
        </w:rPr>
      </w:pPr>
      <w:r w:rsidRPr="00D84C1E">
        <w:rPr>
          <w:rStyle w:val="FootnoteReference"/>
          <w:rFonts w:ascii="Cambria" w:hAnsi="Cambria"/>
          <w:sz w:val="16"/>
          <w:szCs w:val="16"/>
        </w:rPr>
        <w:footnoteRef/>
      </w:r>
      <w:r w:rsidRPr="00D84C1E">
        <w:rPr>
          <w:rStyle w:val="FootnoteReference"/>
          <w:rFonts w:ascii="Cambria" w:hAnsi="Cambria"/>
          <w:sz w:val="16"/>
          <w:szCs w:val="16"/>
          <w:lang w:val="es-CR"/>
        </w:rPr>
        <w:t xml:space="preserve"> </w:t>
      </w:r>
      <w:r w:rsidRPr="00D84C1E">
        <w:rPr>
          <w:rFonts w:ascii="Cambria" w:hAnsi="Cambria"/>
          <w:sz w:val="16"/>
          <w:szCs w:val="16"/>
          <w:lang w:val="es-ES"/>
        </w:rPr>
        <w:t xml:space="preserve">La petición fue presentada en representación de Miguel Piñeros Rey, </w:t>
      </w:r>
      <w:proofErr w:type="spellStart"/>
      <w:r w:rsidRPr="00D84C1E">
        <w:rPr>
          <w:rFonts w:ascii="Cambria" w:hAnsi="Cambria"/>
          <w:sz w:val="16"/>
          <w:szCs w:val="16"/>
          <w:lang w:val="es-ES"/>
        </w:rPr>
        <w:t>Gledma</w:t>
      </w:r>
      <w:proofErr w:type="spellEnd"/>
      <w:r w:rsidRPr="00D84C1E">
        <w:rPr>
          <w:rFonts w:ascii="Cambria" w:hAnsi="Cambria"/>
          <w:sz w:val="16"/>
          <w:szCs w:val="16"/>
          <w:lang w:val="es-ES"/>
        </w:rPr>
        <w:t xml:space="preserve"> Romero Sandoval, Andrés Piñeros Romero y Mónica Piñeros Romero.</w:t>
      </w:r>
    </w:p>
  </w:footnote>
  <w:footnote w:id="3">
    <w:p w:rsidR="00351B24" w:rsidRPr="00D84C1E" w:rsidRDefault="00351B24" w:rsidP="00CA4800">
      <w:pPr>
        <w:pStyle w:val="FootnoteText"/>
        <w:ind w:firstLine="720"/>
        <w:jc w:val="both"/>
        <w:rPr>
          <w:rFonts w:ascii="Cambria" w:hAnsi="Cambria"/>
          <w:sz w:val="16"/>
          <w:szCs w:val="16"/>
          <w:lang w:val="es-BO"/>
        </w:rPr>
      </w:pPr>
      <w:r w:rsidRPr="00D84C1E">
        <w:rPr>
          <w:rStyle w:val="FootnoteReference"/>
          <w:rFonts w:ascii="Cambria" w:hAnsi="Cambria"/>
          <w:sz w:val="16"/>
          <w:szCs w:val="16"/>
        </w:rPr>
        <w:footnoteRef/>
      </w:r>
      <w:r w:rsidRPr="00D84C1E">
        <w:rPr>
          <w:rFonts w:ascii="Cambria" w:hAnsi="Cambria"/>
          <w:sz w:val="16"/>
          <w:szCs w:val="16"/>
          <w:lang w:val="es-BO"/>
        </w:rPr>
        <w:t xml:space="preserve"> </w:t>
      </w:r>
      <w:r w:rsidRPr="00D84C1E">
        <w:rPr>
          <w:rFonts w:ascii="Cambria" w:hAnsi="Cambria"/>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4">
    <w:p w:rsidR="00FC52B2" w:rsidRPr="00D84C1E" w:rsidRDefault="00FC52B2" w:rsidP="00CA4800">
      <w:pPr>
        <w:pStyle w:val="FootnoteText"/>
        <w:ind w:firstLine="720"/>
        <w:jc w:val="both"/>
        <w:rPr>
          <w:rFonts w:ascii="Cambria" w:hAnsi="Cambria"/>
          <w:sz w:val="16"/>
          <w:szCs w:val="16"/>
          <w:lang w:val="es-BO"/>
        </w:rPr>
      </w:pPr>
      <w:r w:rsidRPr="00D84C1E">
        <w:rPr>
          <w:rStyle w:val="FootnoteReference"/>
          <w:rFonts w:ascii="Cambria" w:hAnsi="Cambria"/>
          <w:sz w:val="16"/>
          <w:szCs w:val="16"/>
        </w:rPr>
        <w:footnoteRef/>
      </w:r>
      <w:r w:rsidRPr="00D84C1E">
        <w:rPr>
          <w:rFonts w:ascii="Cambria" w:hAnsi="Cambria"/>
          <w:sz w:val="16"/>
          <w:szCs w:val="16"/>
          <w:lang w:val="es-BO"/>
        </w:rPr>
        <w:t xml:space="preserve"> </w:t>
      </w:r>
      <w:r w:rsidRPr="00D84C1E">
        <w:rPr>
          <w:rFonts w:ascii="Cambria" w:hAnsi="Cambria"/>
          <w:sz w:val="16"/>
          <w:szCs w:val="16"/>
          <w:lang w:val="es-AR"/>
        </w:rPr>
        <w:t>En adelante “Convención” o “Convención Americana”.</w:t>
      </w:r>
    </w:p>
  </w:footnote>
  <w:footnote w:id="5">
    <w:p w:rsidR="00FC52B2" w:rsidRPr="00D84C1E" w:rsidRDefault="00FC52B2" w:rsidP="00CA4800">
      <w:pPr>
        <w:pStyle w:val="FootnoteText"/>
        <w:ind w:firstLine="720"/>
        <w:jc w:val="both"/>
        <w:rPr>
          <w:rFonts w:ascii="Cambria" w:hAnsi="Cambria"/>
          <w:sz w:val="16"/>
          <w:szCs w:val="16"/>
          <w:lang w:val="es-BO"/>
        </w:rPr>
      </w:pPr>
      <w:r w:rsidRPr="00D84C1E">
        <w:rPr>
          <w:rStyle w:val="FootnoteReference"/>
          <w:rFonts w:ascii="Cambria" w:hAnsi="Cambria"/>
          <w:sz w:val="16"/>
          <w:szCs w:val="16"/>
        </w:rPr>
        <w:footnoteRef/>
      </w:r>
      <w:r w:rsidRPr="00D84C1E">
        <w:rPr>
          <w:rFonts w:ascii="Cambria" w:hAnsi="Cambria"/>
          <w:sz w:val="16"/>
          <w:szCs w:val="16"/>
          <w:lang w:val="es-BO"/>
        </w:rPr>
        <w:t xml:space="preserve"> </w:t>
      </w:r>
      <w:r w:rsidRPr="00D84C1E">
        <w:rPr>
          <w:rFonts w:ascii="Cambria" w:hAnsi="Cambria"/>
          <w:sz w:val="16"/>
          <w:szCs w:val="16"/>
          <w:lang w:val="es-AR"/>
        </w:rPr>
        <w:t>En adelante “Declaración”.</w:t>
      </w:r>
    </w:p>
  </w:footnote>
  <w:footnote w:id="6">
    <w:p w:rsidR="008E3BFE" w:rsidRPr="00D84C1E" w:rsidRDefault="008E3BFE" w:rsidP="00CA4800">
      <w:pPr>
        <w:pStyle w:val="FootnoteText"/>
        <w:ind w:firstLine="720"/>
        <w:jc w:val="both"/>
        <w:rPr>
          <w:rFonts w:ascii="Cambria" w:hAnsi="Cambria"/>
          <w:sz w:val="16"/>
          <w:szCs w:val="16"/>
          <w:lang w:val="es-ES"/>
        </w:rPr>
      </w:pPr>
      <w:r w:rsidRPr="00D84C1E">
        <w:rPr>
          <w:rStyle w:val="FootnoteReference"/>
          <w:rFonts w:ascii="Cambria" w:hAnsi="Cambria"/>
          <w:sz w:val="16"/>
          <w:szCs w:val="16"/>
        </w:rPr>
        <w:footnoteRef/>
      </w:r>
      <w:r w:rsidRPr="00D84C1E">
        <w:rPr>
          <w:rFonts w:ascii="Cambria" w:hAnsi="Cambria"/>
          <w:sz w:val="16"/>
          <w:szCs w:val="16"/>
          <w:lang w:val="es-ES"/>
        </w:rPr>
        <w:t xml:space="preserve"> Las observaciones de cada parte fueron debidamente trasladadas a la parte contraria.</w:t>
      </w:r>
    </w:p>
  </w:footnote>
  <w:footnote w:id="7">
    <w:p w:rsidR="005B6240" w:rsidRPr="00D84C1E" w:rsidRDefault="005B6240" w:rsidP="00CA4800">
      <w:pPr>
        <w:pStyle w:val="FootnoteText"/>
        <w:ind w:firstLine="720"/>
        <w:jc w:val="both"/>
        <w:rPr>
          <w:rFonts w:ascii="Cambria" w:hAnsi="Cambria"/>
          <w:sz w:val="16"/>
          <w:szCs w:val="16"/>
          <w:lang w:val="es-CR"/>
        </w:rPr>
      </w:pPr>
      <w:r w:rsidRPr="00D84C1E">
        <w:rPr>
          <w:rStyle w:val="FootnoteReference"/>
          <w:rFonts w:ascii="Cambria" w:hAnsi="Cambria"/>
          <w:sz w:val="16"/>
          <w:szCs w:val="16"/>
        </w:rPr>
        <w:footnoteRef/>
      </w:r>
      <w:r w:rsidRPr="00D84C1E">
        <w:rPr>
          <w:rFonts w:ascii="Cambria" w:hAnsi="Cambria"/>
          <w:sz w:val="16"/>
          <w:szCs w:val="16"/>
          <w:lang w:val="es-CR"/>
        </w:rPr>
        <w:t xml:space="preserve"> </w:t>
      </w:r>
      <w:r w:rsidR="004F3B1D" w:rsidRPr="00D84C1E">
        <w:rPr>
          <w:rFonts w:ascii="Cambria" w:hAnsi="Cambria"/>
          <w:sz w:val="16"/>
          <w:szCs w:val="16"/>
          <w:lang w:val="es-AR"/>
        </w:rPr>
        <w:t xml:space="preserve">El Consejo de Estado ordenó el pago de una indemnización por $1.762.134.250 pesos colombianos por concepto de lucro cesante y daño emergente para Miguel Piñeros Rey, </w:t>
      </w:r>
      <w:proofErr w:type="spellStart"/>
      <w:r w:rsidR="004F3B1D" w:rsidRPr="00D84C1E">
        <w:rPr>
          <w:rFonts w:ascii="Cambria" w:hAnsi="Cambria"/>
          <w:sz w:val="16"/>
          <w:szCs w:val="16"/>
          <w:lang w:val="es-AR"/>
        </w:rPr>
        <w:t>Gledma</w:t>
      </w:r>
      <w:proofErr w:type="spellEnd"/>
      <w:r w:rsidR="004F3B1D" w:rsidRPr="00D84C1E">
        <w:rPr>
          <w:rFonts w:ascii="Cambria" w:hAnsi="Cambria"/>
          <w:sz w:val="16"/>
          <w:szCs w:val="16"/>
          <w:lang w:val="es-AR"/>
        </w:rPr>
        <w:t xml:space="preserve"> Romero Sandoval y la Sociedad y el pago de 50 salarios mínimos nacionales  a Miguel Piñeros Rey y </w:t>
      </w:r>
      <w:proofErr w:type="spellStart"/>
      <w:r w:rsidR="004F3B1D" w:rsidRPr="00D84C1E">
        <w:rPr>
          <w:rFonts w:ascii="Cambria" w:hAnsi="Cambria"/>
          <w:sz w:val="16"/>
          <w:szCs w:val="16"/>
          <w:lang w:val="es-AR"/>
        </w:rPr>
        <w:t>Gledma</w:t>
      </w:r>
      <w:proofErr w:type="spellEnd"/>
      <w:r w:rsidR="004F3B1D" w:rsidRPr="00D84C1E">
        <w:rPr>
          <w:rFonts w:ascii="Cambria" w:hAnsi="Cambria"/>
          <w:sz w:val="16"/>
          <w:szCs w:val="16"/>
          <w:lang w:val="es-AR"/>
        </w:rPr>
        <w:t xml:space="preserve"> Romero Sandoval, por el daño moral sufrido.  La parte peticionaria a</w:t>
      </w:r>
      <w:r w:rsidR="005545B4" w:rsidRPr="00D84C1E">
        <w:rPr>
          <w:rFonts w:ascii="Cambria" w:hAnsi="Cambria"/>
          <w:sz w:val="16"/>
          <w:szCs w:val="16"/>
          <w:lang w:val="es-AR"/>
        </w:rPr>
        <w:t>severa que las presuntas víctimas han sufrido un daño material que se estima, por medio de un peritaje de 2004, en $1.429.622.000,00 pesos colombianos.</w:t>
      </w:r>
    </w:p>
  </w:footnote>
  <w:footnote w:id="8">
    <w:p w:rsidR="0067158A" w:rsidRPr="00D84C1E" w:rsidRDefault="0067158A" w:rsidP="00CA4800">
      <w:pPr>
        <w:pStyle w:val="FootnoteText"/>
        <w:ind w:firstLine="720"/>
        <w:jc w:val="both"/>
        <w:rPr>
          <w:rFonts w:ascii="Cambria" w:hAnsi="Cambria"/>
          <w:sz w:val="16"/>
          <w:szCs w:val="16"/>
          <w:lang w:val="es-AR"/>
        </w:rPr>
      </w:pPr>
      <w:r w:rsidRPr="00D84C1E">
        <w:rPr>
          <w:rStyle w:val="FootnoteReference"/>
          <w:rFonts w:ascii="Cambria" w:hAnsi="Cambria"/>
          <w:sz w:val="16"/>
          <w:szCs w:val="16"/>
        </w:rPr>
        <w:footnoteRef/>
      </w:r>
      <w:r w:rsidRPr="00D84C1E">
        <w:rPr>
          <w:rFonts w:ascii="Cambria" w:hAnsi="Cambria"/>
          <w:sz w:val="16"/>
          <w:szCs w:val="16"/>
          <w:lang w:val="es-BO"/>
        </w:rPr>
        <w:t xml:space="preserve"> </w:t>
      </w:r>
      <w:r w:rsidRPr="00D84C1E">
        <w:rPr>
          <w:rFonts w:ascii="Cambria" w:hAnsi="Cambria"/>
          <w:sz w:val="16"/>
          <w:szCs w:val="16"/>
          <w:lang w:val="es-AR"/>
        </w:rPr>
        <w:t xml:space="preserve">CIDH, Informe No. 10/16, Petición 387-02,  Admisibilidad. Carlos Andrés </w:t>
      </w:r>
      <w:proofErr w:type="spellStart"/>
      <w:r w:rsidRPr="00D84C1E">
        <w:rPr>
          <w:rFonts w:ascii="Cambria" w:hAnsi="Cambria"/>
          <w:sz w:val="16"/>
          <w:szCs w:val="16"/>
          <w:lang w:val="es-AR"/>
        </w:rPr>
        <w:t>Fraticelli</w:t>
      </w:r>
      <w:proofErr w:type="spellEnd"/>
      <w:r w:rsidRPr="00D84C1E">
        <w:rPr>
          <w:rFonts w:ascii="Cambria" w:hAnsi="Cambria"/>
          <w:sz w:val="16"/>
          <w:szCs w:val="16"/>
          <w:lang w:val="es-AR"/>
        </w:rPr>
        <w:t>, Argentina, 14 de abril de 2016, párr. 46.</w:t>
      </w:r>
    </w:p>
  </w:footnote>
  <w:footnote w:id="9">
    <w:p w:rsidR="00734F75" w:rsidRPr="00D84C1E" w:rsidRDefault="00734F75" w:rsidP="00CA4800">
      <w:pPr>
        <w:pStyle w:val="FootnoteText"/>
        <w:ind w:firstLine="720"/>
        <w:jc w:val="both"/>
        <w:rPr>
          <w:rFonts w:ascii="Cambria" w:hAnsi="Cambria"/>
          <w:sz w:val="16"/>
          <w:szCs w:val="16"/>
          <w:lang w:val="es-BO"/>
        </w:rPr>
      </w:pPr>
      <w:r w:rsidRPr="00D84C1E">
        <w:rPr>
          <w:rStyle w:val="FootnoteReference"/>
          <w:rFonts w:ascii="Cambria" w:hAnsi="Cambria"/>
          <w:sz w:val="16"/>
          <w:szCs w:val="16"/>
        </w:rPr>
        <w:footnoteRef/>
      </w:r>
      <w:r w:rsidRPr="00D84C1E">
        <w:rPr>
          <w:rFonts w:ascii="Cambria" w:hAnsi="Cambria"/>
          <w:sz w:val="16"/>
          <w:szCs w:val="16"/>
          <w:lang w:val="es-BO"/>
        </w:rPr>
        <w:t xml:space="preserve"> </w:t>
      </w:r>
      <w:r w:rsidRPr="00D84C1E">
        <w:rPr>
          <w:rFonts w:ascii="Cambria" w:hAnsi="Cambria"/>
          <w:sz w:val="16"/>
          <w:szCs w:val="16"/>
          <w:lang w:val="es-AR"/>
        </w:rPr>
        <w:t xml:space="preserve">CIDH, Informe No. 27/16, Petición 30-04, Inadmisibilidad. Luis </w:t>
      </w:r>
      <w:proofErr w:type="spellStart"/>
      <w:r w:rsidRPr="00D84C1E">
        <w:rPr>
          <w:rFonts w:ascii="Cambria" w:hAnsi="Cambria"/>
          <w:sz w:val="16"/>
          <w:szCs w:val="16"/>
          <w:lang w:val="es-AR"/>
        </w:rPr>
        <w:t>Alexsander</w:t>
      </w:r>
      <w:proofErr w:type="spellEnd"/>
      <w:r w:rsidRPr="00D84C1E">
        <w:rPr>
          <w:rFonts w:ascii="Cambria" w:hAnsi="Cambria"/>
          <w:sz w:val="16"/>
          <w:szCs w:val="16"/>
          <w:lang w:val="es-AR"/>
        </w:rPr>
        <w:t xml:space="preserve"> Santillán </w:t>
      </w:r>
      <w:proofErr w:type="spellStart"/>
      <w:r w:rsidRPr="00D84C1E">
        <w:rPr>
          <w:rFonts w:ascii="Cambria" w:hAnsi="Cambria"/>
          <w:sz w:val="16"/>
          <w:szCs w:val="16"/>
          <w:lang w:val="es-AR"/>
        </w:rPr>
        <w:t>Hermoza</w:t>
      </w:r>
      <w:proofErr w:type="spellEnd"/>
      <w:r w:rsidRPr="00D84C1E">
        <w:rPr>
          <w:rFonts w:ascii="Cambria" w:hAnsi="Cambria"/>
          <w:sz w:val="16"/>
          <w:szCs w:val="16"/>
          <w:lang w:val="es-AR"/>
        </w:rPr>
        <w:t>, Perú, 15 de abril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552D9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97EB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3B" w:rsidRDefault="00E77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0D4"/>
    <w:rsid w:val="00003D32"/>
    <w:rsid w:val="00004C4D"/>
    <w:rsid w:val="00006E1F"/>
    <w:rsid w:val="000070D7"/>
    <w:rsid w:val="0001788C"/>
    <w:rsid w:val="00020DB8"/>
    <w:rsid w:val="0002170B"/>
    <w:rsid w:val="000337EF"/>
    <w:rsid w:val="00034247"/>
    <w:rsid w:val="00040C3A"/>
    <w:rsid w:val="000419AD"/>
    <w:rsid w:val="0004527A"/>
    <w:rsid w:val="0004591A"/>
    <w:rsid w:val="00055089"/>
    <w:rsid w:val="000679B2"/>
    <w:rsid w:val="000716C5"/>
    <w:rsid w:val="00075E23"/>
    <w:rsid w:val="00085FE6"/>
    <w:rsid w:val="0009344A"/>
    <w:rsid w:val="00093527"/>
    <w:rsid w:val="00093529"/>
    <w:rsid w:val="000A392E"/>
    <w:rsid w:val="000A575F"/>
    <w:rsid w:val="000C5078"/>
    <w:rsid w:val="000D10DB"/>
    <w:rsid w:val="000E5EB5"/>
    <w:rsid w:val="000F35ED"/>
    <w:rsid w:val="00107131"/>
    <w:rsid w:val="0010736F"/>
    <w:rsid w:val="00110E3A"/>
    <w:rsid w:val="00113F73"/>
    <w:rsid w:val="00121CC2"/>
    <w:rsid w:val="00127782"/>
    <w:rsid w:val="00133EE5"/>
    <w:rsid w:val="00167A34"/>
    <w:rsid w:val="001724AE"/>
    <w:rsid w:val="00173AF2"/>
    <w:rsid w:val="0018474A"/>
    <w:rsid w:val="00197EB9"/>
    <w:rsid w:val="001A375C"/>
    <w:rsid w:val="001A7870"/>
    <w:rsid w:val="001B3A00"/>
    <w:rsid w:val="001C1B41"/>
    <w:rsid w:val="001D65EF"/>
    <w:rsid w:val="001E49E7"/>
    <w:rsid w:val="001E6459"/>
    <w:rsid w:val="001F7201"/>
    <w:rsid w:val="00203673"/>
    <w:rsid w:val="00203F7A"/>
    <w:rsid w:val="002126EA"/>
    <w:rsid w:val="00213A90"/>
    <w:rsid w:val="00222CD5"/>
    <w:rsid w:val="00223A29"/>
    <w:rsid w:val="002250A3"/>
    <w:rsid w:val="0022599B"/>
    <w:rsid w:val="00235217"/>
    <w:rsid w:val="002403CE"/>
    <w:rsid w:val="00246D1F"/>
    <w:rsid w:val="00247319"/>
    <w:rsid w:val="00247403"/>
    <w:rsid w:val="00247542"/>
    <w:rsid w:val="00265801"/>
    <w:rsid w:val="00266B61"/>
    <w:rsid w:val="0026712A"/>
    <w:rsid w:val="002704DB"/>
    <w:rsid w:val="002734F1"/>
    <w:rsid w:val="002A0AAE"/>
    <w:rsid w:val="002A143F"/>
    <w:rsid w:val="002A391F"/>
    <w:rsid w:val="002A5820"/>
    <w:rsid w:val="002A66A9"/>
    <w:rsid w:val="002C44F8"/>
    <w:rsid w:val="002D2B26"/>
    <w:rsid w:val="002D5A31"/>
    <w:rsid w:val="002D7EA2"/>
    <w:rsid w:val="002E187C"/>
    <w:rsid w:val="00300F1F"/>
    <w:rsid w:val="00302733"/>
    <w:rsid w:val="00303887"/>
    <w:rsid w:val="00314078"/>
    <w:rsid w:val="0031535D"/>
    <w:rsid w:val="00317A7E"/>
    <w:rsid w:val="003239B8"/>
    <w:rsid w:val="0033169F"/>
    <w:rsid w:val="00332037"/>
    <w:rsid w:val="00344977"/>
    <w:rsid w:val="00346C95"/>
    <w:rsid w:val="00347125"/>
    <w:rsid w:val="00347211"/>
    <w:rsid w:val="00351B24"/>
    <w:rsid w:val="00353E54"/>
    <w:rsid w:val="00356185"/>
    <w:rsid w:val="00357DD9"/>
    <w:rsid w:val="00360380"/>
    <w:rsid w:val="00371823"/>
    <w:rsid w:val="00372A4F"/>
    <w:rsid w:val="0037519E"/>
    <w:rsid w:val="00380778"/>
    <w:rsid w:val="00386CF0"/>
    <w:rsid w:val="003B4C1C"/>
    <w:rsid w:val="003B4EC1"/>
    <w:rsid w:val="003B70FB"/>
    <w:rsid w:val="003C676B"/>
    <w:rsid w:val="003D3BC2"/>
    <w:rsid w:val="003E0671"/>
    <w:rsid w:val="003E6CA1"/>
    <w:rsid w:val="003E7364"/>
    <w:rsid w:val="00402E21"/>
    <w:rsid w:val="00407FDD"/>
    <w:rsid w:val="00410820"/>
    <w:rsid w:val="004165C2"/>
    <w:rsid w:val="00420E06"/>
    <w:rsid w:val="00434EBD"/>
    <w:rsid w:val="00441ECB"/>
    <w:rsid w:val="00445193"/>
    <w:rsid w:val="004507AF"/>
    <w:rsid w:val="00454826"/>
    <w:rsid w:val="00462C1B"/>
    <w:rsid w:val="00467B7E"/>
    <w:rsid w:val="00473BB4"/>
    <w:rsid w:val="00477592"/>
    <w:rsid w:val="00486F1C"/>
    <w:rsid w:val="00493259"/>
    <w:rsid w:val="0049419D"/>
    <w:rsid w:val="004A70BE"/>
    <w:rsid w:val="004B4546"/>
    <w:rsid w:val="004B4B1C"/>
    <w:rsid w:val="004B71FF"/>
    <w:rsid w:val="004C20D2"/>
    <w:rsid w:val="004C2312"/>
    <w:rsid w:val="004C4B62"/>
    <w:rsid w:val="004C54C9"/>
    <w:rsid w:val="004D4ABA"/>
    <w:rsid w:val="004D6025"/>
    <w:rsid w:val="004E1E6F"/>
    <w:rsid w:val="004E2649"/>
    <w:rsid w:val="004F3B1D"/>
    <w:rsid w:val="004F5C85"/>
    <w:rsid w:val="00501399"/>
    <w:rsid w:val="0050633D"/>
    <w:rsid w:val="00507BC4"/>
    <w:rsid w:val="005128E4"/>
    <w:rsid w:val="005133DB"/>
    <w:rsid w:val="00525560"/>
    <w:rsid w:val="00535452"/>
    <w:rsid w:val="00542B6B"/>
    <w:rsid w:val="005436FD"/>
    <w:rsid w:val="00544C49"/>
    <w:rsid w:val="005516A1"/>
    <w:rsid w:val="00552D91"/>
    <w:rsid w:val="005545B4"/>
    <w:rsid w:val="005563D6"/>
    <w:rsid w:val="0056111A"/>
    <w:rsid w:val="00563557"/>
    <w:rsid w:val="005665BA"/>
    <w:rsid w:val="0057402A"/>
    <w:rsid w:val="005771D0"/>
    <w:rsid w:val="00590476"/>
    <w:rsid w:val="0059191A"/>
    <w:rsid w:val="005921FF"/>
    <w:rsid w:val="00595FCC"/>
    <w:rsid w:val="005A24ED"/>
    <w:rsid w:val="005A2C40"/>
    <w:rsid w:val="005A33C2"/>
    <w:rsid w:val="005A6D0E"/>
    <w:rsid w:val="005B4147"/>
    <w:rsid w:val="005B52B0"/>
    <w:rsid w:val="005B6240"/>
    <w:rsid w:val="005B6806"/>
    <w:rsid w:val="005C4225"/>
    <w:rsid w:val="005C7F20"/>
    <w:rsid w:val="005D5DD1"/>
    <w:rsid w:val="005F0628"/>
    <w:rsid w:val="005F0DAD"/>
    <w:rsid w:val="005F0F33"/>
    <w:rsid w:val="00600DEB"/>
    <w:rsid w:val="00616FB7"/>
    <w:rsid w:val="00627C9F"/>
    <w:rsid w:val="006311E9"/>
    <w:rsid w:val="00632354"/>
    <w:rsid w:val="00632C9F"/>
    <w:rsid w:val="006339C6"/>
    <w:rsid w:val="006427B6"/>
    <w:rsid w:val="00642810"/>
    <w:rsid w:val="0064766D"/>
    <w:rsid w:val="00652333"/>
    <w:rsid w:val="00653A4B"/>
    <w:rsid w:val="00662520"/>
    <w:rsid w:val="006709A9"/>
    <w:rsid w:val="0067158A"/>
    <w:rsid w:val="00677D2E"/>
    <w:rsid w:val="0068009E"/>
    <w:rsid w:val="00683F36"/>
    <w:rsid w:val="00692219"/>
    <w:rsid w:val="0069340C"/>
    <w:rsid w:val="00693B04"/>
    <w:rsid w:val="006971A5"/>
    <w:rsid w:val="006A17D2"/>
    <w:rsid w:val="006A73E6"/>
    <w:rsid w:val="006B2D5C"/>
    <w:rsid w:val="006C4EB1"/>
    <w:rsid w:val="006E0166"/>
    <w:rsid w:val="006E0C9C"/>
    <w:rsid w:val="006E57C8"/>
    <w:rsid w:val="006E61B9"/>
    <w:rsid w:val="006E7B34"/>
    <w:rsid w:val="00703766"/>
    <w:rsid w:val="0070697F"/>
    <w:rsid w:val="00713909"/>
    <w:rsid w:val="0072199C"/>
    <w:rsid w:val="00722C9F"/>
    <w:rsid w:val="00723C81"/>
    <w:rsid w:val="007253B8"/>
    <w:rsid w:val="00734F75"/>
    <w:rsid w:val="0073741F"/>
    <w:rsid w:val="0074144E"/>
    <w:rsid w:val="0076643F"/>
    <w:rsid w:val="00775E89"/>
    <w:rsid w:val="00777F63"/>
    <w:rsid w:val="00786388"/>
    <w:rsid w:val="00791D99"/>
    <w:rsid w:val="007A5817"/>
    <w:rsid w:val="007A6484"/>
    <w:rsid w:val="007B05C4"/>
    <w:rsid w:val="007B0FB8"/>
    <w:rsid w:val="007B60E9"/>
    <w:rsid w:val="007B6CC3"/>
    <w:rsid w:val="007C3334"/>
    <w:rsid w:val="007C7895"/>
    <w:rsid w:val="007D2B98"/>
    <w:rsid w:val="007E0041"/>
    <w:rsid w:val="007E01BE"/>
    <w:rsid w:val="007E21BC"/>
    <w:rsid w:val="007F724E"/>
    <w:rsid w:val="007F75A8"/>
    <w:rsid w:val="00803F1C"/>
    <w:rsid w:val="0080600E"/>
    <w:rsid w:val="00817612"/>
    <w:rsid w:val="008251B1"/>
    <w:rsid w:val="008338A4"/>
    <w:rsid w:val="00837C45"/>
    <w:rsid w:val="00842582"/>
    <w:rsid w:val="00844730"/>
    <w:rsid w:val="008457C2"/>
    <w:rsid w:val="00857A82"/>
    <w:rsid w:val="00873836"/>
    <w:rsid w:val="00884B1D"/>
    <w:rsid w:val="00885737"/>
    <w:rsid w:val="00886E20"/>
    <w:rsid w:val="00890650"/>
    <w:rsid w:val="00897E12"/>
    <w:rsid w:val="008A7E0F"/>
    <w:rsid w:val="008B12F5"/>
    <w:rsid w:val="008D768D"/>
    <w:rsid w:val="008E3759"/>
    <w:rsid w:val="008E3BFE"/>
    <w:rsid w:val="008E4694"/>
    <w:rsid w:val="008E543B"/>
    <w:rsid w:val="008F15A3"/>
    <w:rsid w:val="008F1912"/>
    <w:rsid w:val="008F79B5"/>
    <w:rsid w:val="0090270B"/>
    <w:rsid w:val="009041DC"/>
    <w:rsid w:val="00917B5A"/>
    <w:rsid w:val="00920A58"/>
    <w:rsid w:val="00920A8C"/>
    <w:rsid w:val="0093096A"/>
    <w:rsid w:val="00934A2C"/>
    <w:rsid w:val="00943E2A"/>
    <w:rsid w:val="00952FAF"/>
    <w:rsid w:val="00954CBE"/>
    <w:rsid w:val="00954ED6"/>
    <w:rsid w:val="0096706E"/>
    <w:rsid w:val="00974491"/>
    <w:rsid w:val="00974E98"/>
    <w:rsid w:val="00975C4E"/>
    <w:rsid w:val="00981FBA"/>
    <w:rsid w:val="00997BC5"/>
    <w:rsid w:val="009A4F41"/>
    <w:rsid w:val="009B120A"/>
    <w:rsid w:val="009B381B"/>
    <w:rsid w:val="009B6212"/>
    <w:rsid w:val="009B7E79"/>
    <w:rsid w:val="009C4773"/>
    <w:rsid w:val="009C7028"/>
    <w:rsid w:val="009D1753"/>
    <w:rsid w:val="009D32F5"/>
    <w:rsid w:val="009D7611"/>
    <w:rsid w:val="009E0B61"/>
    <w:rsid w:val="009E2DF8"/>
    <w:rsid w:val="009E53DE"/>
    <w:rsid w:val="009F58E4"/>
    <w:rsid w:val="00A00FAF"/>
    <w:rsid w:val="00A01E96"/>
    <w:rsid w:val="00A118EB"/>
    <w:rsid w:val="00A11E44"/>
    <w:rsid w:val="00A21C24"/>
    <w:rsid w:val="00A26D3C"/>
    <w:rsid w:val="00A328B3"/>
    <w:rsid w:val="00A4730A"/>
    <w:rsid w:val="00A50FCF"/>
    <w:rsid w:val="00A528D1"/>
    <w:rsid w:val="00A610CD"/>
    <w:rsid w:val="00A64E47"/>
    <w:rsid w:val="00A758AA"/>
    <w:rsid w:val="00A8262F"/>
    <w:rsid w:val="00A92C8C"/>
    <w:rsid w:val="00AA09A2"/>
    <w:rsid w:val="00AA7996"/>
    <w:rsid w:val="00AC19CB"/>
    <w:rsid w:val="00AD31C3"/>
    <w:rsid w:val="00AD389A"/>
    <w:rsid w:val="00AD52B1"/>
    <w:rsid w:val="00AE5488"/>
    <w:rsid w:val="00AE6F91"/>
    <w:rsid w:val="00AF0961"/>
    <w:rsid w:val="00AF5571"/>
    <w:rsid w:val="00AF676E"/>
    <w:rsid w:val="00AF7AA6"/>
    <w:rsid w:val="00B07341"/>
    <w:rsid w:val="00B132A2"/>
    <w:rsid w:val="00B30539"/>
    <w:rsid w:val="00B314DB"/>
    <w:rsid w:val="00B361F2"/>
    <w:rsid w:val="00B3718B"/>
    <w:rsid w:val="00B4632A"/>
    <w:rsid w:val="00B506CB"/>
    <w:rsid w:val="00B509AB"/>
    <w:rsid w:val="00B516BB"/>
    <w:rsid w:val="00B530F1"/>
    <w:rsid w:val="00B77295"/>
    <w:rsid w:val="00B84E03"/>
    <w:rsid w:val="00B85D7D"/>
    <w:rsid w:val="00B8609C"/>
    <w:rsid w:val="00B86A6C"/>
    <w:rsid w:val="00B90456"/>
    <w:rsid w:val="00B95CFA"/>
    <w:rsid w:val="00BA276C"/>
    <w:rsid w:val="00BB306F"/>
    <w:rsid w:val="00BB75E7"/>
    <w:rsid w:val="00BD4B89"/>
    <w:rsid w:val="00BD5922"/>
    <w:rsid w:val="00BD7A4F"/>
    <w:rsid w:val="00BE7410"/>
    <w:rsid w:val="00BF02CB"/>
    <w:rsid w:val="00BF5422"/>
    <w:rsid w:val="00BF6FD8"/>
    <w:rsid w:val="00C03680"/>
    <w:rsid w:val="00C054DF"/>
    <w:rsid w:val="00C1030A"/>
    <w:rsid w:val="00C21762"/>
    <w:rsid w:val="00C21FEF"/>
    <w:rsid w:val="00C23932"/>
    <w:rsid w:val="00C23FB2"/>
    <w:rsid w:val="00C24543"/>
    <w:rsid w:val="00C256A2"/>
    <w:rsid w:val="00C36D26"/>
    <w:rsid w:val="00C51515"/>
    <w:rsid w:val="00C5575B"/>
    <w:rsid w:val="00C5660B"/>
    <w:rsid w:val="00C66B72"/>
    <w:rsid w:val="00C72A90"/>
    <w:rsid w:val="00C7453F"/>
    <w:rsid w:val="00C83A38"/>
    <w:rsid w:val="00C83FCC"/>
    <w:rsid w:val="00C87AC4"/>
    <w:rsid w:val="00C9567A"/>
    <w:rsid w:val="00CA4800"/>
    <w:rsid w:val="00CB05E5"/>
    <w:rsid w:val="00CB212D"/>
    <w:rsid w:val="00CB2660"/>
    <w:rsid w:val="00CC4799"/>
    <w:rsid w:val="00CC5E90"/>
    <w:rsid w:val="00CD046C"/>
    <w:rsid w:val="00CE076C"/>
    <w:rsid w:val="00CE40FB"/>
    <w:rsid w:val="00CE5199"/>
    <w:rsid w:val="00CE66D5"/>
    <w:rsid w:val="00CE7410"/>
    <w:rsid w:val="00CF637A"/>
    <w:rsid w:val="00D059DE"/>
    <w:rsid w:val="00D05ABD"/>
    <w:rsid w:val="00D13FCE"/>
    <w:rsid w:val="00D306D1"/>
    <w:rsid w:val="00D30800"/>
    <w:rsid w:val="00D34786"/>
    <w:rsid w:val="00D37BFC"/>
    <w:rsid w:val="00D47A8E"/>
    <w:rsid w:val="00D52D14"/>
    <w:rsid w:val="00D54877"/>
    <w:rsid w:val="00D64BF4"/>
    <w:rsid w:val="00D712D3"/>
    <w:rsid w:val="00D71422"/>
    <w:rsid w:val="00D72DC6"/>
    <w:rsid w:val="00D7558D"/>
    <w:rsid w:val="00D81D92"/>
    <w:rsid w:val="00D84C1E"/>
    <w:rsid w:val="00D96589"/>
    <w:rsid w:val="00DA7B5F"/>
    <w:rsid w:val="00DB1655"/>
    <w:rsid w:val="00DB59AD"/>
    <w:rsid w:val="00DC11E7"/>
    <w:rsid w:val="00DC3E9D"/>
    <w:rsid w:val="00DC7023"/>
    <w:rsid w:val="00DC769A"/>
    <w:rsid w:val="00DD3602"/>
    <w:rsid w:val="00DD3D86"/>
    <w:rsid w:val="00DF02B5"/>
    <w:rsid w:val="00DF059D"/>
    <w:rsid w:val="00DF1EC4"/>
    <w:rsid w:val="00DF610F"/>
    <w:rsid w:val="00E0340B"/>
    <w:rsid w:val="00E04A90"/>
    <w:rsid w:val="00E04E88"/>
    <w:rsid w:val="00E0551F"/>
    <w:rsid w:val="00E11EE3"/>
    <w:rsid w:val="00E219C7"/>
    <w:rsid w:val="00E21EDF"/>
    <w:rsid w:val="00E23EF5"/>
    <w:rsid w:val="00E250BB"/>
    <w:rsid w:val="00E4118C"/>
    <w:rsid w:val="00E43157"/>
    <w:rsid w:val="00E461CE"/>
    <w:rsid w:val="00E720CA"/>
    <w:rsid w:val="00E7703B"/>
    <w:rsid w:val="00E8118F"/>
    <w:rsid w:val="00E84EB5"/>
    <w:rsid w:val="00E85662"/>
    <w:rsid w:val="00E8789F"/>
    <w:rsid w:val="00E97B71"/>
    <w:rsid w:val="00EA3D34"/>
    <w:rsid w:val="00EB454D"/>
    <w:rsid w:val="00ED549D"/>
    <w:rsid w:val="00ED76BE"/>
    <w:rsid w:val="00ED7FEE"/>
    <w:rsid w:val="00EE00E9"/>
    <w:rsid w:val="00EF619B"/>
    <w:rsid w:val="00F00B55"/>
    <w:rsid w:val="00F02AD1"/>
    <w:rsid w:val="00F13D89"/>
    <w:rsid w:val="00F253CC"/>
    <w:rsid w:val="00F259FE"/>
    <w:rsid w:val="00F35198"/>
    <w:rsid w:val="00F37106"/>
    <w:rsid w:val="00F519CF"/>
    <w:rsid w:val="00F56BA5"/>
    <w:rsid w:val="00F60E22"/>
    <w:rsid w:val="00F61F3A"/>
    <w:rsid w:val="00F81395"/>
    <w:rsid w:val="00F81BB8"/>
    <w:rsid w:val="00F85DE4"/>
    <w:rsid w:val="00F917D1"/>
    <w:rsid w:val="00F9653B"/>
    <w:rsid w:val="00FB1263"/>
    <w:rsid w:val="00FB45C3"/>
    <w:rsid w:val="00FB62CF"/>
    <w:rsid w:val="00FC0220"/>
    <w:rsid w:val="00FC0E14"/>
    <w:rsid w:val="00FC52B2"/>
    <w:rsid w:val="00FD276A"/>
    <w:rsid w:val="00FD2F6D"/>
    <w:rsid w:val="00FD3C3B"/>
    <w:rsid w:val="00FE07DD"/>
    <w:rsid w:val="00FE33FD"/>
    <w:rsid w:val="00FE588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04E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rsid w:val="00E04E88"/>
    <w:rPr>
      <w:rFonts w:ascii="Calibri" w:eastAsia="Calibri" w:hAnsi="Calibri"/>
      <w:bdr w:val="none" w:sz="0" w:space="0" w:color="auto"/>
      <w:lang w:val="en-US" w:eastAsia="en-US"/>
    </w:rPr>
  </w:style>
  <w:style w:type="character" w:styleId="CommentReference">
    <w:name w:val="annotation reference"/>
    <w:basedOn w:val="DefaultParagraphFont"/>
    <w:uiPriority w:val="99"/>
    <w:semiHidden/>
    <w:unhideWhenUsed/>
    <w:rsid w:val="00353E54"/>
    <w:rPr>
      <w:sz w:val="16"/>
      <w:szCs w:val="16"/>
    </w:rPr>
  </w:style>
  <w:style w:type="paragraph" w:styleId="CommentSubject">
    <w:name w:val="annotation subject"/>
    <w:basedOn w:val="CommentText"/>
    <w:next w:val="CommentText"/>
    <w:link w:val="CommentSubjectChar"/>
    <w:uiPriority w:val="99"/>
    <w:semiHidden/>
    <w:unhideWhenUsed/>
    <w:rsid w:val="00353E54"/>
    <w:pPr>
      <w:pBdr>
        <w:top w:val="nil"/>
        <w:left w:val="nil"/>
        <w:bottom w:val="nil"/>
        <w:right w:val="nil"/>
        <w:between w:val="nil"/>
        <w:bar w:val="nil"/>
      </w:pBdr>
      <w:spacing w:after="0" w:line="240" w:lineRule="auto"/>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353E54"/>
    <w:rPr>
      <w:rFonts w:ascii="Calibri" w:eastAsia="Calibri" w:hAnsi="Calibri"/>
      <w:b/>
      <w:bCs/>
      <w:bdr w:val="none" w:sz="0" w:space="0" w:color="auto"/>
      <w:lang w:val="en-US" w:eastAsia="en-US"/>
    </w:rPr>
  </w:style>
  <w:style w:type="paragraph" w:styleId="Revision">
    <w:name w:val="Revision"/>
    <w:hidden/>
    <w:uiPriority w:val="99"/>
    <w:semiHidden/>
    <w:rsid w:val="00353E5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4017"/>
    <w:rsid w:val="00182998"/>
    <w:rsid w:val="001A0726"/>
    <w:rsid w:val="003127B9"/>
    <w:rsid w:val="00394049"/>
    <w:rsid w:val="004F2DF8"/>
    <w:rsid w:val="0064460E"/>
    <w:rsid w:val="006B3D89"/>
    <w:rsid w:val="008108D6"/>
    <w:rsid w:val="008323A5"/>
    <w:rsid w:val="00873DFB"/>
    <w:rsid w:val="00963899"/>
    <w:rsid w:val="009A261B"/>
    <w:rsid w:val="00AC15A4"/>
    <w:rsid w:val="00AF03A4"/>
    <w:rsid w:val="00B0336C"/>
    <w:rsid w:val="00B17312"/>
    <w:rsid w:val="00BC5D11"/>
    <w:rsid w:val="00BD6541"/>
    <w:rsid w:val="00F00D2F"/>
    <w:rsid w:val="00F22924"/>
    <w:rsid w:val="00F7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B8A5-082E-47FF-9C99-EBA082B9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12974</Characters>
  <Application>Microsoft Office Word</Application>
  <DocSecurity>0</DocSecurity>
  <Lines>276</Lines>
  <Paragraphs>94</Paragraphs>
  <ScaleCrop>false</ScaleCrop>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198/19</dc:title>
  <dc:creator/>
  <cp:lastModifiedBy/>
  <cp:revision>1</cp:revision>
  <dcterms:created xsi:type="dcterms:W3CDTF">2020-03-27T13:39:00Z</dcterms:created>
  <dcterms:modified xsi:type="dcterms:W3CDTF">2020-03-27T13:39:00Z</dcterms:modified>
</cp:coreProperties>
</file>